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spacing w:line="440" w:lineRule="exact"/>
        <w:jc w:val="center"/>
        <w:rPr>
          <w:rFonts w:ascii="仿宋_GB2312" w:hAnsi="宋体" w:eastAsia="仿宋_GB2312" w:cs="宋体"/>
          <w:b/>
          <w:bCs/>
          <w:color w:val="000000"/>
          <w:kern w:val="0"/>
          <w:sz w:val="28"/>
          <w:szCs w:val="28"/>
        </w:rPr>
      </w:pPr>
      <w:r>
        <w:rPr>
          <w:rFonts w:hint="eastAsia" w:ascii="仿宋_GB2312" w:hAnsi="宋体" w:eastAsia="仿宋_GB2312" w:cs="宋体"/>
          <w:b/>
          <w:bCs/>
          <w:color w:val="000000"/>
          <w:kern w:val="0"/>
          <w:sz w:val="28"/>
          <w:szCs w:val="28"/>
        </w:rPr>
        <w:t xml:space="preserve">乐山市市中区生态环境局关于建设项目环境影响评价文件受理情况的公示 </w:t>
      </w:r>
    </w:p>
    <w:p>
      <w:pPr>
        <w:widowControl/>
        <w:jc w:val="center"/>
        <w:rPr>
          <w:rFonts w:hint="default" w:ascii="宋体" w:hAnsi="宋体" w:eastAsia="宋体" w:cs="宋体"/>
          <w:color w:val="000000"/>
          <w:kern w:val="0"/>
          <w:sz w:val="24"/>
          <w:lang w:val="en-US" w:eastAsia="zh-CN"/>
        </w:rPr>
      </w:pPr>
      <w:r>
        <w:rPr>
          <w:rFonts w:hint="eastAsia" w:ascii="宋体" w:hAnsi="宋体" w:cs="宋体"/>
          <w:color w:val="000000"/>
          <w:kern w:val="0"/>
          <w:sz w:val="24"/>
        </w:rPr>
        <w:t>20</w:t>
      </w:r>
      <w:r>
        <w:rPr>
          <w:rFonts w:hint="eastAsia" w:ascii="宋体" w:hAnsi="宋体" w:cs="宋体"/>
          <w:color w:val="000000"/>
          <w:kern w:val="0"/>
          <w:sz w:val="24"/>
          <w:lang w:val="en-US" w:eastAsia="zh-CN"/>
        </w:rPr>
        <w:t>22</w:t>
      </w:r>
      <w:r>
        <w:rPr>
          <w:rFonts w:hint="eastAsia" w:ascii="宋体" w:hAnsi="宋体" w:cs="宋体"/>
          <w:color w:val="000000"/>
          <w:kern w:val="0"/>
          <w:sz w:val="24"/>
        </w:rPr>
        <w:t>-</w:t>
      </w:r>
      <w:r>
        <w:rPr>
          <w:rFonts w:hint="eastAsia" w:ascii="宋体" w:hAnsi="宋体" w:cs="宋体"/>
          <w:color w:val="000000"/>
          <w:kern w:val="0"/>
          <w:sz w:val="24"/>
          <w:lang w:val="en-US" w:eastAsia="zh-CN"/>
        </w:rPr>
        <w:t>7</w:t>
      </w:r>
      <w:r>
        <w:rPr>
          <w:rFonts w:hint="eastAsia" w:ascii="宋体" w:hAnsi="宋体" w:cs="宋体"/>
          <w:color w:val="000000"/>
          <w:kern w:val="0"/>
          <w:sz w:val="24"/>
        </w:rPr>
        <w:t>-</w:t>
      </w:r>
      <w:r>
        <w:rPr>
          <w:rFonts w:hint="eastAsia" w:ascii="宋体" w:hAnsi="宋体" w:cs="宋体"/>
          <w:color w:val="000000"/>
          <w:kern w:val="0"/>
          <w:sz w:val="24"/>
          <w:lang w:val="en-US" w:eastAsia="zh-CN"/>
        </w:rPr>
        <w:t>4</w:t>
      </w:r>
    </w:p>
    <w:p>
      <w:pPr>
        <w:widowControl/>
        <w:ind w:firstLine="420"/>
        <w:jc w:val="left"/>
        <w:rPr>
          <w:rFonts w:ascii="宋体" w:hAnsi="宋体" w:cs="宋体"/>
          <w:color w:val="000000"/>
          <w:kern w:val="0"/>
          <w:sz w:val="24"/>
        </w:rPr>
      </w:pPr>
      <w:r>
        <w:rPr>
          <w:rFonts w:hint="eastAsia" w:ascii="宋体" w:hAnsi="宋体" w:cs="宋体"/>
          <w:color w:val="000000"/>
          <w:kern w:val="0"/>
          <w:sz w:val="24"/>
        </w:rPr>
        <w:t>根据建设项目环境影响评价审批程序的有关规定，20</w:t>
      </w:r>
      <w:r>
        <w:rPr>
          <w:rFonts w:hint="eastAsia" w:ascii="宋体" w:hAnsi="宋体" w:cs="宋体"/>
          <w:color w:val="000000"/>
          <w:kern w:val="0"/>
          <w:sz w:val="24"/>
          <w:lang w:val="en-US" w:eastAsia="zh-CN"/>
        </w:rPr>
        <w:t>22</w:t>
      </w:r>
      <w:r>
        <w:rPr>
          <w:rFonts w:hint="eastAsia" w:ascii="宋体" w:hAnsi="宋体" w:cs="宋体"/>
          <w:color w:val="000000"/>
          <w:kern w:val="0"/>
          <w:sz w:val="24"/>
        </w:rPr>
        <w:t>年</w:t>
      </w:r>
      <w:r>
        <w:rPr>
          <w:rFonts w:hint="eastAsia" w:ascii="宋体" w:hAnsi="宋体" w:cs="宋体"/>
          <w:color w:val="000000"/>
          <w:kern w:val="0"/>
          <w:sz w:val="24"/>
          <w:lang w:val="en-US" w:eastAsia="zh-CN"/>
        </w:rPr>
        <w:t>7</w:t>
      </w:r>
      <w:r>
        <w:rPr>
          <w:rFonts w:hint="eastAsia" w:ascii="宋体" w:hAnsi="宋体" w:cs="宋体"/>
          <w:color w:val="000000"/>
          <w:kern w:val="0"/>
          <w:sz w:val="24"/>
        </w:rPr>
        <w:t>月</w:t>
      </w:r>
      <w:r>
        <w:rPr>
          <w:rFonts w:hint="eastAsia" w:ascii="宋体" w:hAnsi="宋体" w:cs="宋体"/>
          <w:color w:val="000000"/>
          <w:kern w:val="0"/>
          <w:sz w:val="24"/>
          <w:lang w:val="en-US" w:eastAsia="zh-CN"/>
        </w:rPr>
        <w:t>4</w:t>
      </w:r>
      <w:r>
        <w:rPr>
          <w:rFonts w:hint="eastAsia" w:ascii="宋体" w:hAnsi="宋体" w:cs="宋体"/>
          <w:color w:val="000000"/>
          <w:kern w:val="0"/>
          <w:sz w:val="24"/>
        </w:rPr>
        <w:t>日我局受理</w:t>
      </w:r>
      <w:r>
        <w:rPr>
          <w:rFonts w:hint="eastAsia" w:ascii="宋体" w:hAnsi="宋体" w:cs="宋体"/>
          <w:color w:val="000000"/>
          <w:kern w:val="0"/>
          <w:sz w:val="24"/>
          <w:lang w:val="en-US" w:eastAsia="zh-CN"/>
        </w:rPr>
        <w:t>4</w:t>
      </w:r>
      <w:r>
        <w:rPr>
          <w:rFonts w:hint="eastAsia" w:ascii="宋体" w:hAnsi="宋体" w:cs="宋体"/>
          <w:color w:val="000000"/>
          <w:kern w:val="0"/>
          <w:sz w:val="24"/>
        </w:rPr>
        <w:t>个建设项目环境影响评价文件。现将受理情况予以公示，公示期为20</w:t>
      </w:r>
      <w:r>
        <w:rPr>
          <w:rFonts w:hint="eastAsia" w:ascii="宋体" w:hAnsi="宋体" w:cs="宋体"/>
          <w:color w:val="000000"/>
          <w:kern w:val="0"/>
          <w:sz w:val="24"/>
          <w:lang w:val="en-US" w:eastAsia="zh-CN"/>
        </w:rPr>
        <w:t>22</w:t>
      </w:r>
      <w:r>
        <w:rPr>
          <w:rFonts w:hint="eastAsia" w:ascii="宋体" w:hAnsi="宋体" w:cs="宋体"/>
          <w:color w:val="000000"/>
          <w:kern w:val="0"/>
          <w:sz w:val="24"/>
        </w:rPr>
        <w:t>年</w:t>
      </w:r>
      <w:r>
        <w:rPr>
          <w:rFonts w:hint="eastAsia" w:ascii="宋体" w:hAnsi="宋体" w:cs="宋体"/>
          <w:color w:val="000000"/>
          <w:kern w:val="0"/>
          <w:sz w:val="24"/>
          <w:lang w:val="en-US" w:eastAsia="zh-CN"/>
        </w:rPr>
        <w:t>7</w:t>
      </w:r>
      <w:r>
        <w:rPr>
          <w:rFonts w:hint="eastAsia" w:ascii="宋体" w:hAnsi="宋体" w:cs="宋体"/>
          <w:color w:val="000000"/>
          <w:kern w:val="0"/>
          <w:sz w:val="24"/>
        </w:rPr>
        <w:t>月</w:t>
      </w:r>
      <w:r>
        <w:rPr>
          <w:rFonts w:hint="eastAsia" w:ascii="宋体" w:hAnsi="宋体" w:cs="宋体"/>
          <w:color w:val="000000"/>
          <w:kern w:val="0"/>
          <w:sz w:val="24"/>
          <w:lang w:val="en-US" w:eastAsia="zh-CN"/>
        </w:rPr>
        <w:t>4</w:t>
      </w:r>
      <w:r>
        <w:rPr>
          <w:rFonts w:hint="eastAsia" w:ascii="宋体" w:hAnsi="宋体" w:cs="宋体"/>
          <w:color w:val="000000"/>
          <w:kern w:val="0"/>
          <w:sz w:val="24"/>
        </w:rPr>
        <w:t>日－20</w:t>
      </w:r>
      <w:r>
        <w:rPr>
          <w:rFonts w:hint="eastAsia" w:ascii="宋体" w:hAnsi="宋体" w:cs="宋体"/>
          <w:color w:val="000000"/>
          <w:kern w:val="0"/>
          <w:sz w:val="24"/>
          <w:lang w:val="en-US" w:eastAsia="zh-CN"/>
        </w:rPr>
        <w:t>22</w:t>
      </w:r>
      <w:r>
        <w:rPr>
          <w:rFonts w:hint="eastAsia" w:ascii="宋体" w:hAnsi="宋体" w:cs="宋体"/>
          <w:color w:val="000000"/>
          <w:kern w:val="0"/>
          <w:sz w:val="24"/>
        </w:rPr>
        <w:t>年</w:t>
      </w:r>
      <w:r>
        <w:rPr>
          <w:rFonts w:hint="eastAsia" w:ascii="宋体" w:hAnsi="宋体" w:cs="宋体"/>
          <w:color w:val="000000"/>
          <w:kern w:val="0"/>
          <w:sz w:val="24"/>
          <w:lang w:val="en-US" w:eastAsia="zh-CN"/>
        </w:rPr>
        <w:t>7</w:t>
      </w:r>
      <w:r>
        <w:rPr>
          <w:rFonts w:hint="eastAsia" w:ascii="宋体" w:hAnsi="宋体" w:cs="宋体"/>
          <w:color w:val="000000"/>
          <w:kern w:val="0"/>
          <w:sz w:val="24"/>
        </w:rPr>
        <w:t>月</w:t>
      </w:r>
      <w:r>
        <w:rPr>
          <w:rFonts w:hint="eastAsia" w:ascii="宋体" w:hAnsi="宋体" w:cs="宋体"/>
          <w:color w:val="000000"/>
          <w:kern w:val="0"/>
          <w:sz w:val="24"/>
          <w:lang w:val="en-US" w:eastAsia="zh-CN"/>
        </w:rPr>
        <w:t>15</w:t>
      </w:r>
      <w:r>
        <w:rPr>
          <w:rFonts w:hint="eastAsia" w:ascii="宋体" w:hAnsi="宋体" w:cs="宋体"/>
          <w:color w:val="000000"/>
          <w:kern w:val="0"/>
          <w:sz w:val="24"/>
        </w:rPr>
        <w:t>日（10个工作日）。</w:t>
      </w:r>
    </w:p>
    <w:p>
      <w:pPr>
        <w:widowControl/>
        <w:ind w:firstLine="420"/>
        <w:jc w:val="left"/>
        <w:rPr>
          <w:rFonts w:ascii="宋体" w:hAnsi="宋体" w:cs="宋体"/>
          <w:color w:val="000000"/>
          <w:kern w:val="0"/>
          <w:sz w:val="24"/>
        </w:rPr>
      </w:pPr>
      <w:r>
        <w:rPr>
          <w:rFonts w:hint="eastAsia" w:ascii="宋体" w:hAnsi="宋体" w:cs="宋体"/>
          <w:color w:val="000000"/>
          <w:kern w:val="0"/>
          <w:sz w:val="24"/>
        </w:rPr>
        <w:t>　　联系电话：0833－2103779</w:t>
      </w:r>
    </w:p>
    <w:p>
      <w:pPr>
        <w:widowControl/>
        <w:ind w:firstLine="420"/>
        <w:jc w:val="left"/>
        <w:rPr>
          <w:rFonts w:ascii="宋体" w:hAnsi="宋体" w:cs="宋体"/>
          <w:color w:val="000000"/>
          <w:kern w:val="0"/>
          <w:sz w:val="24"/>
        </w:rPr>
      </w:pPr>
      <w:r>
        <w:rPr>
          <w:rFonts w:hint="eastAsia" w:ascii="宋体" w:hAnsi="宋体" w:cs="宋体"/>
          <w:color w:val="000000"/>
          <w:kern w:val="0"/>
          <w:sz w:val="24"/>
        </w:rPr>
        <w:t>　　传 　 真：0833-2133332</w:t>
      </w:r>
    </w:p>
    <w:p>
      <w:pPr>
        <w:widowControl/>
        <w:ind w:firstLine="420"/>
        <w:jc w:val="left"/>
        <w:rPr>
          <w:rFonts w:ascii="宋体" w:hAnsi="宋体" w:cs="宋体"/>
          <w:color w:val="000000"/>
          <w:kern w:val="0"/>
          <w:sz w:val="24"/>
        </w:rPr>
      </w:pPr>
      <w:r>
        <w:rPr>
          <w:rFonts w:hint="eastAsia" w:ascii="宋体" w:hAnsi="宋体" w:cs="宋体"/>
          <w:color w:val="000000"/>
          <w:kern w:val="0"/>
          <w:sz w:val="24"/>
        </w:rPr>
        <w:t>　　通讯地址：乐山市市中区白燕路830号</w:t>
      </w:r>
    </w:p>
    <w:p>
      <w:pPr>
        <w:widowControl/>
        <w:ind w:firstLine="900" w:firstLineChars="375"/>
        <w:jc w:val="left"/>
        <w:rPr>
          <w:rFonts w:ascii="宋体" w:hAnsi="宋体" w:cs="宋体"/>
          <w:color w:val="000000"/>
          <w:kern w:val="0"/>
          <w:sz w:val="24"/>
        </w:rPr>
      </w:pPr>
      <w:r>
        <w:rPr>
          <w:rFonts w:hint="eastAsia" w:ascii="宋体" w:hAnsi="宋体" w:cs="宋体"/>
          <w:color w:val="000000"/>
          <w:kern w:val="0"/>
          <w:sz w:val="24"/>
        </w:rPr>
        <w:t>邮政编码：614000</w:t>
      </w:r>
    </w:p>
    <w:tbl>
      <w:tblPr>
        <w:tblStyle w:val="38"/>
        <w:tblW w:w="15344" w:type="dxa"/>
        <w:jc w:val="center"/>
        <w:tblLayout w:type="fixed"/>
        <w:tblCellMar>
          <w:top w:w="0" w:type="dxa"/>
          <w:left w:w="0" w:type="dxa"/>
          <w:bottom w:w="0" w:type="dxa"/>
          <w:right w:w="0" w:type="dxa"/>
        </w:tblCellMar>
      </w:tblPr>
      <w:tblGrid>
        <w:gridCol w:w="722"/>
        <w:gridCol w:w="2806"/>
        <w:gridCol w:w="3245"/>
        <w:gridCol w:w="2976"/>
        <w:gridCol w:w="4218"/>
        <w:gridCol w:w="1377"/>
      </w:tblGrid>
      <w:tr>
        <w:tblPrEx>
          <w:tblCellMar>
            <w:top w:w="0" w:type="dxa"/>
            <w:left w:w="0" w:type="dxa"/>
            <w:bottom w:w="0" w:type="dxa"/>
            <w:right w:w="0" w:type="dxa"/>
          </w:tblCellMar>
        </w:tblPrEx>
        <w:trPr>
          <w:cantSplit/>
          <w:trHeight w:val="803" w:hRule="atLeast"/>
          <w:tblHeader/>
          <w:jc w:val="center"/>
        </w:trPr>
        <w:tc>
          <w:tcPr>
            <w:tcW w:w="722" w:type="dxa"/>
            <w:tcBorders>
              <w:top w:val="single" w:color="auto" w:sz="8" w:space="0"/>
              <w:left w:val="single" w:color="auto" w:sz="8" w:space="0"/>
              <w:bottom w:val="single" w:color="auto" w:sz="8" w:space="0"/>
              <w:right w:val="single" w:color="auto" w:sz="8" w:space="0"/>
            </w:tcBorders>
            <w:noWrap w:val="0"/>
            <w:tcMar>
              <w:top w:w="0" w:type="dxa"/>
              <w:left w:w="108" w:type="dxa"/>
              <w:bottom w:w="0" w:type="dxa"/>
              <w:right w:w="108" w:type="dxa"/>
            </w:tcMar>
            <w:vAlign w:val="center"/>
          </w:tcPr>
          <w:p>
            <w:pPr>
              <w:widowControl/>
              <w:spacing w:before="100" w:beforeAutospacing="1" w:after="100" w:afterAutospacing="1" w:line="360" w:lineRule="atLeast"/>
              <w:jc w:val="center"/>
              <w:rPr>
                <w:rFonts w:ascii="宋体" w:hAnsi="宋体" w:cs="宋体"/>
                <w:color w:val="000000"/>
                <w:kern w:val="0"/>
                <w:sz w:val="24"/>
              </w:rPr>
            </w:pPr>
            <w:r>
              <w:rPr>
                <w:rFonts w:hint="eastAsia" w:ascii="宋体" w:hAnsi="宋体" w:cs="宋体"/>
                <w:b/>
                <w:bCs/>
                <w:color w:val="000000"/>
                <w:kern w:val="0"/>
              </w:rPr>
              <w:t>序号</w:t>
            </w:r>
          </w:p>
        </w:tc>
        <w:tc>
          <w:tcPr>
            <w:tcW w:w="2806" w:type="dxa"/>
            <w:tcBorders>
              <w:top w:val="single" w:color="auto" w:sz="8" w:space="0"/>
              <w:left w:val="nil"/>
              <w:bottom w:val="single" w:color="auto" w:sz="8" w:space="0"/>
              <w:right w:val="single" w:color="auto" w:sz="8" w:space="0"/>
            </w:tcBorders>
            <w:noWrap w:val="0"/>
            <w:tcMar>
              <w:top w:w="0" w:type="dxa"/>
              <w:left w:w="108" w:type="dxa"/>
              <w:bottom w:w="0" w:type="dxa"/>
              <w:right w:w="108" w:type="dxa"/>
            </w:tcMar>
            <w:vAlign w:val="center"/>
          </w:tcPr>
          <w:p>
            <w:pPr>
              <w:widowControl/>
              <w:spacing w:before="100" w:beforeAutospacing="1" w:after="100" w:afterAutospacing="1" w:line="360" w:lineRule="atLeast"/>
              <w:jc w:val="center"/>
              <w:rPr>
                <w:rFonts w:ascii="宋体" w:hAnsi="宋体" w:cs="宋体"/>
                <w:color w:val="000000"/>
                <w:kern w:val="0"/>
                <w:sz w:val="24"/>
              </w:rPr>
            </w:pPr>
            <w:r>
              <w:rPr>
                <w:rFonts w:hint="eastAsia" w:ascii="宋体" w:hAnsi="宋体" w:cs="宋体"/>
                <w:b/>
                <w:bCs/>
                <w:color w:val="000000"/>
                <w:kern w:val="0"/>
              </w:rPr>
              <w:t>项目名称</w:t>
            </w:r>
          </w:p>
        </w:tc>
        <w:tc>
          <w:tcPr>
            <w:tcW w:w="3245" w:type="dxa"/>
            <w:tcBorders>
              <w:top w:val="single" w:color="auto" w:sz="8" w:space="0"/>
              <w:left w:val="nil"/>
              <w:bottom w:val="single" w:color="auto" w:sz="8" w:space="0"/>
              <w:right w:val="single" w:color="auto" w:sz="8" w:space="0"/>
            </w:tcBorders>
            <w:noWrap w:val="0"/>
            <w:tcMar>
              <w:top w:w="0" w:type="dxa"/>
              <w:left w:w="108" w:type="dxa"/>
              <w:bottom w:w="0" w:type="dxa"/>
              <w:right w:w="108" w:type="dxa"/>
            </w:tcMar>
            <w:vAlign w:val="center"/>
          </w:tcPr>
          <w:p>
            <w:pPr>
              <w:widowControl/>
              <w:spacing w:before="100" w:beforeAutospacing="1" w:after="100" w:afterAutospacing="1" w:line="360" w:lineRule="atLeast"/>
              <w:jc w:val="center"/>
              <w:rPr>
                <w:rFonts w:ascii="宋体" w:hAnsi="宋体" w:cs="宋体"/>
                <w:color w:val="000000"/>
                <w:kern w:val="0"/>
                <w:sz w:val="24"/>
              </w:rPr>
            </w:pPr>
            <w:r>
              <w:rPr>
                <w:rFonts w:hint="eastAsia" w:ascii="宋体" w:hAnsi="宋体" w:cs="宋体"/>
                <w:b/>
                <w:bCs/>
                <w:color w:val="000000"/>
                <w:kern w:val="0"/>
              </w:rPr>
              <w:t>建设地点</w:t>
            </w:r>
          </w:p>
        </w:tc>
        <w:tc>
          <w:tcPr>
            <w:tcW w:w="2976" w:type="dxa"/>
            <w:tcBorders>
              <w:top w:val="single" w:color="auto" w:sz="8" w:space="0"/>
              <w:left w:val="nil"/>
              <w:bottom w:val="single" w:color="auto" w:sz="8" w:space="0"/>
              <w:right w:val="single" w:color="auto" w:sz="8" w:space="0"/>
            </w:tcBorders>
            <w:noWrap w:val="0"/>
            <w:tcMar>
              <w:top w:w="0" w:type="dxa"/>
              <w:left w:w="108" w:type="dxa"/>
              <w:bottom w:w="0" w:type="dxa"/>
              <w:right w:w="108" w:type="dxa"/>
            </w:tcMar>
            <w:vAlign w:val="center"/>
          </w:tcPr>
          <w:p>
            <w:pPr>
              <w:widowControl/>
              <w:spacing w:before="100" w:beforeAutospacing="1" w:after="100" w:afterAutospacing="1" w:line="360" w:lineRule="atLeast"/>
              <w:jc w:val="center"/>
              <w:rPr>
                <w:rFonts w:ascii="宋体" w:hAnsi="宋体" w:cs="宋体"/>
                <w:color w:val="000000"/>
                <w:kern w:val="0"/>
                <w:sz w:val="24"/>
              </w:rPr>
            </w:pPr>
            <w:r>
              <w:rPr>
                <w:rFonts w:hint="eastAsia" w:ascii="宋体" w:hAnsi="宋体" w:cs="宋体"/>
                <w:b/>
                <w:bCs/>
                <w:color w:val="000000"/>
                <w:kern w:val="0"/>
              </w:rPr>
              <w:t>建设单位</w:t>
            </w:r>
          </w:p>
        </w:tc>
        <w:tc>
          <w:tcPr>
            <w:tcW w:w="4218" w:type="dxa"/>
            <w:tcBorders>
              <w:top w:val="single" w:color="auto" w:sz="8" w:space="0"/>
              <w:left w:val="nil"/>
              <w:bottom w:val="single" w:color="auto" w:sz="8" w:space="0"/>
              <w:right w:val="single" w:color="auto" w:sz="8" w:space="0"/>
            </w:tcBorders>
            <w:noWrap w:val="0"/>
            <w:tcMar>
              <w:top w:w="0" w:type="dxa"/>
              <w:left w:w="108" w:type="dxa"/>
              <w:bottom w:w="0" w:type="dxa"/>
              <w:right w:w="108" w:type="dxa"/>
            </w:tcMar>
            <w:vAlign w:val="center"/>
          </w:tcPr>
          <w:p>
            <w:pPr>
              <w:widowControl/>
              <w:spacing w:before="100" w:beforeAutospacing="1" w:after="100" w:afterAutospacing="1" w:line="360" w:lineRule="atLeast"/>
              <w:jc w:val="center"/>
              <w:rPr>
                <w:rFonts w:ascii="宋体" w:hAnsi="宋体" w:cs="宋体"/>
                <w:color w:val="000000"/>
                <w:kern w:val="0"/>
                <w:sz w:val="24"/>
              </w:rPr>
            </w:pPr>
            <w:r>
              <w:rPr>
                <w:rFonts w:hint="eastAsia" w:ascii="宋体" w:hAnsi="宋体" w:cs="宋体"/>
                <w:b/>
                <w:bCs/>
                <w:color w:val="000000"/>
                <w:kern w:val="0"/>
              </w:rPr>
              <w:t>环境影响评价机构</w:t>
            </w:r>
          </w:p>
        </w:tc>
        <w:tc>
          <w:tcPr>
            <w:tcW w:w="1377" w:type="dxa"/>
            <w:tcBorders>
              <w:top w:val="single" w:color="auto" w:sz="8" w:space="0"/>
              <w:left w:val="nil"/>
              <w:bottom w:val="single" w:color="auto" w:sz="8" w:space="0"/>
              <w:right w:val="single" w:color="auto" w:sz="8" w:space="0"/>
            </w:tcBorders>
            <w:noWrap w:val="0"/>
            <w:tcMar>
              <w:top w:w="0" w:type="dxa"/>
              <w:left w:w="108" w:type="dxa"/>
              <w:bottom w:w="0" w:type="dxa"/>
              <w:right w:w="108" w:type="dxa"/>
            </w:tcMar>
            <w:vAlign w:val="center"/>
          </w:tcPr>
          <w:p>
            <w:pPr>
              <w:widowControl/>
              <w:spacing w:before="100" w:beforeAutospacing="1" w:after="100" w:afterAutospacing="1" w:line="360" w:lineRule="atLeast"/>
              <w:jc w:val="center"/>
              <w:rPr>
                <w:rFonts w:ascii="宋体" w:hAnsi="宋体" w:cs="宋体"/>
                <w:color w:val="000000"/>
                <w:kern w:val="0"/>
                <w:sz w:val="24"/>
              </w:rPr>
            </w:pPr>
            <w:r>
              <w:rPr>
                <w:rFonts w:hint="eastAsia" w:ascii="宋体" w:hAnsi="宋体" w:cs="宋体"/>
                <w:b/>
                <w:bCs/>
                <w:color w:val="000000"/>
                <w:kern w:val="0"/>
              </w:rPr>
              <w:t>受理日期</w:t>
            </w:r>
          </w:p>
        </w:tc>
      </w:tr>
      <w:tr>
        <w:tblPrEx>
          <w:tblCellMar>
            <w:top w:w="0" w:type="dxa"/>
            <w:left w:w="0" w:type="dxa"/>
            <w:bottom w:w="0" w:type="dxa"/>
            <w:right w:w="0" w:type="dxa"/>
          </w:tblCellMar>
        </w:tblPrEx>
        <w:trPr>
          <w:cantSplit/>
          <w:trHeight w:val="925" w:hRule="atLeast"/>
          <w:tblHeader/>
          <w:jc w:val="center"/>
        </w:trPr>
        <w:tc>
          <w:tcPr>
            <w:tcW w:w="722" w:type="dxa"/>
            <w:tcBorders>
              <w:top w:val="single" w:color="auto" w:sz="8" w:space="0"/>
              <w:left w:val="single" w:color="auto" w:sz="8" w:space="0"/>
              <w:bottom w:val="single" w:color="auto" w:sz="8" w:space="0"/>
              <w:right w:val="single" w:color="auto" w:sz="8" w:space="0"/>
            </w:tcBorders>
            <w:noWrap w:val="0"/>
            <w:tcMar>
              <w:top w:w="0" w:type="dxa"/>
              <w:left w:w="108" w:type="dxa"/>
              <w:bottom w:w="0" w:type="dxa"/>
              <w:right w:w="108" w:type="dxa"/>
            </w:tcMar>
            <w:vAlign w:val="center"/>
          </w:tcPr>
          <w:p>
            <w:pPr>
              <w:spacing w:line="360" w:lineRule="auto"/>
              <w:jc w:val="center"/>
              <w:rPr>
                <w:bCs/>
                <w:color w:val="000000"/>
                <w:sz w:val="18"/>
                <w:szCs w:val="18"/>
              </w:rPr>
            </w:pPr>
            <w:r>
              <w:rPr>
                <w:rFonts w:hint="eastAsia"/>
                <w:bCs/>
                <w:color w:val="000000"/>
                <w:sz w:val="18"/>
                <w:szCs w:val="18"/>
              </w:rPr>
              <w:t>1</w:t>
            </w:r>
          </w:p>
        </w:tc>
        <w:tc>
          <w:tcPr>
            <w:tcW w:w="2806" w:type="dxa"/>
            <w:tcBorders>
              <w:top w:val="single" w:color="auto" w:sz="8" w:space="0"/>
              <w:left w:val="nil"/>
              <w:bottom w:val="single" w:color="auto" w:sz="8" w:space="0"/>
              <w:right w:val="single" w:color="auto" w:sz="8" w:space="0"/>
            </w:tcBorders>
            <w:noWrap w:val="0"/>
            <w:tcMar>
              <w:top w:w="0" w:type="dxa"/>
              <w:left w:w="108" w:type="dxa"/>
              <w:bottom w:w="0" w:type="dxa"/>
              <w:right w:w="108" w:type="dxa"/>
            </w:tcMar>
            <w:vAlign w:val="center"/>
          </w:tcPr>
          <w:p>
            <w:pPr>
              <w:rPr>
                <w:rFonts w:hint="eastAsia" w:ascii="Times New Roman" w:hAnsi="Times New Roman" w:cs="Times New Roman"/>
              </w:rPr>
            </w:pPr>
            <w:r>
              <w:rPr>
                <w:rFonts w:hint="eastAsia" w:ascii="Times New Roman" w:hAnsi="Times New Roman" w:cs="Times New Roman"/>
              </w:rPr>
              <w:t>乐山市建筑垃圾资源化利用及炉渣综合利用项目</w:t>
            </w:r>
          </w:p>
        </w:tc>
        <w:tc>
          <w:tcPr>
            <w:tcW w:w="3245" w:type="dxa"/>
            <w:tcBorders>
              <w:top w:val="single" w:color="auto" w:sz="8" w:space="0"/>
              <w:left w:val="nil"/>
              <w:bottom w:val="single" w:color="auto" w:sz="8" w:space="0"/>
              <w:right w:val="single" w:color="auto" w:sz="8" w:space="0"/>
            </w:tcBorders>
            <w:noWrap w:val="0"/>
            <w:tcMar>
              <w:top w:w="0" w:type="dxa"/>
              <w:left w:w="108" w:type="dxa"/>
              <w:bottom w:w="0" w:type="dxa"/>
              <w:right w:w="108" w:type="dxa"/>
            </w:tcMar>
            <w:vAlign w:val="center"/>
          </w:tcPr>
          <w:p>
            <w:pP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乐山市市中区（县）茅桥镇（街道）迎阳村（乐山市环保发电厂旁）</w:t>
            </w:r>
          </w:p>
        </w:tc>
        <w:tc>
          <w:tcPr>
            <w:tcW w:w="2976" w:type="dxa"/>
            <w:tcBorders>
              <w:top w:val="single" w:color="auto" w:sz="8" w:space="0"/>
              <w:left w:val="nil"/>
              <w:bottom w:val="single" w:color="auto" w:sz="8" w:space="0"/>
              <w:right w:val="single" w:color="auto" w:sz="8" w:space="0"/>
            </w:tcBorders>
            <w:noWrap w:val="0"/>
            <w:tcMar>
              <w:top w:w="0" w:type="dxa"/>
              <w:left w:w="108" w:type="dxa"/>
              <w:bottom w:w="0" w:type="dxa"/>
              <w:right w:w="108" w:type="dxa"/>
            </w:tcMar>
            <w:vAlign w:val="center"/>
          </w:tcPr>
          <w:p>
            <w:pPr>
              <w:rPr>
                <w:rFonts w:hint="eastAsia" w:ascii="Times New Roman" w:hAnsi="Times New Roman" w:cs="Times New Roman"/>
              </w:rPr>
            </w:pPr>
            <w:r>
              <w:rPr>
                <w:rFonts w:hint="default" w:ascii="Times New Roman" w:hAnsi="Times New Roman" w:cs="Times New Roman"/>
                <w:lang w:val="en-US"/>
              </w:rPr>
              <w:t>乐山恒一能环保科技有限公司</w:t>
            </w:r>
          </w:p>
        </w:tc>
        <w:tc>
          <w:tcPr>
            <w:tcW w:w="4218" w:type="dxa"/>
            <w:tcBorders>
              <w:top w:val="single" w:color="auto" w:sz="8" w:space="0"/>
              <w:left w:val="nil"/>
              <w:bottom w:val="single" w:color="auto" w:sz="8" w:space="0"/>
              <w:right w:val="single" w:color="auto" w:sz="8" w:space="0"/>
            </w:tcBorders>
            <w:noWrap w:val="0"/>
            <w:tcMar>
              <w:top w:w="0" w:type="dxa"/>
              <w:left w:w="108" w:type="dxa"/>
              <w:bottom w:w="0" w:type="dxa"/>
              <w:right w:w="108" w:type="dxa"/>
            </w:tcMar>
            <w:vAlign w:val="center"/>
          </w:tcPr>
          <w:p>
            <w:pPr>
              <w:rPr>
                <w:rFonts w:hint="default" w:ascii="Times New Roman" w:hAnsi="Times New Roman" w:cs="Times New Roman"/>
                <w:lang w:val="en-US"/>
              </w:rPr>
            </w:pPr>
            <w:r>
              <w:rPr>
                <w:rFonts w:hint="default" w:ascii="Times New Roman" w:hAnsi="Times New Roman" w:cs="Times New Roman"/>
                <w:lang w:val="en-US"/>
              </w:rPr>
              <w:t>四川银励环保科技有限公司</w:t>
            </w:r>
          </w:p>
        </w:tc>
        <w:tc>
          <w:tcPr>
            <w:tcW w:w="1377" w:type="dxa"/>
            <w:tcBorders>
              <w:top w:val="single" w:color="auto" w:sz="8" w:space="0"/>
              <w:left w:val="nil"/>
              <w:bottom w:val="single" w:color="auto" w:sz="8" w:space="0"/>
              <w:right w:val="single" w:color="auto" w:sz="8" w:space="0"/>
            </w:tcBorders>
            <w:noWrap w:val="0"/>
            <w:tcMar>
              <w:top w:w="0" w:type="dxa"/>
              <w:left w:w="108" w:type="dxa"/>
              <w:bottom w:w="0" w:type="dxa"/>
              <w:right w:w="108" w:type="dxa"/>
            </w:tcMar>
            <w:vAlign w:val="center"/>
          </w:tcPr>
          <w:p>
            <w:pPr>
              <w:rPr>
                <w:rFonts w:hint="default" w:ascii="Times New Roman" w:hAnsi="Times New Roman" w:eastAsia="宋体" w:cs="Times New Roman"/>
                <w:lang w:val="en-US" w:eastAsia="zh-CN"/>
              </w:rPr>
            </w:pPr>
            <w:r>
              <w:rPr>
                <w:rFonts w:hint="eastAsia" w:ascii="Times New Roman" w:hAnsi="Times New Roman" w:cs="Times New Roman"/>
              </w:rPr>
              <w:t>20</w:t>
            </w:r>
            <w:r>
              <w:rPr>
                <w:rFonts w:hint="eastAsia" w:ascii="Times New Roman" w:hAnsi="Times New Roman" w:cs="Times New Roman"/>
                <w:lang w:val="en-US" w:eastAsia="zh-CN"/>
              </w:rPr>
              <w:t>2</w:t>
            </w:r>
            <w:r>
              <w:rPr>
                <w:rFonts w:hint="eastAsia" w:cs="Times New Roman"/>
                <w:lang w:val="en-US" w:eastAsia="zh-CN"/>
              </w:rPr>
              <w:t>2</w:t>
            </w:r>
            <w:r>
              <w:rPr>
                <w:rFonts w:hint="eastAsia" w:ascii="Times New Roman" w:hAnsi="Times New Roman" w:cs="Times New Roman"/>
              </w:rPr>
              <w:t>-</w:t>
            </w:r>
            <w:r>
              <w:rPr>
                <w:rFonts w:hint="eastAsia" w:cs="Times New Roman"/>
                <w:lang w:val="en-US" w:eastAsia="zh-CN"/>
              </w:rPr>
              <w:t>7</w:t>
            </w:r>
            <w:r>
              <w:rPr>
                <w:rFonts w:hint="eastAsia" w:ascii="Times New Roman" w:hAnsi="Times New Roman" w:cs="Times New Roman"/>
              </w:rPr>
              <w:t>-</w:t>
            </w:r>
            <w:r>
              <w:rPr>
                <w:rFonts w:hint="eastAsia" w:cs="Times New Roman"/>
                <w:lang w:val="en-US" w:eastAsia="zh-CN"/>
              </w:rPr>
              <w:t>4</w:t>
            </w:r>
          </w:p>
        </w:tc>
      </w:tr>
      <w:tr>
        <w:tblPrEx>
          <w:tblCellMar>
            <w:top w:w="0" w:type="dxa"/>
            <w:left w:w="0" w:type="dxa"/>
            <w:bottom w:w="0" w:type="dxa"/>
            <w:right w:w="0" w:type="dxa"/>
          </w:tblCellMar>
        </w:tblPrEx>
        <w:trPr>
          <w:cantSplit/>
          <w:trHeight w:val="925" w:hRule="atLeast"/>
          <w:tblHeader/>
          <w:jc w:val="center"/>
        </w:trPr>
        <w:tc>
          <w:tcPr>
            <w:tcW w:w="722" w:type="dxa"/>
            <w:tcBorders>
              <w:top w:val="single" w:color="auto" w:sz="8" w:space="0"/>
              <w:left w:val="single" w:color="auto" w:sz="8" w:space="0"/>
              <w:bottom w:val="single" w:color="auto" w:sz="8" w:space="0"/>
              <w:right w:val="single" w:color="auto" w:sz="8" w:space="0"/>
            </w:tcBorders>
            <w:noWrap w:val="0"/>
            <w:tcMar>
              <w:top w:w="0" w:type="dxa"/>
              <w:left w:w="108" w:type="dxa"/>
              <w:bottom w:w="0" w:type="dxa"/>
              <w:right w:w="108" w:type="dxa"/>
            </w:tcMar>
            <w:vAlign w:val="center"/>
          </w:tcPr>
          <w:p>
            <w:pPr>
              <w:spacing w:line="360" w:lineRule="auto"/>
              <w:jc w:val="center"/>
              <w:rPr>
                <w:rFonts w:hint="eastAsia" w:eastAsia="宋体"/>
                <w:bCs/>
                <w:color w:val="000000"/>
                <w:sz w:val="18"/>
                <w:szCs w:val="18"/>
                <w:lang w:val="en-US" w:eastAsia="zh-CN"/>
              </w:rPr>
            </w:pPr>
            <w:r>
              <w:rPr>
                <w:rFonts w:hint="eastAsia"/>
                <w:bCs/>
                <w:color w:val="000000"/>
                <w:sz w:val="18"/>
                <w:szCs w:val="18"/>
                <w:lang w:val="en-US" w:eastAsia="zh-CN"/>
              </w:rPr>
              <w:t>2</w:t>
            </w:r>
          </w:p>
        </w:tc>
        <w:tc>
          <w:tcPr>
            <w:tcW w:w="2806" w:type="dxa"/>
            <w:tcBorders>
              <w:top w:val="single" w:color="auto" w:sz="8" w:space="0"/>
              <w:left w:val="nil"/>
              <w:bottom w:val="single" w:color="auto" w:sz="8" w:space="0"/>
              <w:right w:val="single" w:color="auto" w:sz="8" w:space="0"/>
            </w:tcBorders>
            <w:noWrap w:val="0"/>
            <w:tcMar>
              <w:top w:w="0" w:type="dxa"/>
              <w:left w:w="108" w:type="dxa"/>
              <w:bottom w:w="0" w:type="dxa"/>
              <w:right w:w="108" w:type="dxa"/>
            </w:tcMar>
            <w:vAlign w:val="center"/>
          </w:tcPr>
          <w:p>
            <w:pPr>
              <w:rPr>
                <w:rFonts w:hint="eastAsia" w:ascii="Times New Roman" w:hAnsi="Times New Roman" w:cs="Times New Roman"/>
              </w:rPr>
            </w:pPr>
            <w:r>
              <w:rPr>
                <w:rFonts w:hint="eastAsia" w:ascii="Times New Roman" w:hAnsi="Times New Roman" w:cs="Times New Roman"/>
                <w:lang w:eastAsia="zh-CN"/>
              </w:rPr>
              <w:t>乐山市市中区嘉和宠物医院</w:t>
            </w:r>
            <w:r>
              <w:rPr>
                <w:rFonts w:hint="eastAsia" w:ascii="Times New Roman" w:hAnsi="Times New Roman" w:cs="Times New Roman"/>
              </w:rPr>
              <w:t xml:space="preserve"> </w:t>
            </w:r>
          </w:p>
        </w:tc>
        <w:tc>
          <w:tcPr>
            <w:tcW w:w="3245" w:type="dxa"/>
            <w:tcBorders>
              <w:top w:val="single" w:color="auto" w:sz="8" w:space="0"/>
              <w:left w:val="nil"/>
              <w:bottom w:val="single" w:color="auto" w:sz="8" w:space="0"/>
              <w:right w:val="single" w:color="auto" w:sz="8" w:space="0"/>
            </w:tcBorders>
            <w:noWrap w:val="0"/>
            <w:tcMar>
              <w:top w:w="0" w:type="dxa"/>
              <w:left w:w="108" w:type="dxa"/>
              <w:bottom w:w="0" w:type="dxa"/>
              <w:right w:w="108" w:type="dxa"/>
            </w:tcMar>
            <w:vAlign w:val="center"/>
          </w:tcPr>
          <w:p>
            <w:pPr>
              <w:rPr>
                <w:rFonts w:hint="eastAsia" w:ascii="Times New Roman" w:hAnsi="Times New Roman" w:eastAsia="宋体" w:cs="Times New Roman"/>
                <w:lang w:val="en-US" w:eastAsia="zh-CN"/>
              </w:rPr>
            </w:pPr>
            <w:r>
              <w:rPr>
                <w:rFonts w:hint="eastAsia"/>
              </w:rPr>
              <w:t>乐山市市中区竹林路636号1楼7号</w:t>
            </w:r>
          </w:p>
        </w:tc>
        <w:tc>
          <w:tcPr>
            <w:tcW w:w="2976" w:type="dxa"/>
            <w:tcBorders>
              <w:top w:val="single" w:color="auto" w:sz="8" w:space="0"/>
              <w:left w:val="nil"/>
              <w:bottom w:val="single" w:color="auto" w:sz="8" w:space="0"/>
              <w:right w:val="single" w:color="auto" w:sz="8" w:space="0"/>
            </w:tcBorders>
            <w:noWrap w:val="0"/>
            <w:tcMar>
              <w:top w:w="0" w:type="dxa"/>
              <w:left w:w="108" w:type="dxa"/>
              <w:bottom w:w="0" w:type="dxa"/>
              <w:right w:w="108" w:type="dxa"/>
            </w:tcMar>
            <w:vAlign w:val="center"/>
          </w:tcPr>
          <w:p>
            <w:pPr>
              <w:rPr>
                <w:rFonts w:hint="default" w:ascii="Times New Roman" w:hAnsi="Times New Roman" w:cs="Times New Roman"/>
                <w:lang w:val="en-US"/>
              </w:rPr>
            </w:pPr>
            <w:r>
              <w:rPr>
                <w:rFonts w:hint="default" w:ascii="Times New Roman" w:hAnsi="Times New Roman" w:cs="Times New Roman"/>
                <w:lang w:val="en-US"/>
              </w:rPr>
              <w:t>乐山市市中区嘉和宠物医院</w:t>
            </w:r>
          </w:p>
        </w:tc>
        <w:tc>
          <w:tcPr>
            <w:tcW w:w="4218" w:type="dxa"/>
            <w:tcBorders>
              <w:top w:val="single" w:color="auto" w:sz="8" w:space="0"/>
              <w:left w:val="nil"/>
              <w:bottom w:val="single" w:color="auto" w:sz="8" w:space="0"/>
              <w:right w:val="single" w:color="auto" w:sz="8" w:space="0"/>
            </w:tcBorders>
            <w:noWrap w:val="0"/>
            <w:tcMar>
              <w:top w:w="0" w:type="dxa"/>
              <w:left w:w="108" w:type="dxa"/>
              <w:bottom w:w="0" w:type="dxa"/>
              <w:right w:w="108" w:type="dxa"/>
            </w:tcMar>
            <w:vAlign w:val="center"/>
          </w:tcPr>
          <w:p>
            <w:pPr>
              <w:rPr>
                <w:rFonts w:hint="default" w:ascii="Times New Roman" w:hAnsi="Times New Roman" w:eastAsia="宋体" w:cs="Times New Roman"/>
                <w:lang w:val="en-US" w:eastAsia="zh-CN"/>
              </w:rPr>
            </w:pPr>
            <w:r>
              <w:rPr>
                <w:rFonts w:hint="default" w:ascii="Times New Roman" w:hAnsi="Times New Roman" w:cs="Times New Roman"/>
                <w:lang w:val="en-US"/>
              </w:rPr>
              <w:t>四川</w:t>
            </w:r>
            <w:r>
              <w:rPr>
                <w:rFonts w:hint="eastAsia" w:cs="Times New Roman"/>
                <w:lang w:val="en-US" w:eastAsia="zh-CN"/>
              </w:rPr>
              <w:t>世安翊环保科技有限公司</w:t>
            </w:r>
          </w:p>
        </w:tc>
        <w:tc>
          <w:tcPr>
            <w:tcW w:w="1377" w:type="dxa"/>
            <w:tcBorders>
              <w:top w:val="single" w:color="auto" w:sz="8" w:space="0"/>
              <w:left w:val="nil"/>
              <w:bottom w:val="single" w:color="auto" w:sz="8" w:space="0"/>
              <w:right w:val="single" w:color="auto" w:sz="8" w:space="0"/>
            </w:tcBorders>
            <w:noWrap w:val="0"/>
            <w:tcMar>
              <w:top w:w="0" w:type="dxa"/>
              <w:left w:w="108" w:type="dxa"/>
              <w:bottom w:w="0" w:type="dxa"/>
              <w:right w:w="108" w:type="dxa"/>
            </w:tcMar>
            <w:vAlign w:val="center"/>
          </w:tcPr>
          <w:p>
            <w:pPr>
              <w:rPr>
                <w:rFonts w:hint="eastAsia" w:ascii="Times New Roman" w:hAnsi="Times New Roman" w:eastAsia="宋体" w:cs="Times New Roman"/>
                <w:kern w:val="2"/>
                <w:sz w:val="24"/>
                <w:szCs w:val="24"/>
                <w:lang w:val="en-US" w:eastAsia="zh-CN" w:bidi="ar-SA"/>
              </w:rPr>
            </w:pPr>
            <w:r>
              <w:rPr>
                <w:rFonts w:hint="eastAsia" w:ascii="Times New Roman" w:hAnsi="Times New Roman" w:cs="Times New Roman"/>
              </w:rPr>
              <w:t>20</w:t>
            </w:r>
            <w:r>
              <w:rPr>
                <w:rFonts w:hint="eastAsia" w:ascii="Times New Roman" w:hAnsi="Times New Roman" w:cs="Times New Roman"/>
                <w:lang w:val="en-US" w:eastAsia="zh-CN"/>
              </w:rPr>
              <w:t>2</w:t>
            </w:r>
            <w:r>
              <w:rPr>
                <w:rFonts w:hint="eastAsia" w:cs="Times New Roman"/>
                <w:lang w:val="en-US" w:eastAsia="zh-CN"/>
              </w:rPr>
              <w:t>2</w:t>
            </w:r>
            <w:r>
              <w:rPr>
                <w:rFonts w:hint="eastAsia" w:ascii="Times New Roman" w:hAnsi="Times New Roman" w:cs="Times New Roman"/>
              </w:rPr>
              <w:t>-</w:t>
            </w:r>
            <w:r>
              <w:rPr>
                <w:rFonts w:hint="eastAsia" w:cs="Times New Roman"/>
                <w:lang w:val="en-US" w:eastAsia="zh-CN"/>
              </w:rPr>
              <w:t>7</w:t>
            </w:r>
            <w:r>
              <w:rPr>
                <w:rFonts w:hint="eastAsia" w:ascii="Times New Roman" w:hAnsi="Times New Roman" w:cs="Times New Roman"/>
              </w:rPr>
              <w:t>-</w:t>
            </w:r>
            <w:r>
              <w:rPr>
                <w:rFonts w:hint="eastAsia" w:cs="Times New Roman"/>
                <w:lang w:val="en-US" w:eastAsia="zh-CN"/>
              </w:rPr>
              <w:t>4</w:t>
            </w:r>
          </w:p>
        </w:tc>
      </w:tr>
      <w:tr>
        <w:tblPrEx>
          <w:tblCellMar>
            <w:top w:w="0" w:type="dxa"/>
            <w:left w:w="0" w:type="dxa"/>
            <w:bottom w:w="0" w:type="dxa"/>
            <w:right w:w="0" w:type="dxa"/>
          </w:tblCellMar>
        </w:tblPrEx>
        <w:trPr>
          <w:cantSplit/>
          <w:trHeight w:val="925" w:hRule="atLeast"/>
          <w:tblHeader/>
          <w:jc w:val="center"/>
        </w:trPr>
        <w:tc>
          <w:tcPr>
            <w:tcW w:w="722" w:type="dxa"/>
            <w:tcBorders>
              <w:top w:val="single" w:color="auto" w:sz="8" w:space="0"/>
              <w:left w:val="single" w:color="auto" w:sz="8" w:space="0"/>
              <w:bottom w:val="single" w:color="auto" w:sz="8" w:space="0"/>
              <w:right w:val="single" w:color="auto" w:sz="8" w:space="0"/>
            </w:tcBorders>
            <w:noWrap w:val="0"/>
            <w:tcMar>
              <w:top w:w="0" w:type="dxa"/>
              <w:left w:w="108" w:type="dxa"/>
              <w:bottom w:w="0" w:type="dxa"/>
              <w:right w:w="108" w:type="dxa"/>
            </w:tcMar>
            <w:vAlign w:val="center"/>
          </w:tcPr>
          <w:p>
            <w:pPr>
              <w:spacing w:line="360" w:lineRule="auto"/>
              <w:jc w:val="center"/>
              <w:rPr>
                <w:rFonts w:hint="eastAsia" w:eastAsia="宋体"/>
                <w:bCs/>
                <w:color w:val="000000"/>
                <w:sz w:val="18"/>
                <w:szCs w:val="18"/>
                <w:lang w:val="en-US" w:eastAsia="zh-CN"/>
              </w:rPr>
            </w:pPr>
            <w:r>
              <w:rPr>
                <w:rFonts w:hint="eastAsia"/>
                <w:bCs/>
                <w:color w:val="000000"/>
                <w:sz w:val="18"/>
                <w:szCs w:val="18"/>
                <w:lang w:val="en-US" w:eastAsia="zh-CN"/>
              </w:rPr>
              <w:t>3</w:t>
            </w:r>
          </w:p>
        </w:tc>
        <w:tc>
          <w:tcPr>
            <w:tcW w:w="2806" w:type="dxa"/>
            <w:tcBorders>
              <w:top w:val="single" w:color="auto" w:sz="8" w:space="0"/>
              <w:left w:val="nil"/>
              <w:bottom w:val="single" w:color="auto" w:sz="8" w:space="0"/>
              <w:right w:val="single" w:color="auto" w:sz="8" w:space="0"/>
            </w:tcBorders>
            <w:noWrap w:val="0"/>
            <w:tcMar>
              <w:top w:w="0" w:type="dxa"/>
              <w:left w:w="108" w:type="dxa"/>
              <w:bottom w:w="0" w:type="dxa"/>
              <w:right w:w="108" w:type="dxa"/>
            </w:tcMar>
            <w:vAlign w:val="center"/>
          </w:tcPr>
          <w:p>
            <w:pPr>
              <w:rPr>
                <w:rFonts w:hint="eastAsia" w:ascii="Times New Roman" w:hAnsi="Times New Roman" w:cs="Times New Roman"/>
                <w:lang w:eastAsia="zh-CN"/>
              </w:rPr>
            </w:pPr>
            <w:r>
              <w:rPr>
                <w:rFonts w:hint="eastAsia" w:ascii="Times New Roman" w:hAnsi="Times New Roman" w:cs="Times New Roman"/>
                <w:lang w:eastAsia="zh-CN"/>
              </w:rPr>
              <w:t xml:space="preserve">乐山宠爱宠物医院 </w:t>
            </w:r>
          </w:p>
        </w:tc>
        <w:tc>
          <w:tcPr>
            <w:tcW w:w="3245" w:type="dxa"/>
            <w:tcBorders>
              <w:top w:val="single" w:color="auto" w:sz="8" w:space="0"/>
              <w:left w:val="nil"/>
              <w:bottom w:val="single" w:color="auto" w:sz="8" w:space="0"/>
              <w:right w:val="single" w:color="auto" w:sz="8" w:space="0"/>
            </w:tcBorders>
            <w:noWrap w:val="0"/>
            <w:tcMar>
              <w:top w:w="0" w:type="dxa"/>
              <w:left w:w="108" w:type="dxa"/>
              <w:bottom w:w="0" w:type="dxa"/>
              <w:right w:w="108" w:type="dxa"/>
            </w:tcMar>
            <w:vAlign w:val="center"/>
          </w:tcPr>
          <w:p>
            <w:pPr>
              <w:rPr>
                <w:rFonts w:hint="eastAsia"/>
              </w:rPr>
            </w:pPr>
            <w:r>
              <w:rPr>
                <w:rFonts w:hint="eastAsia"/>
              </w:rPr>
              <w:t>乐山市市中区春华路中段656号</w:t>
            </w:r>
          </w:p>
        </w:tc>
        <w:tc>
          <w:tcPr>
            <w:tcW w:w="2976" w:type="dxa"/>
            <w:tcBorders>
              <w:top w:val="single" w:color="auto" w:sz="8" w:space="0"/>
              <w:left w:val="nil"/>
              <w:bottom w:val="single" w:color="auto" w:sz="8" w:space="0"/>
              <w:right w:val="single" w:color="auto" w:sz="8" w:space="0"/>
            </w:tcBorders>
            <w:noWrap w:val="0"/>
            <w:tcMar>
              <w:top w:w="0" w:type="dxa"/>
              <w:left w:w="108" w:type="dxa"/>
              <w:bottom w:w="0" w:type="dxa"/>
              <w:right w:w="108" w:type="dxa"/>
            </w:tcMar>
            <w:vAlign w:val="center"/>
          </w:tcPr>
          <w:p>
            <w:pPr>
              <w:rPr>
                <w:rFonts w:hint="default" w:ascii="Times New Roman" w:hAnsi="Times New Roman" w:cs="Times New Roman"/>
                <w:lang w:val="en-US"/>
              </w:rPr>
            </w:pPr>
            <w:r>
              <w:rPr>
                <w:rFonts w:hint="default" w:ascii="Times New Roman" w:hAnsi="Times New Roman" w:cs="Times New Roman"/>
                <w:lang w:val="en-US" w:eastAsia="zh-CN"/>
              </w:rPr>
              <w:t>乐山宠爱宠物医院</w:t>
            </w:r>
            <w:r>
              <w:rPr>
                <w:rFonts w:hint="default" w:ascii="Times New Roman" w:hAnsi="Times New Roman" w:cs="Times New Roman"/>
                <w:lang w:val="en-US"/>
              </w:rPr>
              <w:t xml:space="preserve"> </w:t>
            </w:r>
          </w:p>
        </w:tc>
        <w:tc>
          <w:tcPr>
            <w:tcW w:w="4218" w:type="dxa"/>
            <w:tcBorders>
              <w:top w:val="single" w:color="auto" w:sz="8" w:space="0"/>
              <w:left w:val="nil"/>
              <w:bottom w:val="single" w:color="auto" w:sz="8" w:space="0"/>
              <w:right w:val="single" w:color="auto" w:sz="8" w:space="0"/>
            </w:tcBorders>
            <w:noWrap w:val="0"/>
            <w:tcMar>
              <w:top w:w="0" w:type="dxa"/>
              <w:left w:w="108" w:type="dxa"/>
              <w:bottom w:w="0" w:type="dxa"/>
              <w:right w:w="108" w:type="dxa"/>
            </w:tcMar>
            <w:vAlign w:val="center"/>
          </w:tcPr>
          <w:p>
            <w:pPr>
              <w:rPr>
                <w:rFonts w:hint="default" w:ascii="Times New Roman" w:hAnsi="Times New Roman" w:cs="Times New Roman"/>
                <w:lang w:val="en-US"/>
              </w:rPr>
            </w:pPr>
            <w:r>
              <w:rPr>
                <w:rFonts w:hint="default" w:ascii="Times New Roman" w:hAnsi="Times New Roman" w:cs="Times New Roman"/>
                <w:lang w:val="en-US"/>
              </w:rPr>
              <w:t>四川</w:t>
            </w:r>
            <w:r>
              <w:rPr>
                <w:rFonts w:hint="eastAsia" w:cs="Times New Roman"/>
                <w:lang w:val="en-US" w:eastAsia="zh-CN"/>
              </w:rPr>
              <w:t>世安翊环保科技有限公司</w:t>
            </w:r>
          </w:p>
        </w:tc>
        <w:tc>
          <w:tcPr>
            <w:tcW w:w="1377" w:type="dxa"/>
            <w:tcBorders>
              <w:top w:val="single" w:color="auto" w:sz="8" w:space="0"/>
              <w:left w:val="nil"/>
              <w:bottom w:val="single" w:color="auto" w:sz="8" w:space="0"/>
              <w:right w:val="single" w:color="auto" w:sz="8" w:space="0"/>
            </w:tcBorders>
            <w:noWrap w:val="0"/>
            <w:tcMar>
              <w:top w:w="0" w:type="dxa"/>
              <w:left w:w="108" w:type="dxa"/>
              <w:bottom w:w="0" w:type="dxa"/>
              <w:right w:w="108" w:type="dxa"/>
            </w:tcMar>
            <w:vAlign w:val="center"/>
          </w:tcPr>
          <w:p>
            <w:pPr>
              <w:rPr>
                <w:rFonts w:hint="eastAsia" w:ascii="Times New Roman" w:hAnsi="Times New Roman" w:eastAsia="宋体" w:cs="Times New Roman"/>
                <w:kern w:val="2"/>
                <w:sz w:val="24"/>
                <w:szCs w:val="24"/>
                <w:lang w:val="en-US" w:eastAsia="zh-CN" w:bidi="ar-SA"/>
              </w:rPr>
            </w:pPr>
            <w:r>
              <w:rPr>
                <w:rFonts w:hint="eastAsia" w:ascii="Times New Roman" w:hAnsi="Times New Roman" w:cs="Times New Roman"/>
              </w:rPr>
              <w:t>20</w:t>
            </w:r>
            <w:r>
              <w:rPr>
                <w:rFonts w:hint="eastAsia" w:ascii="Times New Roman" w:hAnsi="Times New Roman" w:cs="Times New Roman"/>
                <w:lang w:val="en-US" w:eastAsia="zh-CN"/>
              </w:rPr>
              <w:t>2</w:t>
            </w:r>
            <w:r>
              <w:rPr>
                <w:rFonts w:hint="eastAsia" w:cs="Times New Roman"/>
                <w:lang w:val="en-US" w:eastAsia="zh-CN"/>
              </w:rPr>
              <w:t>2</w:t>
            </w:r>
            <w:r>
              <w:rPr>
                <w:rFonts w:hint="eastAsia" w:ascii="Times New Roman" w:hAnsi="Times New Roman" w:cs="Times New Roman"/>
              </w:rPr>
              <w:t>-</w:t>
            </w:r>
            <w:r>
              <w:rPr>
                <w:rFonts w:hint="eastAsia" w:cs="Times New Roman"/>
                <w:lang w:val="en-US" w:eastAsia="zh-CN"/>
              </w:rPr>
              <w:t>7</w:t>
            </w:r>
            <w:r>
              <w:rPr>
                <w:rFonts w:hint="eastAsia" w:ascii="Times New Roman" w:hAnsi="Times New Roman" w:cs="Times New Roman"/>
              </w:rPr>
              <w:t>-</w:t>
            </w:r>
            <w:r>
              <w:rPr>
                <w:rFonts w:hint="eastAsia" w:cs="Times New Roman"/>
                <w:lang w:val="en-US" w:eastAsia="zh-CN"/>
              </w:rPr>
              <w:t>4</w:t>
            </w:r>
          </w:p>
        </w:tc>
      </w:tr>
      <w:tr>
        <w:tblPrEx>
          <w:tblCellMar>
            <w:top w:w="0" w:type="dxa"/>
            <w:left w:w="0" w:type="dxa"/>
            <w:bottom w:w="0" w:type="dxa"/>
            <w:right w:w="0" w:type="dxa"/>
          </w:tblCellMar>
        </w:tblPrEx>
        <w:trPr>
          <w:cantSplit/>
          <w:trHeight w:val="925" w:hRule="atLeast"/>
          <w:tblHeader/>
          <w:jc w:val="center"/>
        </w:trPr>
        <w:tc>
          <w:tcPr>
            <w:tcW w:w="722" w:type="dxa"/>
            <w:tcBorders>
              <w:top w:val="single" w:color="auto" w:sz="8" w:space="0"/>
              <w:left w:val="single" w:color="auto" w:sz="8" w:space="0"/>
              <w:bottom w:val="single" w:color="auto" w:sz="8" w:space="0"/>
              <w:right w:val="single" w:color="auto" w:sz="8" w:space="0"/>
            </w:tcBorders>
            <w:noWrap w:val="0"/>
            <w:tcMar>
              <w:top w:w="0" w:type="dxa"/>
              <w:left w:w="108" w:type="dxa"/>
              <w:bottom w:w="0" w:type="dxa"/>
              <w:right w:w="108" w:type="dxa"/>
            </w:tcMar>
            <w:vAlign w:val="center"/>
          </w:tcPr>
          <w:p>
            <w:pPr>
              <w:spacing w:line="360" w:lineRule="auto"/>
              <w:jc w:val="center"/>
              <w:rPr>
                <w:rFonts w:hint="eastAsia" w:eastAsia="宋体"/>
                <w:bCs/>
                <w:color w:val="000000"/>
                <w:sz w:val="18"/>
                <w:szCs w:val="18"/>
                <w:lang w:val="en-US" w:eastAsia="zh-CN"/>
              </w:rPr>
            </w:pPr>
            <w:r>
              <w:rPr>
                <w:rFonts w:hint="eastAsia"/>
                <w:bCs/>
                <w:color w:val="000000"/>
                <w:sz w:val="18"/>
                <w:szCs w:val="18"/>
                <w:lang w:val="en-US" w:eastAsia="zh-CN"/>
              </w:rPr>
              <w:t>4</w:t>
            </w:r>
          </w:p>
        </w:tc>
        <w:tc>
          <w:tcPr>
            <w:tcW w:w="2806" w:type="dxa"/>
            <w:tcBorders>
              <w:top w:val="single" w:color="auto" w:sz="8" w:space="0"/>
              <w:left w:val="nil"/>
              <w:bottom w:val="single" w:color="auto" w:sz="8" w:space="0"/>
              <w:right w:val="single" w:color="auto" w:sz="8" w:space="0"/>
            </w:tcBorders>
            <w:noWrap w:val="0"/>
            <w:tcMar>
              <w:top w:w="0" w:type="dxa"/>
              <w:left w:w="108" w:type="dxa"/>
              <w:bottom w:w="0" w:type="dxa"/>
              <w:right w:w="108" w:type="dxa"/>
            </w:tcMar>
            <w:vAlign w:val="center"/>
          </w:tcPr>
          <w:p>
            <w:pPr>
              <w:rPr>
                <w:rFonts w:hint="eastAsia" w:ascii="Times New Roman" w:hAnsi="Times New Roman" w:cs="Times New Roman"/>
                <w:lang w:eastAsia="zh-CN"/>
              </w:rPr>
            </w:pPr>
            <w:bookmarkStart w:id="0" w:name="OLE_LINK1"/>
            <w:r>
              <w:rPr>
                <w:rFonts w:hint="eastAsia" w:ascii="Times New Roman" w:hAnsi="Times New Roman" w:cs="Times New Roman"/>
                <w:lang w:eastAsia="zh-CN"/>
              </w:rPr>
              <w:t>乐山市市中区派美动物医院</w:t>
            </w:r>
            <w:bookmarkEnd w:id="0"/>
            <w:r>
              <w:rPr>
                <w:rFonts w:hint="eastAsia" w:ascii="Times New Roman" w:hAnsi="Times New Roman" w:cs="Times New Roman"/>
                <w:lang w:eastAsia="zh-CN"/>
              </w:rPr>
              <w:t xml:space="preserve"> </w:t>
            </w:r>
          </w:p>
        </w:tc>
        <w:tc>
          <w:tcPr>
            <w:tcW w:w="3245" w:type="dxa"/>
            <w:tcBorders>
              <w:top w:val="single" w:color="auto" w:sz="8" w:space="0"/>
              <w:left w:val="nil"/>
              <w:bottom w:val="single" w:color="auto" w:sz="8" w:space="0"/>
              <w:right w:val="single" w:color="auto" w:sz="8" w:space="0"/>
            </w:tcBorders>
            <w:noWrap w:val="0"/>
            <w:tcMar>
              <w:top w:w="0" w:type="dxa"/>
              <w:left w:w="108" w:type="dxa"/>
              <w:bottom w:w="0" w:type="dxa"/>
              <w:right w:w="108" w:type="dxa"/>
            </w:tcMar>
            <w:vAlign w:val="center"/>
          </w:tcPr>
          <w:p>
            <w:pPr>
              <w:rPr>
                <w:rFonts w:hint="eastAsia"/>
              </w:rPr>
            </w:pPr>
            <w:r>
              <w:rPr>
                <w:rFonts w:hint="eastAsia"/>
              </w:rPr>
              <w:t>乐山市市中区肖坝路796号</w:t>
            </w:r>
          </w:p>
        </w:tc>
        <w:tc>
          <w:tcPr>
            <w:tcW w:w="2976" w:type="dxa"/>
            <w:tcBorders>
              <w:top w:val="single" w:color="auto" w:sz="8" w:space="0"/>
              <w:left w:val="nil"/>
              <w:bottom w:val="single" w:color="auto" w:sz="8" w:space="0"/>
              <w:right w:val="single" w:color="auto" w:sz="8" w:space="0"/>
            </w:tcBorders>
            <w:noWrap w:val="0"/>
            <w:tcMar>
              <w:top w:w="0" w:type="dxa"/>
              <w:left w:w="108" w:type="dxa"/>
              <w:bottom w:w="0" w:type="dxa"/>
              <w:right w:w="108" w:type="dxa"/>
            </w:tcMar>
            <w:vAlign w:val="center"/>
          </w:tcPr>
          <w:p>
            <w:pPr>
              <w:rPr>
                <w:rFonts w:hint="default" w:ascii="Times New Roman" w:hAnsi="Times New Roman" w:cs="Times New Roman"/>
                <w:lang w:val="en-US" w:eastAsia="zh-CN"/>
              </w:rPr>
            </w:pPr>
            <w:r>
              <w:rPr>
                <w:rFonts w:hint="default" w:ascii="Times New Roman" w:hAnsi="Times New Roman" w:cs="Times New Roman"/>
                <w:lang w:val="en-US" w:eastAsia="zh-CN"/>
              </w:rPr>
              <w:t xml:space="preserve">乐山市市中区派美动物医院 </w:t>
            </w:r>
          </w:p>
        </w:tc>
        <w:tc>
          <w:tcPr>
            <w:tcW w:w="4218" w:type="dxa"/>
            <w:tcBorders>
              <w:top w:val="single" w:color="auto" w:sz="8" w:space="0"/>
              <w:left w:val="nil"/>
              <w:bottom w:val="single" w:color="auto" w:sz="8" w:space="0"/>
              <w:right w:val="single" w:color="auto" w:sz="8" w:space="0"/>
            </w:tcBorders>
            <w:noWrap w:val="0"/>
            <w:tcMar>
              <w:top w:w="0" w:type="dxa"/>
              <w:left w:w="108" w:type="dxa"/>
              <w:bottom w:w="0" w:type="dxa"/>
              <w:right w:w="108" w:type="dxa"/>
            </w:tcMar>
            <w:vAlign w:val="center"/>
          </w:tcPr>
          <w:p>
            <w:pPr>
              <w:rPr>
                <w:rFonts w:hint="default" w:ascii="Times New Roman" w:hAnsi="Times New Roman" w:cs="Times New Roman"/>
                <w:lang w:val="en-US"/>
              </w:rPr>
            </w:pPr>
            <w:r>
              <w:rPr>
                <w:rFonts w:hint="default" w:ascii="Times New Roman" w:hAnsi="Times New Roman" w:cs="Times New Roman"/>
                <w:lang w:val="en-US"/>
              </w:rPr>
              <w:t>四川</w:t>
            </w:r>
            <w:r>
              <w:rPr>
                <w:rFonts w:hint="eastAsia" w:cs="Times New Roman"/>
                <w:lang w:val="en-US" w:eastAsia="zh-CN"/>
              </w:rPr>
              <w:t>世安翊环保科技有限公司</w:t>
            </w:r>
          </w:p>
        </w:tc>
        <w:tc>
          <w:tcPr>
            <w:tcW w:w="1377" w:type="dxa"/>
            <w:tcBorders>
              <w:top w:val="single" w:color="auto" w:sz="8" w:space="0"/>
              <w:left w:val="nil"/>
              <w:bottom w:val="single" w:color="auto" w:sz="8" w:space="0"/>
              <w:right w:val="single" w:color="auto" w:sz="8" w:space="0"/>
            </w:tcBorders>
            <w:noWrap w:val="0"/>
            <w:tcMar>
              <w:top w:w="0" w:type="dxa"/>
              <w:left w:w="108" w:type="dxa"/>
              <w:bottom w:w="0" w:type="dxa"/>
              <w:right w:w="108" w:type="dxa"/>
            </w:tcMar>
            <w:vAlign w:val="center"/>
          </w:tcPr>
          <w:p>
            <w:pPr>
              <w:rPr>
                <w:rFonts w:hint="eastAsia" w:ascii="Times New Roman" w:hAnsi="Times New Roman" w:eastAsia="宋体" w:cs="Times New Roman"/>
                <w:kern w:val="2"/>
                <w:sz w:val="24"/>
                <w:szCs w:val="24"/>
                <w:lang w:val="en-US" w:eastAsia="zh-CN" w:bidi="ar-SA"/>
              </w:rPr>
            </w:pPr>
            <w:r>
              <w:rPr>
                <w:rFonts w:hint="eastAsia" w:ascii="Times New Roman" w:hAnsi="Times New Roman" w:cs="Times New Roman"/>
              </w:rPr>
              <w:t>20</w:t>
            </w:r>
            <w:r>
              <w:rPr>
                <w:rFonts w:hint="eastAsia" w:ascii="Times New Roman" w:hAnsi="Times New Roman" w:cs="Times New Roman"/>
                <w:lang w:val="en-US" w:eastAsia="zh-CN"/>
              </w:rPr>
              <w:t>2</w:t>
            </w:r>
            <w:r>
              <w:rPr>
                <w:rFonts w:hint="eastAsia" w:cs="Times New Roman"/>
                <w:lang w:val="en-US" w:eastAsia="zh-CN"/>
              </w:rPr>
              <w:t>2</w:t>
            </w:r>
            <w:r>
              <w:rPr>
                <w:rFonts w:hint="eastAsia" w:ascii="Times New Roman" w:hAnsi="Times New Roman" w:cs="Times New Roman"/>
              </w:rPr>
              <w:t>-</w:t>
            </w:r>
            <w:r>
              <w:rPr>
                <w:rFonts w:hint="eastAsia" w:cs="Times New Roman"/>
                <w:lang w:val="en-US" w:eastAsia="zh-CN"/>
              </w:rPr>
              <w:t>7</w:t>
            </w:r>
            <w:r>
              <w:rPr>
                <w:rFonts w:hint="eastAsia" w:ascii="Times New Roman" w:hAnsi="Times New Roman" w:cs="Times New Roman"/>
              </w:rPr>
              <w:t>-</w:t>
            </w:r>
            <w:r>
              <w:rPr>
                <w:rFonts w:hint="eastAsia" w:cs="Times New Roman"/>
                <w:lang w:val="en-US" w:eastAsia="zh-CN"/>
              </w:rPr>
              <w:t>4</w:t>
            </w:r>
          </w:p>
        </w:tc>
      </w:tr>
    </w:tbl>
    <w:p>
      <w:pPr>
        <w:spacing w:line="360" w:lineRule="auto"/>
        <w:rPr>
          <w:color w:val="000000"/>
          <w:sz w:val="72"/>
          <w:szCs w:val="72"/>
        </w:rPr>
        <w:sectPr>
          <w:endnotePr>
            <w:numFmt w:val="decimal"/>
          </w:endnotePr>
          <w:pgSz w:w="16838" w:h="11906" w:orient="landscape"/>
          <w:pgMar w:top="1800" w:right="1440" w:bottom="1800" w:left="1440" w:header="851" w:footer="992" w:gutter="0"/>
          <w:pgNumType w:fmt="numberInDash" w:start="1"/>
          <w:cols w:space="720" w:num="1"/>
          <w:docGrid w:type="lines" w:linePitch="312" w:charSpace="0"/>
        </w:sectPr>
      </w:pPr>
      <w:r>
        <w:rPr>
          <w:rFonts w:hint="eastAsia" w:ascii="宋体" w:hAnsi="宋体" w:cs="宋体"/>
          <w:color w:val="000000"/>
          <w:kern w:val="0"/>
          <w:szCs w:val="21"/>
        </w:rPr>
        <w:t>注：根据《建设项目环境影响评价政府信息公开指南（试行）》的有关规定，上述环境影响报告书、表不含涉及国家秘密、商业秘密、个人隐私以及涉及国家安全、公共安全、经济安全和社会稳定的内容。</w:t>
      </w:r>
    </w:p>
    <w:p>
      <w:pPr>
        <w:rPr>
          <w:rFonts w:hint="eastAsia" w:ascii="仿宋_GB2312" w:hAnsi="仿宋_GB2312" w:eastAsia="仿宋_GB2312" w:cs="仿宋_GB2312"/>
          <w:sz w:val="36"/>
          <w:szCs w:val="36"/>
        </w:rPr>
      </w:pPr>
    </w:p>
    <w:p>
      <w:pPr>
        <w:rPr>
          <w:rFonts w:ascii="仿宋_GB2312" w:hAnsi="仿宋_GB2312" w:eastAsia="仿宋_GB2312" w:cs="仿宋_GB2312"/>
          <w:sz w:val="36"/>
          <w:szCs w:val="36"/>
        </w:rPr>
      </w:pPr>
    </w:p>
    <w:p>
      <w:pPr>
        <w:pStyle w:val="67"/>
      </w:pPr>
    </w:p>
    <w:p>
      <w:pPr>
        <w:rPr>
          <w:rFonts w:eastAsia="仿宋_GB2312"/>
          <w:sz w:val="36"/>
          <w:szCs w:val="36"/>
        </w:rPr>
      </w:pPr>
    </w:p>
    <w:p>
      <w:pPr>
        <w:rPr>
          <w:rFonts w:eastAsia="仿宋_GB2312"/>
          <w:sz w:val="36"/>
          <w:szCs w:val="36"/>
        </w:rPr>
      </w:pPr>
    </w:p>
    <w:p>
      <w:pPr>
        <w:adjustRightInd w:val="0"/>
        <w:snapToGrid w:val="0"/>
        <w:jc w:val="center"/>
        <w:rPr>
          <w:bCs/>
          <w:sz w:val="72"/>
          <w:szCs w:val="72"/>
        </w:rPr>
      </w:pPr>
      <w:bookmarkStart w:id="1" w:name="_Toc66981761"/>
      <w:r>
        <w:rPr>
          <w:bCs/>
          <w:sz w:val="72"/>
          <w:szCs w:val="72"/>
        </w:rPr>
        <w:t>建设项目环境影响报告表</w:t>
      </w:r>
      <w:bookmarkEnd w:id="1"/>
    </w:p>
    <w:p>
      <w:pPr>
        <w:adjustRightInd w:val="0"/>
        <w:snapToGrid w:val="0"/>
        <w:spacing w:before="192" w:beforeLines="80"/>
        <w:jc w:val="center"/>
        <w:rPr>
          <w:bCs/>
          <w:sz w:val="48"/>
          <w:szCs w:val="48"/>
        </w:rPr>
      </w:pPr>
      <w:r>
        <w:rPr>
          <w:bCs/>
          <w:sz w:val="48"/>
          <w:szCs w:val="48"/>
        </w:rPr>
        <w:t>（污染影响类）</w:t>
      </w:r>
    </w:p>
    <w:p>
      <w:pPr>
        <w:adjustRightInd w:val="0"/>
        <w:snapToGrid w:val="0"/>
        <w:spacing w:before="192" w:beforeLines="80"/>
        <w:jc w:val="center"/>
        <w:rPr>
          <w:bCs/>
          <w:sz w:val="48"/>
          <w:szCs w:val="48"/>
        </w:rPr>
      </w:pPr>
    </w:p>
    <w:p>
      <w:pPr>
        <w:adjustRightInd w:val="0"/>
        <w:snapToGrid w:val="0"/>
        <w:spacing w:before="192" w:beforeLines="80"/>
        <w:jc w:val="center"/>
        <w:rPr>
          <w:bCs/>
          <w:sz w:val="48"/>
          <w:szCs w:val="48"/>
        </w:rPr>
      </w:pPr>
      <w:bookmarkStart w:id="2" w:name="_Hlk83198628"/>
      <w:r>
        <w:rPr>
          <w:bCs/>
          <w:sz w:val="48"/>
          <w:szCs w:val="48"/>
        </w:rPr>
        <w:t>【送审稿】</w:t>
      </w:r>
    </w:p>
    <w:bookmarkEnd w:id="2"/>
    <w:p>
      <w:pPr>
        <w:rPr>
          <w:kern w:val="44"/>
          <w:sz w:val="44"/>
          <w:szCs w:val="44"/>
        </w:rPr>
      </w:pPr>
    </w:p>
    <w:p>
      <w:pPr>
        <w:rPr>
          <w:kern w:val="44"/>
          <w:sz w:val="44"/>
          <w:szCs w:val="44"/>
        </w:rPr>
      </w:pPr>
    </w:p>
    <w:p>
      <w:pPr>
        <w:ind w:firstLine="1040"/>
        <w:rPr>
          <w:sz w:val="44"/>
          <w:szCs w:val="44"/>
        </w:rPr>
      </w:pPr>
    </w:p>
    <w:p>
      <w:pPr>
        <w:ind w:firstLine="1040"/>
        <w:rPr>
          <w:sz w:val="44"/>
          <w:szCs w:val="44"/>
        </w:rPr>
      </w:pPr>
    </w:p>
    <w:p>
      <w:pPr>
        <w:adjustRightInd w:val="0"/>
        <w:snapToGrid w:val="0"/>
        <w:spacing w:line="480" w:lineRule="auto"/>
        <w:ind w:firstLine="851"/>
        <w:jc w:val="center"/>
        <w:rPr>
          <w:sz w:val="36"/>
          <w:szCs w:val="36"/>
          <w:u w:val="single"/>
        </w:rPr>
      </w:pPr>
      <w:r>
        <w:rPr>
          <w:sz w:val="36"/>
          <w:szCs w:val="36"/>
        </w:rPr>
        <w:t>项目名称：</w:t>
      </w:r>
      <w:r>
        <w:rPr>
          <w:sz w:val="36"/>
          <w:szCs w:val="36"/>
          <w:u w:val="single"/>
        </w:rPr>
        <w:t xml:space="preserve"> 乐山市建筑垃圾资源化利用及炉渣    </w:t>
      </w:r>
    </w:p>
    <w:p>
      <w:pPr>
        <w:adjustRightInd w:val="0"/>
        <w:snapToGrid w:val="0"/>
        <w:spacing w:line="480" w:lineRule="auto"/>
        <w:ind w:firstLine="2880" w:firstLineChars="800"/>
        <w:rPr>
          <w:sz w:val="36"/>
          <w:szCs w:val="36"/>
          <w:u w:val="single"/>
        </w:rPr>
      </w:pPr>
      <w:r>
        <w:rPr>
          <w:sz w:val="36"/>
          <w:szCs w:val="36"/>
          <w:u w:val="single"/>
        </w:rPr>
        <w:t xml:space="preserve"> 综合利用项目                         </w:t>
      </w:r>
    </w:p>
    <w:p>
      <w:pPr>
        <w:adjustRightInd w:val="0"/>
        <w:snapToGrid w:val="0"/>
        <w:spacing w:line="480" w:lineRule="auto"/>
        <w:ind w:firstLine="851"/>
        <w:rPr>
          <w:sz w:val="36"/>
          <w:szCs w:val="36"/>
          <w:u w:val="single"/>
        </w:rPr>
      </w:pPr>
      <w:r>
        <w:rPr>
          <w:sz w:val="36"/>
          <w:szCs w:val="36"/>
        </w:rPr>
        <w:t>建设单位（盖章）：</w:t>
      </w:r>
      <w:r>
        <w:rPr>
          <w:sz w:val="32"/>
          <w:szCs w:val="32"/>
          <w:u w:val="single"/>
        </w:rPr>
        <w:t xml:space="preserve"> </w:t>
      </w:r>
      <w:r>
        <w:rPr>
          <w:sz w:val="36"/>
          <w:szCs w:val="36"/>
          <w:u w:val="single"/>
        </w:rPr>
        <w:t xml:space="preserve">乐山恒一能环保科技有限公司        </w:t>
      </w:r>
    </w:p>
    <w:p>
      <w:pPr>
        <w:adjustRightInd w:val="0"/>
        <w:snapToGrid w:val="0"/>
        <w:spacing w:line="480" w:lineRule="auto"/>
        <w:ind w:firstLine="851"/>
        <w:rPr>
          <w:sz w:val="36"/>
          <w:szCs w:val="36"/>
          <w:u w:val="single"/>
        </w:rPr>
      </w:pPr>
    </w:p>
    <w:p>
      <w:pPr>
        <w:adjustRightInd w:val="0"/>
        <w:snapToGrid w:val="0"/>
        <w:spacing w:line="480" w:lineRule="auto"/>
        <w:ind w:firstLine="851"/>
        <w:rPr>
          <w:sz w:val="36"/>
          <w:szCs w:val="36"/>
          <w:u w:val="single"/>
        </w:rPr>
      </w:pPr>
    </w:p>
    <w:p>
      <w:pPr>
        <w:adjustRightInd w:val="0"/>
        <w:snapToGrid w:val="0"/>
        <w:spacing w:line="480" w:lineRule="auto"/>
        <w:ind w:firstLine="851"/>
        <w:rPr>
          <w:sz w:val="36"/>
          <w:szCs w:val="36"/>
          <w:u w:val="single"/>
        </w:rPr>
      </w:pPr>
      <w:r>
        <w:rPr>
          <w:sz w:val="36"/>
          <w:szCs w:val="36"/>
        </w:rPr>
        <w:t>编制日期：</w:t>
      </w:r>
      <w:r>
        <w:rPr>
          <w:sz w:val="36"/>
          <w:szCs w:val="36"/>
          <w:u w:val="single"/>
        </w:rPr>
        <w:t xml:space="preserve">         2022年7月                 </w:t>
      </w:r>
      <w:bookmarkStart w:id="3" w:name="_Hlk57884087"/>
      <w:r>
        <w:rPr>
          <w:sz w:val="36"/>
          <w:szCs w:val="36"/>
          <w:u w:val="single"/>
        </w:rPr>
        <w:t xml:space="preserve"> </w:t>
      </w:r>
    </w:p>
    <w:p>
      <w:pPr>
        <w:adjustRightInd w:val="0"/>
        <w:snapToGrid w:val="0"/>
        <w:spacing w:line="480" w:lineRule="auto"/>
        <w:ind w:firstLine="851"/>
        <w:rPr>
          <w:sz w:val="36"/>
          <w:szCs w:val="36"/>
          <w:u w:val="single"/>
        </w:rPr>
      </w:pPr>
    </w:p>
    <w:bookmarkEnd w:id="3"/>
    <w:p>
      <w:pPr>
        <w:adjustRightInd w:val="0"/>
        <w:snapToGrid w:val="0"/>
        <w:spacing w:line="288" w:lineRule="auto"/>
        <w:jc w:val="center"/>
        <w:rPr>
          <w:sz w:val="36"/>
          <w:szCs w:val="36"/>
        </w:rPr>
      </w:pPr>
      <w:r>
        <w:rPr>
          <w:sz w:val="36"/>
          <w:szCs w:val="36"/>
        </w:rPr>
        <w:t>中华人民共和国生态环境部制</w:t>
      </w:r>
    </w:p>
    <w:p>
      <w:pPr>
        <w:adjustRightInd w:val="0"/>
        <w:snapToGrid w:val="0"/>
        <w:spacing w:line="288" w:lineRule="auto"/>
        <w:ind w:firstLine="1040"/>
        <w:rPr>
          <w:rFonts w:eastAsia="仿宋_GB2312"/>
          <w:sz w:val="36"/>
          <w:szCs w:val="36"/>
        </w:rPr>
        <w:sectPr>
          <w:footerReference r:id="rId3" w:type="default"/>
          <w:footerReference r:id="rId4" w:type="even"/>
          <w:pgSz w:w="11906" w:h="16838"/>
          <w:pgMar w:top="1701" w:right="1531" w:bottom="1701" w:left="1531" w:header="851" w:footer="1077" w:gutter="0"/>
          <w:pgNumType w:start="3"/>
          <w:cols w:space="720" w:num="1"/>
          <w:docGrid w:linePitch="312" w:charSpace="0"/>
        </w:sectPr>
      </w:pPr>
    </w:p>
    <w:p>
      <w:pPr>
        <w:pStyle w:val="200"/>
        <w:spacing w:line="360" w:lineRule="auto"/>
        <w:jc w:val="center"/>
        <w:rPr>
          <w:rFonts w:ascii="Times New Roman" w:hAnsi="Times New Roman" w:eastAsia="仿宋"/>
          <w:color w:val="auto"/>
          <w:sz w:val="32"/>
          <w:szCs w:val="32"/>
        </w:rPr>
      </w:pPr>
      <w:r>
        <w:rPr>
          <w:rFonts w:ascii="Times New Roman" w:hAnsi="Times New Roman" w:eastAsia="仿宋"/>
          <w:color w:val="auto"/>
          <w:sz w:val="32"/>
          <w:szCs w:val="32"/>
          <w:lang w:val="zh-CN"/>
        </w:rPr>
        <w:t>目  录</w:t>
      </w:r>
    </w:p>
    <w:p>
      <w:pPr>
        <w:pStyle w:val="25"/>
        <w:tabs>
          <w:tab w:val="right" w:leader="dot" w:pos="8834"/>
        </w:tabs>
        <w:rPr>
          <w:rFonts w:eastAsia="仿宋"/>
          <w:sz w:val="24"/>
        </w:rPr>
      </w:pPr>
      <w:r>
        <w:rPr>
          <w:rFonts w:eastAsia="仿宋"/>
          <w:sz w:val="24"/>
        </w:rPr>
        <w:fldChar w:fldCharType="begin"/>
      </w:r>
      <w:r>
        <w:rPr>
          <w:rFonts w:eastAsia="仿宋"/>
          <w:sz w:val="24"/>
        </w:rPr>
        <w:instrText xml:space="preserve"> TOC \o "1-3" \h \z \u </w:instrText>
      </w:r>
      <w:r>
        <w:rPr>
          <w:rFonts w:eastAsia="仿宋"/>
          <w:sz w:val="24"/>
        </w:rPr>
        <w:fldChar w:fldCharType="separate"/>
      </w:r>
      <w:r>
        <w:fldChar w:fldCharType="begin"/>
      </w:r>
      <w:r>
        <w:instrText xml:space="preserve"> HYPERLINK \l "_Toc99010593" </w:instrText>
      </w:r>
      <w:r>
        <w:fldChar w:fldCharType="separate"/>
      </w:r>
      <w:r>
        <w:rPr>
          <w:rStyle w:val="44"/>
          <w:rFonts w:eastAsia="仿宋"/>
          <w:snapToGrid w:val="0"/>
          <w:color w:val="auto"/>
          <w:sz w:val="24"/>
        </w:rPr>
        <w:t>一、建设项目基本情况</w:t>
      </w:r>
      <w:r>
        <w:rPr>
          <w:rFonts w:eastAsia="仿宋"/>
          <w:sz w:val="24"/>
        </w:rPr>
        <w:tab/>
      </w:r>
      <w:r>
        <w:rPr>
          <w:rFonts w:eastAsia="仿宋"/>
          <w:sz w:val="24"/>
        </w:rPr>
        <w:fldChar w:fldCharType="begin"/>
      </w:r>
      <w:r>
        <w:rPr>
          <w:rFonts w:eastAsia="仿宋"/>
          <w:sz w:val="24"/>
        </w:rPr>
        <w:instrText xml:space="preserve"> PAGEREF _Toc99010593 \h </w:instrText>
      </w:r>
      <w:r>
        <w:rPr>
          <w:rFonts w:eastAsia="仿宋"/>
          <w:sz w:val="24"/>
        </w:rPr>
        <w:fldChar w:fldCharType="separate"/>
      </w:r>
      <w:r>
        <w:rPr>
          <w:rFonts w:eastAsia="仿宋"/>
          <w:sz w:val="24"/>
        </w:rPr>
        <w:t>1</w:t>
      </w:r>
      <w:r>
        <w:rPr>
          <w:rFonts w:eastAsia="仿宋"/>
          <w:sz w:val="24"/>
        </w:rPr>
        <w:fldChar w:fldCharType="end"/>
      </w:r>
      <w:r>
        <w:rPr>
          <w:rFonts w:eastAsia="仿宋"/>
          <w:sz w:val="24"/>
        </w:rPr>
        <w:fldChar w:fldCharType="end"/>
      </w:r>
    </w:p>
    <w:p>
      <w:pPr>
        <w:pStyle w:val="25"/>
        <w:tabs>
          <w:tab w:val="right" w:leader="dot" w:pos="8834"/>
        </w:tabs>
        <w:rPr>
          <w:rFonts w:eastAsia="仿宋"/>
          <w:sz w:val="24"/>
        </w:rPr>
      </w:pPr>
      <w:r>
        <w:fldChar w:fldCharType="begin"/>
      </w:r>
      <w:r>
        <w:instrText xml:space="preserve"> HYPERLINK \l "_Toc99010600" </w:instrText>
      </w:r>
      <w:r>
        <w:fldChar w:fldCharType="separate"/>
      </w:r>
      <w:r>
        <w:rPr>
          <w:rStyle w:val="44"/>
          <w:rFonts w:eastAsia="仿宋"/>
          <w:snapToGrid w:val="0"/>
          <w:color w:val="auto"/>
          <w:sz w:val="24"/>
        </w:rPr>
        <w:t>二、建设项目工程分析</w:t>
      </w:r>
      <w:r>
        <w:rPr>
          <w:rFonts w:eastAsia="仿宋"/>
          <w:sz w:val="24"/>
        </w:rPr>
        <w:tab/>
      </w:r>
      <w:r>
        <w:rPr>
          <w:rFonts w:eastAsia="仿宋"/>
          <w:sz w:val="24"/>
        </w:rPr>
        <w:fldChar w:fldCharType="begin"/>
      </w:r>
      <w:r>
        <w:rPr>
          <w:rFonts w:eastAsia="仿宋"/>
          <w:sz w:val="24"/>
        </w:rPr>
        <w:instrText xml:space="preserve"> PAGEREF _Toc99010600 \h </w:instrText>
      </w:r>
      <w:r>
        <w:rPr>
          <w:rFonts w:eastAsia="仿宋"/>
          <w:sz w:val="24"/>
        </w:rPr>
        <w:fldChar w:fldCharType="separate"/>
      </w:r>
      <w:r>
        <w:rPr>
          <w:rFonts w:eastAsia="仿宋"/>
          <w:sz w:val="24"/>
        </w:rPr>
        <w:t>19</w:t>
      </w:r>
      <w:r>
        <w:rPr>
          <w:rFonts w:eastAsia="仿宋"/>
          <w:sz w:val="24"/>
        </w:rPr>
        <w:fldChar w:fldCharType="end"/>
      </w:r>
      <w:r>
        <w:rPr>
          <w:rFonts w:eastAsia="仿宋"/>
          <w:sz w:val="24"/>
        </w:rPr>
        <w:fldChar w:fldCharType="end"/>
      </w:r>
    </w:p>
    <w:p>
      <w:pPr>
        <w:pStyle w:val="25"/>
        <w:tabs>
          <w:tab w:val="right" w:leader="dot" w:pos="8834"/>
        </w:tabs>
        <w:rPr>
          <w:rFonts w:eastAsia="仿宋"/>
          <w:sz w:val="24"/>
        </w:rPr>
      </w:pPr>
      <w:r>
        <w:fldChar w:fldCharType="begin"/>
      </w:r>
      <w:r>
        <w:instrText xml:space="preserve"> HYPERLINK \l "_Toc99010601" </w:instrText>
      </w:r>
      <w:r>
        <w:fldChar w:fldCharType="separate"/>
      </w:r>
      <w:r>
        <w:rPr>
          <w:rStyle w:val="44"/>
          <w:rFonts w:eastAsia="仿宋"/>
          <w:snapToGrid w:val="0"/>
          <w:color w:val="auto"/>
          <w:sz w:val="24"/>
        </w:rPr>
        <w:t>三、区域环境质量现状、环境保护目标及评价标准</w:t>
      </w:r>
      <w:r>
        <w:rPr>
          <w:rFonts w:eastAsia="仿宋"/>
          <w:sz w:val="24"/>
        </w:rPr>
        <w:tab/>
      </w:r>
      <w:r>
        <w:rPr>
          <w:rFonts w:eastAsia="仿宋"/>
          <w:sz w:val="24"/>
        </w:rPr>
        <w:fldChar w:fldCharType="begin"/>
      </w:r>
      <w:r>
        <w:rPr>
          <w:rFonts w:eastAsia="仿宋"/>
          <w:sz w:val="24"/>
        </w:rPr>
        <w:instrText xml:space="preserve"> PAGEREF _Toc99010601 \h </w:instrText>
      </w:r>
      <w:r>
        <w:rPr>
          <w:rFonts w:eastAsia="仿宋"/>
          <w:sz w:val="24"/>
        </w:rPr>
        <w:fldChar w:fldCharType="separate"/>
      </w:r>
      <w:r>
        <w:rPr>
          <w:rFonts w:eastAsia="仿宋"/>
          <w:sz w:val="24"/>
        </w:rPr>
        <w:t>33</w:t>
      </w:r>
      <w:r>
        <w:rPr>
          <w:rFonts w:eastAsia="仿宋"/>
          <w:sz w:val="24"/>
        </w:rPr>
        <w:fldChar w:fldCharType="end"/>
      </w:r>
      <w:r>
        <w:rPr>
          <w:rFonts w:eastAsia="仿宋"/>
          <w:sz w:val="24"/>
        </w:rPr>
        <w:fldChar w:fldCharType="end"/>
      </w:r>
    </w:p>
    <w:p>
      <w:pPr>
        <w:pStyle w:val="25"/>
        <w:tabs>
          <w:tab w:val="right" w:leader="dot" w:pos="8834"/>
        </w:tabs>
        <w:rPr>
          <w:rFonts w:eastAsia="仿宋"/>
          <w:sz w:val="24"/>
        </w:rPr>
      </w:pPr>
      <w:r>
        <w:fldChar w:fldCharType="begin"/>
      </w:r>
      <w:r>
        <w:instrText xml:space="preserve"> HYPERLINK \l "_Toc99010602" </w:instrText>
      </w:r>
      <w:r>
        <w:fldChar w:fldCharType="separate"/>
      </w:r>
      <w:r>
        <w:rPr>
          <w:rStyle w:val="44"/>
          <w:rFonts w:eastAsia="仿宋"/>
          <w:snapToGrid w:val="0"/>
          <w:color w:val="auto"/>
          <w:sz w:val="24"/>
        </w:rPr>
        <w:t>四、主要环境影响和保护措施</w:t>
      </w:r>
      <w:r>
        <w:rPr>
          <w:rFonts w:eastAsia="仿宋"/>
          <w:sz w:val="24"/>
        </w:rPr>
        <w:tab/>
      </w:r>
      <w:r>
        <w:rPr>
          <w:rFonts w:eastAsia="仿宋"/>
          <w:sz w:val="24"/>
        </w:rPr>
        <w:fldChar w:fldCharType="begin"/>
      </w:r>
      <w:r>
        <w:rPr>
          <w:rFonts w:eastAsia="仿宋"/>
          <w:sz w:val="24"/>
        </w:rPr>
        <w:instrText xml:space="preserve"> PAGEREF _Toc99010602 \h </w:instrText>
      </w:r>
      <w:r>
        <w:rPr>
          <w:rFonts w:eastAsia="仿宋"/>
          <w:sz w:val="24"/>
        </w:rPr>
        <w:fldChar w:fldCharType="separate"/>
      </w:r>
      <w:r>
        <w:rPr>
          <w:rFonts w:eastAsia="仿宋"/>
          <w:sz w:val="24"/>
        </w:rPr>
        <w:t>43</w:t>
      </w:r>
      <w:r>
        <w:rPr>
          <w:rFonts w:eastAsia="仿宋"/>
          <w:sz w:val="24"/>
        </w:rPr>
        <w:fldChar w:fldCharType="end"/>
      </w:r>
      <w:r>
        <w:rPr>
          <w:rFonts w:eastAsia="仿宋"/>
          <w:sz w:val="24"/>
        </w:rPr>
        <w:fldChar w:fldCharType="end"/>
      </w:r>
    </w:p>
    <w:p>
      <w:pPr>
        <w:pStyle w:val="25"/>
        <w:tabs>
          <w:tab w:val="right" w:leader="dot" w:pos="8834"/>
        </w:tabs>
        <w:rPr>
          <w:rFonts w:eastAsia="仿宋"/>
          <w:sz w:val="24"/>
        </w:rPr>
      </w:pPr>
      <w:r>
        <w:fldChar w:fldCharType="begin"/>
      </w:r>
      <w:r>
        <w:instrText xml:space="preserve"> HYPERLINK \l "_Toc99010640" </w:instrText>
      </w:r>
      <w:r>
        <w:fldChar w:fldCharType="separate"/>
      </w:r>
      <w:r>
        <w:rPr>
          <w:rStyle w:val="44"/>
          <w:rFonts w:eastAsia="仿宋"/>
          <w:snapToGrid w:val="0"/>
          <w:color w:val="auto"/>
          <w:sz w:val="24"/>
        </w:rPr>
        <w:t>五、环境保护措施监督检查清单</w:t>
      </w:r>
      <w:r>
        <w:rPr>
          <w:rFonts w:eastAsia="仿宋"/>
          <w:sz w:val="24"/>
        </w:rPr>
        <w:tab/>
      </w:r>
      <w:r>
        <w:rPr>
          <w:rFonts w:eastAsia="仿宋"/>
          <w:sz w:val="24"/>
        </w:rPr>
        <w:fldChar w:fldCharType="begin"/>
      </w:r>
      <w:r>
        <w:rPr>
          <w:rFonts w:eastAsia="仿宋"/>
          <w:sz w:val="24"/>
        </w:rPr>
        <w:instrText xml:space="preserve"> PAGEREF _Toc99010640 \h </w:instrText>
      </w:r>
      <w:r>
        <w:rPr>
          <w:rFonts w:eastAsia="仿宋"/>
          <w:sz w:val="24"/>
        </w:rPr>
        <w:fldChar w:fldCharType="separate"/>
      </w:r>
      <w:r>
        <w:rPr>
          <w:rFonts w:eastAsia="仿宋"/>
          <w:sz w:val="24"/>
        </w:rPr>
        <w:t>73</w:t>
      </w:r>
      <w:r>
        <w:rPr>
          <w:rFonts w:eastAsia="仿宋"/>
          <w:sz w:val="24"/>
        </w:rPr>
        <w:fldChar w:fldCharType="end"/>
      </w:r>
      <w:r>
        <w:rPr>
          <w:rFonts w:eastAsia="仿宋"/>
          <w:sz w:val="24"/>
        </w:rPr>
        <w:fldChar w:fldCharType="end"/>
      </w:r>
    </w:p>
    <w:p>
      <w:pPr>
        <w:pStyle w:val="25"/>
        <w:tabs>
          <w:tab w:val="right" w:leader="dot" w:pos="8834"/>
        </w:tabs>
        <w:rPr>
          <w:rFonts w:eastAsia="仿宋"/>
          <w:sz w:val="24"/>
        </w:rPr>
      </w:pPr>
      <w:r>
        <w:fldChar w:fldCharType="begin"/>
      </w:r>
      <w:r>
        <w:instrText xml:space="preserve"> HYPERLINK \l "_Toc99010641" </w:instrText>
      </w:r>
      <w:r>
        <w:fldChar w:fldCharType="separate"/>
      </w:r>
      <w:r>
        <w:rPr>
          <w:rStyle w:val="44"/>
          <w:rFonts w:eastAsia="仿宋"/>
          <w:snapToGrid w:val="0"/>
          <w:color w:val="auto"/>
          <w:sz w:val="24"/>
        </w:rPr>
        <w:t>六、结论</w:t>
      </w:r>
      <w:r>
        <w:rPr>
          <w:rFonts w:eastAsia="仿宋"/>
          <w:sz w:val="24"/>
        </w:rPr>
        <w:tab/>
      </w:r>
      <w:r>
        <w:rPr>
          <w:rFonts w:eastAsia="仿宋"/>
          <w:sz w:val="24"/>
        </w:rPr>
        <w:fldChar w:fldCharType="begin"/>
      </w:r>
      <w:r>
        <w:rPr>
          <w:rFonts w:eastAsia="仿宋"/>
          <w:sz w:val="24"/>
        </w:rPr>
        <w:instrText xml:space="preserve"> PAGEREF _Toc99010641 \h </w:instrText>
      </w:r>
      <w:r>
        <w:rPr>
          <w:rFonts w:eastAsia="仿宋"/>
          <w:sz w:val="24"/>
        </w:rPr>
        <w:fldChar w:fldCharType="separate"/>
      </w:r>
      <w:r>
        <w:rPr>
          <w:rFonts w:eastAsia="仿宋"/>
          <w:sz w:val="24"/>
        </w:rPr>
        <w:t>75</w:t>
      </w:r>
      <w:r>
        <w:rPr>
          <w:rFonts w:eastAsia="仿宋"/>
          <w:sz w:val="24"/>
        </w:rPr>
        <w:fldChar w:fldCharType="end"/>
      </w:r>
      <w:r>
        <w:rPr>
          <w:rFonts w:eastAsia="仿宋"/>
          <w:sz w:val="24"/>
        </w:rPr>
        <w:fldChar w:fldCharType="end"/>
      </w:r>
    </w:p>
    <w:p>
      <w:pPr>
        <w:pStyle w:val="25"/>
        <w:tabs>
          <w:tab w:val="right" w:leader="dot" w:pos="8834"/>
        </w:tabs>
        <w:rPr>
          <w:rFonts w:eastAsia="仿宋"/>
          <w:sz w:val="24"/>
        </w:rPr>
      </w:pPr>
      <w:r>
        <w:fldChar w:fldCharType="begin"/>
      </w:r>
      <w:r>
        <w:instrText xml:space="preserve"> HYPERLINK \l "_Toc99010642" </w:instrText>
      </w:r>
      <w:r>
        <w:fldChar w:fldCharType="separate"/>
      </w:r>
      <w:r>
        <w:rPr>
          <w:rStyle w:val="44"/>
          <w:rFonts w:eastAsia="仿宋"/>
          <w:snapToGrid w:val="0"/>
          <w:color w:val="auto"/>
          <w:sz w:val="24"/>
        </w:rPr>
        <w:t>附表</w:t>
      </w:r>
      <w:r>
        <w:rPr>
          <w:rFonts w:eastAsia="仿宋"/>
          <w:sz w:val="24"/>
        </w:rPr>
        <w:tab/>
      </w:r>
      <w:r>
        <w:rPr>
          <w:rFonts w:eastAsia="仿宋"/>
          <w:sz w:val="24"/>
        </w:rPr>
        <w:fldChar w:fldCharType="begin"/>
      </w:r>
      <w:r>
        <w:rPr>
          <w:rFonts w:eastAsia="仿宋"/>
          <w:sz w:val="24"/>
        </w:rPr>
        <w:instrText xml:space="preserve"> PAGEREF _Toc99010642 \h </w:instrText>
      </w:r>
      <w:r>
        <w:rPr>
          <w:rFonts w:eastAsia="仿宋"/>
          <w:sz w:val="24"/>
        </w:rPr>
        <w:fldChar w:fldCharType="separate"/>
      </w:r>
      <w:r>
        <w:rPr>
          <w:rFonts w:eastAsia="仿宋"/>
          <w:sz w:val="24"/>
        </w:rPr>
        <w:t>76</w:t>
      </w:r>
      <w:r>
        <w:rPr>
          <w:rFonts w:eastAsia="仿宋"/>
          <w:sz w:val="24"/>
        </w:rPr>
        <w:fldChar w:fldCharType="end"/>
      </w:r>
      <w:r>
        <w:rPr>
          <w:rFonts w:eastAsia="仿宋"/>
          <w:sz w:val="24"/>
        </w:rPr>
        <w:fldChar w:fldCharType="end"/>
      </w:r>
    </w:p>
    <w:p>
      <w:pPr>
        <w:pStyle w:val="25"/>
        <w:tabs>
          <w:tab w:val="right" w:leader="dot" w:pos="8834"/>
        </w:tabs>
        <w:rPr>
          <w:rFonts w:eastAsia="仿宋"/>
          <w:sz w:val="24"/>
        </w:rPr>
      </w:pPr>
      <w:r>
        <w:fldChar w:fldCharType="begin"/>
      </w:r>
      <w:r>
        <w:instrText xml:space="preserve"> HYPERLINK \l "_Toc99010643" </w:instrText>
      </w:r>
      <w:r>
        <w:fldChar w:fldCharType="separate"/>
      </w:r>
      <w:r>
        <w:rPr>
          <w:rStyle w:val="44"/>
          <w:rFonts w:eastAsia="仿宋"/>
          <w:snapToGrid w:val="0"/>
          <w:color w:val="auto"/>
          <w:sz w:val="24"/>
        </w:rPr>
        <w:t>建设项目污染物排放量汇总表</w:t>
      </w:r>
      <w:r>
        <w:rPr>
          <w:rFonts w:eastAsia="仿宋"/>
          <w:sz w:val="24"/>
        </w:rPr>
        <w:tab/>
      </w:r>
      <w:r>
        <w:rPr>
          <w:rFonts w:eastAsia="仿宋"/>
          <w:sz w:val="24"/>
        </w:rPr>
        <w:fldChar w:fldCharType="begin"/>
      </w:r>
      <w:r>
        <w:rPr>
          <w:rFonts w:eastAsia="仿宋"/>
          <w:sz w:val="24"/>
        </w:rPr>
        <w:instrText xml:space="preserve"> PAGEREF _Toc99010643 \h </w:instrText>
      </w:r>
      <w:r>
        <w:rPr>
          <w:rFonts w:eastAsia="仿宋"/>
          <w:sz w:val="24"/>
        </w:rPr>
        <w:fldChar w:fldCharType="separate"/>
      </w:r>
      <w:r>
        <w:rPr>
          <w:rFonts w:eastAsia="仿宋"/>
          <w:sz w:val="24"/>
        </w:rPr>
        <w:t>76</w:t>
      </w:r>
      <w:r>
        <w:rPr>
          <w:rFonts w:eastAsia="仿宋"/>
          <w:sz w:val="24"/>
        </w:rPr>
        <w:fldChar w:fldCharType="end"/>
      </w:r>
      <w:r>
        <w:rPr>
          <w:rFonts w:eastAsia="仿宋"/>
          <w:sz w:val="24"/>
        </w:rPr>
        <w:fldChar w:fldCharType="end"/>
      </w:r>
    </w:p>
    <w:p>
      <w:pPr>
        <w:spacing w:line="360" w:lineRule="auto"/>
        <w:rPr>
          <w:rFonts w:eastAsia="仿宋"/>
        </w:rPr>
      </w:pPr>
      <w:r>
        <w:rPr>
          <w:rFonts w:eastAsia="仿宋"/>
          <w:sz w:val="24"/>
          <w:lang w:val="zh-CN"/>
        </w:rPr>
        <w:fldChar w:fldCharType="end"/>
      </w:r>
    </w:p>
    <w:p>
      <w:pPr>
        <w:adjustRightInd w:val="0"/>
        <w:snapToGrid w:val="0"/>
        <w:spacing w:line="360" w:lineRule="auto"/>
        <w:jc w:val="left"/>
        <w:rPr>
          <w:rStyle w:val="44"/>
          <w:rFonts w:eastAsia="仿宋"/>
          <w:snapToGrid w:val="0"/>
          <w:color w:val="auto"/>
          <w:sz w:val="24"/>
          <w:u w:val="none"/>
        </w:rPr>
      </w:pPr>
      <w:r>
        <w:rPr>
          <w:rStyle w:val="44"/>
          <w:rFonts w:eastAsia="仿宋"/>
          <w:snapToGrid w:val="0"/>
          <w:color w:val="auto"/>
          <w:sz w:val="24"/>
          <w:u w:val="none"/>
        </w:rPr>
        <w:t>附图</w:t>
      </w:r>
    </w:p>
    <w:p>
      <w:pPr>
        <w:adjustRightInd w:val="0"/>
        <w:snapToGrid w:val="0"/>
        <w:spacing w:line="360" w:lineRule="auto"/>
        <w:jc w:val="left"/>
        <w:rPr>
          <w:rStyle w:val="44"/>
          <w:rFonts w:eastAsia="仿宋"/>
          <w:snapToGrid w:val="0"/>
          <w:color w:val="auto"/>
          <w:sz w:val="24"/>
          <w:u w:val="none"/>
        </w:rPr>
      </w:pPr>
      <w:r>
        <w:rPr>
          <w:rStyle w:val="44"/>
          <w:rFonts w:eastAsia="仿宋"/>
          <w:snapToGrid w:val="0"/>
          <w:color w:val="auto"/>
          <w:sz w:val="24"/>
          <w:u w:val="none"/>
        </w:rPr>
        <w:t>附图1 项目地理位置图</w:t>
      </w:r>
    </w:p>
    <w:p>
      <w:pPr>
        <w:adjustRightInd w:val="0"/>
        <w:snapToGrid w:val="0"/>
        <w:spacing w:line="360" w:lineRule="auto"/>
        <w:jc w:val="left"/>
        <w:rPr>
          <w:rStyle w:val="44"/>
          <w:rFonts w:eastAsia="仿宋"/>
          <w:snapToGrid w:val="0"/>
          <w:color w:val="auto"/>
          <w:sz w:val="24"/>
          <w:u w:val="none"/>
        </w:rPr>
      </w:pPr>
      <w:r>
        <w:rPr>
          <w:rStyle w:val="44"/>
          <w:rFonts w:eastAsia="仿宋"/>
          <w:snapToGrid w:val="0"/>
          <w:color w:val="auto"/>
          <w:sz w:val="24"/>
          <w:u w:val="none"/>
        </w:rPr>
        <w:t>附图2 项目总平面布置示意图</w:t>
      </w:r>
    </w:p>
    <w:p>
      <w:pPr>
        <w:adjustRightInd w:val="0"/>
        <w:snapToGrid w:val="0"/>
        <w:spacing w:line="360" w:lineRule="auto"/>
        <w:jc w:val="left"/>
        <w:rPr>
          <w:rStyle w:val="44"/>
          <w:rFonts w:eastAsia="仿宋"/>
          <w:snapToGrid w:val="0"/>
          <w:color w:val="auto"/>
          <w:sz w:val="24"/>
          <w:u w:val="none"/>
        </w:rPr>
      </w:pPr>
      <w:r>
        <w:rPr>
          <w:rStyle w:val="44"/>
          <w:rFonts w:eastAsia="仿宋"/>
          <w:snapToGrid w:val="0"/>
          <w:color w:val="auto"/>
          <w:sz w:val="24"/>
          <w:u w:val="none"/>
        </w:rPr>
        <w:t>附图3 项目外环境关系图</w:t>
      </w:r>
    </w:p>
    <w:p>
      <w:pPr>
        <w:adjustRightInd w:val="0"/>
        <w:snapToGrid w:val="0"/>
        <w:spacing w:line="360" w:lineRule="auto"/>
        <w:jc w:val="left"/>
        <w:rPr>
          <w:rStyle w:val="44"/>
          <w:rFonts w:eastAsia="仿宋"/>
          <w:snapToGrid w:val="0"/>
          <w:color w:val="auto"/>
          <w:sz w:val="24"/>
          <w:u w:val="none"/>
        </w:rPr>
      </w:pPr>
      <w:r>
        <w:rPr>
          <w:rStyle w:val="44"/>
          <w:rFonts w:eastAsia="仿宋"/>
          <w:snapToGrid w:val="0"/>
          <w:color w:val="auto"/>
          <w:sz w:val="24"/>
          <w:u w:val="none"/>
        </w:rPr>
        <w:t>附图4 项目规划区位置图</w:t>
      </w:r>
    </w:p>
    <w:p>
      <w:pPr>
        <w:adjustRightInd w:val="0"/>
        <w:snapToGrid w:val="0"/>
        <w:spacing w:line="360" w:lineRule="auto"/>
        <w:jc w:val="left"/>
        <w:rPr>
          <w:rStyle w:val="44"/>
          <w:rFonts w:eastAsia="仿宋"/>
          <w:snapToGrid w:val="0"/>
          <w:color w:val="auto"/>
          <w:sz w:val="24"/>
          <w:u w:val="none"/>
        </w:rPr>
      </w:pPr>
      <w:r>
        <w:rPr>
          <w:rStyle w:val="44"/>
          <w:rFonts w:eastAsia="仿宋"/>
          <w:snapToGrid w:val="0"/>
          <w:color w:val="auto"/>
          <w:sz w:val="24"/>
          <w:u w:val="none"/>
        </w:rPr>
        <w:t>附图5 项目现场踏勘图</w:t>
      </w:r>
    </w:p>
    <w:p>
      <w:pPr>
        <w:adjustRightInd w:val="0"/>
        <w:snapToGrid w:val="0"/>
        <w:spacing w:line="360" w:lineRule="auto"/>
        <w:jc w:val="left"/>
        <w:rPr>
          <w:rStyle w:val="45"/>
          <w:rFonts w:eastAsia="仿宋"/>
          <w:kern w:val="0"/>
          <w:szCs w:val="20"/>
        </w:rPr>
      </w:pPr>
      <w:r>
        <w:rPr>
          <w:rStyle w:val="44"/>
          <w:rFonts w:eastAsia="仿宋"/>
          <w:snapToGrid w:val="0"/>
          <w:color w:val="auto"/>
          <w:sz w:val="24"/>
          <w:u w:val="none"/>
        </w:rPr>
        <w:t>附件</w:t>
      </w:r>
    </w:p>
    <w:p>
      <w:pPr>
        <w:adjustRightInd w:val="0"/>
        <w:snapToGrid w:val="0"/>
        <w:spacing w:line="360" w:lineRule="auto"/>
        <w:jc w:val="left"/>
        <w:rPr>
          <w:rStyle w:val="44"/>
          <w:rFonts w:eastAsia="仿宋"/>
          <w:snapToGrid w:val="0"/>
          <w:color w:val="auto"/>
          <w:sz w:val="24"/>
          <w:u w:val="none"/>
        </w:rPr>
      </w:pPr>
      <w:r>
        <w:rPr>
          <w:rStyle w:val="44"/>
          <w:rFonts w:eastAsia="仿宋"/>
          <w:snapToGrid w:val="0"/>
          <w:color w:val="auto"/>
          <w:sz w:val="24"/>
          <w:u w:val="none"/>
        </w:rPr>
        <w:t>附件1 委托书</w:t>
      </w:r>
    </w:p>
    <w:p>
      <w:pPr>
        <w:adjustRightInd w:val="0"/>
        <w:snapToGrid w:val="0"/>
        <w:spacing w:line="360" w:lineRule="auto"/>
        <w:jc w:val="left"/>
        <w:rPr>
          <w:rStyle w:val="44"/>
          <w:rFonts w:eastAsia="仿宋"/>
          <w:snapToGrid w:val="0"/>
          <w:color w:val="auto"/>
          <w:sz w:val="24"/>
          <w:u w:val="none"/>
        </w:rPr>
      </w:pPr>
      <w:r>
        <w:rPr>
          <w:rStyle w:val="44"/>
          <w:rFonts w:eastAsia="仿宋"/>
          <w:snapToGrid w:val="0"/>
          <w:color w:val="auto"/>
          <w:sz w:val="24"/>
          <w:u w:val="none"/>
        </w:rPr>
        <w:t>附件2 立项文件</w:t>
      </w:r>
    </w:p>
    <w:p>
      <w:pPr>
        <w:adjustRightInd w:val="0"/>
        <w:snapToGrid w:val="0"/>
        <w:spacing w:line="360" w:lineRule="auto"/>
        <w:jc w:val="left"/>
        <w:rPr>
          <w:rStyle w:val="44"/>
          <w:rFonts w:eastAsia="仿宋"/>
          <w:snapToGrid w:val="0"/>
          <w:color w:val="auto"/>
          <w:sz w:val="24"/>
          <w:u w:val="none"/>
        </w:rPr>
      </w:pPr>
      <w:r>
        <w:rPr>
          <w:rStyle w:val="44"/>
          <w:rFonts w:eastAsia="仿宋"/>
          <w:snapToGrid w:val="0"/>
          <w:color w:val="auto"/>
          <w:sz w:val="24"/>
          <w:u w:val="none"/>
        </w:rPr>
        <w:t>附件3 相关土地手续（区自然资源局关于乐山市生活垃圾焚烧发电炉渣综合利用项目有关事宜的回函；项目所在地块建设用地批复）</w:t>
      </w:r>
    </w:p>
    <w:p>
      <w:pPr>
        <w:adjustRightInd w:val="0"/>
        <w:snapToGrid w:val="0"/>
        <w:spacing w:line="360" w:lineRule="auto"/>
        <w:jc w:val="left"/>
        <w:rPr>
          <w:rStyle w:val="44"/>
          <w:rFonts w:eastAsia="仿宋"/>
          <w:snapToGrid w:val="0"/>
          <w:color w:val="auto"/>
          <w:sz w:val="24"/>
          <w:u w:val="none"/>
        </w:rPr>
      </w:pPr>
      <w:r>
        <w:rPr>
          <w:rStyle w:val="44"/>
          <w:rFonts w:eastAsia="仿宋"/>
          <w:snapToGrid w:val="0"/>
          <w:color w:val="auto"/>
          <w:sz w:val="24"/>
          <w:u w:val="none"/>
        </w:rPr>
        <w:t>附件4 关于印发《乐山市资源循环利用基地专项规划环境影响报告书审查意见》的函</w:t>
      </w:r>
    </w:p>
    <w:p>
      <w:pPr>
        <w:adjustRightInd w:val="0"/>
        <w:snapToGrid w:val="0"/>
        <w:spacing w:line="360" w:lineRule="auto"/>
        <w:jc w:val="left"/>
        <w:rPr>
          <w:rStyle w:val="44"/>
          <w:rFonts w:eastAsia="仿宋"/>
          <w:snapToGrid w:val="0"/>
          <w:color w:val="auto"/>
          <w:sz w:val="24"/>
          <w:u w:val="none"/>
        </w:rPr>
      </w:pPr>
      <w:r>
        <w:rPr>
          <w:rStyle w:val="44"/>
          <w:rFonts w:eastAsia="仿宋"/>
          <w:snapToGrid w:val="0"/>
          <w:color w:val="auto"/>
          <w:sz w:val="24"/>
          <w:u w:val="none"/>
        </w:rPr>
        <w:t>附件5 监测报告</w:t>
      </w:r>
    </w:p>
    <w:p>
      <w:pPr>
        <w:adjustRightInd w:val="0"/>
        <w:snapToGrid w:val="0"/>
        <w:spacing w:line="288" w:lineRule="auto"/>
        <w:jc w:val="left"/>
        <w:rPr>
          <w:rFonts w:eastAsia="仿宋_GB2312"/>
          <w:sz w:val="36"/>
          <w:szCs w:val="36"/>
        </w:rPr>
        <w:sectPr>
          <w:pgSz w:w="11906" w:h="16838"/>
          <w:pgMar w:top="1701" w:right="1531" w:bottom="1701" w:left="1531" w:header="851" w:footer="1077" w:gutter="0"/>
          <w:pgNumType w:start="3"/>
          <w:cols w:space="720" w:num="1"/>
          <w:docGrid w:linePitch="312" w:charSpace="0"/>
        </w:sectPr>
      </w:pPr>
    </w:p>
    <w:p>
      <w:pPr>
        <w:pStyle w:val="33"/>
        <w:outlineLvl w:val="0"/>
        <w:rPr>
          <w:rFonts w:ascii="Times New Roman" w:hAnsi="Times New Roman" w:eastAsia="黑体"/>
          <w:snapToGrid w:val="0"/>
          <w:sz w:val="30"/>
          <w:szCs w:val="30"/>
        </w:rPr>
      </w:pPr>
      <w:bookmarkStart w:id="4" w:name="_Toc99010593"/>
      <w:r>
        <w:rPr>
          <w:rFonts w:ascii="Times New Roman" w:hAnsi="Times New Roman" w:eastAsia="黑体"/>
          <w:snapToGrid w:val="0"/>
          <w:sz w:val="30"/>
          <w:szCs w:val="30"/>
        </w:rPr>
        <w:t>一、建设项目基本情况</w:t>
      </w:r>
      <w:bookmarkEnd w:id="4"/>
    </w:p>
    <w:tbl>
      <w:tblPr>
        <w:tblStyle w:val="3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496"/>
        <w:gridCol w:w="798"/>
        <w:gridCol w:w="1441"/>
        <w:gridCol w:w="1365"/>
        <w:gridCol w:w="4770"/>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jc w:val="center"/>
        </w:trPr>
        <w:tc>
          <w:tcPr>
            <w:tcW w:w="1544" w:type="dxa"/>
            <w:gridSpan w:val="2"/>
            <w:tcMar>
              <w:top w:w="16" w:type="dxa"/>
              <w:left w:w="16" w:type="dxa"/>
              <w:right w:w="16" w:type="dxa"/>
            </w:tcMar>
            <w:vAlign w:val="center"/>
          </w:tcPr>
          <w:p>
            <w:pPr>
              <w:adjustRightInd w:val="0"/>
              <w:snapToGrid w:val="0"/>
              <w:jc w:val="center"/>
              <w:rPr>
                <w:szCs w:val="21"/>
              </w:rPr>
            </w:pPr>
            <w:r>
              <w:rPr>
                <w:szCs w:val="21"/>
              </w:rPr>
              <w:t>建设项目名称</w:t>
            </w:r>
          </w:p>
        </w:tc>
        <w:tc>
          <w:tcPr>
            <w:tcW w:w="7280" w:type="dxa"/>
            <w:gridSpan w:val="3"/>
            <w:vAlign w:val="center"/>
          </w:tcPr>
          <w:p>
            <w:pPr>
              <w:adjustRightInd w:val="0"/>
              <w:snapToGrid w:val="0"/>
              <w:jc w:val="center"/>
              <w:rPr>
                <w:szCs w:val="21"/>
              </w:rPr>
            </w:pPr>
            <w:r>
              <w:rPr>
                <w:szCs w:val="21"/>
              </w:rPr>
              <w:t>乐山市建筑垃圾资源化利用及炉渣综合利用项目</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44" w:type="dxa"/>
            <w:gridSpan w:val="2"/>
            <w:tcMar>
              <w:top w:w="16" w:type="dxa"/>
              <w:left w:w="16" w:type="dxa"/>
              <w:right w:w="16" w:type="dxa"/>
            </w:tcMar>
            <w:vAlign w:val="center"/>
          </w:tcPr>
          <w:p>
            <w:pPr>
              <w:adjustRightInd w:val="0"/>
              <w:snapToGrid w:val="0"/>
              <w:jc w:val="center"/>
              <w:rPr>
                <w:szCs w:val="21"/>
              </w:rPr>
            </w:pPr>
            <w:r>
              <w:rPr>
                <w:szCs w:val="21"/>
              </w:rPr>
              <w:t>项目代码</w:t>
            </w:r>
          </w:p>
        </w:tc>
        <w:tc>
          <w:tcPr>
            <w:tcW w:w="7280" w:type="dxa"/>
            <w:gridSpan w:val="3"/>
            <w:vAlign w:val="center"/>
          </w:tcPr>
          <w:p>
            <w:pPr>
              <w:adjustRightInd w:val="0"/>
              <w:snapToGrid w:val="0"/>
              <w:jc w:val="center"/>
              <w:rPr>
                <w:szCs w:val="21"/>
              </w:rPr>
            </w:pPr>
            <w:r>
              <w:rPr>
                <w:szCs w:val="21"/>
              </w:rPr>
              <w:t>2202-511102-04-01-465384</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44" w:type="dxa"/>
            <w:gridSpan w:val="2"/>
            <w:tcMar>
              <w:top w:w="16" w:type="dxa"/>
              <w:left w:w="16" w:type="dxa"/>
              <w:right w:w="16" w:type="dxa"/>
            </w:tcMar>
            <w:vAlign w:val="center"/>
          </w:tcPr>
          <w:p>
            <w:pPr>
              <w:adjustRightInd w:val="0"/>
              <w:snapToGrid w:val="0"/>
              <w:jc w:val="center"/>
              <w:rPr>
                <w:szCs w:val="21"/>
              </w:rPr>
            </w:pPr>
            <w:r>
              <w:rPr>
                <w:szCs w:val="21"/>
              </w:rPr>
              <w:t>建设单位联系人</w:t>
            </w:r>
          </w:p>
        </w:tc>
        <w:tc>
          <w:tcPr>
            <w:tcW w:w="1565" w:type="dxa"/>
            <w:vAlign w:val="center"/>
          </w:tcPr>
          <w:p>
            <w:pPr>
              <w:adjustRightInd w:val="0"/>
              <w:snapToGrid w:val="0"/>
              <w:jc w:val="center"/>
              <w:rPr>
                <w:szCs w:val="21"/>
              </w:rPr>
            </w:pPr>
            <w:r>
              <w:rPr>
                <w:szCs w:val="21"/>
              </w:rPr>
              <w:t>张浩然</w:t>
            </w:r>
          </w:p>
        </w:tc>
        <w:tc>
          <w:tcPr>
            <w:tcW w:w="1407" w:type="dxa"/>
            <w:vAlign w:val="center"/>
          </w:tcPr>
          <w:p>
            <w:pPr>
              <w:adjustRightInd w:val="0"/>
              <w:snapToGrid w:val="0"/>
              <w:jc w:val="center"/>
              <w:rPr>
                <w:szCs w:val="21"/>
              </w:rPr>
            </w:pPr>
            <w:r>
              <w:rPr>
                <w:szCs w:val="21"/>
              </w:rPr>
              <w:t>联系方式</w:t>
            </w:r>
          </w:p>
        </w:tc>
        <w:tc>
          <w:tcPr>
            <w:tcW w:w="4308" w:type="dxa"/>
            <w:vAlign w:val="center"/>
          </w:tcPr>
          <w:p>
            <w:pPr>
              <w:adjustRightInd w:val="0"/>
              <w:snapToGrid w:val="0"/>
              <w:jc w:val="center"/>
              <w:rPr>
                <w:szCs w:val="21"/>
              </w:rPr>
            </w:pPr>
            <w:r>
              <w:rPr>
                <w:szCs w:val="21"/>
              </w:rPr>
              <w:t>17360299056</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44" w:type="dxa"/>
            <w:gridSpan w:val="2"/>
            <w:tcMar>
              <w:top w:w="16" w:type="dxa"/>
              <w:left w:w="16" w:type="dxa"/>
              <w:right w:w="16" w:type="dxa"/>
            </w:tcMar>
            <w:vAlign w:val="center"/>
          </w:tcPr>
          <w:p>
            <w:pPr>
              <w:adjustRightInd w:val="0"/>
              <w:snapToGrid w:val="0"/>
              <w:jc w:val="center"/>
              <w:rPr>
                <w:szCs w:val="21"/>
              </w:rPr>
            </w:pPr>
            <w:r>
              <w:rPr>
                <w:szCs w:val="21"/>
              </w:rPr>
              <w:t>建设地点</w:t>
            </w:r>
          </w:p>
        </w:tc>
        <w:tc>
          <w:tcPr>
            <w:tcW w:w="7280" w:type="dxa"/>
            <w:gridSpan w:val="3"/>
            <w:vAlign w:val="center"/>
          </w:tcPr>
          <w:p>
            <w:pPr>
              <w:adjustRightInd w:val="0"/>
              <w:snapToGrid w:val="0"/>
              <w:jc w:val="left"/>
              <w:rPr>
                <w:szCs w:val="21"/>
              </w:rPr>
            </w:pPr>
            <w:r>
              <w:rPr>
                <w:szCs w:val="21"/>
                <w:u w:val="single"/>
              </w:rPr>
              <w:t>四川</w:t>
            </w:r>
            <w:r>
              <w:rPr>
                <w:szCs w:val="21"/>
              </w:rPr>
              <w:t>省（自治区）</w:t>
            </w:r>
            <w:r>
              <w:rPr>
                <w:szCs w:val="21"/>
                <w:u w:val="single"/>
              </w:rPr>
              <w:t>乐山</w:t>
            </w:r>
            <w:r>
              <w:rPr>
                <w:szCs w:val="21"/>
              </w:rPr>
              <w:t>市</w:t>
            </w:r>
            <w:r>
              <w:rPr>
                <w:szCs w:val="21"/>
                <w:u w:val="single"/>
              </w:rPr>
              <w:t>市中</w:t>
            </w:r>
            <w:r>
              <w:rPr>
                <w:szCs w:val="21"/>
              </w:rPr>
              <w:t>区（县）</w:t>
            </w:r>
            <w:r>
              <w:rPr>
                <w:szCs w:val="21"/>
                <w:u w:val="single"/>
              </w:rPr>
              <w:t>茅桥</w:t>
            </w:r>
            <w:r>
              <w:rPr>
                <w:szCs w:val="21"/>
              </w:rPr>
              <w:t>镇（街道）</w:t>
            </w:r>
            <w:r>
              <w:rPr>
                <w:szCs w:val="21"/>
                <w:u w:val="single"/>
              </w:rPr>
              <w:t>迎阳村（乐山市环保发电厂旁）</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44" w:type="dxa"/>
            <w:gridSpan w:val="2"/>
            <w:tcMar>
              <w:top w:w="16" w:type="dxa"/>
              <w:left w:w="16" w:type="dxa"/>
              <w:right w:w="16" w:type="dxa"/>
            </w:tcMar>
            <w:vAlign w:val="center"/>
          </w:tcPr>
          <w:p>
            <w:pPr>
              <w:adjustRightInd w:val="0"/>
              <w:snapToGrid w:val="0"/>
              <w:jc w:val="center"/>
              <w:rPr>
                <w:szCs w:val="21"/>
              </w:rPr>
            </w:pPr>
            <w:r>
              <w:rPr>
                <w:szCs w:val="21"/>
              </w:rPr>
              <w:t>地理坐标</w:t>
            </w:r>
          </w:p>
        </w:tc>
        <w:tc>
          <w:tcPr>
            <w:tcW w:w="7280" w:type="dxa"/>
            <w:gridSpan w:val="3"/>
            <w:vAlign w:val="center"/>
          </w:tcPr>
          <w:p>
            <w:pPr>
              <w:jc w:val="center"/>
              <w:rPr>
                <w:szCs w:val="21"/>
              </w:rPr>
            </w:pPr>
            <w:bookmarkStart w:id="5" w:name="_Hlk73607762"/>
            <w:r>
              <w:rPr>
                <w:szCs w:val="21"/>
              </w:rPr>
              <w:t>（</w:t>
            </w:r>
            <w:r>
              <w:rPr>
                <w:szCs w:val="21"/>
                <w:u w:val="single"/>
              </w:rPr>
              <w:t xml:space="preserve"> 103 </w:t>
            </w:r>
            <w:r>
              <w:rPr>
                <w:szCs w:val="21"/>
              </w:rPr>
              <w:t>度</w:t>
            </w:r>
            <w:r>
              <w:rPr>
                <w:szCs w:val="21"/>
                <w:u w:val="single"/>
              </w:rPr>
              <w:t xml:space="preserve"> 52 </w:t>
            </w:r>
            <w:r>
              <w:rPr>
                <w:szCs w:val="21"/>
              </w:rPr>
              <w:t>分</w:t>
            </w:r>
            <w:r>
              <w:rPr>
                <w:szCs w:val="21"/>
                <w:u w:val="single"/>
              </w:rPr>
              <w:t xml:space="preserve"> 15.960 </w:t>
            </w:r>
            <w:r>
              <w:rPr>
                <w:szCs w:val="21"/>
              </w:rPr>
              <w:t>秒，</w:t>
            </w:r>
            <w:r>
              <w:rPr>
                <w:szCs w:val="21"/>
                <w:u w:val="single"/>
              </w:rPr>
              <w:t xml:space="preserve"> 29 </w:t>
            </w:r>
            <w:r>
              <w:rPr>
                <w:szCs w:val="21"/>
              </w:rPr>
              <w:t>度</w:t>
            </w:r>
            <w:r>
              <w:rPr>
                <w:szCs w:val="21"/>
                <w:u w:val="single"/>
              </w:rPr>
              <w:t xml:space="preserve"> 34 </w:t>
            </w:r>
            <w:r>
              <w:rPr>
                <w:szCs w:val="21"/>
              </w:rPr>
              <w:t>分</w:t>
            </w:r>
            <w:r>
              <w:rPr>
                <w:szCs w:val="21"/>
                <w:u w:val="single"/>
              </w:rPr>
              <w:t xml:space="preserve"> 41.879 </w:t>
            </w:r>
            <w:r>
              <w:rPr>
                <w:szCs w:val="21"/>
              </w:rPr>
              <w:t>秒）</w:t>
            </w:r>
            <w:bookmarkEnd w:id="5"/>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44" w:type="dxa"/>
            <w:gridSpan w:val="2"/>
            <w:tcMar>
              <w:top w:w="16" w:type="dxa"/>
              <w:left w:w="16" w:type="dxa"/>
              <w:right w:w="16" w:type="dxa"/>
            </w:tcMar>
            <w:vAlign w:val="center"/>
          </w:tcPr>
          <w:p>
            <w:pPr>
              <w:adjustRightInd w:val="0"/>
              <w:snapToGrid w:val="0"/>
              <w:jc w:val="center"/>
              <w:rPr>
                <w:szCs w:val="21"/>
              </w:rPr>
            </w:pPr>
            <w:r>
              <w:rPr>
                <w:szCs w:val="21"/>
              </w:rPr>
              <w:t>国民经济</w:t>
            </w:r>
          </w:p>
          <w:p>
            <w:pPr>
              <w:adjustRightInd w:val="0"/>
              <w:snapToGrid w:val="0"/>
              <w:jc w:val="center"/>
              <w:rPr>
                <w:szCs w:val="21"/>
              </w:rPr>
            </w:pPr>
            <w:r>
              <w:rPr>
                <w:szCs w:val="21"/>
              </w:rPr>
              <w:t>行业类别</w:t>
            </w:r>
          </w:p>
        </w:tc>
        <w:tc>
          <w:tcPr>
            <w:tcW w:w="1565" w:type="dxa"/>
            <w:vAlign w:val="center"/>
          </w:tcPr>
          <w:p>
            <w:pPr>
              <w:adjustRightInd w:val="0"/>
              <w:snapToGrid w:val="0"/>
              <w:jc w:val="center"/>
              <w:rPr>
                <w:szCs w:val="21"/>
              </w:rPr>
            </w:pPr>
            <w:r>
              <w:rPr>
                <w:szCs w:val="21"/>
              </w:rPr>
              <w:t>N7723 固体废物治理</w:t>
            </w:r>
          </w:p>
        </w:tc>
        <w:tc>
          <w:tcPr>
            <w:tcW w:w="1407" w:type="dxa"/>
            <w:vAlign w:val="center"/>
          </w:tcPr>
          <w:p>
            <w:pPr>
              <w:adjustRightInd w:val="0"/>
              <w:snapToGrid w:val="0"/>
              <w:jc w:val="center"/>
              <w:rPr>
                <w:szCs w:val="21"/>
              </w:rPr>
            </w:pPr>
            <w:bookmarkStart w:id="6" w:name="_Hlk49843745"/>
            <w:r>
              <w:rPr>
                <w:szCs w:val="21"/>
              </w:rPr>
              <w:t>建设项目</w:t>
            </w:r>
          </w:p>
          <w:p>
            <w:pPr>
              <w:adjustRightInd w:val="0"/>
              <w:snapToGrid w:val="0"/>
              <w:jc w:val="center"/>
              <w:rPr>
                <w:szCs w:val="21"/>
              </w:rPr>
            </w:pPr>
            <w:r>
              <w:rPr>
                <w:szCs w:val="21"/>
              </w:rPr>
              <w:t>行业类别</w:t>
            </w:r>
            <w:bookmarkEnd w:id="6"/>
          </w:p>
        </w:tc>
        <w:tc>
          <w:tcPr>
            <w:tcW w:w="4308" w:type="dxa"/>
            <w:vAlign w:val="center"/>
          </w:tcPr>
          <w:p>
            <w:pPr>
              <w:adjustRightInd w:val="0"/>
              <w:snapToGrid w:val="0"/>
              <w:rPr>
                <w:szCs w:val="21"/>
              </w:rPr>
            </w:pPr>
            <w:r>
              <w:rPr>
                <w:szCs w:val="21"/>
              </w:rPr>
              <w:t>“四十七、生态保护和环境治理业  103、一般工业固体废物（含污水处理污泥）、建筑施工废弃物处置及综合利用  其他”</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44" w:type="dxa"/>
            <w:gridSpan w:val="2"/>
            <w:tcMar>
              <w:top w:w="16" w:type="dxa"/>
              <w:left w:w="16" w:type="dxa"/>
              <w:right w:w="16" w:type="dxa"/>
            </w:tcMar>
            <w:vAlign w:val="center"/>
          </w:tcPr>
          <w:p>
            <w:pPr>
              <w:adjustRightInd w:val="0"/>
              <w:snapToGrid w:val="0"/>
              <w:jc w:val="center"/>
              <w:rPr>
                <w:szCs w:val="21"/>
              </w:rPr>
            </w:pPr>
            <w:r>
              <w:rPr>
                <w:szCs w:val="21"/>
              </w:rPr>
              <w:t>建设性质</w:t>
            </w:r>
          </w:p>
        </w:tc>
        <w:tc>
          <w:tcPr>
            <w:tcW w:w="1565" w:type="dxa"/>
            <w:vAlign w:val="center"/>
          </w:tcPr>
          <w:p>
            <w:pPr>
              <w:jc w:val="left"/>
              <w:rPr>
                <w:szCs w:val="21"/>
              </w:rPr>
            </w:pPr>
            <w:r>
              <w:rPr>
                <w:rFonts w:ascii="Segoe UI Symbol" w:hAnsi="Segoe UI Symbol" w:cs="Segoe UI Symbol"/>
                <w:sz w:val="13"/>
                <w:szCs w:val="13"/>
              </w:rPr>
              <w:t>☑</w:t>
            </w:r>
            <w:r>
              <w:rPr>
                <w:szCs w:val="21"/>
              </w:rPr>
              <w:t>新建（迁建）</w:t>
            </w:r>
          </w:p>
          <w:p>
            <w:pPr>
              <w:jc w:val="left"/>
              <w:rPr>
                <w:szCs w:val="21"/>
              </w:rPr>
            </w:pPr>
            <w:r>
              <w:rPr>
                <w:szCs w:val="21"/>
              </w:rPr>
              <w:t>□改建</w:t>
            </w:r>
          </w:p>
          <w:p>
            <w:pPr>
              <w:jc w:val="left"/>
              <w:rPr>
                <w:szCs w:val="21"/>
              </w:rPr>
            </w:pPr>
            <w:r>
              <w:rPr>
                <w:szCs w:val="21"/>
              </w:rPr>
              <w:t>□扩建</w:t>
            </w:r>
          </w:p>
          <w:p>
            <w:pPr>
              <w:jc w:val="left"/>
              <w:rPr>
                <w:szCs w:val="21"/>
              </w:rPr>
            </w:pPr>
            <w:r>
              <w:rPr>
                <w:szCs w:val="21"/>
              </w:rPr>
              <w:t>□技术改造</w:t>
            </w:r>
          </w:p>
        </w:tc>
        <w:tc>
          <w:tcPr>
            <w:tcW w:w="1407" w:type="dxa"/>
            <w:vAlign w:val="center"/>
          </w:tcPr>
          <w:p>
            <w:pPr>
              <w:adjustRightInd w:val="0"/>
              <w:snapToGrid w:val="0"/>
              <w:jc w:val="center"/>
              <w:rPr>
                <w:szCs w:val="21"/>
              </w:rPr>
            </w:pPr>
            <w:r>
              <w:rPr>
                <w:szCs w:val="21"/>
              </w:rPr>
              <w:t>建设项目</w:t>
            </w:r>
          </w:p>
          <w:p>
            <w:pPr>
              <w:adjustRightInd w:val="0"/>
              <w:snapToGrid w:val="0"/>
              <w:jc w:val="center"/>
              <w:rPr>
                <w:szCs w:val="21"/>
              </w:rPr>
            </w:pPr>
            <w:r>
              <w:rPr>
                <w:szCs w:val="21"/>
              </w:rPr>
              <w:t>申报情形</w:t>
            </w:r>
          </w:p>
        </w:tc>
        <w:tc>
          <w:tcPr>
            <w:tcW w:w="4308" w:type="dxa"/>
            <w:vAlign w:val="center"/>
          </w:tcPr>
          <w:p>
            <w:pPr>
              <w:jc w:val="left"/>
              <w:rPr>
                <w:szCs w:val="21"/>
              </w:rPr>
            </w:pPr>
            <w:r>
              <w:rPr>
                <w:rFonts w:ascii="Segoe UI Symbol" w:hAnsi="Segoe UI Symbol" w:cs="Segoe UI Symbol"/>
                <w:sz w:val="15"/>
                <w:szCs w:val="15"/>
              </w:rPr>
              <w:t>☑</w:t>
            </w:r>
            <w:r>
              <w:rPr>
                <w:szCs w:val="21"/>
              </w:rPr>
              <w:t xml:space="preserve">首次申报项目             </w:t>
            </w:r>
          </w:p>
          <w:p>
            <w:pPr>
              <w:jc w:val="left"/>
              <w:rPr>
                <w:szCs w:val="21"/>
              </w:rPr>
            </w:pPr>
            <w:r>
              <w:rPr>
                <w:szCs w:val="21"/>
              </w:rPr>
              <w:t>□不予批准后再次申报项目</w:t>
            </w:r>
          </w:p>
          <w:p>
            <w:pPr>
              <w:jc w:val="left"/>
              <w:rPr>
                <w:szCs w:val="21"/>
              </w:rPr>
            </w:pPr>
            <w:r>
              <w:rPr>
                <w:szCs w:val="21"/>
              </w:rPr>
              <w:t xml:space="preserve">□超五年重新审核项目     </w:t>
            </w:r>
          </w:p>
          <w:p>
            <w:pPr>
              <w:jc w:val="left"/>
              <w:rPr>
                <w:szCs w:val="21"/>
              </w:rPr>
            </w:pPr>
            <w:r>
              <w:rPr>
                <w:szCs w:val="21"/>
              </w:rPr>
              <w:t>□重大变动重新报批项目</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44" w:type="dxa"/>
            <w:gridSpan w:val="2"/>
            <w:tcMar>
              <w:top w:w="16" w:type="dxa"/>
              <w:left w:w="16" w:type="dxa"/>
              <w:right w:w="16" w:type="dxa"/>
            </w:tcMar>
            <w:vAlign w:val="center"/>
          </w:tcPr>
          <w:p>
            <w:pPr>
              <w:adjustRightInd w:val="0"/>
              <w:snapToGrid w:val="0"/>
              <w:jc w:val="center"/>
              <w:rPr>
                <w:szCs w:val="21"/>
              </w:rPr>
            </w:pPr>
            <w:r>
              <w:rPr>
                <w:szCs w:val="21"/>
              </w:rPr>
              <w:t>项目审批（核准/备案）部门（选填）</w:t>
            </w:r>
          </w:p>
        </w:tc>
        <w:tc>
          <w:tcPr>
            <w:tcW w:w="1565" w:type="dxa"/>
            <w:vAlign w:val="center"/>
          </w:tcPr>
          <w:p>
            <w:pPr>
              <w:adjustRightInd w:val="0"/>
              <w:snapToGrid w:val="0"/>
              <w:jc w:val="center"/>
              <w:rPr>
                <w:szCs w:val="21"/>
              </w:rPr>
            </w:pPr>
            <w:r>
              <w:rPr>
                <w:szCs w:val="21"/>
              </w:rPr>
              <w:t>乐山市中区发展和改革局</w:t>
            </w:r>
          </w:p>
        </w:tc>
        <w:tc>
          <w:tcPr>
            <w:tcW w:w="1407" w:type="dxa"/>
            <w:vAlign w:val="center"/>
          </w:tcPr>
          <w:p>
            <w:pPr>
              <w:adjustRightInd w:val="0"/>
              <w:snapToGrid w:val="0"/>
              <w:jc w:val="center"/>
              <w:rPr>
                <w:szCs w:val="21"/>
              </w:rPr>
            </w:pPr>
            <w:r>
              <w:rPr>
                <w:szCs w:val="21"/>
              </w:rPr>
              <w:t>项目审批（核准/备案）文号（选填）</w:t>
            </w:r>
          </w:p>
        </w:tc>
        <w:tc>
          <w:tcPr>
            <w:tcW w:w="4308" w:type="dxa"/>
            <w:vAlign w:val="center"/>
          </w:tcPr>
          <w:p>
            <w:pPr>
              <w:adjustRightInd w:val="0"/>
              <w:snapToGrid w:val="0"/>
              <w:jc w:val="center"/>
              <w:rPr>
                <w:szCs w:val="21"/>
              </w:rPr>
            </w:pPr>
            <w:r>
              <w:rPr>
                <w:szCs w:val="21"/>
              </w:rPr>
              <w:t>川投资备【2202-511102-04-01-465384】FGQB-0036号</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44" w:type="dxa"/>
            <w:gridSpan w:val="2"/>
            <w:tcMar>
              <w:top w:w="16" w:type="dxa"/>
              <w:left w:w="16" w:type="dxa"/>
              <w:right w:w="16" w:type="dxa"/>
            </w:tcMar>
            <w:vAlign w:val="center"/>
          </w:tcPr>
          <w:p>
            <w:pPr>
              <w:adjustRightInd w:val="0"/>
              <w:snapToGrid w:val="0"/>
              <w:jc w:val="center"/>
              <w:rPr>
                <w:szCs w:val="21"/>
              </w:rPr>
            </w:pPr>
            <w:r>
              <w:rPr>
                <w:szCs w:val="21"/>
              </w:rPr>
              <w:t>总投资（万元）</w:t>
            </w:r>
          </w:p>
        </w:tc>
        <w:tc>
          <w:tcPr>
            <w:tcW w:w="1565" w:type="dxa"/>
            <w:vAlign w:val="center"/>
          </w:tcPr>
          <w:p>
            <w:pPr>
              <w:adjustRightInd w:val="0"/>
              <w:snapToGrid w:val="0"/>
              <w:jc w:val="center"/>
              <w:rPr>
                <w:szCs w:val="21"/>
              </w:rPr>
            </w:pPr>
            <w:r>
              <w:rPr>
                <w:szCs w:val="21"/>
              </w:rPr>
              <w:t>3500</w:t>
            </w:r>
          </w:p>
        </w:tc>
        <w:tc>
          <w:tcPr>
            <w:tcW w:w="1407" w:type="dxa"/>
            <w:tcMar>
              <w:top w:w="16" w:type="dxa"/>
              <w:left w:w="16" w:type="dxa"/>
              <w:right w:w="16" w:type="dxa"/>
            </w:tcMar>
            <w:vAlign w:val="center"/>
          </w:tcPr>
          <w:p>
            <w:pPr>
              <w:adjustRightInd w:val="0"/>
              <w:snapToGrid w:val="0"/>
              <w:jc w:val="center"/>
              <w:rPr>
                <w:szCs w:val="21"/>
              </w:rPr>
            </w:pPr>
            <w:r>
              <w:rPr>
                <w:szCs w:val="21"/>
              </w:rPr>
              <w:t>环保投资（万元）</w:t>
            </w:r>
          </w:p>
        </w:tc>
        <w:tc>
          <w:tcPr>
            <w:tcW w:w="4308" w:type="dxa"/>
            <w:vAlign w:val="center"/>
          </w:tcPr>
          <w:p>
            <w:pPr>
              <w:adjustRightInd w:val="0"/>
              <w:snapToGrid w:val="0"/>
              <w:jc w:val="center"/>
              <w:rPr>
                <w:szCs w:val="21"/>
              </w:rPr>
            </w:pPr>
            <w:r>
              <w:rPr>
                <w:szCs w:val="21"/>
              </w:rPr>
              <w:t>128.5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44" w:type="dxa"/>
            <w:gridSpan w:val="2"/>
            <w:tcMar>
              <w:top w:w="16" w:type="dxa"/>
              <w:left w:w="16" w:type="dxa"/>
              <w:right w:w="16" w:type="dxa"/>
            </w:tcMar>
            <w:vAlign w:val="center"/>
          </w:tcPr>
          <w:p>
            <w:pPr>
              <w:adjustRightInd w:val="0"/>
              <w:snapToGrid w:val="0"/>
              <w:jc w:val="center"/>
              <w:rPr>
                <w:szCs w:val="21"/>
              </w:rPr>
            </w:pPr>
            <w:r>
              <w:rPr>
                <w:szCs w:val="21"/>
              </w:rPr>
              <w:t>环保投资占比（%）</w:t>
            </w:r>
          </w:p>
        </w:tc>
        <w:tc>
          <w:tcPr>
            <w:tcW w:w="1565" w:type="dxa"/>
            <w:vAlign w:val="center"/>
          </w:tcPr>
          <w:p>
            <w:pPr>
              <w:adjustRightInd w:val="0"/>
              <w:snapToGrid w:val="0"/>
              <w:jc w:val="center"/>
              <w:rPr>
                <w:szCs w:val="21"/>
              </w:rPr>
            </w:pPr>
            <w:r>
              <w:rPr>
                <w:szCs w:val="21"/>
              </w:rPr>
              <w:t>3.7</w:t>
            </w:r>
          </w:p>
        </w:tc>
        <w:tc>
          <w:tcPr>
            <w:tcW w:w="1407" w:type="dxa"/>
            <w:tcMar>
              <w:top w:w="16" w:type="dxa"/>
              <w:left w:w="16" w:type="dxa"/>
              <w:right w:w="16" w:type="dxa"/>
            </w:tcMar>
            <w:vAlign w:val="center"/>
          </w:tcPr>
          <w:p>
            <w:pPr>
              <w:adjustRightInd w:val="0"/>
              <w:snapToGrid w:val="0"/>
              <w:jc w:val="center"/>
              <w:rPr>
                <w:szCs w:val="21"/>
              </w:rPr>
            </w:pPr>
            <w:r>
              <w:rPr>
                <w:szCs w:val="21"/>
              </w:rPr>
              <w:t>施工工期</w:t>
            </w:r>
          </w:p>
        </w:tc>
        <w:tc>
          <w:tcPr>
            <w:tcW w:w="4308" w:type="dxa"/>
            <w:vAlign w:val="center"/>
          </w:tcPr>
          <w:p>
            <w:pPr>
              <w:adjustRightInd w:val="0"/>
              <w:snapToGrid w:val="0"/>
              <w:jc w:val="center"/>
              <w:rPr>
                <w:szCs w:val="21"/>
              </w:rPr>
            </w:pPr>
            <w:r>
              <w:rPr>
                <w:szCs w:val="21"/>
              </w:rPr>
              <w:t>6个月</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544" w:type="dxa"/>
            <w:gridSpan w:val="2"/>
            <w:tcMar>
              <w:top w:w="16" w:type="dxa"/>
              <w:left w:w="16" w:type="dxa"/>
              <w:right w:w="16" w:type="dxa"/>
            </w:tcMar>
            <w:vAlign w:val="center"/>
          </w:tcPr>
          <w:p>
            <w:pPr>
              <w:adjustRightInd w:val="0"/>
              <w:snapToGrid w:val="0"/>
              <w:jc w:val="center"/>
              <w:rPr>
                <w:szCs w:val="21"/>
              </w:rPr>
            </w:pPr>
            <w:r>
              <w:rPr>
                <w:szCs w:val="21"/>
              </w:rPr>
              <w:t>是否开工建设</w:t>
            </w:r>
          </w:p>
        </w:tc>
        <w:tc>
          <w:tcPr>
            <w:tcW w:w="1565" w:type="dxa"/>
            <w:vAlign w:val="center"/>
          </w:tcPr>
          <w:p>
            <w:pPr>
              <w:adjustRightInd w:val="0"/>
              <w:snapToGrid w:val="0"/>
              <w:rPr>
                <w:szCs w:val="21"/>
              </w:rPr>
            </w:pPr>
            <w:r>
              <w:rPr>
                <w:rFonts w:ascii="Segoe UI Symbol" w:hAnsi="Segoe UI Symbol" w:cs="Segoe UI Symbol"/>
                <w:szCs w:val="21"/>
              </w:rPr>
              <w:t>☑</w:t>
            </w:r>
            <w:r>
              <w:rPr>
                <w:szCs w:val="21"/>
              </w:rPr>
              <w:t>否</w:t>
            </w:r>
          </w:p>
          <w:p>
            <w:pPr>
              <w:adjustRightInd w:val="0"/>
              <w:snapToGrid w:val="0"/>
              <w:rPr>
                <w:szCs w:val="21"/>
              </w:rPr>
            </w:pPr>
            <w:r>
              <w:rPr>
                <w:szCs w:val="21"/>
              </w:rPr>
              <w:sym w:font="Wingdings 2" w:char="00A3"/>
            </w:r>
            <w:r>
              <w:rPr>
                <w:szCs w:val="21"/>
              </w:rPr>
              <w:t>是：</w:t>
            </w:r>
            <w:r>
              <w:rPr>
                <w:szCs w:val="21"/>
                <w:u w:val="single"/>
              </w:rPr>
              <w:t xml:space="preserve">             </w:t>
            </w:r>
          </w:p>
        </w:tc>
        <w:tc>
          <w:tcPr>
            <w:tcW w:w="1407" w:type="dxa"/>
            <w:tcMar>
              <w:top w:w="16" w:type="dxa"/>
              <w:left w:w="16" w:type="dxa"/>
              <w:right w:w="16" w:type="dxa"/>
            </w:tcMar>
            <w:vAlign w:val="center"/>
          </w:tcPr>
          <w:p>
            <w:pPr>
              <w:adjustRightInd w:val="0"/>
              <w:snapToGrid w:val="0"/>
              <w:jc w:val="center"/>
              <w:rPr>
                <w:spacing w:val="-6"/>
                <w:szCs w:val="21"/>
              </w:rPr>
            </w:pPr>
            <w:r>
              <w:rPr>
                <w:spacing w:val="-6"/>
                <w:szCs w:val="21"/>
              </w:rPr>
              <w:t>用地（用海）</w:t>
            </w:r>
          </w:p>
          <w:p>
            <w:pPr>
              <w:adjustRightInd w:val="0"/>
              <w:snapToGrid w:val="0"/>
              <w:jc w:val="center"/>
              <w:rPr>
                <w:szCs w:val="21"/>
              </w:rPr>
            </w:pPr>
            <w:r>
              <w:rPr>
                <w:spacing w:val="-6"/>
                <w:szCs w:val="21"/>
              </w:rPr>
              <w:t>面积（m</w:t>
            </w:r>
            <w:r>
              <w:rPr>
                <w:spacing w:val="-6"/>
                <w:szCs w:val="21"/>
                <w:vertAlign w:val="superscript"/>
              </w:rPr>
              <w:t>2</w:t>
            </w:r>
            <w:r>
              <w:rPr>
                <w:spacing w:val="-6"/>
                <w:szCs w:val="21"/>
              </w:rPr>
              <w:t>）</w:t>
            </w:r>
          </w:p>
        </w:tc>
        <w:tc>
          <w:tcPr>
            <w:tcW w:w="4308" w:type="dxa"/>
            <w:vAlign w:val="center"/>
          </w:tcPr>
          <w:p>
            <w:pPr>
              <w:adjustRightInd w:val="0"/>
              <w:snapToGrid w:val="0"/>
              <w:jc w:val="center"/>
              <w:rPr>
                <w:szCs w:val="21"/>
              </w:rPr>
            </w:pPr>
            <w:r>
              <w:rPr>
                <w:szCs w:val="21"/>
              </w:rPr>
              <w:t>10486</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500" w:type="dxa"/>
            <w:vAlign w:val="center"/>
          </w:tcPr>
          <w:p>
            <w:pPr>
              <w:autoSpaceDE w:val="0"/>
              <w:autoSpaceDN w:val="0"/>
              <w:adjustRightInd w:val="0"/>
              <w:snapToGrid w:val="0"/>
              <w:jc w:val="center"/>
              <w:rPr>
                <w:kern w:val="0"/>
                <w:szCs w:val="21"/>
              </w:rPr>
            </w:pPr>
            <w:r>
              <w:rPr>
                <w:kern w:val="0"/>
                <w:szCs w:val="21"/>
              </w:rPr>
              <w:t>专项评价设置情况</w:t>
            </w:r>
          </w:p>
        </w:tc>
        <w:tc>
          <w:tcPr>
            <w:tcW w:w="8324" w:type="dxa"/>
            <w:gridSpan w:val="4"/>
            <w:vAlign w:val="center"/>
          </w:tcPr>
          <w:p>
            <w:pPr>
              <w:spacing w:before="120" w:beforeLines="50" w:after="120" w:afterLines="50"/>
              <w:ind w:firstLine="480" w:firstLineChars="200"/>
              <w:rPr>
                <w:kern w:val="0"/>
                <w:szCs w:val="21"/>
              </w:rPr>
            </w:pPr>
            <w:r>
              <w:rPr>
                <w:kern w:val="0"/>
                <w:szCs w:val="21"/>
              </w:rPr>
              <w:t>经工程分析，项目不设置专项，详细分析见下表：</w:t>
            </w:r>
          </w:p>
          <w:tbl>
            <w:tblPr>
              <w:tblStyle w:val="3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7"/>
              <w:gridCol w:w="1048"/>
              <w:gridCol w:w="3605"/>
              <w:gridCol w:w="1875"/>
              <w:gridCol w:w="11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trPr>
              <w:tc>
                <w:tcPr>
                  <w:tcW w:w="427" w:type="dxa"/>
                  <w:shd w:val="clear" w:color="auto" w:fill="auto"/>
                  <w:vAlign w:val="center"/>
                </w:tcPr>
                <w:p>
                  <w:pPr>
                    <w:pStyle w:val="31"/>
                    <w:snapToGrid w:val="0"/>
                    <w:spacing w:after="0" w:line="240" w:lineRule="auto"/>
                    <w:jc w:val="center"/>
                    <w:rPr>
                      <w:b/>
                      <w:bCs/>
                      <w:szCs w:val="21"/>
                    </w:rPr>
                  </w:pPr>
                  <w:bookmarkStart w:id="7" w:name="_Hlk99454242"/>
                  <w:r>
                    <w:rPr>
                      <w:b/>
                      <w:bCs/>
                      <w:szCs w:val="21"/>
                    </w:rPr>
                    <w:t>序号</w:t>
                  </w:r>
                </w:p>
              </w:tc>
              <w:tc>
                <w:tcPr>
                  <w:tcW w:w="1048" w:type="dxa"/>
                  <w:shd w:val="clear" w:color="auto" w:fill="auto"/>
                  <w:vAlign w:val="center"/>
                </w:tcPr>
                <w:p>
                  <w:pPr>
                    <w:pStyle w:val="31"/>
                    <w:snapToGrid w:val="0"/>
                    <w:spacing w:after="0" w:line="240" w:lineRule="auto"/>
                    <w:jc w:val="center"/>
                    <w:rPr>
                      <w:b/>
                      <w:bCs/>
                      <w:szCs w:val="21"/>
                    </w:rPr>
                  </w:pPr>
                  <w:r>
                    <w:rPr>
                      <w:b/>
                      <w:bCs/>
                      <w:szCs w:val="21"/>
                    </w:rPr>
                    <w:t>专项评价类别</w:t>
                  </w:r>
                </w:p>
              </w:tc>
              <w:tc>
                <w:tcPr>
                  <w:tcW w:w="3605" w:type="dxa"/>
                  <w:shd w:val="clear" w:color="auto" w:fill="auto"/>
                  <w:vAlign w:val="center"/>
                </w:tcPr>
                <w:p>
                  <w:pPr>
                    <w:pStyle w:val="31"/>
                    <w:snapToGrid w:val="0"/>
                    <w:spacing w:after="0" w:line="240" w:lineRule="auto"/>
                    <w:jc w:val="center"/>
                    <w:rPr>
                      <w:b/>
                      <w:bCs/>
                      <w:szCs w:val="21"/>
                    </w:rPr>
                  </w:pPr>
                  <w:r>
                    <w:rPr>
                      <w:b/>
                      <w:bCs/>
                      <w:szCs w:val="21"/>
                    </w:rPr>
                    <w:t>设置原则</w:t>
                  </w:r>
                </w:p>
              </w:tc>
              <w:tc>
                <w:tcPr>
                  <w:tcW w:w="1875" w:type="dxa"/>
                  <w:shd w:val="clear" w:color="auto" w:fill="auto"/>
                  <w:vAlign w:val="center"/>
                </w:tcPr>
                <w:p>
                  <w:pPr>
                    <w:pStyle w:val="31"/>
                    <w:snapToGrid w:val="0"/>
                    <w:spacing w:after="0" w:line="240" w:lineRule="auto"/>
                    <w:jc w:val="center"/>
                    <w:rPr>
                      <w:b/>
                      <w:bCs/>
                      <w:szCs w:val="21"/>
                    </w:rPr>
                  </w:pPr>
                  <w:r>
                    <w:rPr>
                      <w:b/>
                      <w:bCs/>
                      <w:szCs w:val="21"/>
                    </w:rPr>
                    <w:t>本项目</w:t>
                  </w:r>
                </w:p>
              </w:tc>
              <w:tc>
                <w:tcPr>
                  <w:tcW w:w="1123" w:type="dxa"/>
                  <w:shd w:val="clear" w:color="auto" w:fill="auto"/>
                  <w:vAlign w:val="center"/>
                </w:tcPr>
                <w:p>
                  <w:pPr>
                    <w:pStyle w:val="31"/>
                    <w:snapToGrid w:val="0"/>
                    <w:spacing w:after="0" w:line="240" w:lineRule="auto"/>
                    <w:jc w:val="center"/>
                    <w:rPr>
                      <w:b/>
                      <w:bCs/>
                      <w:szCs w:val="21"/>
                    </w:rPr>
                  </w:pPr>
                  <w:r>
                    <w:rPr>
                      <w:b/>
                      <w:bCs/>
                      <w:szCs w:val="21"/>
                    </w:rPr>
                    <w:t>是否设置专项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trPr>
              <w:tc>
                <w:tcPr>
                  <w:tcW w:w="427" w:type="dxa"/>
                  <w:shd w:val="clear" w:color="auto" w:fill="auto"/>
                  <w:vAlign w:val="center"/>
                </w:tcPr>
                <w:p>
                  <w:pPr>
                    <w:pStyle w:val="31"/>
                    <w:snapToGrid w:val="0"/>
                    <w:spacing w:after="0" w:line="240" w:lineRule="auto"/>
                    <w:jc w:val="center"/>
                    <w:rPr>
                      <w:szCs w:val="21"/>
                    </w:rPr>
                  </w:pPr>
                  <w:r>
                    <w:rPr>
                      <w:szCs w:val="21"/>
                    </w:rPr>
                    <w:t>1</w:t>
                  </w:r>
                </w:p>
              </w:tc>
              <w:tc>
                <w:tcPr>
                  <w:tcW w:w="1048" w:type="dxa"/>
                  <w:shd w:val="clear" w:color="auto" w:fill="auto"/>
                  <w:vAlign w:val="center"/>
                </w:tcPr>
                <w:p>
                  <w:pPr>
                    <w:pStyle w:val="31"/>
                    <w:snapToGrid w:val="0"/>
                    <w:spacing w:after="0" w:line="240" w:lineRule="auto"/>
                    <w:jc w:val="center"/>
                    <w:rPr>
                      <w:szCs w:val="21"/>
                    </w:rPr>
                  </w:pPr>
                  <w:r>
                    <w:rPr>
                      <w:szCs w:val="21"/>
                    </w:rPr>
                    <w:t>大气</w:t>
                  </w:r>
                </w:p>
              </w:tc>
              <w:tc>
                <w:tcPr>
                  <w:tcW w:w="3605" w:type="dxa"/>
                  <w:shd w:val="clear" w:color="auto" w:fill="auto"/>
                  <w:vAlign w:val="center"/>
                </w:tcPr>
                <w:p>
                  <w:pPr>
                    <w:pStyle w:val="31"/>
                    <w:snapToGrid w:val="0"/>
                    <w:spacing w:after="0" w:line="240" w:lineRule="auto"/>
                    <w:rPr>
                      <w:szCs w:val="21"/>
                    </w:rPr>
                  </w:pPr>
                  <w:r>
                    <w:rPr>
                      <w:szCs w:val="21"/>
                    </w:rPr>
                    <w:t>排放废气含有毒有害污染物</w:t>
                  </w:r>
                  <w:r>
                    <w:rPr>
                      <w:szCs w:val="21"/>
                      <w:vertAlign w:val="superscript"/>
                    </w:rPr>
                    <w:t>1</w:t>
                  </w:r>
                  <w:r>
                    <w:rPr>
                      <w:szCs w:val="21"/>
                    </w:rPr>
                    <w:t>、二噁英、苯并[a]芘、氰化物、氯气且厂界外500米范围内有环境空气保护目标</w:t>
                  </w:r>
                  <w:r>
                    <w:rPr>
                      <w:szCs w:val="21"/>
                      <w:vertAlign w:val="superscript"/>
                    </w:rPr>
                    <w:t>2</w:t>
                  </w:r>
                  <w:r>
                    <w:rPr>
                      <w:szCs w:val="21"/>
                    </w:rPr>
                    <w:t>的建设项目</w:t>
                  </w:r>
                </w:p>
              </w:tc>
              <w:tc>
                <w:tcPr>
                  <w:tcW w:w="1875" w:type="dxa"/>
                  <w:shd w:val="clear" w:color="auto" w:fill="auto"/>
                  <w:vAlign w:val="center"/>
                </w:tcPr>
                <w:p>
                  <w:pPr>
                    <w:pStyle w:val="31"/>
                    <w:snapToGrid w:val="0"/>
                    <w:spacing w:after="0" w:line="240" w:lineRule="auto"/>
                    <w:jc w:val="center"/>
                    <w:rPr>
                      <w:szCs w:val="21"/>
                    </w:rPr>
                  </w:pPr>
                  <w:r>
                    <w:rPr>
                      <w:szCs w:val="21"/>
                    </w:rPr>
                    <w:t>不涉及</w:t>
                  </w:r>
                </w:p>
              </w:tc>
              <w:tc>
                <w:tcPr>
                  <w:tcW w:w="1123" w:type="dxa"/>
                  <w:shd w:val="clear" w:color="auto" w:fill="auto"/>
                  <w:vAlign w:val="center"/>
                </w:tcPr>
                <w:p>
                  <w:pPr>
                    <w:pStyle w:val="31"/>
                    <w:snapToGrid w:val="0"/>
                    <w:spacing w:after="0" w:line="240" w:lineRule="auto"/>
                    <w:jc w:val="center"/>
                    <w:rPr>
                      <w:szCs w:val="21"/>
                    </w:rPr>
                  </w:pPr>
                  <w:r>
                    <w:rPr>
                      <w:szCs w:val="21"/>
                    </w:rPr>
                    <w:t>否</w:t>
                  </w:r>
                </w:p>
              </w:tc>
            </w:tr>
            <w:bookmarkEnd w:id="7"/>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trPr>
              <w:tc>
                <w:tcPr>
                  <w:tcW w:w="427" w:type="dxa"/>
                  <w:shd w:val="clear" w:color="auto" w:fill="auto"/>
                  <w:vAlign w:val="center"/>
                </w:tcPr>
                <w:p>
                  <w:pPr>
                    <w:pStyle w:val="31"/>
                    <w:snapToGrid w:val="0"/>
                    <w:spacing w:after="0" w:line="240" w:lineRule="auto"/>
                    <w:jc w:val="center"/>
                    <w:rPr>
                      <w:szCs w:val="21"/>
                    </w:rPr>
                  </w:pPr>
                  <w:r>
                    <w:rPr>
                      <w:szCs w:val="21"/>
                    </w:rPr>
                    <w:t>2</w:t>
                  </w:r>
                </w:p>
              </w:tc>
              <w:tc>
                <w:tcPr>
                  <w:tcW w:w="1048" w:type="dxa"/>
                  <w:shd w:val="clear" w:color="auto" w:fill="auto"/>
                  <w:vAlign w:val="center"/>
                </w:tcPr>
                <w:p>
                  <w:pPr>
                    <w:pStyle w:val="31"/>
                    <w:snapToGrid w:val="0"/>
                    <w:spacing w:after="0" w:line="240" w:lineRule="auto"/>
                    <w:jc w:val="center"/>
                    <w:rPr>
                      <w:szCs w:val="21"/>
                    </w:rPr>
                  </w:pPr>
                  <w:r>
                    <w:rPr>
                      <w:szCs w:val="21"/>
                    </w:rPr>
                    <w:t>地表水</w:t>
                  </w:r>
                </w:p>
              </w:tc>
              <w:tc>
                <w:tcPr>
                  <w:tcW w:w="3605" w:type="dxa"/>
                  <w:shd w:val="clear" w:color="auto" w:fill="auto"/>
                  <w:vAlign w:val="center"/>
                </w:tcPr>
                <w:p>
                  <w:pPr>
                    <w:pStyle w:val="31"/>
                    <w:snapToGrid w:val="0"/>
                    <w:spacing w:after="0" w:line="240" w:lineRule="auto"/>
                    <w:rPr>
                      <w:szCs w:val="21"/>
                    </w:rPr>
                  </w:pPr>
                  <w:r>
                    <w:rPr>
                      <w:szCs w:val="21"/>
                    </w:rPr>
                    <w:t>新增工业废水直排建设项目（槽罐车外送污水处理厂的除外）；</w:t>
                  </w:r>
                </w:p>
                <w:p>
                  <w:pPr>
                    <w:pStyle w:val="31"/>
                    <w:snapToGrid w:val="0"/>
                    <w:spacing w:after="0" w:line="240" w:lineRule="auto"/>
                    <w:rPr>
                      <w:szCs w:val="21"/>
                    </w:rPr>
                  </w:pPr>
                  <w:r>
                    <w:rPr>
                      <w:szCs w:val="21"/>
                    </w:rPr>
                    <w:t>新增废水直排的污水集中处理厂</w:t>
                  </w:r>
                </w:p>
              </w:tc>
              <w:tc>
                <w:tcPr>
                  <w:tcW w:w="1875" w:type="dxa"/>
                  <w:shd w:val="clear" w:color="auto" w:fill="auto"/>
                  <w:vAlign w:val="center"/>
                </w:tcPr>
                <w:p>
                  <w:pPr>
                    <w:pStyle w:val="31"/>
                    <w:snapToGrid w:val="0"/>
                    <w:spacing w:after="0" w:line="240" w:lineRule="auto"/>
                    <w:jc w:val="center"/>
                    <w:rPr>
                      <w:szCs w:val="21"/>
                    </w:rPr>
                  </w:pPr>
                  <w:r>
                    <w:rPr>
                      <w:szCs w:val="21"/>
                    </w:rPr>
                    <w:t>不涉及</w:t>
                  </w:r>
                </w:p>
              </w:tc>
              <w:tc>
                <w:tcPr>
                  <w:tcW w:w="1123" w:type="dxa"/>
                  <w:shd w:val="clear" w:color="auto" w:fill="auto"/>
                  <w:vAlign w:val="center"/>
                </w:tcPr>
                <w:p>
                  <w:pPr>
                    <w:pStyle w:val="31"/>
                    <w:snapToGrid w:val="0"/>
                    <w:spacing w:after="0" w:line="240" w:lineRule="auto"/>
                    <w:jc w:val="center"/>
                    <w:rPr>
                      <w:b/>
                      <w:bCs/>
                      <w:szCs w:val="21"/>
                    </w:rPr>
                  </w:pPr>
                  <w:r>
                    <w:rPr>
                      <w:szCs w:val="21"/>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trPr>
              <w:tc>
                <w:tcPr>
                  <w:tcW w:w="427" w:type="dxa"/>
                  <w:shd w:val="clear" w:color="auto" w:fill="auto"/>
                  <w:vAlign w:val="center"/>
                </w:tcPr>
                <w:p>
                  <w:pPr>
                    <w:pStyle w:val="31"/>
                    <w:snapToGrid w:val="0"/>
                    <w:spacing w:after="0" w:line="240" w:lineRule="auto"/>
                    <w:jc w:val="center"/>
                    <w:rPr>
                      <w:szCs w:val="21"/>
                    </w:rPr>
                  </w:pPr>
                  <w:r>
                    <w:rPr>
                      <w:szCs w:val="21"/>
                    </w:rPr>
                    <w:t>3</w:t>
                  </w:r>
                </w:p>
              </w:tc>
              <w:tc>
                <w:tcPr>
                  <w:tcW w:w="1048" w:type="dxa"/>
                  <w:shd w:val="clear" w:color="auto" w:fill="auto"/>
                  <w:vAlign w:val="center"/>
                </w:tcPr>
                <w:p>
                  <w:pPr>
                    <w:pStyle w:val="31"/>
                    <w:snapToGrid w:val="0"/>
                    <w:spacing w:after="0" w:line="240" w:lineRule="auto"/>
                    <w:jc w:val="center"/>
                    <w:rPr>
                      <w:szCs w:val="21"/>
                    </w:rPr>
                  </w:pPr>
                  <w:r>
                    <w:rPr>
                      <w:szCs w:val="21"/>
                    </w:rPr>
                    <w:t>环境风险</w:t>
                  </w:r>
                </w:p>
              </w:tc>
              <w:tc>
                <w:tcPr>
                  <w:tcW w:w="3605" w:type="dxa"/>
                  <w:shd w:val="clear" w:color="auto" w:fill="auto"/>
                  <w:vAlign w:val="center"/>
                </w:tcPr>
                <w:p>
                  <w:pPr>
                    <w:pStyle w:val="31"/>
                    <w:snapToGrid w:val="0"/>
                    <w:spacing w:after="0" w:line="240" w:lineRule="auto"/>
                    <w:rPr>
                      <w:szCs w:val="21"/>
                    </w:rPr>
                  </w:pPr>
                  <w:r>
                    <w:rPr>
                      <w:szCs w:val="21"/>
                    </w:rPr>
                    <w:t>有毒有害和易燃易爆危险物质存储量超过临界量</w:t>
                  </w:r>
                  <w:r>
                    <w:rPr>
                      <w:szCs w:val="21"/>
                      <w:vertAlign w:val="superscript"/>
                    </w:rPr>
                    <w:t>3</w:t>
                  </w:r>
                  <w:r>
                    <w:rPr>
                      <w:szCs w:val="21"/>
                    </w:rPr>
                    <w:t>的建设项目</w:t>
                  </w:r>
                </w:p>
              </w:tc>
              <w:tc>
                <w:tcPr>
                  <w:tcW w:w="1875" w:type="dxa"/>
                  <w:shd w:val="clear" w:color="auto" w:fill="auto"/>
                  <w:vAlign w:val="center"/>
                </w:tcPr>
                <w:p>
                  <w:pPr>
                    <w:pStyle w:val="31"/>
                    <w:snapToGrid w:val="0"/>
                    <w:spacing w:after="0" w:line="240" w:lineRule="auto"/>
                    <w:jc w:val="center"/>
                    <w:rPr>
                      <w:szCs w:val="21"/>
                    </w:rPr>
                  </w:pPr>
                  <w:r>
                    <w:rPr>
                      <w:szCs w:val="21"/>
                    </w:rPr>
                    <w:t>不涉及</w:t>
                  </w:r>
                </w:p>
              </w:tc>
              <w:tc>
                <w:tcPr>
                  <w:tcW w:w="1123" w:type="dxa"/>
                  <w:shd w:val="clear" w:color="auto" w:fill="auto"/>
                  <w:vAlign w:val="center"/>
                </w:tcPr>
                <w:p>
                  <w:pPr>
                    <w:pStyle w:val="31"/>
                    <w:snapToGrid w:val="0"/>
                    <w:spacing w:after="0" w:line="240" w:lineRule="auto"/>
                    <w:jc w:val="center"/>
                    <w:rPr>
                      <w:szCs w:val="21"/>
                    </w:rPr>
                  </w:pPr>
                  <w:r>
                    <w:rPr>
                      <w:szCs w:val="21"/>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trPr>
              <w:tc>
                <w:tcPr>
                  <w:tcW w:w="427" w:type="dxa"/>
                  <w:shd w:val="clear" w:color="auto" w:fill="auto"/>
                  <w:vAlign w:val="center"/>
                </w:tcPr>
                <w:p>
                  <w:pPr>
                    <w:pStyle w:val="31"/>
                    <w:snapToGrid w:val="0"/>
                    <w:spacing w:after="0" w:line="240" w:lineRule="auto"/>
                    <w:jc w:val="center"/>
                    <w:rPr>
                      <w:szCs w:val="21"/>
                    </w:rPr>
                  </w:pPr>
                  <w:r>
                    <w:rPr>
                      <w:szCs w:val="21"/>
                    </w:rPr>
                    <w:t>4</w:t>
                  </w:r>
                </w:p>
              </w:tc>
              <w:tc>
                <w:tcPr>
                  <w:tcW w:w="1048" w:type="dxa"/>
                  <w:shd w:val="clear" w:color="auto" w:fill="auto"/>
                  <w:vAlign w:val="center"/>
                </w:tcPr>
                <w:p>
                  <w:pPr>
                    <w:pStyle w:val="31"/>
                    <w:snapToGrid w:val="0"/>
                    <w:spacing w:after="0" w:line="240" w:lineRule="auto"/>
                    <w:jc w:val="center"/>
                    <w:rPr>
                      <w:szCs w:val="21"/>
                    </w:rPr>
                  </w:pPr>
                  <w:r>
                    <w:rPr>
                      <w:szCs w:val="21"/>
                    </w:rPr>
                    <w:t>生态</w:t>
                  </w:r>
                </w:p>
              </w:tc>
              <w:tc>
                <w:tcPr>
                  <w:tcW w:w="3605" w:type="dxa"/>
                  <w:shd w:val="clear" w:color="auto" w:fill="auto"/>
                  <w:vAlign w:val="center"/>
                </w:tcPr>
                <w:p>
                  <w:pPr>
                    <w:pStyle w:val="31"/>
                    <w:snapToGrid w:val="0"/>
                    <w:spacing w:after="0" w:line="240" w:lineRule="auto"/>
                    <w:rPr>
                      <w:szCs w:val="21"/>
                    </w:rPr>
                  </w:pPr>
                  <w:r>
                    <w:rPr>
                      <w:szCs w:val="21"/>
                    </w:rPr>
                    <w:t>取水口下游500米范围内有重要水生生物的自然产卵场、索饵场、越冬场和洄游通道的新增河道取水的污染类建设项目</w:t>
                  </w:r>
                </w:p>
              </w:tc>
              <w:tc>
                <w:tcPr>
                  <w:tcW w:w="1875" w:type="dxa"/>
                  <w:shd w:val="clear" w:color="auto" w:fill="auto"/>
                  <w:vAlign w:val="center"/>
                </w:tcPr>
                <w:p>
                  <w:pPr>
                    <w:pStyle w:val="31"/>
                    <w:snapToGrid w:val="0"/>
                    <w:spacing w:after="0" w:line="240" w:lineRule="auto"/>
                    <w:jc w:val="center"/>
                    <w:rPr>
                      <w:szCs w:val="21"/>
                    </w:rPr>
                  </w:pPr>
                  <w:r>
                    <w:rPr>
                      <w:szCs w:val="21"/>
                    </w:rPr>
                    <w:t>不涉及</w:t>
                  </w:r>
                </w:p>
              </w:tc>
              <w:tc>
                <w:tcPr>
                  <w:tcW w:w="1123" w:type="dxa"/>
                  <w:shd w:val="clear" w:color="auto" w:fill="auto"/>
                  <w:vAlign w:val="center"/>
                </w:tcPr>
                <w:p>
                  <w:pPr>
                    <w:pStyle w:val="31"/>
                    <w:snapToGrid w:val="0"/>
                    <w:spacing w:after="0" w:line="240" w:lineRule="auto"/>
                    <w:jc w:val="center"/>
                    <w:rPr>
                      <w:szCs w:val="21"/>
                    </w:rPr>
                  </w:pPr>
                  <w:r>
                    <w:rPr>
                      <w:szCs w:val="21"/>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trPr>
              <w:tc>
                <w:tcPr>
                  <w:tcW w:w="427" w:type="dxa"/>
                  <w:shd w:val="clear" w:color="auto" w:fill="auto"/>
                  <w:vAlign w:val="center"/>
                </w:tcPr>
                <w:p>
                  <w:pPr>
                    <w:pStyle w:val="31"/>
                    <w:snapToGrid w:val="0"/>
                    <w:spacing w:after="0" w:line="240" w:lineRule="auto"/>
                    <w:jc w:val="center"/>
                    <w:rPr>
                      <w:szCs w:val="21"/>
                    </w:rPr>
                  </w:pPr>
                  <w:r>
                    <w:rPr>
                      <w:szCs w:val="21"/>
                    </w:rPr>
                    <w:t>5</w:t>
                  </w:r>
                </w:p>
              </w:tc>
              <w:tc>
                <w:tcPr>
                  <w:tcW w:w="1048" w:type="dxa"/>
                  <w:shd w:val="clear" w:color="auto" w:fill="auto"/>
                  <w:vAlign w:val="center"/>
                </w:tcPr>
                <w:p>
                  <w:pPr>
                    <w:pStyle w:val="31"/>
                    <w:snapToGrid w:val="0"/>
                    <w:spacing w:after="0" w:line="240" w:lineRule="auto"/>
                    <w:jc w:val="center"/>
                    <w:rPr>
                      <w:szCs w:val="21"/>
                    </w:rPr>
                  </w:pPr>
                  <w:r>
                    <w:rPr>
                      <w:szCs w:val="21"/>
                    </w:rPr>
                    <w:t>海洋</w:t>
                  </w:r>
                </w:p>
              </w:tc>
              <w:tc>
                <w:tcPr>
                  <w:tcW w:w="3605" w:type="dxa"/>
                  <w:shd w:val="clear" w:color="auto" w:fill="auto"/>
                  <w:vAlign w:val="center"/>
                </w:tcPr>
                <w:p>
                  <w:pPr>
                    <w:pStyle w:val="31"/>
                    <w:snapToGrid w:val="0"/>
                    <w:spacing w:after="0" w:line="240" w:lineRule="auto"/>
                    <w:rPr>
                      <w:szCs w:val="21"/>
                    </w:rPr>
                  </w:pPr>
                  <w:r>
                    <w:rPr>
                      <w:szCs w:val="21"/>
                    </w:rPr>
                    <w:t>直接向海排放污染物的海洋工程建设项目</w:t>
                  </w:r>
                </w:p>
              </w:tc>
              <w:tc>
                <w:tcPr>
                  <w:tcW w:w="1875" w:type="dxa"/>
                  <w:shd w:val="clear" w:color="auto" w:fill="auto"/>
                  <w:vAlign w:val="center"/>
                </w:tcPr>
                <w:p>
                  <w:pPr>
                    <w:pStyle w:val="31"/>
                    <w:snapToGrid w:val="0"/>
                    <w:spacing w:after="0" w:line="240" w:lineRule="auto"/>
                    <w:jc w:val="center"/>
                    <w:rPr>
                      <w:szCs w:val="21"/>
                    </w:rPr>
                  </w:pPr>
                  <w:r>
                    <w:rPr>
                      <w:szCs w:val="21"/>
                    </w:rPr>
                    <w:t>不涉及</w:t>
                  </w:r>
                </w:p>
              </w:tc>
              <w:tc>
                <w:tcPr>
                  <w:tcW w:w="1123" w:type="dxa"/>
                  <w:shd w:val="clear" w:color="auto" w:fill="auto"/>
                  <w:vAlign w:val="center"/>
                </w:tcPr>
                <w:p>
                  <w:pPr>
                    <w:pStyle w:val="31"/>
                    <w:snapToGrid w:val="0"/>
                    <w:spacing w:after="0" w:line="240" w:lineRule="auto"/>
                    <w:jc w:val="center"/>
                    <w:rPr>
                      <w:szCs w:val="21"/>
                    </w:rPr>
                  </w:pPr>
                  <w:r>
                    <w:rPr>
                      <w:szCs w:val="21"/>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trPr>
              <w:tc>
                <w:tcPr>
                  <w:tcW w:w="8078" w:type="dxa"/>
                  <w:gridSpan w:val="5"/>
                  <w:shd w:val="clear" w:color="auto" w:fill="auto"/>
                  <w:vAlign w:val="center"/>
                </w:tcPr>
                <w:p>
                  <w:pPr>
                    <w:pStyle w:val="31"/>
                    <w:snapToGrid w:val="0"/>
                    <w:spacing w:after="0" w:line="240" w:lineRule="auto"/>
                    <w:ind w:firstLine="480" w:firstLineChars="200"/>
                    <w:rPr>
                      <w:szCs w:val="21"/>
                    </w:rPr>
                  </w:pPr>
                  <w:r>
                    <w:rPr>
                      <w:szCs w:val="21"/>
                    </w:rPr>
                    <w:t>注：1.废气中有毒有害污染物指纳入《有毒有害大气污染物名录》的污染物（不包括无排放标准的污染物）。</w:t>
                  </w:r>
                </w:p>
                <w:p>
                  <w:pPr>
                    <w:pStyle w:val="31"/>
                    <w:snapToGrid w:val="0"/>
                    <w:spacing w:after="0" w:line="240" w:lineRule="auto"/>
                    <w:ind w:firstLine="480" w:firstLineChars="200"/>
                    <w:rPr>
                      <w:szCs w:val="21"/>
                    </w:rPr>
                  </w:pPr>
                  <w:r>
                    <w:rPr>
                      <w:szCs w:val="21"/>
                    </w:rPr>
                    <w:t>2.环境空气保护目标指自然保护区、风景名胜区、居住区、文化区和农村地区中人群较集中的区域。</w:t>
                  </w:r>
                </w:p>
                <w:p>
                  <w:pPr>
                    <w:pStyle w:val="31"/>
                    <w:snapToGrid w:val="0"/>
                    <w:spacing w:after="0" w:line="240" w:lineRule="auto"/>
                    <w:ind w:firstLine="480" w:firstLineChars="200"/>
                    <w:rPr>
                      <w:szCs w:val="21"/>
                    </w:rPr>
                  </w:pPr>
                  <w:r>
                    <w:rPr>
                      <w:szCs w:val="21"/>
                    </w:rPr>
                    <w:t>3.临界量及其计算方法可参考《建设项目环境风险评价技术导则》（HJ169）附录B、附录C。</w:t>
                  </w:r>
                </w:p>
              </w:tc>
            </w:tr>
          </w:tbl>
          <w:p>
            <w:pPr>
              <w:ind w:firstLine="480" w:firstLineChars="200"/>
              <w:rPr>
                <w:kern w:val="0"/>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500" w:type="dxa"/>
            <w:vAlign w:val="center"/>
          </w:tcPr>
          <w:p>
            <w:pPr>
              <w:autoSpaceDE w:val="0"/>
              <w:autoSpaceDN w:val="0"/>
              <w:adjustRightInd w:val="0"/>
              <w:snapToGrid w:val="0"/>
              <w:jc w:val="center"/>
              <w:rPr>
                <w:kern w:val="0"/>
                <w:szCs w:val="21"/>
              </w:rPr>
            </w:pPr>
            <w:r>
              <w:rPr>
                <w:szCs w:val="21"/>
              </w:rPr>
              <w:t>规划情况</w:t>
            </w:r>
          </w:p>
        </w:tc>
        <w:tc>
          <w:tcPr>
            <w:tcW w:w="8324" w:type="dxa"/>
            <w:gridSpan w:val="4"/>
            <w:vAlign w:val="center"/>
          </w:tcPr>
          <w:p>
            <w:pPr>
              <w:spacing w:line="360" w:lineRule="auto"/>
              <w:ind w:firstLine="480" w:firstLineChars="200"/>
              <w:rPr>
                <w:bCs/>
                <w:sz w:val="24"/>
              </w:rPr>
            </w:pPr>
            <w:r>
              <w:rPr>
                <w:bCs/>
                <w:sz w:val="24"/>
              </w:rPr>
              <w:t>（1）所依据的行业：N7723 固体废物治理</w:t>
            </w:r>
          </w:p>
          <w:p>
            <w:pPr>
              <w:spacing w:line="360" w:lineRule="auto"/>
              <w:ind w:firstLine="480" w:firstLineChars="200"/>
              <w:rPr>
                <w:bCs/>
                <w:sz w:val="24"/>
              </w:rPr>
            </w:pPr>
            <w:r>
              <w:rPr>
                <w:bCs/>
                <w:sz w:val="24"/>
              </w:rPr>
              <w:t>（2）产业园区规划名称：乐山市资源循环利用基地</w:t>
            </w:r>
          </w:p>
          <w:p>
            <w:pPr>
              <w:spacing w:line="360" w:lineRule="auto"/>
              <w:ind w:firstLine="480" w:firstLineChars="200"/>
              <w:rPr>
                <w:bCs/>
                <w:sz w:val="24"/>
              </w:rPr>
            </w:pPr>
            <w:r>
              <w:rPr>
                <w:bCs/>
                <w:sz w:val="24"/>
              </w:rPr>
              <w:t>（3）审批机关：乐山市国土空间规划委员会</w:t>
            </w:r>
          </w:p>
          <w:p>
            <w:pPr>
              <w:spacing w:line="360" w:lineRule="auto"/>
              <w:ind w:firstLine="480" w:firstLineChars="200"/>
              <w:rPr>
                <w:bCs/>
                <w:szCs w:val="21"/>
              </w:rPr>
            </w:pPr>
            <w:r>
              <w:rPr>
                <w:bCs/>
                <w:sz w:val="24"/>
              </w:rPr>
              <w:t>（4）审批文件名称及文号：《乐山市国土空间规划委员会2020年第7次会议纪要》（乐山市国土空间规划委员会办公室，2020年12月8日）</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500" w:type="dxa"/>
            <w:vAlign w:val="center"/>
          </w:tcPr>
          <w:p>
            <w:pPr>
              <w:adjustRightInd w:val="0"/>
              <w:snapToGrid w:val="0"/>
              <w:jc w:val="center"/>
              <w:rPr>
                <w:szCs w:val="21"/>
              </w:rPr>
            </w:pPr>
            <w:r>
              <w:rPr>
                <w:szCs w:val="21"/>
              </w:rPr>
              <w:t>规划环境影响评价情况</w:t>
            </w:r>
          </w:p>
        </w:tc>
        <w:tc>
          <w:tcPr>
            <w:tcW w:w="8324" w:type="dxa"/>
            <w:gridSpan w:val="4"/>
            <w:vAlign w:val="center"/>
          </w:tcPr>
          <w:p>
            <w:pPr>
              <w:autoSpaceDE w:val="0"/>
              <w:autoSpaceDN w:val="0"/>
              <w:adjustRightInd w:val="0"/>
              <w:snapToGrid w:val="0"/>
              <w:spacing w:line="360" w:lineRule="auto"/>
              <w:ind w:firstLine="480" w:firstLineChars="200"/>
              <w:rPr>
                <w:kern w:val="0"/>
                <w:sz w:val="24"/>
              </w:rPr>
            </w:pPr>
            <w:r>
              <w:rPr>
                <w:kern w:val="0"/>
                <w:sz w:val="24"/>
              </w:rPr>
              <w:t>（1）规划环境影响评价文件名称：《乐山市资源循环利用基地专项规划环境影响报告书》；</w:t>
            </w:r>
          </w:p>
          <w:p>
            <w:pPr>
              <w:autoSpaceDE w:val="0"/>
              <w:autoSpaceDN w:val="0"/>
              <w:adjustRightInd w:val="0"/>
              <w:snapToGrid w:val="0"/>
              <w:spacing w:line="360" w:lineRule="auto"/>
              <w:ind w:firstLine="480" w:firstLineChars="200"/>
              <w:rPr>
                <w:kern w:val="0"/>
                <w:sz w:val="24"/>
              </w:rPr>
            </w:pPr>
            <w:r>
              <w:rPr>
                <w:kern w:val="0"/>
                <w:sz w:val="24"/>
              </w:rPr>
              <w:t>召集审查机关：乐山市生态环境局；</w:t>
            </w:r>
          </w:p>
          <w:p>
            <w:pPr>
              <w:autoSpaceDE w:val="0"/>
              <w:autoSpaceDN w:val="0"/>
              <w:adjustRightInd w:val="0"/>
              <w:snapToGrid w:val="0"/>
              <w:spacing w:line="360" w:lineRule="auto"/>
              <w:ind w:firstLine="480" w:firstLineChars="200"/>
              <w:rPr>
                <w:kern w:val="0"/>
                <w:sz w:val="24"/>
              </w:rPr>
            </w:pPr>
            <w:r>
              <w:rPr>
                <w:kern w:val="0"/>
                <w:sz w:val="24"/>
              </w:rPr>
              <w:t>审查文件名称及文号：关于印发《乐山市资源循环利用基地专项规划环境影响报告书审查意见》的函（乐市环函〔2021〕195号）</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500" w:type="dxa"/>
            <w:vAlign w:val="center"/>
          </w:tcPr>
          <w:p>
            <w:pPr>
              <w:autoSpaceDE w:val="0"/>
              <w:autoSpaceDN w:val="0"/>
              <w:adjustRightInd w:val="0"/>
              <w:snapToGrid w:val="0"/>
              <w:spacing w:line="360" w:lineRule="auto"/>
              <w:jc w:val="center"/>
              <w:rPr>
                <w:kern w:val="0"/>
                <w:szCs w:val="21"/>
              </w:rPr>
            </w:pPr>
            <w:r>
              <w:rPr>
                <w:kern w:val="0"/>
                <w:szCs w:val="21"/>
              </w:rPr>
              <w:t>规划及规划环境影响评价符合性分析</w:t>
            </w:r>
          </w:p>
        </w:tc>
        <w:tc>
          <w:tcPr>
            <w:tcW w:w="8324" w:type="dxa"/>
            <w:gridSpan w:val="4"/>
            <w:vAlign w:val="center"/>
          </w:tcPr>
          <w:p>
            <w:pPr>
              <w:spacing w:line="360" w:lineRule="auto"/>
              <w:ind w:firstLine="480" w:firstLineChars="200"/>
              <w:rPr>
                <w:sz w:val="24"/>
              </w:rPr>
            </w:pPr>
            <w:r>
              <w:rPr>
                <w:kern w:val="44"/>
                <w:sz w:val="24"/>
              </w:rPr>
              <w:t>（1）</w:t>
            </w:r>
            <w:r>
              <w:rPr>
                <w:sz w:val="24"/>
              </w:rPr>
              <w:t>与《乐山市城市总体规划》（</w:t>
            </w:r>
            <w:r>
              <w:rPr>
                <w:bCs/>
                <w:sz w:val="24"/>
              </w:rPr>
              <w:t>2011-2030</w:t>
            </w:r>
            <w:r>
              <w:rPr>
                <w:sz w:val="24"/>
              </w:rPr>
              <w:t>）的符合性分析</w:t>
            </w:r>
          </w:p>
          <w:p>
            <w:pPr>
              <w:spacing w:line="360" w:lineRule="auto"/>
              <w:ind w:firstLine="480" w:firstLineChars="200"/>
              <w:rPr>
                <w:sz w:val="24"/>
              </w:rPr>
            </w:pPr>
            <w:r>
              <w:rPr>
                <w:sz w:val="24"/>
              </w:rPr>
              <w:t>2013年1月四川省人民政府批复通过《乐山市城市总体规划》（2011-2030），规划中明确要求“远期对垃圾处理的方式应为卫生填埋与无害化处理相结合，能回收利用的尽可能回收利用，加速资源的循环，逐步减少对资源的消耗。”本项目是乐山市生活垃圾焚烧发电炉渣综合利用项目，是对乐山市城市生活垃圾环保发电项目焚烧生活垃圾产生的炉渣的综合利用。</w:t>
            </w:r>
          </w:p>
          <w:p>
            <w:pPr>
              <w:spacing w:line="360" w:lineRule="auto"/>
              <w:ind w:firstLine="480" w:firstLineChars="200"/>
              <w:rPr>
                <w:bCs/>
                <w:sz w:val="24"/>
              </w:rPr>
            </w:pPr>
            <w:r>
              <w:rPr>
                <w:sz w:val="24"/>
              </w:rPr>
              <w:t>因此，本项目的建设符合乐山市城市总体规划的要求。</w:t>
            </w:r>
          </w:p>
          <w:p>
            <w:pPr>
              <w:spacing w:line="360" w:lineRule="auto"/>
              <w:ind w:firstLine="480" w:firstLineChars="200"/>
              <w:rPr>
                <w:kern w:val="44"/>
                <w:sz w:val="24"/>
              </w:rPr>
            </w:pPr>
            <w:r>
              <w:rPr>
                <w:sz w:val="24"/>
              </w:rPr>
              <w:t>（2）</w:t>
            </w:r>
            <w:r>
              <w:rPr>
                <w:bCs/>
                <w:sz w:val="24"/>
              </w:rPr>
              <w:t>与</w:t>
            </w:r>
            <w:r>
              <w:rPr>
                <w:kern w:val="0"/>
                <w:sz w:val="24"/>
              </w:rPr>
              <w:t>乐山市资源循环利用基地符合性分析</w:t>
            </w:r>
            <w:r>
              <w:rPr>
                <w:kern w:val="44"/>
                <w:sz w:val="24"/>
              </w:rPr>
              <w:t>：</w:t>
            </w:r>
          </w:p>
          <w:p>
            <w:pPr>
              <w:spacing w:line="360" w:lineRule="auto"/>
              <w:ind w:firstLine="480" w:firstLineChars="200"/>
              <w:rPr>
                <w:kern w:val="0"/>
                <w:sz w:val="24"/>
              </w:rPr>
            </w:pPr>
            <w:r>
              <w:rPr>
                <w:sz w:val="24"/>
              </w:rPr>
              <w:t>本项目选址位于乐山市市中区茅桥镇迎阳村（乐山市环保发电厂旁），属于</w:t>
            </w:r>
            <w:r>
              <w:rPr>
                <w:kern w:val="0"/>
                <w:sz w:val="24"/>
              </w:rPr>
              <w:t>乐山市资源循环利用基地规划范围内。</w:t>
            </w:r>
          </w:p>
          <w:p>
            <w:pPr>
              <w:spacing w:line="360" w:lineRule="auto"/>
              <w:jc w:val="center"/>
              <w:rPr>
                <w:sz w:val="24"/>
                <w:szCs w:val="22"/>
              </w:rPr>
            </w:pPr>
            <w:r>
              <w:rPr>
                <w:sz w:val="24"/>
                <w:szCs w:val="22"/>
              </w:rPr>
              <w:t>表1-1 与乐山市资源循环利用基地规划环评符合性分析</w:t>
            </w:r>
          </w:p>
          <w:tbl>
            <w:tblPr>
              <w:tblStyle w:val="38"/>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57"/>
              <w:gridCol w:w="1350"/>
              <w:gridCol w:w="3855"/>
              <w:gridCol w:w="249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64" w:type="pct"/>
                  <w:vAlign w:val="center"/>
                </w:tcPr>
                <w:p>
                  <w:pPr>
                    <w:jc w:val="center"/>
                    <w:rPr>
                      <w:b/>
                      <w:szCs w:val="21"/>
                    </w:rPr>
                  </w:pPr>
                  <w:r>
                    <w:rPr>
                      <w:b/>
                      <w:szCs w:val="21"/>
                    </w:rPr>
                    <w:t>序号</w:t>
                  </w:r>
                </w:p>
              </w:tc>
              <w:tc>
                <w:tcPr>
                  <w:tcW w:w="3201" w:type="pct"/>
                  <w:gridSpan w:val="2"/>
                  <w:vAlign w:val="center"/>
                </w:tcPr>
                <w:p>
                  <w:pPr>
                    <w:jc w:val="center"/>
                    <w:rPr>
                      <w:b/>
                      <w:szCs w:val="21"/>
                    </w:rPr>
                  </w:pPr>
                  <w:r>
                    <w:rPr>
                      <w:b/>
                      <w:szCs w:val="21"/>
                    </w:rPr>
                    <w:t>乐山市资源循环利用基地规划</w:t>
                  </w:r>
                </w:p>
              </w:tc>
              <w:tc>
                <w:tcPr>
                  <w:tcW w:w="1536" w:type="pct"/>
                  <w:vAlign w:val="center"/>
                </w:tcPr>
                <w:p>
                  <w:pPr>
                    <w:jc w:val="center"/>
                    <w:rPr>
                      <w:b/>
                      <w:szCs w:val="21"/>
                    </w:rPr>
                  </w:pPr>
                  <w:r>
                    <w:rPr>
                      <w:b/>
                      <w:szCs w:val="21"/>
                    </w:rPr>
                    <w:t>符合性分析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64" w:type="pct"/>
                  <w:vAlign w:val="center"/>
                </w:tcPr>
                <w:p>
                  <w:pPr>
                    <w:jc w:val="center"/>
                    <w:rPr>
                      <w:bCs/>
                      <w:szCs w:val="21"/>
                    </w:rPr>
                  </w:pPr>
                  <w:r>
                    <w:rPr>
                      <w:bCs/>
                      <w:szCs w:val="21"/>
                    </w:rPr>
                    <w:t>1</w:t>
                  </w:r>
                </w:p>
              </w:tc>
              <w:tc>
                <w:tcPr>
                  <w:tcW w:w="833" w:type="pct"/>
                  <w:vAlign w:val="center"/>
                </w:tcPr>
                <w:p>
                  <w:pPr>
                    <w:jc w:val="center"/>
                    <w:rPr>
                      <w:szCs w:val="21"/>
                    </w:rPr>
                  </w:pPr>
                  <w:r>
                    <w:rPr>
                      <w:szCs w:val="21"/>
                    </w:rPr>
                    <w:t>规划面积及四至范围</w:t>
                  </w:r>
                </w:p>
              </w:tc>
              <w:tc>
                <w:tcPr>
                  <w:tcW w:w="2368" w:type="pct"/>
                  <w:vAlign w:val="center"/>
                </w:tcPr>
                <w:p>
                  <w:pPr>
                    <w:rPr>
                      <w:bCs/>
                      <w:szCs w:val="21"/>
                    </w:rPr>
                  </w:pPr>
                  <w:r>
                    <w:rPr>
                      <w:bCs/>
                      <w:szCs w:val="21"/>
                    </w:rPr>
                    <w:t>规划面积：1148.30亩。</w:t>
                  </w:r>
                </w:p>
                <w:p>
                  <w:pPr>
                    <w:rPr>
                      <w:bCs/>
                      <w:szCs w:val="21"/>
                    </w:rPr>
                  </w:pPr>
                  <w:r>
                    <w:rPr>
                      <w:bCs/>
                      <w:szCs w:val="21"/>
                    </w:rPr>
                    <w:t>四至范围：东至环担冲、西至万佛桥、南至红棺木和魏家沟、北至响滩咡和杉树湾。</w:t>
                  </w:r>
                </w:p>
              </w:tc>
              <w:tc>
                <w:tcPr>
                  <w:tcW w:w="1536" w:type="pct"/>
                  <w:vAlign w:val="center"/>
                </w:tcPr>
                <w:p>
                  <w:pPr>
                    <w:jc w:val="center"/>
                    <w:rPr>
                      <w:bCs/>
                      <w:szCs w:val="21"/>
                    </w:rPr>
                  </w:pPr>
                  <w:r>
                    <w:rPr>
                      <w:bCs/>
                      <w:szCs w:val="21"/>
                    </w:rPr>
                    <w:t>项目选址位于乐山市市中区茅桥镇迎阳村乐山市环保发电厂旁，属于乐山市资源循环利用基地规划范围内</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64" w:type="pct"/>
                  <w:vAlign w:val="center"/>
                </w:tcPr>
                <w:p>
                  <w:pPr>
                    <w:jc w:val="center"/>
                    <w:rPr>
                      <w:bCs/>
                      <w:szCs w:val="21"/>
                    </w:rPr>
                  </w:pPr>
                  <w:r>
                    <w:rPr>
                      <w:bCs/>
                      <w:szCs w:val="21"/>
                    </w:rPr>
                    <w:t>2</w:t>
                  </w:r>
                </w:p>
              </w:tc>
              <w:tc>
                <w:tcPr>
                  <w:tcW w:w="833" w:type="pct"/>
                  <w:vAlign w:val="center"/>
                </w:tcPr>
                <w:p>
                  <w:pPr>
                    <w:jc w:val="center"/>
                    <w:rPr>
                      <w:szCs w:val="21"/>
                    </w:rPr>
                  </w:pPr>
                  <w:r>
                    <w:rPr>
                      <w:szCs w:val="21"/>
                    </w:rPr>
                    <w:t>规划主导产业</w:t>
                  </w:r>
                </w:p>
              </w:tc>
              <w:tc>
                <w:tcPr>
                  <w:tcW w:w="2368" w:type="pct"/>
                  <w:vAlign w:val="center"/>
                </w:tcPr>
                <w:p>
                  <w:pPr>
                    <w:rPr>
                      <w:bCs/>
                      <w:szCs w:val="21"/>
                    </w:rPr>
                  </w:pPr>
                  <w:r>
                    <w:rPr>
                      <w:bCs/>
                      <w:szCs w:val="21"/>
                    </w:rPr>
                    <w:t>基地规划以固废循环经济为主导方向，重点发展以生活垃圾、</w:t>
                  </w:r>
                  <w:r>
                    <w:rPr>
                      <w:b/>
                      <w:bCs/>
                      <w:szCs w:val="21"/>
                      <w:u w:val="single"/>
                    </w:rPr>
                    <w:t>炉渣</w:t>
                  </w:r>
                  <w:r>
                    <w:rPr>
                      <w:bCs/>
                      <w:szCs w:val="21"/>
                    </w:rPr>
                    <w:t>、飞灰、市政污泥、餐饮垃圾、厨余及园林垃圾、餐厨垃圾、动物畜禽尸体、</w:t>
                  </w:r>
                  <w:r>
                    <w:rPr>
                      <w:b/>
                      <w:bCs/>
                      <w:szCs w:val="21"/>
                      <w:u w:val="single"/>
                    </w:rPr>
                    <w:t>建筑垃圾</w:t>
                  </w:r>
                  <w:r>
                    <w:rPr>
                      <w:bCs/>
                      <w:szCs w:val="21"/>
                    </w:rPr>
                    <w:t>、大件垃圾、废旧电池、废旧灯管、废旧车辆、废旧塑料、医疗废物、危险废物等固废综合利用及处置项目。</w:t>
                  </w:r>
                </w:p>
              </w:tc>
              <w:tc>
                <w:tcPr>
                  <w:tcW w:w="1536" w:type="pct"/>
                  <w:vAlign w:val="center"/>
                </w:tcPr>
                <w:p>
                  <w:pPr>
                    <w:jc w:val="center"/>
                    <w:rPr>
                      <w:bCs/>
                      <w:szCs w:val="21"/>
                    </w:rPr>
                  </w:pPr>
                  <w:r>
                    <w:rPr>
                      <w:bCs/>
                      <w:szCs w:val="21"/>
                    </w:rPr>
                    <w:t>本项目为建筑垃圾资源化利用及炉渣综合利用项目，符合《规划》发展主导产业。</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264" w:type="pct"/>
                  <w:vAlign w:val="center"/>
                </w:tcPr>
                <w:p>
                  <w:pPr>
                    <w:jc w:val="center"/>
                    <w:rPr>
                      <w:bCs/>
                      <w:szCs w:val="21"/>
                    </w:rPr>
                  </w:pPr>
                  <w:r>
                    <w:rPr>
                      <w:bCs/>
                      <w:szCs w:val="21"/>
                    </w:rPr>
                    <w:t>3</w:t>
                  </w:r>
                </w:p>
              </w:tc>
              <w:tc>
                <w:tcPr>
                  <w:tcW w:w="833" w:type="pct"/>
                  <w:vAlign w:val="center"/>
                </w:tcPr>
                <w:p>
                  <w:pPr>
                    <w:jc w:val="center"/>
                    <w:rPr>
                      <w:szCs w:val="21"/>
                    </w:rPr>
                  </w:pPr>
                  <w:r>
                    <w:rPr>
                      <w:szCs w:val="21"/>
                    </w:rPr>
                    <w:t>规划期限及目标</w:t>
                  </w:r>
                </w:p>
              </w:tc>
              <w:tc>
                <w:tcPr>
                  <w:tcW w:w="2368" w:type="pct"/>
                  <w:vAlign w:val="center"/>
                </w:tcPr>
                <w:p>
                  <w:pPr>
                    <w:rPr>
                      <w:bCs/>
                      <w:szCs w:val="21"/>
                    </w:rPr>
                  </w:pPr>
                  <w:r>
                    <w:rPr>
                      <w:bCs/>
                      <w:szCs w:val="21"/>
                    </w:rPr>
                    <w:t>本次规划的规划总期限为2020-2030年，共分为两期：</w:t>
                  </w:r>
                </w:p>
                <w:p>
                  <w:pPr>
                    <w:rPr>
                      <w:bCs/>
                      <w:szCs w:val="21"/>
                    </w:rPr>
                  </w:pPr>
                  <w:r>
                    <w:rPr>
                      <w:b/>
                      <w:bCs/>
                      <w:szCs w:val="21"/>
                    </w:rPr>
                    <w:t>近期目标（2020年-2025年）：</w:t>
                  </w:r>
                  <w:r>
                    <w:rPr>
                      <w:bCs/>
                      <w:szCs w:val="21"/>
                    </w:rPr>
                    <w:t>以实现乐山市生活垃圾无害化、资源化处理为主体目标，依托乐山市生活垃圾焚烧发电一期项目、医疗废物处置中心二期项目、餐厨垃圾资源化处理一期项目，规划建设乐山市生活垃圾焚烧发电二期项目、生活垃圾应急填埋场项目、餐厨垃圾资源化处理二期项目、炉渣综合利用项目、病死畜禽集中无害化处理项目、大件垃圾拆解项目、园林垃圾和厨余垃圾处理项目、污泥资源化利用项目、建筑垃圾处理项目等，配套建设环境教育宣传馆、技术展示体验中心。</w:t>
                  </w:r>
                </w:p>
                <w:p>
                  <w:pPr>
                    <w:rPr>
                      <w:bCs/>
                      <w:szCs w:val="21"/>
                    </w:rPr>
                  </w:pPr>
                  <w:r>
                    <w:rPr>
                      <w:b/>
                      <w:bCs/>
                      <w:szCs w:val="21"/>
                    </w:rPr>
                    <w:t>远期目标（2026年-2030年）：</w:t>
                  </w:r>
                  <w:r>
                    <w:rPr>
                      <w:bCs/>
                      <w:szCs w:val="21"/>
                    </w:rPr>
                    <w:t>以实现城市固体废弃物的无害化、资源化、减量化处理处置为主体目标，规划建设能源交易中心（布草洗涤厂）、危险废物储存、矿物油资源化利用、废旧车辆拆解利用中心、废旧塑料回收加工、废旧电池回收储存、废旧灯管回收储存、可回收垃圾分拣及资源化垃圾交易中心、生物质发电、一般工业固废综合利用等项目，配套建设环保公园、环保科技园，力争建成国家级、省级资源循环利用基地。</w:t>
                  </w:r>
                </w:p>
              </w:tc>
              <w:tc>
                <w:tcPr>
                  <w:tcW w:w="1536" w:type="pct"/>
                  <w:vAlign w:val="center"/>
                </w:tcPr>
                <w:p>
                  <w:pPr>
                    <w:jc w:val="center"/>
                    <w:rPr>
                      <w:bCs/>
                      <w:szCs w:val="21"/>
                    </w:rPr>
                  </w:pPr>
                  <w:r>
                    <w:rPr>
                      <w:bCs/>
                      <w:szCs w:val="21"/>
                    </w:rPr>
                    <w:t>对照规划目标，本项目属于规划近期目标炉渣综合利用项目，建筑垃圾处理项目。</w:t>
                  </w:r>
                </w:p>
              </w:tc>
            </w:tr>
          </w:tbl>
          <w:p>
            <w:pPr>
              <w:spacing w:line="360" w:lineRule="auto"/>
              <w:ind w:firstLine="480" w:firstLineChars="200"/>
              <w:rPr>
                <w:bCs/>
                <w:kern w:val="44"/>
                <w:szCs w:val="21"/>
              </w:rPr>
            </w:pPr>
            <w:r>
              <w:rPr>
                <w:bCs/>
                <w:sz w:val="24"/>
              </w:rPr>
              <w:t>本项目所在地属于</w:t>
            </w:r>
            <w:r>
              <w:rPr>
                <w:kern w:val="0"/>
                <w:sz w:val="24"/>
              </w:rPr>
              <w:t>乐山市资源循环利用基地</w:t>
            </w:r>
            <w:r>
              <w:rPr>
                <w:bCs/>
                <w:sz w:val="24"/>
              </w:rPr>
              <w:t>，符合规划主导产业、规划期限及目标。综上，乐山市资源循环利用基地发展总体规划。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500" w:type="dxa"/>
            <w:vAlign w:val="center"/>
          </w:tcPr>
          <w:p>
            <w:pPr>
              <w:autoSpaceDE w:val="0"/>
              <w:autoSpaceDN w:val="0"/>
              <w:adjustRightInd w:val="0"/>
              <w:snapToGrid w:val="0"/>
              <w:spacing w:line="360" w:lineRule="auto"/>
              <w:jc w:val="center"/>
              <w:rPr>
                <w:kern w:val="0"/>
                <w:szCs w:val="21"/>
              </w:rPr>
            </w:pPr>
            <w:r>
              <w:rPr>
                <w:kern w:val="0"/>
                <w:szCs w:val="21"/>
              </w:rPr>
              <w:t>其他符合性分析</w:t>
            </w:r>
          </w:p>
        </w:tc>
        <w:tc>
          <w:tcPr>
            <w:tcW w:w="8324" w:type="dxa"/>
            <w:gridSpan w:val="4"/>
            <w:vAlign w:val="center"/>
          </w:tcPr>
          <w:p>
            <w:pPr>
              <w:spacing w:before="120" w:after="120" w:line="360" w:lineRule="auto"/>
              <w:ind w:firstLine="482" w:firstLineChars="200"/>
              <w:rPr>
                <w:b/>
                <w:sz w:val="24"/>
              </w:rPr>
            </w:pPr>
            <w:r>
              <w:rPr>
                <w:b/>
                <w:sz w:val="24"/>
              </w:rPr>
              <w:t>（1）产业政策符合性分析</w:t>
            </w:r>
          </w:p>
          <w:p>
            <w:pPr>
              <w:widowControl/>
              <w:spacing w:line="360" w:lineRule="auto"/>
              <w:ind w:firstLine="480" w:firstLineChars="200"/>
              <w:jc w:val="left"/>
              <w:rPr>
                <w:sz w:val="24"/>
              </w:rPr>
            </w:pPr>
            <w:r>
              <w:rPr>
                <w:sz w:val="24"/>
              </w:rPr>
              <w:t>根据国民经济行业分类与代码（GB/T4754－2017），本项目属于</w:t>
            </w:r>
            <w:r>
              <w:rPr>
                <w:b/>
                <w:sz w:val="24"/>
              </w:rPr>
              <w:t>N7723 固体废物治理</w:t>
            </w:r>
            <w:r>
              <w:rPr>
                <w:sz w:val="24"/>
              </w:rPr>
              <w:t>，对照</w:t>
            </w:r>
            <w:r>
              <w:rPr>
                <w:kern w:val="44"/>
                <w:sz w:val="24"/>
              </w:rPr>
              <w:t>中华人民共和国国家发展和改革委员会令第29号《产业结构调整指导目录（2019年本）</w:t>
            </w:r>
            <w:r>
              <w:rPr>
                <w:sz w:val="24"/>
              </w:rPr>
              <w:t>》，本项目不属于“鼓励类”项目，符合相关法律法规和相关政策规定。且本项目所用的设备均不在国家禁止使用的落后、淘汰生产设备之列。</w:t>
            </w:r>
          </w:p>
          <w:p>
            <w:pPr>
              <w:spacing w:line="360" w:lineRule="auto"/>
              <w:ind w:firstLine="480" w:firstLineChars="200"/>
              <w:rPr>
                <w:sz w:val="24"/>
              </w:rPr>
            </w:pPr>
            <w:r>
              <w:rPr>
                <w:sz w:val="24"/>
              </w:rPr>
              <w:t>同时，</w:t>
            </w:r>
            <w:r>
              <w:rPr>
                <w:bCs/>
                <w:sz w:val="24"/>
              </w:rPr>
              <w:t>乐山市中区发展和改革局</w:t>
            </w:r>
            <w:r>
              <w:rPr>
                <w:sz w:val="24"/>
              </w:rPr>
              <w:t>以</w:t>
            </w:r>
            <w:bookmarkStart w:id="8" w:name="_Hlk72155801"/>
            <w:r>
              <w:rPr>
                <w:sz w:val="24"/>
              </w:rPr>
              <w:t>《四川省固定资产投资项目备案表》</w:t>
            </w:r>
            <w:bookmarkEnd w:id="8"/>
            <w:r>
              <w:rPr>
                <w:sz w:val="24"/>
              </w:rPr>
              <w:t>（川投资备【2202-511102-04-01-465384】FGQB-0036号）予以备案，同意实施。</w:t>
            </w:r>
          </w:p>
          <w:p>
            <w:pPr>
              <w:spacing w:line="360" w:lineRule="auto"/>
              <w:ind w:firstLine="480" w:firstLineChars="200"/>
              <w:rPr>
                <w:sz w:val="24"/>
              </w:rPr>
            </w:pPr>
            <w:r>
              <w:rPr>
                <w:sz w:val="24"/>
              </w:rPr>
              <w:t>因此，本项目属于鼓励类产业，符合相关法律法规和相关政策规定。</w:t>
            </w:r>
          </w:p>
          <w:p>
            <w:pPr>
              <w:spacing w:before="120" w:after="120" w:line="360" w:lineRule="auto"/>
              <w:ind w:firstLine="482" w:firstLineChars="200"/>
              <w:rPr>
                <w:b/>
                <w:sz w:val="24"/>
              </w:rPr>
            </w:pPr>
            <w:r>
              <w:rPr>
                <w:b/>
                <w:sz w:val="24"/>
              </w:rPr>
              <w:t>（2）“三线一单”符合性分析</w:t>
            </w:r>
          </w:p>
          <w:p>
            <w:pPr>
              <w:pStyle w:val="201"/>
              <w:spacing w:line="360" w:lineRule="auto"/>
              <w:ind w:firstLine="480"/>
              <w:rPr>
                <w:rFonts w:ascii="Times New Roman"/>
                <w:szCs w:val="32"/>
              </w:rPr>
            </w:pPr>
            <w:r>
              <w:rPr>
                <w:rFonts w:ascii="Times New Roman"/>
                <w:szCs w:val="32"/>
              </w:rPr>
              <w:t>根据原环保部发布的《关于以改善环境质量为核心的加强环境影响评价管理的通知》（环环评[2016]150号）、四川省人民政府《关于落实生态保护红线、环境质量底线、资源利用上线制定生态环境准入清单实施生态环境分区管控的通知》（川府发[2020]9号）、四川省生态环境厅《关于印发＜产业园区规划环评“三线一单”符合性分析技术要点（试行）＞和＜项目环评“三线一单”符合性分析技术要点（试行）＞的通知》（川环办函[2021]469号）、乐山市人民政府《关于落实生态保护红线、环境质量底线、资源利用上线制定生态环境准入清单  实施生态环境分区管控的通知》（乐府发[2021]7号）等相关文件要求，本项目与“三线一单”符合性详述如下：</w:t>
            </w:r>
          </w:p>
          <w:p>
            <w:pPr>
              <w:spacing w:line="360" w:lineRule="auto"/>
              <w:ind w:firstLine="480"/>
              <w:rPr>
                <w:sz w:val="24"/>
                <w:szCs w:val="32"/>
              </w:rPr>
            </w:pPr>
            <w:r>
              <w:rPr>
                <w:sz w:val="24"/>
                <w:szCs w:val="32"/>
              </w:rPr>
              <w:t>1）</w:t>
            </w:r>
            <w:r>
              <w:rPr>
                <w:sz w:val="24"/>
              </w:rPr>
              <w:t>项目所属管控单元</w:t>
            </w:r>
          </w:p>
          <w:p>
            <w:pPr>
              <w:spacing w:before="120" w:after="120" w:line="360" w:lineRule="auto"/>
              <w:ind w:firstLine="480" w:firstLineChars="200"/>
              <w:rPr>
                <w:bCs/>
                <w:sz w:val="24"/>
              </w:rPr>
            </w:pPr>
            <w:r>
              <w:rPr>
                <w:sz w:val="24"/>
              </w:rPr>
              <w:t>经查询四川政务服务网“三线一单”符合性，本项目</w:t>
            </w:r>
            <w:r>
              <w:rPr>
                <w:bCs/>
                <w:sz w:val="24"/>
              </w:rPr>
              <w:t>共涉及3个管控单元，涉及到管控单元见下表。</w:t>
            </w:r>
          </w:p>
          <w:p>
            <w:pPr>
              <w:spacing w:before="120" w:after="120" w:line="360" w:lineRule="auto"/>
              <w:ind w:firstLine="480" w:firstLineChars="200"/>
              <w:jc w:val="center"/>
              <w:rPr>
                <w:bCs/>
                <w:sz w:val="24"/>
              </w:rPr>
            </w:pPr>
            <w:r>
              <w:rPr>
                <w:bCs/>
                <w:sz w:val="24"/>
              </w:rPr>
              <w:t>表1-2 项目涉及到管控单元表</w:t>
            </w:r>
          </w:p>
          <w:tbl>
            <w:tblPr>
              <w:tblStyle w:val="38"/>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834"/>
              <w:gridCol w:w="1486"/>
              <w:gridCol w:w="1090"/>
              <w:gridCol w:w="811"/>
              <w:gridCol w:w="1413"/>
              <w:gridCol w:w="152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12" w:hRule="atLeast"/>
                <w:tblHeader/>
              </w:trPr>
              <w:tc>
                <w:tcPr>
                  <w:tcW w:w="1109" w:type="pct"/>
                  <w:vAlign w:val="center"/>
                </w:tcPr>
                <w:p>
                  <w:pPr>
                    <w:widowControl/>
                    <w:jc w:val="center"/>
                    <w:rPr>
                      <w:b/>
                      <w:bCs/>
                      <w:kern w:val="0"/>
                      <w:szCs w:val="21"/>
                    </w:rPr>
                  </w:pPr>
                  <w:r>
                    <w:rPr>
                      <w:b/>
                      <w:bCs/>
                      <w:kern w:val="0"/>
                      <w:szCs w:val="21"/>
                    </w:rPr>
                    <w:t>环境管控单元编码</w:t>
                  </w:r>
                </w:p>
              </w:tc>
              <w:tc>
                <w:tcPr>
                  <w:tcW w:w="914" w:type="pct"/>
                  <w:vAlign w:val="center"/>
                </w:tcPr>
                <w:p>
                  <w:pPr>
                    <w:widowControl/>
                    <w:jc w:val="center"/>
                    <w:rPr>
                      <w:b/>
                      <w:bCs/>
                      <w:kern w:val="0"/>
                      <w:szCs w:val="21"/>
                    </w:rPr>
                  </w:pPr>
                  <w:r>
                    <w:rPr>
                      <w:b/>
                      <w:bCs/>
                      <w:kern w:val="0"/>
                      <w:szCs w:val="21"/>
                    </w:rPr>
                    <w:t>环境管控单元名称</w:t>
                  </w:r>
                </w:p>
              </w:tc>
              <w:tc>
                <w:tcPr>
                  <w:tcW w:w="671" w:type="pct"/>
                  <w:vAlign w:val="center"/>
                </w:tcPr>
                <w:p>
                  <w:pPr>
                    <w:widowControl/>
                    <w:jc w:val="center"/>
                    <w:rPr>
                      <w:b/>
                      <w:bCs/>
                      <w:kern w:val="0"/>
                      <w:szCs w:val="21"/>
                    </w:rPr>
                  </w:pPr>
                  <w:r>
                    <w:rPr>
                      <w:b/>
                      <w:bCs/>
                      <w:kern w:val="0"/>
                      <w:szCs w:val="21"/>
                    </w:rPr>
                    <w:t>所属市（州）</w:t>
                  </w:r>
                </w:p>
              </w:tc>
              <w:tc>
                <w:tcPr>
                  <w:tcW w:w="500" w:type="pct"/>
                  <w:vAlign w:val="center"/>
                </w:tcPr>
                <w:p>
                  <w:pPr>
                    <w:widowControl/>
                    <w:jc w:val="center"/>
                    <w:rPr>
                      <w:b/>
                      <w:bCs/>
                      <w:kern w:val="0"/>
                      <w:szCs w:val="21"/>
                    </w:rPr>
                  </w:pPr>
                  <w:r>
                    <w:rPr>
                      <w:b/>
                      <w:bCs/>
                      <w:kern w:val="0"/>
                      <w:szCs w:val="21"/>
                    </w:rPr>
                    <w:t>所属区县</w:t>
                  </w:r>
                </w:p>
              </w:tc>
              <w:tc>
                <w:tcPr>
                  <w:tcW w:w="869" w:type="pct"/>
                  <w:vAlign w:val="center"/>
                </w:tcPr>
                <w:p>
                  <w:pPr>
                    <w:widowControl/>
                    <w:jc w:val="center"/>
                    <w:rPr>
                      <w:b/>
                      <w:bCs/>
                      <w:kern w:val="0"/>
                      <w:szCs w:val="21"/>
                    </w:rPr>
                  </w:pPr>
                  <w:r>
                    <w:rPr>
                      <w:b/>
                      <w:bCs/>
                      <w:kern w:val="0"/>
                      <w:szCs w:val="21"/>
                    </w:rPr>
                    <w:t>准入清单类型</w:t>
                  </w:r>
                </w:p>
              </w:tc>
              <w:tc>
                <w:tcPr>
                  <w:tcW w:w="938" w:type="pct"/>
                  <w:vAlign w:val="center"/>
                </w:tcPr>
                <w:p>
                  <w:pPr>
                    <w:widowControl/>
                    <w:jc w:val="center"/>
                    <w:rPr>
                      <w:b/>
                      <w:bCs/>
                      <w:kern w:val="0"/>
                      <w:szCs w:val="21"/>
                    </w:rPr>
                  </w:pPr>
                  <w:r>
                    <w:rPr>
                      <w:b/>
                      <w:bCs/>
                      <w:kern w:val="0"/>
                      <w:szCs w:val="21"/>
                    </w:rPr>
                    <w:t>管控类型</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12" w:hRule="atLeast"/>
                <w:tblHeader/>
              </w:trPr>
              <w:tc>
                <w:tcPr>
                  <w:tcW w:w="1109" w:type="pct"/>
                  <w:vAlign w:val="center"/>
                </w:tcPr>
                <w:p>
                  <w:pPr>
                    <w:pStyle w:val="184"/>
                    <w:widowControl/>
                    <w:spacing w:line="240" w:lineRule="auto"/>
                    <w:ind w:firstLine="0" w:firstLineChars="0"/>
                    <w:jc w:val="center"/>
                    <w:rPr>
                      <w:rFonts w:eastAsia="宋体"/>
                      <w:sz w:val="21"/>
                    </w:rPr>
                  </w:pPr>
                  <w:r>
                    <w:rPr>
                      <w:rFonts w:eastAsia="宋体"/>
                      <w:sz w:val="21"/>
                    </w:rPr>
                    <w:t>ZH51110220004</w:t>
                  </w:r>
                </w:p>
              </w:tc>
              <w:tc>
                <w:tcPr>
                  <w:tcW w:w="914" w:type="pct"/>
                  <w:vAlign w:val="center"/>
                </w:tcPr>
                <w:p>
                  <w:pPr>
                    <w:pStyle w:val="184"/>
                    <w:widowControl/>
                    <w:spacing w:line="240" w:lineRule="auto"/>
                    <w:ind w:firstLine="0" w:firstLineChars="0"/>
                    <w:jc w:val="center"/>
                    <w:rPr>
                      <w:rFonts w:eastAsia="宋体"/>
                      <w:sz w:val="21"/>
                    </w:rPr>
                  </w:pPr>
                  <w:r>
                    <w:rPr>
                      <w:rFonts w:eastAsia="宋体"/>
                      <w:sz w:val="21"/>
                    </w:rPr>
                    <w:t>市中区要素重点管控单元</w:t>
                  </w:r>
                </w:p>
              </w:tc>
              <w:tc>
                <w:tcPr>
                  <w:tcW w:w="671" w:type="pct"/>
                  <w:vAlign w:val="center"/>
                </w:tcPr>
                <w:p>
                  <w:pPr>
                    <w:pStyle w:val="184"/>
                    <w:widowControl/>
                    <w:spacing w:line="240" w:lineRule="auto"/>
                    <w:ind w:firstLine="0" w:firstLineChars="0"/>
                    <w:jc w:val="center"/>
                    <w:rPr>
                      <w:rFonts w:eastAsia="宋体"/>
                      <w:sz w:val="21"/>
                    </w:rPr>
                  </w:pPr>
                  <w:r>
                    <w:rPr>
                      <w:rFonts w:eastAsia="宋体"/>
                      <w:sz w:val="21"/>
                    </w:rPr>
                    <w:t>乐山市</w:t>
                  </w:r>
                </w:p>
              </w:tc>
              <w:tc>
                <w:tcPr>
                  <w:tcW w:w="500" w:type="pct"/>
                  <w:vAlign w:val="center"/>
                </w:tcPr>
                <w:p>
                  <w:pPr>
                    <w:pStyle w:val="184"/>
                    <w:widowControl/>
                    <w:spacing w:line="240" w:lineRule="auto"/>
                    <w:ind w:firstLine="0" w:firstLineChars="0"/>
                    <w:jc w:val="center"/>
                    <w:rPr>
                      <w:rFonts w:eastAsia="宋体"/>
                      <w:sz w:val="21"/>
                    </w:rPr>
                  </w:pPr>
                  <w:r>
                    <w:rPr>
                      <w:rFonts w:eastAsia="宋体"/>
                      <w:sz w:val="21"/>
                    </w:rPr>
                    <w:t>市中区</w:t>
                  </w:r>
                </w:p>
              </w:tc>
              <w:tc>
                <w:tcPr>
                  <w:tcW w:w="869" w:type="pct"/>
                  <w:vAlign w:val="center"/>
                </w:tcPr>
                <w:p>
                  <w:pPr>
                    <w:pStyle w:val="184"/>
                    <w:widowControl/>
                    <w:spacing w:line="240" w:lineRule="auto"/>
                    <w:ind w:firstLine="0" w:firstLineChars="0"/>
                    <w:jc w:val="center"/>
                    <w:rPr>
                      <w:rFonts w:eastAsia="宋体"/>
                      <w:sz w:val="21"/>
                    </w:rPr>
                  </w:pPr>
                  <w:r>
                    <w:rPr>
                      <w:rFonts w:eastAsia="宋体"/>
                      <w:sz w:val="21"/>
                    </w:rPr>
                    <w:t>环境管控单元</w:t>
                  </w:r>
                </w:p>
              </w:tc>
              <w:tc>
                <w:tcPr>
                  <w:tcW w:w="938" w:type="pct"/>
                  <w:vAlign w:val="center"/>
                </w:tcPr>
                <w:p>
                  <w:pPr>
                    <w:pStyle w:val="184"/>
                    <w:widowControl/>
                    <w:spacing w:line="240" w:lineRule="auto"/>
                    <w:ind w:firstLine="0" w:firstLineChars="0"/>
                    <w:jc w:val="center"/>
                    <w:rPr>
                      <w:rFonts w:eastAsia="宋体"/>
                      <w:sz w:val="21"/>
                    </w:rPr>
                  </w:pPr>
                  <w:r>
                    <w:rPr>
                      <w:rFonts w:eastAsia="宋体"/>
                      <w:sz w:val="21"/>
                    </w:rPr>
                    <w:t>环境综合管控单元要素重点管控单元</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12" w:hRule="atLeast"/>
                <w:tblHeader/>
              </w:trPr>
              <w:tc>
                <w:tcPr>
                  <w:tcW w:w="1109" w:type="pct"/>
                  <w:vAlign w:val="center"/>
                </w:tcPr>
                <w:p>
                  <w:pPr>
                    <w:pStyle w:val="184"/>
                    <w:widowControl/>
                    <w:spacing w:line="240" w:lineRule="auto"/>
                    <w:ind w:firstLine="0" w:firstLineChars="0"/>
                    <w:jc w:val="center"/>
                    <w:rPr>
                      <w:rFonts w:eastAsia="宋体"/>
                      <w:sz w:val="21"/>
                    </w:rPr>
                  </w:pPr>
                  <w:r>
                    <w:rPr>
                      <w:rFonts w:eastAsia="宋体"/>
                      <w:sz w:val="21"/>
                    </w:rPr>
                    <w:t>YS5111022230008</w:t>
                  </w:r>
                </w:p>
              </w:tc>
              <w:tc>
                <w:tcPr>
                  <w:tcW w:w="914" w:type="pct"/>
                  <w:vAlign w:val="center"/>
                </w:tcPr>
                <w:p>
                  <w:pPr>
                    <w:pStyle w:val="184"/>
                    <w:widowControl/>
                    <w:spacing w:line="240" w:lineRule="auto"/>
                    <w:ind w:firstLine="0" w:firstLineChars="0"/>
                    <w:jc w:val="center"/>
                    <w:rPr>
                      <w:rFonts w:eastAsia="宋体"/>
                      <w:sz w:val="21"/>
                    </w:rPr>
                  </w:pPr>
                  <w:r>
                    <w:rPr>
                      <w:rFonts w:eastAsia="宋体"/>
                      <w:sz w:val="21"/>
                    </w:rPr>
                    <w:t>茫溪河市中区茫溪大桥控制单元</w:t>
                  </w:r>
                </w:p>
              </w:tc>
              <w:tc>
                <w:tcPr>
                  <w:tcW w:w="671" w:type="pct"/>
                  <w:vAlign w:val="center"/>
                </w:tcPr>
                <w:p>
                  <w:pPr>
                    <w:pStyle w:val="184"/>
                    <w:widowControl/>
                    <w:spacing w:line="240" w:lineRule="auto"/>
                    <w:ind w:firstLine="0" w:firstLineChars="0"/>
                    <w:jc w:val="center"/>
                    <w:rPr>
                      <w:rFonts w:eastAsia="宋体"/>
                      <w:sz w:val="21"/>
                    </w:rPr>
                  </w:pPr>
                  <w:r>
                    <w:rPr>
                      <w:rFonts w:eastAsia="宋体"/>
                      <w:sz w:val="21"/>
                    </w:rPr>
                    <w:t>乐山市</w:t>
                  </w:r>
                </w:p>
              </w:tc>
              <w:tc>
                <w:tcPr>
                  <w:tcW w:w="500" w:type="pct"/>
                  <w:vAlign w:val="center"/>
                </w:tcPr>
                <w:p>
                  <w:pPr>
                    <w:pStyle w:val="184"/>
                    <w:widowControl/>
                    <w:spacing w:line="240" w:lineRule="auto"/>
                    <w:ind w:firstLine="0" w:firstLineChars="0"/>
                    <w:jc w:val="center"/>
                    <w:rPr>
                      <w:rFonts w:eastAsia="宋体"/>
                      <w:sz w:val="21"/>
                    </w:rPr>
                  </w:pPr>
                  <w:r>
                    <w:rPr>
                      <w:rFonts w:eastAsia="宋体"/>
                      <w:sz w:val="21"/>
                    </w:rPr>
                    <w:t>市中区</w:t>
                  </w:r>
                </w:p>
              </w:tc>
              <w:tc>
                <w:tcPr>
                  <w:tcW w:w="869" w:type="pct"/>
                  <w:vAlign w:val="center"/>
                </w:tcPr>
                <w:p>
                  <w:pPr>
                    <w:pStyle w:val="184"/>
                    <w:widowControl/>
                    <w:spacing w:line="240" w:lineRule="auto"/>
                    <w:ind w:firstLine="0" w:firstLineChars="0"/>
                    <w:jc w:val="center"/>
                    <w:rPr>
                      <w:rFonts w:eastAsia="宋体"/>
                      <w:sz w:val="21"/>
                    </w:rPr>
                  </w:pPr>
                  <w:r>
                    <w:rPr>
                      <w:rFonts w:eastAsia="宋体"/>
                      <w:sz w:val="21"/>
                    </w:rPr>
                    <w:t>水环境管控分区</w:t>
                  </w:r>
                </w:p>
              </w:tc>
              <w:tc>
                <w:tcPr>
                  <w:tcW w:w="938" w:type="pct"/>
                  <w:vAlign w:val="center"/>
                </w:tcPr>
                <w:p>
                  <w:pPr>
                    <w:pStyle w:val="184"/>
                    <w:widowControl/>
                    <w:spacing w:line="240" w:lineRule="auto"/>
                    <w:ind w:firstLine="0" w:firstLineChars="0"/>
                    <w:jc w:val="center"/>
                    <w:rPr>
                      <w:rFonts w:eastAsia="宋体"/>
                      <w:sz w:val="21"/>
                    </w:rPr>
                  </w:pPr>
                  <w:r>
                    <w:rPr>
                      <w:rFonts w:eastAsia="宋体"/>
                      <w:sz w:val="21"/>
                    </w:rPr>
                    <w:t>水环境农业污染重点管控区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12" w:hRule="atLeast"/>
                <w:tblHeader/>
              </w:trPr>
              <w:tc>
                <w:tcPr>
                  <w:tcW w:w="1109" w:type="pct"/>
                  <w:vAlign w:val="center"/>
                </w:tcPr>
                <w:p>
                  <w:pPr>
                    <w:pStyle w:val="184"/>
                    <w:widowControl/>
                    <w:spacing w:line="240" w:lineRule="auto"/>
                    <w:ind w:firstLine="0" w:firstLineChars="0"/>
                    <w:jc w:val="center"/>
                    <w:rPr>
                      <w:rFonts w:eastAsia="宋体"/>
                      <w:sz w:val="21"/>
                    </w:rPr>
                  </w:pPr>
                  <w:r>
                    <w:rPr>
                      <w:rFonts w:eastAsia="宋体"/>
                      <w:sz w:val="21"/>
                    </w:rPr>
                    <w:t>YS5111022320001</w:t>
                  </w:r>
                </w:p>
              </w:tc>
              <w:tc>
                <w:tcPr>
                  <w:tcW w:w="914" w:type="pct"/>
                  <w:vAlign w:val="center"/>
                </w:tcPr>
                <w:p>
                  <w:pPr>
                    <w:pStyle w:val="184"/>
                    <w:widowControl/>
                    <w:spacing w:line="240" w:lineRule="auto"/>
                    <w:ind w:firstLine="0" w:firstLineChars="0"/>
                    <w:jc w:val="center"/>
                    <w:rPr>
                      <w:rFonts w:eastAsia="宋体"/>
                      <w:sz w:val="21"/>
                    </w:rPr>
                  </w:pPr>
                  <w:r>
                    <w:rPr>
                      <w:rFonts w:eastAsia="宋体"/>
                      <w:sz w:val="21"/>
                    </w:rPr>
                    <w:t>乐山市市中区大气环境布局敏感重点管控区</w:t>
                  </w:r>
                </w:p>
              </w:tc>
              <w:tc>
                <w:tcPr>
                  <w:tcW w:w="671" w:type="pct"/>
                  <w:vAlign w:val="center"/>
                </w:tcPr>
                <w:p>
                  <w:pPr>
                    <w:pStyle w:val="184"/>
                    <w:widowControl/>
                    <w:spacing w:line="240" w:lineRule="auto"/>
                    <w:ind w:firstLine="0" w:firstLineChars="0"/>
                    <w:jc w:val="center"/>
                    <w:rPr>
                      <w:rFonts w:eastAsia="宋体"/>
                      <w:sz w:val="21"/>
                    </w:rPr>
                  </w:pPr>
                  <w:r>
                    <w:rPr>
                      <w:rFonts w:eastAsia="宋体"/>
                      <w:sz w:val="21"/>
                    </w:rPr>
                    <w:t>乐山市</w:t>
                  </w:r>
                </w:p>
              </w:tc>
              <w:tc>
                <w:tcPr>
                  <w:tcW w:w="500" w:type="pct"/>
                  <w:vAlign w:val="center"/>
                </w:tcPr>
                <w:p>
                  <w:pPr>
                    <w:pStyle w:val="184"/>
                    <w:widowControl/>
                    <w:spacing w:line="240" w:lineRule="auto"/>
                    <w:ind w:firstLine="0" w:firstLineChars="0"/>
                    <w:jc w:val="center"/>
                    <w:rPr>
                      <w:rFonts w:eastAsia="宋体"/>
                      <w:sz w:val="21"/>
                    </w:rPr>
                  </w:pPr>
                  <w:r>
                    <w:rPr>
                      <w:rFonts w:eastAsia="宋体"/>
                      <w:sz w:val="21"/>
                    </w:rPr>
                    <w:t>市中区</w:t>
                  </w:r>
                </w:p>
              </w:tc>
              <w:tc>
                <w:tcPr>
                  <w:tcW w:w="869" w:type="pct"/>
                  <w:vAlign w:val="center"/>
                </w:tcPr>
                <w:p>
                  <w:pPr>
                    <w:pStyle w:val="184"/>
                    <w:widowControl/>
                    <w:spacing w:line="240" w:lineRule="auto"/>
                    <w:ind w:firstLine="0" w:firstLineChars="0"/>
                    <w:jc w:val="center"/>
                    <w:rPr>
                      <w:rFonts w:eastAsia="宋体"/>
                      <w:sz w:val="21"/>
                    </w:rPr>
                  </w:pPr>
                  <w:r>
                    <w:rPr>
                      <w:rFonts w:eastAsia="宋体"/>
                      <w:sz w:val="21"/>
                    </w:rPr>
                    <w:t>大气环境管控分区</w:t>
                  </w:r>
                </w:p>
              </w:tc>
              <w:tc>
                <w:tcPr>
                  <w:tcW w:w="938" w:type="pct"/>
                  <w:vAlign w:val="center"/>
                </w:tcPr>
                <w:p>
                  <w:pPr>
                    <w:pStyle w:val="184"/>
                    <w:widowControl/>
                    <w:spacing w:line="240" w:lineRule="auto"/>
                    <w:ind w:firstLine="0" w:firstLineChars="0"/>
                    <w:jc w:val="center"/>
                    <w:rPr>
                      <w:rFonts w:eastAsia="宋体"/>
                      <w:sz w:val="21"/>
                    </w:rPr>
                  </w:pPr>
                  <w:r>
                    <w:rPr>
                      <w:rFonts w:eastAsia="宋体"/>
                      <w:sz w:val="21"/>
                    </w:rPr>
                    <w:t>大气环境布局敏感重点管控区</w:t>
                  </w:r>
                </w:p>
              </w:tc>
            </w:tr>
          </w:tbl>
          <w:p>
            <w:pPr>
              <w:spacing w:line="360" w:lineRule="auto"/>
              <w:ind w:firstLine="480" w:firstLineChars="200"/>
              <w:rPr>
                <w:sz w:val="24"/>
              </w:rPr>
            </w:pPr>
            <w:r>
              <w:rPr>
                <w:sz w:val="24"/>
              </w:rPr>
              <w:t>“三线一单”查询结果截图如下：</w:t>
            </w:r>
          </w:p>
          <w:p>
            <w:pPr>
              <w:spacing w:line="360" w:lineRule="auto"/>
              <w:rPr>
                <w:sz w:val="24"/>
              </w:rPr>
            </w:pPr>
            <w:r>
              <w:drawing>
                <wp:inline distT="0" distB="0" distL="0" distR="0">
                  <wp:extent cx="5189855" cy="4286250"/>
                  <wp:effectExtent l="0" t="0" r="1079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5"/>
                          <a:stretch>
                            <a:fillRect/>
                          </a:stretch>
                        </pic:blipFill>
                        <pic:spPr>
                          <a:xfrm>
                            <a:off x="0" y="0"/>
                            <a:ext cx="5202201" cy="4296933"/>
                          </a:xfrm>
                          <a:prstGeom prst="rect">
                            <a:avLst/>
                          </a:prstGeom>
                        </pic:spPr>
                      </pic:pic>
                    </a:graphicData>
                  </a:graphic>
                </wp:inline>
              </w:drawing>
            </w:r>
          </w:p>
          <w:p>
            <w:pPr>
              <w:spacing w:line="360" w:lineRule="auto"/>
              <w:ind w:firstLine="480" w:firstLineChars="200"/>
              <w:rPr>
                <w:sz w:val="24"/>
                <w:szCs w:val="21"/>
              </w:rPr>
            </w:pPr>
            <w:r>
              <w:rPr>
                <w:sz w:val="24"/>
                <w:szCs w:val="21"/>
              </w:rPr>
              <w:t>（2）生态环境准入清单符合性分析</w:t>
            </w:r>
          </w:p>
          <w:p>
            <w:pPr>
              <w:spacing w:line="360" w:lineRule="auto"/>
              <w:ind w:firstLine="480" w:firstLineChars="200"/>
              <w:rPr>
                <w:sz w:val="24"/>
                <w:szCs w:val="21"/>
              </w:rPr>
            </w:pPr>
            <w:r>
              <w:rPr>
                <w:sz w:val="24"/>
                <w:szCs w:val="21"/>
              </w:rPr>
              <w:t>本项目与生态环境准入清单符合性分析见下表1-3，本项目与四川省环境管控单元分布图、乐山市环境管控单元分布图的位置关系详见下图。</w:t>
            </w:r>
          </w:p>
          <w:p>
            <w:pPr>
              <w:ind w:firstLine="480" w:firstLineChars="200"/>
              <w:jc w:val="center"/>
              <w:rPr>
                <w:bCs/>
                <w:sz w:val="24"/>
                <w:szCs w:val="21"/>
              </w:rPr>
            </w:pPr>
            <w:r>
              <w:rPr>
                <w:bCs/>
                <w:sz w:val="24"/>
                <w:szCs w:val="21"/>
              </w:rPr>
              <w:t>表1-3建设项目与“三线一单”相关要求的符合性分析要点</w:t>
            </w:r>
          </w:p>
          <w:tbl>
            <w:tblPr>
              <w:tblStyle w:val="194"/>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056"/>
              <w:gridCol w:w="426"/>
              <w:gridCol w:w="427"/>
              <w:gridCol w:w="3159"/>
              <w:gridCol w:w="2663"/>
              <w:gridCol w:w="42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5503" w:type="dxa"/>
                  <w:gridSpan w:val="4"/>
                  <w:vAlign w:val="center"/>
                </w:tcPr>
                <w:p>
                  <w:pPr>
                    <w:pStyle w:val="193"/>
                    <w:widowControl/>
                    <w:shd w:val="clear" w:color="auto" w:fill="FFFFFF"/>
                    <w:spacing w:before="24" w:after="24" w:line="240" w:lineRule="auto"/>
                    <w:ind w:firstLine="0" w:firstLineChars="0"/>
                    <w:jc w:val="center"/>
                    <w:rPr>
                      <w:rFonts w:eastAsia="宋体"/>
                      <w:sz w:val="21"/>
                    </w:rPr>
                  </w:pPr>
                  <w:r>
                    <w:rPr>
                      <w:rFonts w:eastAsia="宋体"/>
                      <w:b/>
                      <w:sz w:val="21"/>
                    </w:rPr>
                    <w:t>“三线一单”的具体要求</w:t>
                  </w:r>
                </w:p>
              </w:tc>
              <w:tc>
                <w:tcPr>
                  <w:tcW w:w="2184" w:type="dxa"/>
                  <w:vMerge w:val="restart"/>
                  <w:vAlign w:val="center"/>
                </w:tcPr>
                <w:p>
                  <w:pPr>
                    <w:pStyle w:val="193"/>
                    <w:widowControl/>
                    <w:shd w:val="clear" w:color="auto" w:fill="FFFFFF"/>
                    <w:spacing w:before="24" w:after="24" w:line="240" w:lineRule="auto"/>
                    <w:ind w:firstLine="0" w:firstLineChars="0"/>
                    <w:jc w:val="center"/>
                    <w:rPr>
                      <w:rFonts w:eastAsia="宋体"/>
                      <w:sz w:val="21"/>
                    </w:rPr>
                  </w:pPr>
                  <w:r>
                    <w:rPr>
                      <w:rFonts w:eastAsia="宋体"/>
                      <w:b/>
                      <w:sz w:val="21"/>
                    </w:rPr>
                    <w:t>本项目情况</w:t>
                  </w:r>
                </w:p>
              </w:tc>
              <w:tc>
                <w:tcPr>
                  <w:tcW w:w="0" w:type="auto"/>
                  <w:vMerge w:val="restart"/>
                  <w:vAlign w:val="center"/>
                </w:tcPr>
                <w:p>
                  <w:pPr>
                    <w:pStyle w:val="193"/>
                    <w:widowControl/>
                    <w:shd w:val="clear" w:color="auto" w:fill="FFFFFF"/>
                    <w:spacing w:before="24" w:after="24" w:line="240" w:lineRule="auto"/>
                    <w:ind w:firstLine="0" w:firstLineChars="0"/>
                    <w:jc w:val="center"/>
                    <w:rPr>
                      <w:rFonts w:eastAsia="宋体"/>
                      <w:sz w:val="21"/>
                    </w:rPr>
                  </w:pPr>
                  <w:r>
                    <w:rPr>
                      <w:rFonts w:eastAsia="宋体"/>
                      <w:b/>
                      <w:sz w:val="21"/>
                    </w:rPr>
                    <w:t>是否符合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0" w:type="auto"/>
                  <w:gridSpan w:val="2"/>
                  <w:vMerge w:val="restart"/>
                  <w:vAlign w:val="center"/>
                </w:tcPr>
                <w:p>
                  <w:pPr>
                    <w:pStyle w:val="193"/>
                    <w:widowControl/>
                    <w:spacing w:before="24" w:after="24" w:line="240" w:lineRule="auto"/>
                    <w:ind w:firstLine="0" w:firstLineChars="0"/>
                    <w:jc w:val="center"/>
                    <w:rPr>
                      <w:rFonts w:eastAsia="宋体"/>
                      <w:sz w:val="21"/>
                    </w:rPr>
                  </w:pPr>
                  <w:r>
                    <w:rPr>
                      <w:rFonts w:eastAsia="宋体"/>
                      <w:b/>
                      <w:sz w:val="21"/>
                    </w:rPr>
                    <w:t>类别</w:t>
                  </w:r>
                </w:p>
              </w:tc>
              <w:tc>
                <w:tcPr>
                  <w:tcW w:w="4021" w:type="dxa"/>
                  <w:gridSpan w:val="2"/>
                  <w:vAlign w:val="center"/>
                </w:tcPr>
                <w:p>
                  <w:pPr>
                    <w:pStyle w:val="193"/>
                    <w:widowControl/>
                    <w:shd w:val="clear" w:color="auto" w:fill="FFFFFF"/>
                    <w:spacing w:before="24" w:after="24" w:line="240" w:lineRule="auto"/>
                    <w:ind w:firstLine="0" w:firstLineChars="0"/>
                    <w:jc w:val="center"/>
                    <w:rPr>
                      <w:rFonts w:eastAsia="宋体"/>
                      <w:sz w:val="21"/>
                    </w:rPr>
                  </w:pPr>
                  <w:r>
                    <w:rPr>
                      <w:rFonts w:eastAsia="宋体"/>
                      <w:b/>
                      <w:sz w:val="21"/>
                    </w:rPr>
                    <w:t>对应管控要求</w:t>
                  </w:r>
                </w:p>
              </w:tc>
              <w:tc>
                <w:tcPr>
                  <w:tcW w:w="2184" w:type="dxa"/>
                  <w:vMerge w:val="continue"/>
                  <w:vAlign w:val="center"/>
                </w:tcPr>
                <w:p>
                  <w:pPr>
                    <w:pStyle w:val="193"/>
                    <w:widowControl/>
                    <w:shd w:val="clear" w:color="auto" w:fill="FFFFFF"/>
                    <w:spacing w:before="24" w:after="24" w:line="240" w:lineRule="auto"/>
                    <w:ind w:firstLine="0" w:firstLineChars="0"/>
                    <w:jc w:val="center"/>
                    <w:rPr>
                      <w:rFonts w:eastAsia="宋体"/>
                      <w:sz w:val="21"/>
                    </w:rPr>
                  </w:pPr>
                </w:p>
              </w:tc>
              <w:tc>
                <w:tcPr>
                  <w:tcW w:w="0" w:type="auto"/>
                  <w:vMerge w:val="continue"/>
                  <w:vAlign w:val="center"/>
                </w:tcPr>
                <w:p>
                  <w:pPr>
                    <w:pStyle w:val="193"/>
                    <w:widowControl/>
                    <w:shd w:val="clear" w:color="auto" w:fill="FFFFFF"/>
                    <w:spacing w:before="24" w:after="24" w:line="240" w:lineRule="auto"/>
                    <w:ind w:firstLine="0" w:firstLineChars="0"/>
                    <w:jc w:val="center"/>
                    <w:rPr>
                      <w:rFonts w:eastAsia="宋体"/>
                      <w:sz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c>
                <w:tcPr>
                  <w:tcW w:w="0" w:type="auto"/>
                  <w:gridSpan w:val="2"/>
                  <w:vMerge w:val="continue"/>
                  <w:vAlign w:val="center"/>
                </w:tcPr>
                <w:p>
                  <w:pPr>
                    <w:pStyle w:val="193"/>
                    <w:widowControl/>
                    <w:spacing w:before="24" w:after="24" w:line="240" w:lineRule="auto"/>
                    <w:ind w:firstLine="0" w:firstLineChars="0"/>
                    <w:jc w:val="left"/>
                    <w:rPr>
                      <w:rFonts w:eastAsia="宋体"/>
                      <w:sz w:val="21"/>
                    </w:rPr>
                  </w:pPr>
                </w:p>
              </w:tc>
              <w:tc>
                <w:tcPr>
                  <w:tcW w:w="0" w:type="auto"/>
                  <w:vAlign w:val="center"/>
                </w:tcPr>
                <w:p>
                  <w:pPr>
                    <w:pStyle w:val="193"/>
                    <w:widowControl/>
                    <w:shd w:val="clear" w:color="auto" w:fill="FFFFFF"/>
                    <w:spacing w:before="24" w:after="24" w:line="240" w:lineRule="auto"/>
                    <w:ind w:firstLine="0" w:firstLineChars="0"/>
                    <w:jc w:val="center"/>
                    <w:rPr>
                      <w:rFonts w:eastAsia="宋体"/>
                      <w:b/>
                      <w:sz w:val="21"/>
                    </w:rPr>
                  </w:pPr>
                  <w:r>
                    <w:rPr>
                      <w:rFonts w:eastAsia="宋体"/>
                      <w:b/>
                      <w:sz w:val="21"/>
                    </w:rPr>
                    <w:t>管控类别</w:t>
                  </w:r>
                </w:p>
              </w:tc>
              <w:tc>
                <w:tcPr>
                  <w:tcW w:w="3594" w:type="dxa"/>
                  <w:vAlign w:val="center"/>
                </w:tcPr>
                <w:p>
                  <w:pPr>
                    <w:pStyle w:val="193"/>
                    <w:widowControl/>
                    <w:shd w:val="clear" w:color="auto" w:fill="FFFFFF"/>
                    <w:spacing w:before="24" w:after="24" w:line="240" w:lineRule="auto"/>
                    <w:ind w:firstLine="0" w:firstLineChars="0"/>
                    <w:jc w:val="center"/>
                    <w:rPr>
                      <w:rFonts w:eastAsia="宋体"/>
                      <w:b/>
                      <w:sz w:val="21"/>
                    </w:rPr>
                  </w:pPr>
                  <w:r>
                    <w:rPr>
                      <w:rFonts w:eastAsia="宋体"/>
                      <w:b/>
                      <w:sz w:val="21"/>
                    </w:rPr>
                    <w:t>单元特性管控要求</w:t>
                  </w:r>
                </w:p>
              </w:tc>
              <w:tc>
                <w:tcPr>
                  <w:tcW w:w="2184" w:type="dxa"/>
                  <w:vMerge w:val="continue"/>
                  <w:vAlign w:val="center"/>
                </w:tcPr>
                <w:p>
                  <w:pPr>
                    <w:pStyle w:val="193"/>
                    <w:widowControl/>
                    <w:shd w:val="clear" w:color="auto" w:fill="FFFFFF"/>
                    <w:spacing w:before="24" w:after="24" w:line="240" w:lineRule="auto"/>
                    <w:ind w:firstLine="0" w:firstLineChars="0"/>
                    <w:jc w:val="center"/>
                    <w:rPr>
                      <w:rFonts w:eastAsia="宋体"/>
                      <w:sz w:val="21"/>
                    </w:rPr>
                  </w:pPr>
                </w:p>
              </w:tc>
              <w:tc>
                <w:tcPr>
                  <w:tcW w:w="0" w:type="auto"/>
                  <w:vMerge w:val="continue"/>
                  <w:vAlign w:val="center"/>
                </w:tcPr>
                <w:p>
                  <w:pPr>
                    <w:pStyle w:val="193"/>
                    <w:widowControl/>
                    <w:shd w:val="clear" w:color="auto" w:fill="FFFFFF"/>
                    <w:spacing w:before="24" w:after="24" w:line="240" w:lineRule="auto"/>
                    <w:ind w:firstLine="0" w:firstLineChars="0"/>
                    <w:jc w:val="center"/>
                    <w:rPr>
                      <w:rFonts w:eastAsia="宋体"/>
                      <w:sz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0" w:type="auto"/>
                  <w:vMerge w:val="restart"/>
                  <w:vAlign w:val="center"/>
                </w:tcPr>
                <w:p>
                  <w:pPr>
                    <w:pStyle w:val="193"/>
                    <w:widowControl/>
                    <w:spacing w:before="24" w:after="24" w:line="240" w:lineRule="auto"/>
                    <w:ind w:firstLine="0" w:firstLineChars="0"/>
                    <w:rPr>
                      <w:rFonts w:eastAsia="宋体"/>
                      <w:sz w:val="21"/>
                    </w:rPr>
                  </w:pPr>
                  <w:r>
                    <w:rPr>
                      <w:rFonts w:eastAsia="宋体"/>
                      <w:sz w:val="21"/>
                    </w:rPr>
                    <w:t>ZH51110</w:t>
                  </w:r>
                </w:p>
                <w:p>
                  <w:pPr>
                    <w:pStyle w:val="193"/>
                    <w:widowControl/>
                    <w:spacing w:before="24" w:after="24" w:line="240" w:lineRule="auto"/>
                    <w:ind w:firstLine="0" w:firstLineChars="0"/>
                    <w:rPr>
                      <w:rFonts w:eastAsia="宋体"/>
                      <w:sz w:val="21"/>
                    </w:rPr>
                  </w:pPr>
                  <w:r>
                    <w:rPr>
                      <w:rFonts w:eastAsia="宋体"/>
                      <w:sz w:val="21"/>
                    </w:rPr>
                    <w:t>220004</w:t>
                  </w:r>
                </w:p>
              </w:tc>
              <w:tc>
                <w:tcPr>
                  <w:tcW w:w="0" w:type="auto"/>
                  <w:vMerge w:val="restart"/>
                  <w:vAlign w:val="center"/>
                </w:tcPr>
                <w:p>
                  <w:pPr>
                    <w:pStyle w:val="193"/>
                    <w:widowControl/>
                    <w:spacing w:before="24" w:after="24" w:line="240" w:lineRule="auto"/>
                    <w:ind w:firstLine="0" w:firstLineChars="0"/>
                    <w:jc w:val="left"/>
                    <w:rPr>
                      <w:rFonts w:eastAsia="宋体"/>
                      <w:sz w:val="21"/>
                    </w:rPr>
                  </w:pPr>
                  <w:r>
                    <w:rPr>
                      <w:rFonts w:eastAsia="宋体"/>
                      <w:sz w:val="21"/>
                    </w:rPr>
                    <w:t>市中区要素重点管控单元</w:t>
                  </w:r>
                </w:p>
                <w:p>
                  <w:pPr>
                    <w:pStyle w:val="193"/>
                    <w:widowControl/>
                    <w:spacing w:before="24" w:after="24" w:line="240" w:lineRule="auto"/>
                    <w:ind w:firstLine="0" w:firstLineChars="0"/>
                    <w:jc w:val="left"/>
                    <w:rPr>
                      <w:rFonts w:eastAsia="宋体"/>
                      <w:sz w:val="21"/>
                    </w:rPr>
                  </w:pPr>
                  <w:r>
                    <w:rPr>
                      <w:rFonts w:eastAsia="宋体"/>
                      <w:sz w:val="21"/>
                    </w:rPr>
                    <w:t>市中区要素重点管控单元</w:t>
                  </w:r>
                </w:p>
                <w:p>
                  <w:pPr>
                    <w:pStyle w:val="193"/>
                    <w:widowControl/>
                    <w:spacing w:before="24" w:after="24" w:line="240" w:lineRule="auto"/>
                    <w:ind w:firstLine="0" w:firstLineChars="0"/>
                    <w:jc w:val="left"/>
                    <w:rPr>
                      <w:rFonts w:eastAsia="宋体"/>
                      <w:sz w:val="21"/>
                    </w:rPr>
                  </w:pPr>
                  <w:r>
                    <w:rPr>
                      <w:rFonts w:eastAsia="宋体"/>
                      <w:sz w:val="21"/>
                    </w:rPr>
                    <w:t>市中区要素重点管控单元</w:t>
                  </w:r>
                </w:p>
                <w:p>
                  <w:pPr>
                    <w:pStyle w:val="193"/>
                    <w:spacing w:before="24" w:after="24" w:line="240" w:lineRule="auto"/>
                    <w:ind w:firstLine="0" w:firstLineChars="0"/>
                    <w:jc w:val="left"/>
                    <w:rPr>
                      <w:rFonts w:eastAsia="宋体"/>
                      <w:sz w:val="21"/>
                    </w:rPr>
                  </w:pPr>
                  <w:r>
                    <w:rPr>
                      <w:rFonts w:eastAsia="宋体"/>
                      <w:sz w:val="21"/>
                    </w:rPr>
                    <w:t>市中区要素重点管控单元</w:t>
                  </w:r>
                </w:p>
              </w:tc>
              <w:tc>
                <w:tcPr>
                  <w:tcW w:w="0" w:type="auto"/>
                  <w:vAlign w:val="center"/>
                </w:tcPr>
                <w:p>
                  <w:pPr>
                    <w:pStyle w:val="193"/>
                    <w:widowControl/>
                    <w:spacing w:before="24" w:after="24" w:line="240" w:lineRule="auto"/>
                    <w:ind w:firstLine="0" w:firstLineChars="0"/>
                    <w:jc w:val="left"/>
                    <w:rPr>
                      <w:rFonts w:eastAsia="宋体"/>
                      <w:sz w:val="21"/>
                    </w:rPr>
                  </w:pPr>
                  <w:r>
                    <w:rPr>
                      <w:rFonts w:eastAsia="宋体"/>
                      <w:sz w:val="21"/>
                    </w:rPr>
                    <w:t>空间布局约束</w:t>
                  </w:r>
                </w:p>
              </w:tc>
              <w:tc>
                <w:tcPr>
                  <w:tcW w:w="3594" w:type="dxa"/>
                  <w:vAlign w:val="center"/>
                </w:tcPr>
                <w:p>
                  <w:pPr>
                    <w:pStyle w:val="193"/>
                    <w:widowControl/>
                    <w:shd w:val="clear" w:color="auto" w:fill="FFFFFF"/>
                    <w:spacing w:before="24" w:after="24" w:line="240" w:lineRule="auto"/>
                    <w:ind w:firstLine="0" w:firstLineChars="0"/>
                    <w:jc w:val="left"/>
                    <w:rPr>
                      <w:rFonts w:eastAsia="宋体"/>
                      <w:sz w:val="21"/>
                    </w:rPr>
                  </w:pPr>
                  <w:r>
                    <w:rPr>
                      <w:rFonts w:eastAsia="宋体"/>
                      <w:sz w:val="21"/>
                    </w:rPr>
                    <w:t>禁止开发建设活动的要求</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执行乐山市要素重点管控单元普适性总体准入要求</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限制开发建设活动的要求</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1、严控新（改、扩）建排放污染物的项目；2、其他执行乐山市要素重点管控单元普适性总体准入要求</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允许开发建设活动的要求</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不符合空间布局要求活动的退出要求</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1、单元内既有合法手续的、且污染物排放和环境风险满足管控要求的企业可继续保留，不得新增污染物排放，并进一步加强监管；否则限期进行整改，整改后任不能达到要求的，属地政府责令关停退出；2、执行乐山市要素重点管控单元普适性总体准入要求</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其他空间布局约束要求</w:t>
                  </w:r>
                </w:p>
              </w:tc>
              <w:tc>
                <w:tcPr>
                  <w:tcW w:w="2184" w:type="dxa"/>
                  <w:vAlign w:val="center"/>
                </w:tcPr>
                <w:p>
                  <w:pPr>
                    <w:pStyle w:val="193"/>
                    <w:widowControl/>
                    <w:shd w:val="clear" w:color="auto" w:fill="FFFFFF"/>
                    <w:spacing w:before="24" w:after="24" w:line="240" w:lineRule="auto"/>
                    <w:ind w:firstLine="0" w:firstLineChars="0"/>
                    <w:jc w:val="center"/>
                    <w:rPr>
                      <w:rFonts w:eastAsia="宋体"/>
                      <w:sz w:val="21"/>
                    </w:rPr>
                  </w:pPr>
                  <w:r>
                    <w:rPr>
                      <w:rFonts w:eastAsia="宋体"/>
                      <w:sz w:val="21"/>
                    </w:rPr>
                    <w:t>本项目不属于乐山市要素重点管控单元普适性总体准入要求中的禁止开发建设项目和限制开发建设项目，符合空间布局要求，属于乐山市资源循环利用基地，符合区域发展规划。</w:t>
                  </w:r>
                </w:p>
              </w:tc>
              <w:tc>
                <w:tcPr>
                  <w:tcW w:w="0" w:type="auto"/>
                  <w:vAlign w:val="center"/>
                </w:tcPr>
                <w:p>
                  <w:pPr>
                    <w:pStyle w:val="193"/>
                    <w:widowControl/>
                    <w:shd w:val="clear" w:color="auto" w:fill="FFFFFF"/>
                    <w:spacing w:before="24" w:after="24" w:line="240" w:lineRule="auto"/>
                    <w:ind w:firstLine="0" w:firstLineChars="0"/>
                    <w:jc w:val="center"/>
                    <w:rPr>
                      <w:rFonts w:eastAsia="宋体"/>
                      <w:sz w:val="21"/>
                    </w:rPr>
                  </w:pPr>
                  <w:r>
                    <w:rPr>
                      <w:rFonts w:eastAsia="宋体"/>
                      <w:sz w:val="21"/>
                    </w:rPr>
                    <w:t>符合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6" w:hRule="atLeast"/>
              </w:trPr>
              <w:tc>
                <w:tcPr>
                  <w:tcW w:w="0" w:type="auto"/>
                  <w:vMerge w:val="continue"/>
                  <w:vAlign w:val="center"/>
                </w:tcPr>
                <w:p>
                  <w:pPr>
                    <w:pStyle w:val="193"/>
                    <w:spacing w:before="24" w:after="24" w:line="240" w:lineRule="auto"/>
                    <w:ind w:firstLine="420"/>
                    <w:jc w:val="left"/>
                    <w:rPr>
                      <w:rFonts w:eastAsia="宋体"/>
                      <w:sz w:val="21"/>
                    </w:rPr>
                  </w:pPr>
                </w:p>
              </w:tc>
              <w:tc>
                <w:tcPr>
                  <w:tcW w:w="0" w:type="auto"/>
                  <w:vMerge w:val="continue"/>
                  <w:vAlign w:val="center"/>
                </w:tcPr>
                <w:p>
                  <w:pPr>
                    <w:pStyle w:val="193"/>
                    <w:spacing w:before="24" w:after="24" w:line="240" w:lineRule="auto"/>
                    <w:ind w:firstLine="420"/>
                    <w:jc w:val="left"/>
                    <w:rPr>
                      <w:rFonts w:eastAsia="宋体"/>
                      <w:sz w:val="21"/>
                    </w:rPr>
                  </w:pPr>
                </w:p>
              </w:tc>
              <w:tc>
                <w:tcPr>
                  <w:tcW w:w="0" w:type="auto"/>
                  <w:vAlign w:val="center"/>
                </w:tcPr>
                <w:p>
                  <w:pPr>
                    <w:pStyle w:val="193"/>
                    <w:widowControl/>
                    <w:spacing w:before="24" w:after="24" w:line="240" w:lineRule="auto"/>
                    <w:ind w:firstLine="0" w:firstLineChars="0"/>
                    <w:jc w:val="left"/>
                    <w:rPr>
                      <w:rFonts w:eastAsia="宋体"/>
                      <w:sz w:val="21"/>
                    </w:rPr>
                  </w:pPr>
                  <w:r>
                    <w:rPr>
                      <w:rFonts w:eastAsia="宋体"/>
                      <w:sz w:val="21"/>
                    </w:rPr>
                    <w:t>污染物排放管控</w:t>
                  </w:r>
                </w:p>
              </w:tc>
              <w:tc>
                <w:tcPr>
                  <w:tcW w:w="3594" w:type="dxa"/>
                  <w:vAlign w:val="center"/>
                </w:tcPr>
                <w:p>
                  <w:pPr>
                    <w:pStyle w:val="193"/>
                    <w:widowControl/>
                    <w:shd w:val="clear" w:color="auto" w:fill="FFFFFF"/>
                    <w:spacing w:before="24" w:after="24" w:line="240" w:lineRule="auto"/>
                    <w:ind w:firstLine="0" w:firstLineChars="0"/>
                    <w:jc w:val="left"/>
                    <w:rPr>
                      <w:rFonts w:eastAsia="宋体"/>
                      <w:sz w:val="21"/>
                    </w:rPr>
                  </w:pPr>
                  <w:r>
                    <w:rPr>
                      <w:rFonts w:eastAsia="宋体"/>
                      <w:sz w:val="21"/>
                    </w:rPr>
                    <w:t>现有源提标升级改造</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1、现有白酒、造纸等水污染企业，限期进行深度治理，不达标的企业关停并转；2、执行乐山市要素重点管控单元普适性总体准入要求</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新增源等量或倍量替代</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执行乐山市要素重点管控单元普适性总体准入要求。</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新增源排放标准限值</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污染物排放绩效水平准入要求</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1、控制工业、生活污染源，减少移动源污染物排放。打好柴油货车污染治理攻坚战，实施“车、油、路、管”综合整治；加快老旧车辆的淘汰和不达标车辆的整治。加强渣土运输车辆规范化管理，严格实施密闭运输，强化城乡结合部环境监管。</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其他污染物排放管控要求</w:t>
                  </w:r>
                </w:p>
              </w:tc>
              <w:tc>
                <w:tcPr>
                  <w:tcW w:w="2184" w:type="dxa"/>
                  <w:vAlign w:val="center"/>
                </w:tcPr>
                <w:p>
                  <w:pPr>
                    <w:pStyle w:val="193"/>
                    <w:widowControl/>
                    <w:shd w:val="clear" w:color="auto" w:fill="FFFFFF"/>
                    <w:spacing w:before="24" w:after="24" w:line="240" w:lineRule="auto"/>
                    <w:ind w:firstLine="0" w:firstLineChars="0"/>
                    <w:jc w:val="center"/>
                    <w:rPr>
                      <w:rFonts w:eastAsia="宋体"/>
                      <w:sz w:val="21"/>
                    </w:rPr>
                  </w:pPr>
                  <w:r>
                    <w:rPr>
                      <w:rFonts w:eastAsia="宋体"/>
                      <w:sz w:val="21"/>
                    </w:rPr>
                    <w:t>根据乐山市要素重点管控单元普适性总体准入要求，本项目属于新建工业项目按要求须执行大气污染特别排放限制。</w:t>
                  </w:r>
                </w:p>
              </w:tc>
              <w:tc>
                <w:tcPr>
                  <w:tcW w:w="0" w:type="auto"/>
                  <w:vAlign w:val="center"/>
                </w:tcPr>
                <w:p>
                  <w:pPr>
                    <w:pStyle w:val="193"/>
                    <w:widowControl/>
                    <w:shd w:val="clear" w:color="auto" w:fill="FFFFFF"/>
                    <w:spacing w:before="24" w:after="24" w:line="240" w:lineRule="auto"/>
                    <w:ind w:firstLine="0" w:firstLineChars="0"/>
                    <w:jc w:val="center"/>
                    <w:rPr>
                      <w:rFonts w:eastAsia="宋体"/>
                      <w:sz w:val="21"/>
                    </w:rPr>
                  </w:pPr>
                  <w:r>
                    <w:rPr>
                      <w:rFonts w:eastAsia="宋体"/>
                      <w:sz w:val="21"/>
                    </w:rPr>
                    <w:t>符合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6" w:hRule="atLeast"/>
              </w:trPr>
              <w:tc>
                <w:tcPr>
                  <w:tcW w:w="0" w:type="auto"/>
                  <w:vMerge w:val="continue"/>
                  <w:vAlign w:val="center"/>
                </w:tcPr>
                <w:p>
                  <w:pPr>
                    <w:pStyle w:val="193"/>
                    <w:spacing w:before="24" w:after="24" w:line="240" w:lineRule="auto"/>
                    <w:ind w:firstLine="420"/>
                    <w:jc w:val="left"/>
                    <w:rPr>
                      <w:rFonts w:eastAsia="宋体"/>
                      <w:sz w:val="21"/>
                    </w:rPr>
                  </w:pPr>
                </w:p>
              </w:tc>
              <w:tc>
                <w:tcPr>
                  <w:tcW w:w="0" w:type="auto"/>
                  <w:vMerge w:val="continue"/>
                  <w:vAlign w:val="center"/>
                </w:tcPr>
                <w:p>
                  <w:pPr>
                    <w:pStyle w:val="193"/>
                    <w:spacing w:before="24" w:after="24" w:line="240" w:lineRule="auto"/>
                    <w:ind w:firstLine="420"/>
                    <w:jc w:val="left"/>
                    <w:rPr>
                      <w:rFonts w:eastAsia="宋体"/>
                      <w:sz w:val="21"/>
                    </w:rPr>
                  </w:pPr>
                </w:p>
              </w:tc>
              <w:tc>
                <w:tcPr>
                  <w:tcW w:w="0" w:type="auto"/>
                  <w:vAlign w:val="center"/>
                </w:tcPr>
                <w:p>
                  <w:pPr>
                    <w:pStyle w:val="193"/>
                    <w:widowControl/>
                    <w:spacing w:before="24" w:after="24" w:line="240" w:lineRule="auto"/>
                    <w:ind w:firstLine="0" w:firstLineChars="0"/>
                    <w:jc w:val="left"/>
                    <w:rPr>
                      <w:rFonts w:eastAsia="宋体"/>
                      <w:sz w:val="21"/>
                    </w:rPr>
                  </w:pPr>
                  <w:r>
                    <w:rPr>
                      <w:rFonts w:eastAsia="宋体"/>
                      <w:sz w:val="21"/>
                    </w:rPr>
                    <w:t>环境风险防控</w:t>
                  </w:r>
                </w:p>
              </w:tc>
              <w:tc>
                <w:tcPr>
                  <w:tcW w:w="3594" w:type="dxa"/>
                  <w:vAlign w:val="center"/>
                </w:tcPr>
                <w:p>
                  <w:pPr>
                    <w:pStyle w:val="193"/>
                    <w:widowControl/>
                    <w:shd w:val="clear" w:color="auto" w:fill="FFFFFF"/>
                    <w:spacing w:before="24" w:after="24" w:line="240" w:lineRule="auto"/>
                    <w:ind w:firstLine="0" w:firstLineChars="0"/>
                    <w:jc w:val="left"/>
                    <w:rPr>
                      <w:rFonts w:eastAsia="宋体"/>
                      <w:sz w:val="21"/>
                    </w:rPr>
                  </w:pPr>
                  <w:r>
                    <w:rPr>
                      <w:rFonts w:eastAsia="宋体"/>
                      <w:sz w:val="21"/>
                    </w:rPr>
                    <w:t>严格管控类农用地管控要求</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安全利用类农用地管控要求</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污染地块管控要求</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园区环境风险防控要求</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企业环境风险防控要求</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1、土壤污染重点监管企业和污染地块应严格执行《中华人民共和国土壤污染防治法》、《工矿用地土壤环境管理办法（试行）》、《四川省工况用地土壤环境管理办法》、《土壤污染防治行动计划四川省工作方案》、《四川省污染地块土壤环境管理办法》等要求；2、其他执行乐山市要素重点管控单元普适性总体准入要求。</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其他环境风险防控要求</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执行乐山市要素重点管控单元普适性总体准入要求。</w:t>
                  </w:r>
                </w:p>
              </w:tc>
              <w:tc>
                <w:tcPr>
                  <w:tcW w:w="2184" w:type="dxa"/>
                  <w:vAlign w:val="center"/>
                </w:tcPr>
                <w:p>
                  <w:pPr>
                    <w:pStyle w:val="193"/>
                    <w:widowControl/>
                    <w:shd w:val="clear" w:color="auto" w:fill="FFFFFF"/>
                    <w:spacing w:before="24" w:after="24" w:line="240" w:lineRule="auto"/>
                    <w:ind w:firstLine="0" w:firstLineChars="0"/>
                    <w:jc w:val="center"/>
                    <w:rPr>
                      <w:rFonts w:eastAsia="宋体"/>
                      <w:sz w:val="21"/>
                    </w:rPr>
                  </w:pPr>
                  <w:r>
                    <w:rPr>
                      <w:rFonts w:eastAsia="宋体"/>
                      <w:sz w:val="21"/>
                    </w:rPr>
                    <w:t>根据乐山市要素重点管控单元普适性总体准入要求，本项目不属于</w:t>
                  </w:r>
                  <w:r>
                    <w:rPr>
                      <w:rFonts w:eastAsia="宋体"/>
                      <w:kern w:val="0"/>
                      <w:sz w:val="21"/>
                    </w:rPr>
                    <w:t>新增以铅、汞、镉、铬、砷五类重金属为主的污染物排放项目；</w:t>
                  </w:r>
                </w:p>
              </w:tc>
              <w:tc>
                <w:tcPr>
                  <w:tcW w:w="0" w:type="auto"/>
                  <w:vAlign w:val="center"/>
                </w:tcPr>
                <w:p>
                  <w:pPr>
                    <w:pStyle w:val="193"/>
                    <w:widowControl/>
                    <w:shd w:val="clear" w:color="auto" w:fill="FFFFFF"/>
                    <w:spacing w:before="24" w:after="24" w:line="240" w:lineRule="auto"/>
                    <w:ind w:firstLine="0" w:firstLineChars="0"/>
                    <w:jc w:val="center"/>
                    <w:rPr>
                      <w:rFonts w:eastAsia="宋体"/>
                      <w:sz w:val="21"/>
                    </w:rPr>
                  </w:pPr>
                  <w:r>
                    <w:rPr>
                      <w:rFonts w:eastAsia="宋体"/>
                      <w:sz w:val="21"/>
                    </w:rPr>
                    <w:t>符合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6" w:hRule="atLeast"/>
              </w:trPr>
              <w:tc>
                <w:tcPr>
                  <w:tcW w:w="0" w:type="auto"/>
                  <w:vMerge w:val="continue"/>
                  <w:vAlign w:val="center"/>
                </w:tcPr>
                <w:p>
                  <w:pPr>
                    <w:pStyle w:val="193"/>
                    <w:widowControl/>
                    <w:spacing w:before="24" w:after="24" w:line="240" w:lineRule="auto"/>
                    <w:ind w:firstLine="0" w:firstLineChars="0"/>
                    <w:jc w:val="left"/>
                    <w:rPr>
                      <w:rFonts w:eastAsia="宋体"/>
                      <w:sz w:val="21"/>
                    </w:rPr>
                  </w:pPr>
                </w:p>
              </w:tc>
              <w:tc>
                <w:tcPr>
                  <w:tcW w:w="0" w:type="auto"/>
                  <w:vMerge w:val="continue"/>
                  <w:vAlign w:val="center"/>
                </w:tcPr>
                <w:p>
                  <w:pPr>
                    <w:pStyle w:val="193"/>
                    <w:widowControl/>
                    <w:spacing w:before="24" w:after="24" w:line="240" w:lineRule="auto"/>
                    <w:ind w:firstLine="0" w:firstLineChars="0"/>
                    <w:jc w:val="left"/>
                    <w:rPr>
                      <w:rFonts w:eastAsia="宋体"/>
                      <w:sz w:val="21"/>
                    </w:rPr>
                  </w:pPr>
                </w:p>
              </w:tc>
              <w:tc>
                <w:tcPr>
                  <w:tcW w:w="0" w:type="auto"/>
                  <w:vAlign w:val="center"/>
                </w:tcPr>
                <w:p>
                  <w:pPr>
                    <w:pStyle w:val="193"/>
                    <w:widowControl/>
                    <w:spacing w:before="24" w:after="24" w:line="240" w:lineRule="auto"/>
                    <w:ind w:firstLine="0" w:firstLineChars="0"/>
                    <w:jc w:val="left"/>
                    <w:rPr>
                      <w:rFonts w:eastAsia="宋体"/>
                      <w:sz w:val="21"/>
                    </w:rPr>
                  </w:pPr>
                  <w:r>
                    <w:rPr>
                      <w:rFonts w:eastAsia="宋体"/>
                      <w:sz w:val="21"/>
                    </w:rPr>
                    <w:t>资源开发效率要求</w:t>
                  </w:r>
                </w:p>
              </w:tc>
              <w:tc>
                <w:tcPr>
                  <w:tcW w:w="3594" w:type="dxa"/>
                  <w:vAlign w:val="center"/>
                </w:tcPr>
                <w:p>
                  <w:pPr>
                    <w:pStyle w:val="193"/>
                    <w:widowControl/>
                    <w:shd w:val="clear" w:color="auto" w:fill="FFFFFF"/>
                    <w:spacing w:before="24" w:after="24" w:line="240" w:lineRule="auto"/>
                    <w:ind w:firstLine="0" w:firstLineChars="0"/>
                    <w:jc w:val="left"/>
                    <w:rPr>
                      <w:rFonts w:eastAsia="宋体"/>
                      <w:sz w:val="21"/>
                    </w:rPr>
                  </w:pPr>
                  <w:r>
                    <w:rPr>
                      <w:rFonts w:eastAsia="宋体"/>
                      <w:sz w:val="21"/>
                    </w:rPr>
                    <w:t>水资源利用效率要求</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执行乐山市要素重点管控单元普适性总体准入要求。</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地下水开采要求</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能源利用效率要求</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执行乐山市要素重点管控单元普适性总体准入要求。</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其他资源利用效率要求</w:t>
                  </w:r>
                </w:p>
              </w:tc>
              <w:tc>
                <w:tcPr>
                  <w:tcW w:w="2184" w:type="dxa"/>
                  <w:vAlign w:val="center"/>
                </w:tcPr>
                <w:p>
                  <w:pPr>
                    <w:pStyle w:val="193"/>
                    <w:spacing w:before="24" w:after="24" w:line="240" w:lineRule="auto"/>
                    <w:ind w:firstLine="0" w:firstLineChars="0"/>
                    <w:rPr>
                      <w:rFonts w:eastAsia="宋体"/>
                      <w:kern w:val="0"/>
                      <w:sz w:val="21"/>
                    </w:rPr>
                  </w:pPr>
                  <w:r>
                    <w:rPr>
                      <w:rFonts w:eastAsia="宋体"/>
                      <w:sz w:val="21"/>
                    </w:rPr>
                    <w:t>项目生产废水循环使用，生活污水经一体化污水处理设施处理后回用生产，不外排。符合乐山市要素重点管控单元普适性总体准入要求，不涉及水资源利用效率要求，不涉及地下水开采要求，不涉及</w:t>
                  </w:r>
                  <w:r>
                    <w:rPr>
                      <w:rFonts w:eastAsia="宋体"/>
                      <w:kern w:val="0"/>
                      <w:sz w:val="21"/>
                    </w:rPr>
                    <w:t>能源利用总量及效率要求；能源以电为主，不涉及高污染燃料的使用。</w:t>
                  </w:r>
                </w:p>
                <w:p>
                  <w:pPr>
                    <w:pStyle w:val="193"/>
                    <w:widowControl/>
                    <w:shd w:val="clear" w:color="auto" w:fill="FFFFFF"/>
                    <w:spacing w:before="24" w:after="24" w:line="240" w:lineRule="auto"/>
                    <w:ind w:firstLine="0" w:firstLineChars="0"/>
                    <w:jc w:val="left"/>
                    <w:rPr>
                      <w:rFonts w:eastAsia="宋体"/>
                      <w:sz w:val="21"/>
                    </w:rPr>
                  </w:pPr>
                </w:p>
              </w:tc>
              <w:tc>
                <w:tcPr>
                  <w:tcW w:w="0" w:type="auto"/>
                  <w:vAlign w:val="center"/>
                </w:tcPr>
                <w:p>
                  <w:pPr>
                    <w:pStyle w:val="193"/>
                    <w:widowControl/>
                    <w:shd w:val="clear" w:color="auto" w:fill="FFFFFF"/>
                    <w:spacing w:before="24" w:after="24" w:line="240" w:lineRule="auto"/>
                    <w:ind w:firstLine="0" w:firstLineChars="0"/>
                    <w:jc w:val="center"/>
                    <w:rPr>
                      <w:rFonts w:eastAsia="宋体"/>
                      <w:sz w:val="21"/>
                    </w:rPr>
                  </w:pPr>
                  <w:r>
                    <w:rPr>
                      <w:rFonts w:eastAsia="宋体"/>
                      <w:sz w:val="21"/>
                    </w:rPr>
                    <w:t>符合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6" w:hRule="atLeast"/>
              </w:trPr>
              <w:tc>
                <w:tcPr>
                  <w:tcW w:w="0" w:type="auto"/>
                  <w:vMerge w:val="restart"/>
                  <w:vAlign w:val="center"/>
                </w:tcPr>
                <w:p>
                  <w:pPr>
                    <w:pStyle w:val="193"/>
                    <w:widowControl/>
                    <w:spacing w:before="24" w:after="24" w:line="240" w:lineRule="auto"/>
                    <w:ind w:firstLine="0" w:firstLineChars="0"/>
                    <w:jc w:val="left"/>
                    <w:rPr>
                      <w:rFonts w:eastAsia="宋体"/>
                      <w:sz w:val="21"/>
                    </w:rPr>
                  </w:pPr>
                  <w:r>
                    <w:rPr>
                      <w:rFonts w:eastAsia="宋体"/>
                      <w:sz w:val="21"/>
                    </w:rPr>
                    <w:t>YS51110</w:t>
                  </w:r>
                </w:p>
                <w:p>
                  <w:pPr>
                    <w:pStyle w:val="193"/>
                    <w:widowControl/>
                    <w:spacing w:before="24" w:after="24" w:line="240" w:lineRule="auto"/>
                    <w:ind w:firstLine="0" w:firstLineChars="0"/>
                    <w:jc w:val="left"/>
                    <w:rPr>
                      <w:rFonts w:eastAsia="宋体"/>
                      <w:sz w:val="21"/>
                    </w:rPr>
                  </w:pPr>
                  <w:r>
                    <w:rPr>
                      <w:rFonts w:eastAsia="宋体"/>
                      <w:sz w:val="21"/>
                    </w:rPr>
                    <w:t>22230008</w:t>
                  </w:r>
                </w:p>
              </w:tc>
              <w:tc>
                <w:tcPr>
                  <w:tcW w:w="0" w:type="auto"/>
                  <w:vMerge w:val="restart"/>
                  <w:vAlign w:val="center"/>
                </w:tcPr>
                <w:p>
                  <w:pPr>
                    <w:pStyle w:val="193"/>
                    <w:widowControl/>
                    <w:spacing w:before="24" w:after="24" w:line="240" w:lineRule="auto"/>
                    <w:ind w:firstLine="0" w:firstLineChars="0"/>
                    <w:jc w:val="left"/>
                    <w:rPr>
                      <w:rFonts w:eastAsia="宋体"/>
                      <w:sz w:val="21"/>
                    </w:rPr>
                  </w:pPr>
                  <w:r>
                    <w:rPr>
                      <w:rFonts w:eastAsia="宋体"/>
                      <w:sz w:val="21"/>
                    </w:rPr>
                    <w:t>茫溪河市中区茫溪大桥控制单元</w:t>
                  </w:r>
                </w:p>
              </w:tc>
              <w:tc>
                <w:tcPr>
                  <w:tcW w:w="0" w:type="auto"/>
                  <w:vAlign w:val="center"/>
                </w:tcPr>
                <w:p>
                  <w:pPr>
                    <w:pStyle w:val="193"/>
                    <w:widowControl/>
                    <w:spacing w:before="24" w:after="24" w:line="240" w:lineRule="auto"/>
                    <w:ind w:firstLine="0" w:firstLineChars="0"/>
                    <w:jc w:val="left"/>
                    <w:rPr>
                      <w:rFonts w:eastAsia="宋体"/>
                      <w:sz w:val="21"/>
                    </w:rPr>
                  </w:pPr>
                  <w:r>
                    <w:rPr>
                      <w:rFonts w:eastAsia="宋体"/>
                      <w:sz w:val="21"/>
                    </w:rPr>
                    <w:t>空间布局约束</w:t>
                  </w:r>
                </w:p>
              </w:tc>
              <w:tc>
                <w:tcPr>
                  <w:tcW w:w="3594" w:type="dxa"/>
                  <w:vAlign w:val="center"/>
                </w:tcPr>
                <w:p>
                  <w:pPr>
                    <w:pStyle w:val="193"/>
                    <w:widowControl/>
                    <w:shd w:val="clear" w:color="auto" w:fill="FFFFFF"/>
                    <w:spacing w:before="24" w:after="24" w:line="240" w:lineRule="auto"/>
                    <w:ind w:firstLine="0" w:firstLineChars="0"/>
                    <w:jc w:val="left"/>
                    <w:rPr>
                      <w:rFonts w:eastAsia="宋体"/>
                      <w:sz w:val="21"/>
                    </w:rPr>
                  </w:pPr>
                  <w:r>
                    <w:rPr>
                      <w:rFonts w:eastAsia="宋体"/>
                      <w:sz w:val="21"/>
                    </w:rPr>
                    <w:t>禁止开发建设活动的要求</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限制开发建设活动的要求</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允许开发建设活动的要求</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不符合空间布局要求活动的退出要求</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其他空间布局约束要求</w:t>
                  </w:r>
                </w:p>
              </w:tc>
              <w:tc>
                <w:tcPr>
                  <w:tcW w:w="2184" w:type="dxa"/>
                  <w:vAlign w:val="center"/>
                </w:tcPr>
                <w:p>
                  <w:pPr>
                    <w:pStyle w:val="193"/>
                    <w:widowControl/>
                    <w:shd w:val="clear" w:color="auto" w:fill="FFFFFF"/>
                    <w:spacing w:before="24" w:after="24" w:line="240" w:lineRule="auto"/>
                    <w:ind w:firstLine="0" w:firstLineChars="0"/>
                    <w:jc w:val="center"/>
                    <w:rPr>
                      <w:rFonts w:eastAsia="宋体"/>
                      <w:sz w:val="21"/>
                    </w:rPr>
                  </w:pPr>
                  <w:r>
                    <w:rPr>
                      <w:rFonts w:eastAsia="宋体"/>
                      <w:sz w:val="21"/>
                    </w:rPr>
                    <w:t>/</w:t>
                  </w:r>
                </w:p>
              </w:tc>
              <w:tc>
                <w:tcPr>
                  <w:tcW w:w="0" w:type="auto"/>
                  <w:vAlign w:val="center"/>
                </w:tcPr>
                <w:p>
                  <w:pPr>
                    <w:pStyle w:val="193"/>
                    <w:widowControl/>
                    <w:shd w:val="clear" w:color="auto" w:fill="FFFFFF"/>
                    <w:spacing w:before="24" w:after="24" w:line="240" w:lineRule="auto"/>
                    <w:ind w:firstLine="0" w:firstLineChars="0"/>
                    <w:jc w:val="center"/>
                    <w:rPr>
                      <w:rFonts w:eastAsia="宋体"/>
                      <w:sz w:val="21"/>
                    </w:rPr>
                  </w:pPr>
                  <w:r>
                    <w:rPr>
                      <w:rFonts w:eastAsia="宋体"/>
                      <w:sz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36" w:hRule="atLeast"/>
              </w:trPr>
              <w:tc>
                <w:tcPr>
                  <w:tcW w:w="0" w:type="auto"/>
                  <w:vMerge w:val="continue"/>
                  <w:vAlign w:val="center"/>
                </w:tcPr>
                <w:p>
                  <w:pPr>
                    <w:pStyle w:val="193"/>
                    <w:widowControl/>
                    <w:spacing w:before="24" w:after="24" w:line="240" w:lineRule="auto"/>
                    <w:ind w:firstLine="0" w:firstLineChars="0"/>
                    <w:jc w:val="left"/>
                    <w:rPr>
                      <w:rFonts w:eastAsia="宋体"/>
                      <w:sz w:val="21"/>
                    </w:rPr>
                  </w:pPr>
                </w:p>
              </w:tc>
              <w:tc>
                <w:tcPr>
                  <w:tcW w:w="0" w:type="auto"/>
                  <w:vMerge w:val="continue"/>
                  <w:vAlign w:val="center"/>
                </w:tcPr>
                <w:p>
                  <w:pPr>
                    <w:pStyle w:val="193"/>
                    <w:widowControl/>
                    <w:spacing w:before="24" w:after="24" w:line="240" w:lineRule="auto"/>
                    <w:ind w:firstLine="0" w:firstLineChars="0"/>
                    <w:jc w:val="left"/>
                    <w:rPr>
                      <w:rFonts w:eastAsia="宋体"/>
                      <w:sz w:val="21"/>
                    </w:rPr>
                  </w:pPr>
                </w:p>
              </w:tc>
              <w:tc>
                <w:tcPr>
                  <w:tcW w:w="0" w:type="auto"/>
                  <w:vAlign w:val="center"/>
                </w:tcPr>
                <w:p>
                  <w:pPr>
                    <w:pStyle w:val="193"/>
                    <w:widowControl/>
                    <w:spacing w:before="24" w:after="24" w:line="240" w:lineRule="auto"/>
                    <w:ind w:firstLine="0" w:firstLineChars="0"/>
                    <w:jc w:val="left"/>
                    <w:rPr>
                      <w:rFonts w:eastAsia="宋体"/>
                      <w:sz w:val="21"/>
                    </w:rPr>
                  </w:pPr>
                  <w:r>
                    <w:rPr>
                      <w:rFonts w:eastAsia="宋体"/>
                      <w:sz w:val="21"/>
                    </w:rPr>
                    <w:t>污染物排放管控</w:t>
                  </w:r>
                </w:p>
              </w:tc>
              <w:tc>
                <w:tcPr>
                  <w:tcW w:w="3594" w:type="dxa"/>
                  <w:vAlign w:val="center"/>
                </w:tcPr>
                <w:p>
                  <w:pPr>
                    <w:pStyle w:val="193"/>
                    <w:widowControl/>
                    <w:shd w:val="clear" w:color="auto" w:fill="FFFFFF"/>
                    <w:spacing w:before="24" w:after="24" w:line="240" w:lineRule="auto"/>
                    <w:ind w:firstLine="0" w:firstLineChars="0"/>
                    <w:jc w:val="left"/>
                    <w:rPr>
                      <w:rFonts w:eastAsia="宋体"/>
                      <w:sz w:val="21"/>
                    </w:rPr>
                  </w:pPr>
                  <w:r>
                    <w:rPr>
                      <w:rFonts w:eastAsia="宋体"/>
                      <w:sz w:val="21"/>
                    </w:rPr>
                    <w:t>城镇污水污染控制措施要求</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工业废水污染控制措施要求</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农业面源水污染控制措施要求</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合理布局畜禽养殖规模，单位面积耕地的畜禽承载力不突破《四川省畜禽养殖污染防治技术指南》要求；强化畜禽养殖场污染治理，提高养殖粪污资源化利用率。</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船舶港口水污染控制措施要求</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饮用水水源和其它特殊水体保护要求</w:t>
                  </w:r>
                </w:p>
              </w:tc>
              <w:tc>
                <w:tcPr>
                  <w:tcW w:w="2184" w:type="dxa"/>
                  <w:vAlign w:val="center"/>
                </w:tcPr>
                <w:p>
                  <w:pPr>
                    <w:pStyle w:val="193"/>
                    <w:widowControl/>
                    <w:shd w:val="clear" w:color="auto" w:fill="FFFFFF"/>
                    <w:spacing w:before="24" w:after="24" w:line="240" w:lineRule="auto"/>
                    <w:ind w:firstLine="0" w:firstLineChars="0"/>
                    <w:jc w:val="center"/>
                    <w:rPr>
                      <w:rFonts w:eastAsia="宋体"/>
                      <w:sz w:val="21"/>
                    </w:rPr>
                  </w:pPr>
                  <w:r>
                    <w:rPr>
                      <w:rFonts w:eastAsia="宋体"/>
                      <w:sz w:val="21"/>
                    </w:rPr>
                    <w:t>本项目不涉及</w:t>
                  </w:r>
                </w:p>
              </w:tc>
              <w:tc>
                <w:tcPr>
                  <w:tcW w:w="0" w:type="auto"/>
                  <w:vAlign w:val="center"/>
                </w:tcPr>
                <w:p>
                  <w:pPr>
                    <w:pStyle w:val="193"/>
                    <w:widowControl/>
                    <w:shd w:val="clear" w:color="auto" w:fill="FFFFFF"/>
                    <w:spacing w:before="24" w:after="24" w:line="240" w:lineRule="auto"/>
                    <w:ind w:firstLine="0" w:firstLineChars="0"/>
                    <w:jc w:val="center"/>
                    <w:rPr>
                      <w:rFonts w:eastAsia="宋体"/>
                      <w:sz w:val="21"/>
                    </w:rPr>
                  </w:pPr>
                  <w:r>
                    <w:rPr>
                      <w:rFonts w:eastAsia="宋体"/>
                      <w:sz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6" w:hRule="atLeast"/>
              </w:trPr>
              <w:tc>
                <w:tcPr>
                  <w:tcW w:w="0" w:type="auto"/>
                  <w:vMerge w:val="continue"/>
                  <w:vAlign w:val="center"/>
                </w:tcPr>
                <w:p>
                  <w:pPr>
                    <w:pStyle w:val="193"/>
                    <w:widowControl/>
                    <w:spacing w:before="24" w:after="24" w:line="240" w:lineRule="auto"/>
                    <w:ind w:firstLine="0" w:firstLineChars="0"/>
                    <w:jc w:val="left"/>
                    <w:rPr>
                      <w:rFonts w:eastAsia="宋体"/>
                      <w:sz w:val="21"/>
                    </w:rPr>
                  </w:pPr>
                </w:p>
              </w:tc>
              <w:tc>
                <w:tcPr>
                  <w:tcW w:w="0" w:type="auto"/>
                  <w:vMerge w:val="continue"/>
                  <w:vAlign w:val="center"/>
                </w:tcPr>
                <w:p>
                  <w:pPr>
                    <w:pStyle w:val="193"/>
                    <w:widowControl/>
                    <w:spacing w:before="24" w:after="24" w:line="240" w:lineRule="auto"/>
                    <w:ind w:firstLine="0" w:firstLineChars="0"/>
                    <w:jc w:val="left"/>
                    <w:rPr>
                      <w:rFonts w:eastAsia="宋体"/>
                      <w:sz w:val="21"/>
                    </w:rPr>
                  </w:pPr>
                </w:p>
              </w:tc>
              <w:tc>
                <w:tcPr>
                  <w:tcW w:w="0" w:type="auto"/>
                  <w:vAlign w:val="center"/>
                </w:tcPr>
                <w:p>
                  <w:pPr>
                    <w:pStyle w:val="193"/>
                    <w:widowControl/>
                    <w:spacing w:before="24" w:after="24" w:line="240" w:lineRule="auto"/>
                    <w:ind w:firstLine="0" w:firstLineChars="0"/>
                    <w:jc w:val="left"/>
                    <w:rPr>
                      <w:rFonts w:eastAsia="宋体"/>
                      <w:sz w:val="21"/>
                    </w:rPr>
                  </w:pPr>
                  <w:r>
                    <w:rPr>
                      <w:rFonts w:eastAsia="宋体"/>
                      <w:sz w:val="21"/>
                    </w:rPr>
                    <w:t>环境风险防控</w:t>
                  </w:r>
                </w:p>
              </w:tc>
              <w:tc>
                <w:tcPr>
                  <w:tcW w:w="3594" w:type="dxa"/>
                  <w:vAlign w:val="center"/>
                </w:tcPr>
                <w:p>
                  <w:pPr>
                    <w:pStyle w:val="193"/>
                    <w:widowControl/>
                    <w:shd w:val="clear" w:color="auto" w:fill="FFFFFF"/>
                    <w:spacing w:before="24" w:after="24" w:line="240" w:lineRule="auto"/>
                    <w:ind w:firstLine="0" w:firstLineChars="0"/>
                    <w:jc w:val="left"/>
                    <w:rPr>
                      <w:rFonts w:eastAsia="宋体"/>
                      <w:sz w:val="21"/>
                    </w:rPr>
                  </w:pPr>
                  <w:r>
                    <w:rPr>
                      <w:rFonts w:eastAsia="宋体"/>
                      <w:sz w:val="21"/>
                    </w:rPr>
                    <w:t>/</w:t>
                  </w:r>
                </w:p>
              </w:tc>
              <w:tc>
                <w:tcPr>
                  <w:tcW w:w="2184" w:type="dxa"/>
                  <w:vAlign w:val="center"/>
                </w:tcPr>
                <w:p>
                  <w:pPr>
                    <w:pStyle w:val="193"/>
                    <w:widowControl/>
                    <w:shd w:val="clear" w:color="auto" w:fill="FFFFFF"/>
                    <w:spacing w:before="24" w:after="24" w:line="240" w:lineRule="auto"/>
                    <w:ind w:firstLine="0" w:firstLineChars="0"/>
                    <w:jc w:val="center"/>
                    <w:rPr>
                      <w:rFonts w:eastAsia="宋体"/>
                      <w:sz w:val="21"/>
                    </w:rPr>
                  </w:pPr>
                  <w:r>
                    <w:rPr>
                      <w:rFonts w:eastAsia="宋体"/>
                      <w:sz w:val="21"/>
                    </w:rPr>
                    <w:t>/</w:t>
                  </w:r>
                </w:p>
              </w:tc>
              <w:tc>
                <w:tcPr>
                  <w:tcW w:w="0" w:type="auto"/>
                  <w:vAlign w:val="center"/>
                </w:tcPr>
                <w:p>
                  <w:pPr>
                    <w:pStyle w:val="193"/>
                    <w:widowControl/>
                    <w:shd w:val="clear" w:color="auto" w:fill="FFFFFF"/>
                    <w:spacing w:before="24" w:after="24" w:line="240" w:lineRule="auto"/>
                    <w:ind w:firstLine="0" w:firstLineChars="0"/>
                    <w:jc w:val="center"/>
                    <w:rPr>
                      <w:rFonts w:eastAsia="宋体"/>
                      <w:sz w:val="21"/>
                    </w:rPr>
                  </w:pPr>
                  <w:r>
                    <w:rPr>
                      <w:rFonts w:eastAsia="宋体"/>
                      <w:sz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6" w:hRule="atLeast"/>
              </w:trPr>
              <w:tc>
                <w:tcPr>
                  <w:tcW w:w="0" w:type="auto"/>
                  <w:vMerge w:val="continue"/>
                  <w:vAlign w:val="center"/>
                </w:tcPr>
                <w:p>
                  <w:pPr>
                    <w:pStyle w:val="193"/>
                    <w:widowControl/>
                    <w:spacing w:before="24" w:after="24" w:line="240" w:lineRule="auto"/>
                    <w:ind w:firstLine="0" w:firstLineChars="0"/>
                    <w:jc w:val="left"/>
                    <w:rPr>
                      <w:rFonts w:eastAsia="宋体"/>
                      <w:sz w:val="21"/>
                    </w:rPr>
                  </w:pPr>
                </w:p>
              </w:tc>
              <w:tc>
                <w:tcPr>
                  <w:tcW w:w="0" w:type="auto"/>
                  <w:vMerge w:val="continue"/>
                  <w:vAlign w:val="center"/>
                </w:tcPr>
                <w:p>
                  <w:pPr>
                    <w:pStyle w:val="193"/>
                    <w:widowControl/>
                    <w:spacing w:before="24" w:after="24" w:line="240" w:lineRule="auto"/>
                    <w:ind w:firstLine="0" w:firstLineChars="0"/>
                    <w:jc w:val="left"/>
                    <w:rPr>
                      <w:rFonts w:eastAsia="宋体"/>
                      <w:sz w:val="21"/>
                    </w:rPr>
                  </w:pPr>
                </w:p>
              </w:tc>
              <w:tc>
                <w:tcPr>
                  <w:tcW w:w="0" w:type="auto"/>
                  <w:vAlign w:val="center"/>
                </w:tcPr>
                <w:p>
                  <w:pPr>
                    <w:pStyle w:val="193"/>
                    <w:widowControl/>
                    <w:spacing w:before="24" w:after="24" w:line="240" w:lineRule="auto"/>
                    <w:ind w:firstLine="0" w:firstLineChars="0"/>
                    <w:jc w:val="left"/>
                    <w:rPr>
                      <w:rFonts w:eastAsia="宋体"/>
                      <w:sz w:val="21"/>
                    </w:rPr>
                  </w:pPr>
                  <w:r>
                    <w:rPr>
                      <w:rFonts w:eastAsia="宋体"/>
                      <w:sz w:val="21"/>
                    </w:rPr>
                    <w:t>资源开发效率要求</w:t>
                  </w:r>
                </w:p>
              </w:tc>
              <w:tc>
                <w:tcPr>
                  <w:tcW w:w="3594" w:type="dxa"/>
                  <w:vAlign w:val="center"/>
                </w:tcPr>
                <w:p>
                  <w:pPr>
                    <w:pStyle w:val="193"/>
                    <w:widowControl/>
                    <w:shd w:val="clear" w:color="auto" w:fill="FFFFFF"/>
                    <w:spacing w:before="24" w:after="24" w:line="240" w:lineRule="auto"/>
                    <w:ind w:firstLine="0" w:firstLineChars="0"/>
                    <w:jc w:val="left"/>
                    <w:rPr>
                      <w:rFonts w:eastAsia="宋体"/>
                      <w:sz w:val="21"/>
                    </w:rPr>
                  </w:pPr>
                  <w:r>
                    <w:rPr>
                      <w:rFonts w:eastAsia="宋体"/>
                      <w:sz w:val="21"/>
                    </w:rPr>
                    <w:t>/</w:t>
                  </w:r>
                </w:p>
              </w:tc>
              <w:tc>
                <w:tcPr>
                  <w:tcW w:w="2184" w:type="dxa"/>
                  <w:vAlign w:val="center"/>
                </w:tcPr>
                <w:p>
                  <w:pPr>
                    <w:pStyle w:val="193"/>
                    <w:widowControl/>
                    <w:shd w:val="clear" w:color="auto" w:fill="FFFFFF"/>
                    <w:spacing w:before="24" w:after="24" w:line="240" w:lineRule="auto"/>
                    <w:ind w:firstLine="0" w:firstLineChars="0"/>
                    <w:jc w:val="center"/>
                    <w:rPr>
                      <w:rFonts w:eastAsia="宋体"/>
                      <w:sz w:val="21"/>
                    </w:rPr>
                  </w:pPr>
                  <w:r>
                    <w:rPr>
                      <w:rFonts w:eastAsia="宋体"/>
                      <w:sz w:val="21"/>
                    </w:rPr>
                    <w:t>/</w:t>
                  </w:r>
                </w:p>
              </w:tc>
              <w:tc>
                <w:tcPr>
                  <w:tcW w:w="0" w:type="auto"/>
                  <w:vAlign w:val="center"/>
                </w:tcPr>
                <w:p>
                  <w:pPr>
                    <w:pStyle w:val="193"/>
                    <w:widowControl/>
                    <w:shd w:val="clear" w:color="auto" w:fill="FFFFFF"/>
                    <w:spacing w:before="24" w:after="24" w:line="240" w:lineRule="auto"/>
                    <w:ind w:firstLine="0" w:firstLineChars="0"/>
                    <w:jc w:val="center"/>
                    <w:rPr>
                      <w:rFonts w:eastAsia="宋体"/>
                      <w:sz w:val="21"/>
                    </w:rPr>
                  </w:pPr>
                  <w:r>
                    <w:rPr>
                      <w:rFonts w:eastAsia="宋体"/>
                      <w:sz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6" w:hRule="atLeast"/>
              </w:trPr>
              <w:tc>
                <w:tcPr>
                  <w:tcW w:w="0" w:type="auto"/>
                  <w:vMerge w:val="restart"/>
                  <w:vAlign w:val="center"/>
                </w:tcPr>
                <w:p>
                  <w:pPr>
                    <w:pStyle w:val="193"/>
                    <w:widowControl/>
                    <w:spacing w:before="24" w:after="24" w:line="240" w:lineRule="auto"/>
                    <w:ind w:firstLine="0" w:firstLineChars="0"/>
                    <w:jc w:val="left"/>
                    <w:rPr>
                      <w:rFonts w:eastAsia="宋体"/>
                      <w:sz w:val="21"/>
                    </w:rPr>
                  </w:pPr>
                  <w:r>
                    <w:rPr>
                      <w:rFonts w:eastAsia="宋体"/>
                      <w:sz w:val="21"/>
                    </w:rPr>
                    <w:t>YS51110</w:t>
                  </w:r>
                </w:p>
                <w:p>
                  <w:pPr>
                    <w:pStyle w:val="193"/>
                    <w:widowControl/>
                    <w:spacing w:before="24" w:after="24" w:line="240" w:lineRule="auto"/>
                    <w:ind w:firstLine="0" w:firstLineChars="0"/>
                    <w:jc w:val="left"/>
                    <w:rPr>
                      <w:rFonts w:eastAsia="宋体"/>
                      <w:sz w:val="21"/>
                    </w:rPr>
                  </w:pPr>
                  <w:r>
                    <w:rPr>
                      <w:rFonts w:eastAsia="宋体"/>
                      <w:sz w:val="21"/>
                    </w:rPr>
                    <w:t>22320001</w:t>
                  </w:r>
                </w:p>
              </w:tc>
              <w:tc>
                <w:tcPr>
                  <w:tcW w:w="0" w:type="auto"/>
                  <w:vMerge w:val="restart"/>
                  <w:vAlign w:val="center"/>
                </w:tcPr>
                <w:p>
                  <w:pPr>
                    <w:pStyle w:val="193"/>
                    <w:widowControl/>
                    <w:spacing w:before="24" w:after="24" w:line="240" w:lineRule="auto"/>
                    <w:ind w:firstLine="0" w:firstLineChars="0"/>
                    <w:jc w:val="left"/>
                    <w:rPr>
                      <w:rFonts w:eastAsia="宋体"/>
                      <w:sz w:val="21"/>
                    </w:rPr>
                  </w:pPr>
                  <w:r>
                    <w:rPr>
                      <w:rFonts w:eastAsia="宋体"/>
                      <w:sz w:val="21"/>
                    </w:rPr>
                    <w:t>乐山市市中区大气环境布局敏感重点管控区</w:t>
                  </w:r>
                </w:p>
              </w:tc>
              <w:tc>
                <w:tcPr>
                  <w:tcW w:w="0" w:type="auto"/>
                  <w:vAlign w:val="center"/>
                </w:tcPr>
                <w:p>
                  <w:pPr>
                    <w:pStyle w:val="193"/>
                    <w:widowControl/>
                    <w:spacing w:before="24" w:after="24" w:line="240" w:lineRule="auto"/>
                    <w:ind w:firstLine="0" w:firstLineChars="0"/>
                    <w:jc w:val="left"/>
                    <w:rPr>
                      <w:rFonts w:eastAsia="宋体"/>
                      <w:sz w:val="21"/>
                    </w:rPr>
                  </w:pPr>
                  <w:r>
                    <w:rPr>
                      <w:rFonts w:eastAsia="宋体"/>
                      <w:sz w:val="21"/>
                    </w:rPr>
                    <w:t>空间布局约束</w:t>
                  </w:r>
                </w:p>
              </w:tc>
              <w:tc>
                <w:tcPr>
                  <w:tcW w:w="3594" w:type="dxa"/>
                  <w:vAlign w:val="center"/>
                </w:tcPr>
                <w:p>
                  <w:pPr>
                    <w:pStyle w:val="193"/>
                    <w:widowControl/>
                    <w:shd w:val="clear" w:color="auto" w:fill="FFFFFF"/>
                    <w:spacing w:before="24" w:after="24" w:line="240" w:lineRule="auto"/>
                    <w:ind w:firstLine="0" w:firstLineChars="0"/>
                    <w:jc w:val="left"/>
                    <w:rPr>
                      <w:rFonts w:eastAsia="宋体"/>
                      <w:sz w:val="21"/>
                    </w:rPr>
                  </w:pPr>
                  <w:r>
                    <w:rPr>
                      <w:rFonts w:eastAsia="宋体"/>
                      <w:sz w:val="21"/>
                    </w:rPr>
                    <w:t>禁止开发建设活动的要求</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限制开发建设活动的要求</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允许开发建设活动的要求</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不符合空间布局要求活动的退出要求</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其他空间布局约束要求</w:t>
                  </w:r>
                </w:p>
              </w:tc>
              <w:tc>
                <w:tcPr>
                  <w:tcW w:w="2184" w:type="dxa"/>
                  <w:vAlign w:val="center"/>
                </w:tcPr>
                <w:p>
                  <w:pPr>
                    <w:pStyle w:val="193"/>
                    <w:widowControl/>
                    <w:shd w:val="clear" w:color="auto" w:fill="FFFFFF"/>
                    <w:spacing w:before="24" w:after="24" w:line="240" w:lineRule="auto"/>
                    <w:ind w:firstLine="0" w:firstLineChars="0"/>
                    <w:jc w:val="center"/>
                    <w:rPr>
                      <w:rFonts w:eastAsia="宋体"/>
                      <w:sz w:val="21"/>
                    </w:rPr>
                  </w:pPr>
                  <w:r>
                    <w:rPr>
                      <w:rFonts w:eastAsia="宋体"/>
                      <w:sz w:val="21"/>
                    </w:rPr>
                    <w:t>/</w:t>
                  </w:r>
                </w:p>
              </w:tc>
              <w:tc>
                <w:tcPr>
                  <w:tcW w:w="0" w:type="auto"/>
                  <w:vAlign w:val="center"/>
                </w:tcPr>
                <w:p>
                  <w:pPr>
                    <w:pStyle w:val="193"/>
                    <w:widowControl/>
                    <w:shd w:val="clear" w:color="auto" w:fill="FFFFFF"/>
                    <w:spacing w:before="24" w:after="24" w:line="240" w:lineRule="auto"/>
                    <w:ind w:firstLine="0" w:firstLineChars="0"/>
                    <w:jc w:val="center"/>
                    <w:rPr>
                      <w:rFonts w:eastAsia="宋体"/>
                      <w:sz w:val="21"/>
                    </w:rPr>
                  </w:pPr>
                  <w:r>
                    <w:rPr>
                      <w:rFonts w:eastAsia="宋体"/>
                      <w:sz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6" w:hRule="atLeast"/>
              </w:trPr>
              <w:tc>
                <w:tcPr>
                  <w:tcW w:w="0" w:type="auto"/>
                  <w:vMerge w:val="continue"/>
                  <w:vAlign w:val="center"/>
                </w:tcPr>
                <w:p>
                  <w:pPr>
                    <w:pStyle w:val="193"/>
                    <w:widowControl/>
                    <w:spacing w:before="24" w:after="24" w:line="240" w:lineRule="auto"/>
                    <w:ind w:firstLine="0" w:firstLineChars="0"/>
                    <w:jc w:val="left"/>
                    <w:rPr>
                      <w:rFonts w:eastAsia="宋体"/>
                      <w:sz w:val="21"/>
                    </w:rPr>
                  </w:pPr>
                </w:p>
              </w:tc>
              <w:tc>
                <w:tcPr>
                  <w:tcW w:w="0" w:type="auto"/>
                  <w:vMerge w:val="continue"/>
                  <w:vAlign w:val="center"/>
                </w:tcPr>
                <w:p>
                  <w:pPr>
                    <w:pStyle w:val="193"/>
                    <w:widowControl/>
                    <w:spacing w:before="24" w:after="24" w:line="240" w:lineRule="auto"/>
                    <w:ind w:firstLine="0" w:firstLineChars="0"/>
                    <w:jc w:val="left"/>
                    <w:rPr>
                      <w:rFonts w:eastAsia="宋体"/>
                      <w:sz w:val="21"/>
                    </w:rPr>
                  </w:pPr>
                </w:p>
              </w:tc>
              <w:tc>
                <w:tcPr>
                  <w:tcW w:w="0" w:type="auto"/>
                  <w:vAlign w:val="center"/>
                </w:tcPr>
                <w:p>
                  <w:pPr>
                    <w:pStyle w:val="193"/>
                    <w:widowControl/>
                    <w:spacing w:before="24" w:after="24" w:line="240" w:lineRule="auto"/>
                    <w:ind w:firstLine="0" w:firstLineChars="0"/>
                    <w:jc w:val="left"/>
                    <w:rPr>
                      <w:rFonts w:eastAsia="宋体"/>
                      <w:sz w:val="21"/>
                    </w:rPr>
                  </w:pPr>
                  <w:r>
                    <w:rPr>
                      <w:rFonts w:eastAsia="宋体"/>
                      <w:sz w:val="21"/>
                    </w:rPr>
                    <w:t>污染物排放管控</w:t>
                  </w:r>
                </w:p>
              </w:tc>
              <w:tc>
                <w:tcPr>
                  <w:tcW w:w="3594" w:type="dxa"/>
                  <w:vAlign w:val="center"/>
                </w:tcPr>
                <w:p>
                  <w:pPr>
                    <w:pStyle w:val="193"/>
                    <w:widowControl/>
                    <w:shd w:val="clear" w:color="auto" w:fill="FFFFFF"/>
                    <w:spacing w:before="24" w:after="24" w:line="240" w:lineRule="auto"/>
                    <w:ind w:firstLine="0" w:firstLineChars="0"/>
                    <w:jc w:val="left"/>
                    <w:rPr>
                      <w:rFonts w:eastAsia="宋体"/>
                      <w:sz w:val="21"/>
                    </w:rPr>
                  </w:pPr>
                  <w:r>
                    <w:rPr>
                      <w:rFonts w:eastAsia="宋体"/>
                      <w:sz w:val="21"/>
                    </w:rPr>
                    <w:t>大气环境质量执行标准</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《环境空气质量标准》（GB3095-2012）：二级</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区域大气污染物削减/替代要求</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新增大气污染物排放的建设项目实施总量削减替代。</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燃煤和其他能源大气污染控制要求</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工业废气污染控制要求</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机动车船大气污染控制要求</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扬尘污染控制要求</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农业生产经营活动大气污染控制要求</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重点行业企业专项治理要求</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其他大气污染物排放管控要求</w:t>
                  </w:r>
                </w:p>
                <w:p>
                  <w:pPr>
                    <w:pStyle w:val="193"/>
                    <w:widowControl/>
                    <w:shd w:val="clear" w:color="auto" w:fill="FFFFFF"/>
                    <w:spacing w:before="24" w:after="24" w:line="240" w:lineRule="auto"/>
                    <w:ind w:firstLine="0" w:firstLineChars="0"/>
                    <w:jc w:val="left"/>
                    <w:rPr>
                      <w:rFonts w:eastAsia="宋体"/>
                      <w:sz w:val="21"/>
                    </w:rPr>
                  </w:pPr>
                  <w:r>
                    <w:rPr>
                      <w:rFonts w:eastAsia="宋体"/>
                      <w:sz w:val="21"/>
                    </w:rPr>
                    <w:t>禁止新建高污染项目，新上涉及大气污染物排放的项目必须采用国际领先、国内一流的清洁生产技术。把能源消耗与污染物排放总量指标作为环评审批的前置条件，对新建排放二氧化硫、氮氧化物、工业烟粉尘和挥发性有机物的项目实施现役源2倍削减量替代。提高挥发性有机物污染企业环境准入门槛。对涉VOCs新建项目进行严格把关，要求各类涉VOCs的建设项目在设计、建设中使用国际领先、国内一流的清洁生产和密闭化工艺。</w:t>
                  </w:r>
                </w:p>
              </w:tc>
              <w:tc>
                <w:tcPr>
                  <w:tcW w:w="2184" w:type="dxa"/>
                  <w:vAlign w:val="center"/>
                </w:tcPr>
                <w:p>
                  <w:pPr>
                    <w:pStyle w:val="193"/>
                    <w:widowControl/>
                    <w:shd w:val="clear" w:color="auto" w:fill="FFFFFF"/>
                    <w:spacing w:before="24" w:after="24" w:line="240" w:lineRule="auto"/>
                    <w:ind w:firstLine="0" w:firstLineChars="0"/>
                    <w:rPr>
                      <w:rFonts w:eastAsia="宋体"/>
                      <w:sz w:val="21"/>
                    </w:rPr>
                  </w:pPr>
                  <w:r>
                    <w:rPr>
                      <w:rFonts w:eastAsia="宋体"/>
                      <w:sz w:val="21"/>
                    </w:rPr>
                    <w:t>本项目环境空气执行《环境空气质量标准》（GB3095-2012）二级标准要求；废气排放执行《大气污染物综合排放标准》（GB16297-1996）；项目为涉及大气污染物排放的项目，采用国际领先、国内一流的清洁生产技术：布袋除尘、洒水降尘等措施。</w:t>
                  </w:r>
                </w:p>
              </w:tc>
              <w:tc>
                <w:tcPr>
                  <w:tcW w:w="0" w:type="auto"/>
                  <w:vAlign w:val="center"/>
                </w:tcPr>
                <w:p>
                  <w:pPr>
                    <w:pStyle w:val="193"/>
                    <w:widowControl/>
                    <w:shd w:val="clear" w:color="auto" w:fill="FFFFFF"/>
                    <w:spacing w:before="24" w:after="24" w:line="240" w:lineRule="auto"/>
                    <w:ind w:firstLine="0" w:firstLineChars="0"/>
                    <w:jc w:val="center"/>
                    <w:rPr>
                      <w:rFonts w:eastAsia="宋体"/>
                      <w:sz w:val="21"/>
                    </w:rPr>
                  </w:pPr>
                  <w:r>
                    <w:rPr>
                      <w:rFonts w:eastAsia="宋体"/>
                      <w:sz w:val="21"/>
                    </w:rPr>
                    <w:t>符合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36" w:hRule="atLeast"/>
              </w:trPr>
              <w:tc>
                <w:tcPr>
                  <w:tcW w:w="0" w:type="auto"/>
                  <w:vMerge w:val="continue"/>
                  <w:vAlign w:val="center"/>
                </w:tcPr>
                <w:p>
                  <w:pPr>
                    <w:pStyle w:val="193"/>
                    <w:widowControl/>
                    <w:spacing w:before="24" w:after="24" w:line="240" w:lineRule="auto"/>
                    <w:ind w:firstLine="0" w:firstLineChars="0"/>
                    <w:jc w:val="left"/>
                    <w:rPr>
                      <w:rFonts w:eastAsia="宋体"/>
                      <w:sz w:val="21"/>
                    </w:rPr>
                  </w:pPr>
                </w:p>
              </w:tc>
              <w:tc>
                <w:tcPr>
                  <w:tcW w:w="0" w:type="auto"/>
                  <w:vMerge w:val="continue"/>
                  <w:vAlign w:val="center"/>
                </w:tcPr>
                <w:p>
                  <w:pPr>
                    <w:pStyle w:val="193"/>
                    <w:widowControl/>
                    <w:spacing w:before="24" w:after="24" w:line="240" w:lineRule="auto"/>
                    <w:ind w:firstLine="0" w:firstLineChars="0"/>
                    <w:jc w:val="left"/>
                    <w:rPr>
                      <w:rFonts w:eastAsia="宋体"/>
                      <w:sz w:val="21"/>
                    </w:rPr>
                  </w:pPr>
                </w:p>
              </w:tc>
              <w:tc>
                <w:tcPr>
                  <w:tcW w:w="0" w:type="auto"/>
                  <w:vAlign w:val="center"/>
                </w:tcPr>
                <w:p>
                  <w:pPr>
                    <w:pStyle w:val="193"/>
                    <w:widowControl/>
                    <w:spacing w:before="24" w:after="24" w:line="240" w:lineRule="auto"/>
                    <w:ind w:firstLine="0" w:firstLineChars="0"/>
                    <w:jc w:val="left"/>
                    <w:rPr>
                      <w:rFonts w:eastAsia="宋体"/>
                      <w:sz w:val="21"/>
                    </w:rPr>
                  </w:pPr>
                  <w:r>
                    <w:rPr>
                      <w:rFonts w:eastAsia="宋体"/>
                      <w:sz w:val="21"/>
                    </w:rPr>
                    <w:t>环境风险防控</w:t>
                  </w:r>
                </w:p>
              </w:tc>
              <w:tc>
                <w:tcPr>
                  <w:tcW w:w="3594" w:type="dxa"/>
                  <w:vAlign w:val="center"/>
                </w:tcPr>
                <w:p>
                  <w:pPr>
                    <w:pStyle w:val="193"/>
                    <w:widowControl/>
                    <w:shd w:val="clear" w:color="auto" w:fill="FFFFFF"/>
                    <w:spacing w:before="24" w:after="24" w:line="240" w:lineRule="auto"/>
                    <w:ind w:firstLine="0" w:firstLineChars="0"/>
                    <w:jc w:val="left"/>
                    <w:rPr>
                      <w:rFonts w:eastAsia="宋体"/>
                      <w:sz w:val="21"/>
                    </w:rPr>
                  </w:pPr>
                  <w:r>
                    <w:rPr>
                      <w:rFonts w:eastAsia="宋体"/>
                      <w:sz w:val="21"/>
                    </w:rPr>
                    <w:t>/</w:t>
                  </w:r>
                </w:p>
              </w:tc>
              <w:tc>
                <w:tcPr>
                  <w:tcW w:w="2184" w:type="dxa"/>
                  <w:vAlign w:val="center"/>
                </w:tcPr>
                <w:p>
                  <w:pPr>
                    <w:pStyle w:val="193"/>
                    <w:widowControl/>
                    <w:shd w:val="clear" w:color="auto" w:fill="FFFFFF"/>
                    <w:spacing w:before="24" w:after="24" w:line="240" w:lineRule="auto"/>
                    <w:ind w:firstLine="0" w:firstLineChars="0"/>
                    <w:jc w:val="center"/>
                    <w:rPr>
                      <w:rFonts w:eastAsia="宋体"/>
                      <w:sz w:val="21"/>
                    </w:rPr>
                  </w:pPr>
                  <w:r>
                    <w:rPr>
                      <w:rFonts w:eastAsia="宋体"/>
                      <w:sz w:val="21"/>
                    </w:rPr>
                    <w:t>/</w:t>
                  </w:r>
                </w:p>
              </w:tc>
              <w:tc>
                <w:tcPr>
                  <w:tcW w:w="0" w:type="auto"/>
                  <w:vAlign w:val="center"/>
                </w:tcPr>
                <w:p>
                  <w:pPr>
                    <w:pStyle w:val="193"/>
                    <w:widowControl/>
                    <w:shd w:val="clear" w:color="auto" w:fill="FFFFFF"/>
                    <w:spacing w:before="24" w:after="24" w:line="240" w:lineRule="auto"/>
                    <w:ind w:firstLine="0" w:firstLineChars="0"/>
                    <w:jc w:val="center"/>
                    <w:rPr>
                      <w:rFonts w:eastAsia="宋体"/>
                      <w:sz w:val="21"/>
                    </w:rPr>
                  </w:pPr>
                  <w:r>
                    <w:rPr>
                      <w:rFonts w:eastAsia="宋体"/>
                      <w:sz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c>
                <w:tcPr>
                  <w:tcW w:w="0" w:type="auto"/>
                  <w:vMerge w:val="continue"/>
                  <w:vAlign w:val="center"/>
                </w:tcPr>
                <w:p>
                  <w:pPr>
                    <w:pStyle w:val="193"/>
                    <w:widowControl/>
                    <w:spacing w:before="24" w:after="24" w:line="240" w:lineRule="auto"/>
                    <w:ind w:firstLine="0" w:firstLineChars="0"/>
                    <w:jc w:val="left"/>
                    <w:rPr>
                      <w:rFonts w:eastAsia="宋体"/>
                      <w:sz w:val="21"/>
                    </w:rPr>
                  </w:pPr>
                </w:p>
              </w:tc>
              <w:tc>
                <w:tcPr>
                  <w:tcW w:w="0" w:type="auto"/>
                  <w:vMerge w:val="continue"/>
                  <w:vAlign w:val="center"/>
                </w:tcPr>
                <w:p>
                  <w:pPr>
                    <w:pStyle w:val="193"/>
                    <w:widowControl/>
                    <w:spacing w:before="24" w:after="24" w:line="240" w:lineRule="auto"/>
                    <w:ind w:firstLine="0" w:firstLineChars="0"/>
                    <w:jc w:val="left"/>
                    <w:rPr>
                      <w:rFonts w:eastAsia="宋体"/>
                      <w:sz w:val="21"/>
                    </w:rPr>
                  </w:pPr>
                </w:p>
              </w:tc>
              <w:tc>
                <w:tcPr>
                  <w:tcW w:w="0" w:type="auto"/>
                  <w:vAlign w:val="center"/>
                </w:tcPr>
                <w:p>
                  <w:pPr>
                    <w:pStyle w:val="193"/>
                    <w:widowControl/>
                    <w:spacing w:before="24" w:after="24" w:line="240" w:lineRule="auto"/>
                    <w:ind w:firstLine="0" w:firstLineChars="0"/>
                    <w:jc w:val="left"/>
                    <w:rPr>
                      <w:rFonts w:eastAsia="宋体"/>
                      <w:sz w:val="21"/>
                    </w:rPr>
                  </w:pPr>
                  <w:r>
                    <w:rPr>
                      <w:rFonts w:eastAsia="宋体"/>
                      <w:sz w:val="21"/>
                    </w:rPr>
                    <w:t>资源开发效率要求</w:t>
                  </w:r>
                </w:p>
              </w:tc>
              <w:tc>
                <w:tcPr>
                  <w:tcW w:w="3594" w:type="dxa"/>
                  <w:vAlign w:val="center"/>
                </w:tcPr>
                <w:p>
                  <w:pPr>
                    <w:pStyle w:val="193"/>
                    <w:widowControl/>
                    <w:shd w:val="clear" w:color="auto" w:fill="FFFFFF"/>
                    <w:spacing w:before="24" w:after="24" w:line="240" w:lineRule="auto"/>
                    <w:ind w:firstLine="0" w:firstLineChars="0"/>
                    <w:jc w:val="left"/>
                    <w:rPr>
                      <w:rFonts w:eastAsia="宋体"/>
                      <w:sz w:val="21"/>
                    </w:rPr>
                  </w:pPr>
                  <w:r>
                    <w:rPr>
                      <w:rFonts w:eastAsia="宋体"/>
                      <w:sz w:val="21"/>
                    </w:rPr>
                    <w:t>/</w:t>
                  </w:r>
                </w:p>
              </w:tc>
              <w:tc>
                <w:tcPr>
                  <w:tcW w:w="2184" w:type="dxa"/>
                  <w:vAlign w:val="center"/>
                </w:tcPr>
                <w:p>
                  <w:pPr>
                    <w:pStyle w:val="193"/>
                    <w:widowControl/>
                    <w:shd w:val="clear" w:color="auto" w:fill="FFFFFF"/>
                    <w:spacing w:before="24" w:after="24" w:line="240" w:lineRule="auto"/>
                    <w:ind w:firstLine="0" w:firstLineChars="0"/>
                    <w:jc w:val="center"/>
                    <w:rPr>
                      <w:rFonts w:eastAsia="宋体"/>
                      <w:sz w:val="21"/>
                    </w:rPr>
                  </w:pPr>
                  <w:r>
                    <w:rPr>
                      <w:rFonts w:eastAsia="宋体"/>
                      <w:sz w:val="21"/>
                    </w:rPr>
                    <w:t>/</w:t>
                  </w:r>
                </w:p>
              </w:tc>
              <w:tc>
                <w:tcPr>
                  <w:tcW w:w="0" w:type="auto"/>
                  <w:vAlign w:val="center"/>
                </w:tcPr>
                <w:p>
                  <w:pPr>
                    <w:pStyle w:val="193"/>
                    <w:widowControl/>
                    <w:shd w:val="clear" w:color="auto" w:fill="FFFFFF"/>
                    <w:spacing w:before="24" w:after="24" w:line="240" w:lineRule="auto"/>
                    <w:ind w:firstLine="0" w:firstLineChars="0"/>
                    <w:jc w:val="center"/>
                    <w:rPr>
                      <w:rFonts w:eastAsia="宋体"/>
                      <w:sz w:val="21"/>
                    </w:rPr>
                  </w:pPr>
                  <w:r>
                    <w:rPr>
                      <w:rFonts w:eastAsia="宋体"/>
                      <w:sz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0" w:type="auto"/>
                  <w:gridSpan w:val="6"/>
                  <w:vAlign w:val="center"/>
                </w:tcPr>
                <w:p>
                  <w:pPr>
                    <w:pStyle w:val="193"/>
                    <w:widowControl/>
                    <w:shd w:val="clear" w:color="auto" w:fill="FFFFFF"/>
                    <w:spacing w:before="24" w:after="24" w:line="240" w:lineRule="auto"/>
                    <w:ind w:firstLine="0" w:firstLineChars="0"/>
                    <w:jc w:val="center"/>
                    <w:rPr>
                      <w:rFonts w:eastAsia="宋体"/>
                      <w:b/>
                      <w:sz w:val="21"/>
                    </w:rPr>
                  </w:pPr>
                  <w:r>
                    <w:rPr>
                      <w:rFonts w:eastAsia="宋体"/>
                      <w:b/>
                      <w:sz w:val="21"/>
                    </w:rPr>
                    <w:t>乐山市普适性清单</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36" w:hRule="atLeast"/>
              </w:trPr>
              <w:tc>
                <w:tcPr>
                  <w:tcW w:w="0" w:type="auto"/>
                  <w:gridSpan w:val="6"/>
                  <w:vMerge w:val="restart"/>
                </w:tcPr>
                <w:p>
                  <w:pPr>
                    <w:pStyle w:val="193"/>
                    <w:spacing w:before="24" w:after="24" w:line="240" w:lineRule="auto"/>
                    <w:ind w:firstLine="0" w:firstLineChars="0"/>
                    <w:rPr>
                      <w:rFonts w:eastAsia="宋体"/>
                      <w:kern w:val="0"/>
                      <w:sz w:val="21"/>
                    </w:rPr>
                  </w:pPr>
                  <w:r>
                    <w:rPr>
                      <w:rFonts w:eastAsia="宋体"/>
                      <w:kern w:val="0"/>
                      <w:sz w:val="21"/>
                    </w:rPr>
                    <w:t>空间布局约束：</w:t>
                  </w:r>
                </w:p>
                <w:p>
                  <w:pPr>
                    <w:pStyle w:val="193"/>
                    <w:spacing w:before="24" w:after="24" w:line="240" w:lineRule="auto"/>
                    <w:ind w:firstLine="0" w:firstLineChars="0"/>
                    <w:rPr>
                      <w:rFonts w:eastAsia="宋体"/>
                      <w:kern w:val="0"/>
                      <w:sz w:val="21"/>
                    </w:rPr>
                  </w:pPr>
                  <w:r>
                    <w:rPr>
                      <w:rFonts w:eastAsia="宋体"/>
                      <w:kern w:val="0"/>
                      <w:sz w:val="21"/>
                    </w:rPr>
                    <w:t>禁止开发建设活动的要求</w:t>
                  </w:r>
                </w:p>
                <w:p>
                  <w:pPr>
                    <w:pStyle w:val="193"/>
                    <w:spacing w:before="24" w:after="24" w:line="240" w:lineRule="auto"/>
                    <w:ind w:firstLine="0" w:firstLineChars="0"/>
                    <w:rPr>
                      <w:rFonts w:eastAsia="宋体"/>
                      <w:kern w:val="0"/>
                      <w:sz w:val="21"/>
                    </w:rPr>
                  </w:pPr>
                  <w:r>
                    <w:rPr>
                      <w:rFonts w:eastAsia="宋体"/>
                      <w:kern w:val="0"/>
                      <w:sz w:val="21"/>
                    </w:rPr>
                    <w:t>（1）禁止在长江干支流岸线一公里范围内新建、扩建化工园区和化工项目；禁止在长江重要支流岸线一公里范围内新建、改建、扩建尾矿库（以提升安全、生态环境保护水平为目的的改建除外）；</w:t>
                  </w:r>
                </w:p>
                <w:p>
                  <w:pPr>
                    <w:pStyle w:val="193"/>
                    <w:spacing w:before="24" w:after="24" w:line="240" w:lineRule="auto"/>
                    <w:ind w:firstLine="0" w:firstLineChars="0"/>
                    <w:rPr>
                      <w:rFonts w:eastAsia="宋体"/>
                      <w:kern w:val="0"/>
                      <w:sz w:val="21"/>
                    </w:rPr>
                  </w:pPr>
                  <w:r>
                    <w:rPr>
                      <w:rFonts w:eastAsia="宋体"/>
                      <w:kern w:val="0"/>
                      <w:sz w:val="21"/>
                    </w:rPr>
                    <w:t>（2）禁止在长江流域开放水域养殖、投放外来物种或者其他非本地物种种质资源。禁止在长江流域禁止采砂区和禁止采砂期从事采砂活动。全面停止小型水电项目开发，已建成的中小型水电站不再扩容；</w:t>
                  </w:r>
                </w:p>
                <w:p>
                  <w:pPr>
                    <w:pStyle w:val="193"/>
                    <w:spacing w:before="24" w:after="24" w:line="240" w:lineRule="auto"/>
                    <w:ind w:firstLine="0" w:firstLineChars="0"/>
                    <w:rPr>
                      <w:rFonts w:eastAsia="宋体"/>
                      <w:kern w:val="0"/>
                      <w:sz w:val="21"/>
                    </w:rPr>
                  </w:pPr>
                  <w:r>
                    <w:rPr>
                      <w:rFonts w:eastAsia="宋体"/>
                      <w:kern w:val="0"/>
                      <w:sz w:val="21"/>
                    </w:rPr>
                    <w:t>（3）禁止在法律法规规定的禁采区内开采矿产；禁止土法采、选、冶严重污染环境的矿产资源；</w:t>
                  </w:r>
                </w:p>
                <w:p>
                  <w:pPr>
                    <w:pStyle w:val="193"/>
                    <w:spacing w:before="24" w:after="24" w:line="240" w:lineRule="auto"/>
                    <w:ind w:firstLine="0" w:firstLineChars="0"/>
                    <w:rPr>
                      <w:rFonts w:eastAsia="宋体"/>
                      <w:kern w:val="0"/>
                      <w:sz w:val="21"/>
                    </w:rPr>
                  </w:pPr>
                  <w:r>
                    <w:rPr>
                      <w:rFonts w:eastAsia="宋体"/>
                      <w:kern w:val="0"/>
                      <w:sz w:val="21"/>
                    </w:rPr>
                    <w:t>（4）对于基本农田，除法律规定的重点建设项目选址确实无法避让外，其他任何建设不得占用；</w:t>
                  </w:r>
                </w:p>
                <w:p>
                  <w:pPr>
                    <w:pStyle w:val="193"/>
                    <w:spacing w:before="24" w:after="24" w:line="240" w:lineRule="auto"/>
                    <w:ind w:firstLine="0" w:firstLineChars="0"/>
                    <w:rPr>
                      <w:rFonts w:eastAsia="宋体"/>
                      <w:kern w:val="0"/>
                      <w:sz w:val="21"/>
                    </w:rPr>
                  </w:pPr>
                  <w:r>
                    <w:rPr>
                      <w:rFonts w:eastAsia="宋体"/>
                      <w:kern w:val="0"/>
                      <w:sz w:val="21"/>
                    </w:rPr>
                    <w:t>（5）畜禽养殖严格按照乐山市各区县畜禽养殖区域划定方案执行，依法关闭或搬迁禁养区内的畜禽养殖场（小区）和养殖专业户。</w:t>
                  </w:r>
                </w:p>
                <w:p>
                  <w:pPr>
                    <w:pStyle w:val="193"/>
                    <w:spacing w:before="24" w:after="24" w:line="240" w:lineRule="auto"/>
                    <w:ind w:firstLine="0" w:firstLineChars="0"/>
                    <w:rPr>
                      <w:rFonts w:eastAsia="宋体"/>
                      <w:kern w:val="0"/>
                      <w:sz w:val="21"/>
                    </w:rPr>
                  </w:pPr>
                  <w:r>
                    <w:rPr>
                      <w:rFonts w:eastAsia="宋体"/>
                      <w:kern w:val="0"/>
                      <w:sz w:val="21"/>
                    </w:rPr>
                    <w:t>限制开发建设活动的要求</w:t>
                  </w:r>
                </w:p>
                <w:p>
                  <w:pPr>
                    <w:pStyle w:val="193"/>
                    <w:spacing w:before="24" w:after="24" w:line="240" w:lineRule="auto"/>
                    <w:ind w:firstLine="0" w:firstLineChars="0"/>
                    <w:rPr>
                      <w:rFonts w:eastAsia="宋体"/>
                      <w:kern w:val="0"/>
                      <w:sz w:val="21"/>
                    </w:rPr>
                  </w:pPr>
                  <w:r>
                    <w:rPr>
                      <w:rFonts w:eastAsia="宋体"/>
                      <w:kern w:val="0"/>
                      <w:sz w:val="21"/>
                    </w:rPr>
                    <w:t>（1）现有化工、建材、有色、钢铁等工业企业，原则上限制发展，污染物排放只降不增，允许以提升安全、生态环境保护水平为目的的改建，引导企业结合产业升级等适时搬迁入园；</w:t>
                  </w:r>
                </w:p>
                <w:p>
                  <w:pPr>
                    <w:pStyle w:val="193"/>
                    <w:spacing w:before="24" w:after="24" w:line="240" w:lineRule="auto"/>
                    <w:ind w:firstLine="0" w:firstLineChars="0"/>
                    <w:rPr>
                      <w:rFonts w:eastAsia="宋体"/>
                      <w:kern w:val="0"/>
                      <w:sz w:val="21"/>
                    </w:rPr>
                  </w:pPr>
                  <w:r>
                    <w:rPr>
                      <w:rFonts w:eastAsia="宋体"/>
                      <w:kern w:val="0"/>
                      <w:sz w:val="21"/>
                    </w:rPr>
                    <w:t>（2）单元内若新布局工业园区，应符合最新的国土空间规划，并结合区域环境特点、三线成果、园区产业类别，充分论证选址的环境合理性；</w:t>
                  </w:r>
                </w:p>
                <w:p>
                  <w:pPr>
                    <w:pStyle w:val="193"/>
                    <w:spacing w:before="24" w:after="24" w:line="240" w:lineRule="auto"/>
                    <w:ind w:firstLine="0" w:firstLineChars="0"/>
                    <w:rPr>
                      <w:rFonts w:eastAsia="宋体"/>
                      <w:kern w:val="0"/>
                      <w:sz w:val="21"/>
                    </w:rPr>
                  </w:pPr>
                  <w:r>
                    <w:rPr>
                      <w:rFonts w:eastAsia="宋体"/>
                      <w:kern w:val="0"/>
                      <w:sz w:val="21"/>
                    </w:rPr>
                    <w:t>（3）水环境农业污染重点管控区应严格限制布设以电力、钢铁、造纸、石化、化工、印染、化纤等高耗水行业为主导产业的园区；新建屠宰、用排水量大的农副产品加工等以水污染为主的企业，严格实行水污染物倍量替代；控制畜禽养殖规模，全面治理畜禽养殖污染；</w:t>
                  </w:r>
                </w:p>
                <w:p>
                  <w:pPr>
                    <w:pStyle w:val="193"/>
                    <w:spacing w:before="24" w:after="24" w:line="240" w:lineRule="auto"/>
                    <w:ind w:firstLine="0" w:firstLineChars="0"/>
                    <w:rPr>
                      <w:rFonts w:eastAsia="宋体"/>
                      <w:kern w:val="0"/>
                      <w:sz w:val="21"/>
                    </w:rPr>
                  </w:pPr>
                  <w:r>
                    <w:rPr>
                      <w:rFonts w:eastAsia="宋体"/>
                      <w:kern w:val="0"/>
                      <w:sz w:val="21"/>
                    </w:rPr>
                    <w:t>（4）大气环境布局敏感区应严格限制布设以钢铁、建材、石化、化工、有色等高污染行业为主导产业的园区，大气环境弱扩散区谨慎布局垃圾发电、危废焚烧等以大气污染为主的企业；位于不达标区域的大气环境布局敏感严格限制新建、扩建涉气三类工业项目；</w:t>
                  </w:r>
                </w:p>
                <w:p>
                  <w:pPr>
                    <w:pStyle w:val="193"/>
                    <w:spacing w:before="24" w:after="24" w:line="240" w:lineRule="auto"/>
                    <w:ind w:firstLine="0" w:firstLineChars="0"/>
                    <w:rPr>
                      <w:rFonts w:eastAsia="宋体"/>
                      <w:kern w:val="0"/>
                      <w:sz w:val="21"/>
                    </w:rPr>
                  </w:pPr>
                  <w:r>
                    <w:rPr>
                      <w:rFonts w:eastAsia="宋体"/>
                      <w:kern w:val="0"/>
                      <w:sz w:val="21"/>
                    </w:rPr>
                    <w:t>（5）国家重大战略资源勘查、生态保护修复和环境治理、重大基础设施、军事国防以及农牧民基本生产生活等必要的民生项目（包括深度贫困地区、集中连片特困地区、国家扶贫开发工作重点县省级以下基础设施、易地扶贫搬迁、民生发展等建设项目），选址确实难以避让永久基本农田的，按程序严格论证后依法依规报批；</w:t>
                  </w:r>
                </w:p>
                <w:p>
                  <w:pPr>
                    <w:pStyle w:val="193"/>
                    <w:spacing w:before="24" w:after="24" w:line="240" w:lineRule="auto"/>
                    <w:ind w:firstLine="0" w:firstLineChars="0"/>
                    <w:rPr>
                      <w:rFonts w:eastAsia="宋体"/>
                      <w:kern w:val="0"/>
                      <w:sz w:val="21"/>
                    </w:rPr>
                  </w:pPr>
                  <w:r>
                    <w:rPr>
                      <w:rFonts w:eastAsia="宋体"/>
                      <w:kern w:val="0"/>
                      <w:sz w:val="21"/>
                    </w:rPr>
                    <w:t>（6）坚持最严格的耕地保护制度，对全部耕地按限制开发的要求进行管理。严格限制农用地转为建设用地，控制建设用地总量，对耕地实行特殊保护；</w:t>
                  </w:r>
                </w:p>
                <w:p>
                  <w:pPr>
                    <w:pStyle w:val="193"/>
                    <w:spacing w:before="24" w:after="24" w:line="240" w:lineRule="auto"/>
                    <w:ind w:firstLine="0" w:firstLineChars="0"/>
                    <w:rPr>
                      <w:rFonts w:eastAsia="宋体"/>
                      <w:kern w:val="0"/>
                      <w:sz w:val="21"/>
                    </w:rPr>
                  </w:pPr>
                  <w:r>
                    <w:rPr>
                      <w:rFonts w:eastAsia="宋体"/>
                      <w:kern w:val="0"/>
                      <w:sz w:val="21"/>
                    </w:rPr>
                    <w:t>（7）新建大中型水电工程，应当经科学论证，并报国务院或者国务院授权的部门批准。除与生态环境保护相协调的且是国务院及其相关部门、省级人民政府认可的脱贫攻坚项目外，严控新建商业开发的小水电项目；</w:t>
                  </w:r>
                </w:p>
                <w:p>
                  <w:pPr>
                    <w:pStyle w:val="193"/>
                    <w:spacing w:before="24" w:after="24" w:line="240" w:lineRule="auto"/>
                    <w:ind w:firstLine="0" w:firstLineChars="0"/>
                    <w:rPr>
                      <w:rFonts w:eastAsia="宋体"/>
                      <w:kern w:val="0"/>
                      <w:sz w:val="21"/>
                    </w:rPr>
                  </w:pPr>
                  <w:r>
                    <w:rPr>
                      <w:rFonts w:eastAsia="宋体"/>
                      <w:kern w:val="0"/>
                      <w:sz w:val="21"/>
                    </w:rPr>
                    <w:t>（8）长江流域河道采砂应当依法取得国务院水行政主管部门有关流域管理机构或者县级以上地方人民政府水行政主管部门的许可。严格控制采砂区域、采砂总量和采砂区域内的采砂船舶数量。</w:t>
                  </w:r>
                </w:p>
                <w:p>
                  <w:pPr>
                    <w:pStyle w:val="193"/>
                    <w:spacing w:before="24" w:after="24" w:line="240" w:lineRule="auto"/>
                    <w:ind w:firstLine="0" w:firstLineChars="0"/>
                    <w:rPr>
                      <w:rFonts w:eastAsia="宋体"/>
                      <w:kern w:val="0"/>
                      <w:sz w:val="21"/>
                    </w:rPr>
                  </w:pPr>
                  <w:r>
                    <w:rPr>
                      <w:rFonts w:eastAsia="宋体"/>
                      <w:kern w:val="0"/>
                      <w:sz w:val="21"/>
                    </w:rPr>
                    <w:t>不符合空间布局要求活动的退出要求</w:t>
                  </w:r>
                </w:p>
                <w:p>
                  <w:pPr>
                    <w:pStyle w:val="193"/>
                    <w:spacing w:before="24" w:after="24" w:line="240" w:lineRule="auto"/>
                    <w:ind w:firstLine="0" w:firstLineChars="0"/>
                    <w:rPr>
                      <w:rFonts w:eastAsia="宋体"/>
                      <w:kern w:val="0"/>
                      <w:sz w:val="21"/>
                    </w:rPr>
                  </w:pPr>
                  <w:r>
                    <w:rPr>
                      <w:rFonts w:eastAsia="宋体"/>
                      <w:kern w:val="0"/>
                      <w:sz w:val="21"/>
                    </w:rPr>
                    <w:t>（1）全面取缔禁养区内规模化畜禽养殖场。岷江岸线延伸至陆域200米范围内基本消除畜禽养殖场（小区）；</w:t>
                  </w:r>
                </w:p>
                <w:p>
                  <w:pPr>
                    <w:pStyle w:val="193"/>
                    <w:spacing w:before="24" w:after="24" w:line="240" w:lineRule="auto"/>
                    <w:ind w:firstLine="0" w:firstLineChars="0"/>
                    <w:rPr>
                      <w:rFonts w:eastAsia="宋体"/>
                      <w:kern w:val="0"/>
                      <w:sz w:val="21"/>
                    </w:rPr>
                  </w:pPr>
                  <w:r>
                    <w:rPr>
                      <w:rFonts w:eastAsia="宋体"/>
                      <w:kern w:val="0"/>
                      <w:sz w:val="21"/>
                    </w:rPr>
                    <w:t>（2）对长江流域已建小水电工程，不符合生态保护要求的，县级以上地方人民政府应当组织分类整改或者采取措施逐步退出；</w:t>
                  </w:r>
                </w:p>
                <w:p>
                  <w:pPr>
                    <w:pStyle w:val="193"/>
                    <w:spacing w:before="24" w:after="24" w:line="240" w:lineRule="auto"/>
                    <w:ind w:firstLine="0" w:firstLineChars="0"/>
                    <w:rPr>
                      <w:rFonts w:eastAsia="宋体"/>
                      <w:kern w:val="0"/>
                      <w:sz w:val="21"/>
                    </w:rPr>
                  </w:pPr>
                  <w:r>
                    <w:rPr>
                      <w:rFonts w:eastAsia="宋体"/>
                      <w:kern w:val="0"/>
                      <w:sz w:val="21"/>
                    </w:rPr>
                    <w:t>（3）长江主要支流重点管控岸线：按照长江干线非法码头治理标准和生态保护红线管控等要求，持续开展长江主要支流非法码头整治。</w:t>
                  </w:r>
                </w:p>
                <w:p>
                  <w:pPr>
                    <w:pStyle w:val="193"/>
                    <w:spacing w:before="24" w:after="24" w:line="240" w:lineRule="auto"/>
                    <w:ind w:firstLine="0" w:firstLineChars="0"/>
                    <w:rPr>
                      <w:rFonts w:eastAsia="宋体"/>
                      <w:kern w:val="0"/>
                      <w:sz w:val="21"/>
                    </w:rPr>
                  </w:pPr>
                  <w:r>
                    <w:rPr>
                      <w:rFonts w:eastAsia="宋体"/>
                      <w:kern w:val="0"/>
                      <w:sz w:val="21"/>
                    </w:rPr>
                    <w:t>其他空间布局约束要求</w:t>
                  </w:r>
                </w:p>
                <w:p>
                  <w:pPr>
                    <w:pStyle w:val="193"/>
                    <w:spacing w:before="24" w:after="24" w:line="240" w:lineRule="auto"/>
                    <w:ind w:firstLine="0" w:firstLineChars="0"/>
                    <w:rPr>
                      <w:rFonts w:eastAsia="宋体"/>
                      <w:kern w:val="0"/>
                      <w:sz w:val="21"/>
                    </w:rPr>
                  </w:pPr>
                  <w:r>
                    <w:rPr>
                      <w:rFonts w:eastAsia="宋体"/>
                      <w:kern w:val="0"/>
                      <w:sz w:val="21"/>
                    </w:rPr>
                    <w:t>暂无</w:t>
                  </w:r>
                </w:p>
                <w:p>
                  <w:pPr>
                    <w:pStyle w:val="193"/>
                    <w:spacing w:before="24" w:after="24" w:line="240" w:lineRule="auto"/>
                    <w:ind w:firstLine="0" w:firstLineChars="0"/>
                    <w:rPr>
                      <w:rFonts w:eastAsia="宋体"/>
                      <w:kern w:val="0"/>
                      <w:sz w:val="21"/>
                    </w:rPr>
                  </w:pPr>
                  <w:r>
                    <w:rPr>
                      <w:rFonts w:eastAsia="宋体"/>
                      <w:kern w:val="0"/>
                      <w:sz w:val="21"/>
                    </w:rPr>
                    <w:t>污染物排放管控：</w:t>
                  </w:r>
                </w:p>
                <w:p>
                  <w:pPr>
                    <w:pStyle w:val="193"/>
                    <w:spacing w:before="24" w:after="24" w:line="240" w:lineRule="auto"/>
                    <w:ind w:firstLine="0" w:firstLineChars="0"/>
                    <w:rPr>
                      <w:rFonts w:eastAsia="宋体"/>
                      <w:kern w:val="0"/>
                      <w:sz w:val="21"/>
                    </w:rPr>
                  </w:pPr>
                  <w:r>
                    <w:rPr>
                      <w:rFonts w:eastAsia="宋体"/>
                      <w:kern w:val="0"/>
                      <w:sz w:val="21"/>
                    </w:rPr>
                    <w:t>允许排放量要求</w:t>
                  </w:r>
                </w:p>
                <w:p>
                  <w:pPr>
                    <w:pStyle w:val="193"/>
                    <w:spacing w:before="24" w:after="24" w:line="240" w:lineRule="auto"/>
                    <w:ind w:firstLine="0" w:firstLineChars="0"/>
                    <w:rPr>
                      <w:rFonts w:eastAsia="宋体"/>
                      <w:kern w:val="0"/>
                      <w:sz w:val="21"/>
                    </w:rPr>
                  </w:pPr>
                  <w:r>
                    <w:rPr>
                      <w:rFonts w:eastAsia="宋体"/>
                      <w:kern w:val="0"/>
                      <w:sz w:val="21"/>
                    </w:rPr>
                    <w:t>（1）对新建排放二氧化硫、氮氧化物、工业烟粉尘和挥发性有机物的项目实施现役源2倍削减替代；</w:t>
                  </w:r>
                </w:p>
                <w:p>
                  <w:pPr>
                    <w:pStyle w:val="193"/>
                    <w:spacing w:before="24" w:after="24" w:line="240" w:lineRule="auto"/>
                    <w:ind w:firstLine="0" w:firstLineChars="0"/>
                    <w:rPr>
                      <w:rFonts w:eastAsia="宋体"/>
                      <w:kern w:val="0"/>
                      <w:sz w:val="21"/>
                    </w:rPr>
                  </w:pPr>
                  <w:r>
                    <w:rPr>
                      <w:rFonts w:eastAsia="宋体"/>
                      <w:kern w:val="0"/>
                      <w:sz w:val="21"/>
                    </w:rPr>
                    <w:t>（2）上一年度水环境质量未完成目标的，新建排放水污染的建设项目按照总量管控要求进行倍量削减替代；</w:t>
                  </w:r>
                </w:p>
                <w:p>
                  <w:pPr>
                    <w:pStyle w:val="193"/>
                    <w:spacing w:before="24" w:after="24" w:line="240" w:lineRule="auto"/>
                    <w:ind w:firstLine="0" w:firstLineChars="0"/>
                    <w:rPr>
                      <w:rFonts w:eastAsia="宋体"/>
                      <w:kern w:val="0"/>
                      <w:sz w:val="21"/>
                    </w:rPr>
                  </w:pPr>
                  <w:r>
                    <w:rPr>
                      <w:rFonts w:eastAsia="宋体"/>
                      <w:kern w:val="0"/>
                      <w:sz w:val="21"/>
                    </w:rPr>
                    <w:t>（3）水质超标的水功能区，应当实施更严格的污染物排放总量削减要求。</w:t>
                  </w:r>
                </w:p>
                <w:p>
                  <w:pPr>
                    <w:pStyle w:val="193"/>
                    <w:spacing w:before="24" w:after="24" w:line="240" w:lineRule="auto"/>
                    <w:ind w:firstLine="0" w:firstLineChars="0"/>
                    <w:rPr>
                      <w:rFonts w:eastAsia="宋体"/>
                      <w:kern w:val="0"/>
                      <w:sz w:val="21"/>
                    </w:rPr>
                  </w:pPr>
                  <w:r>
                    <w:rPr>
                      <w:rFonts w:eastAsia="宋体"/>
                      <w:kern w:val="0"/>
                      <w:sz w:val="21"/>
                    </w:rPr>
                    <w:t>现有源提标升级改造</w:t>
                  </w:r>
                </w:p>
                <w:p>
                  <w:pPr>
                    <w:pStyle w:val="193"/>
                    <w:spacing w:before="24" w:after="24" w:line="240" w:lineRule="auto"/>
                    <w:ind w:firstLine="0" w:firstLineChars="0"/>
                    <w:rPr>
                      <w:rFonts w:eastAsia="宋体"/>
                      <w:kern w:val="0"/>
                      <w:sz w:val="21"/>
                    </w:rPr>
                  </w:pPr>
                  <w:r>
                    <w:rPr>
                      <w:rFonts w:eastAsia="宋体"/>
                      <w:kern w:val="0"/>
                      <w:sz w:val="21"/>
                    </w:rPr>
                    <w:t xml:space="preserve">（1）现有处理规模大于1000吨日的城镇生活污水处理厂，以及存栏量≥300 头猪、粪污经处理后向环境排放的畜禽养殖场，应执行《四川省岷江、沱江流域水污染物排放标准》（DB512311-2016）相关要求； </w:t>
                  </w:r>
                </w:p>
                <w:p>
                  <w:pPr>
                    <w:pStyle w:val="193"/>
                    <w:spacing w:before="24" w:after="24" w:line="240" w:lineRule="auto"/>
                    <w:ind w:firstLine="0" w:firstLineChars="0"/>
                    <w:rPr>
                      <w:rFonts w:eastAsia="宋体"/>
                      <w:kern w:val="0"/>
                      <w:sz w:val="21"/>
                    </w:rPr>
                  </w:pPr>
                  <w:r>
                    <w:rPr>
                      <w:rFonts w:eastAsia="宋体"/>
                      <w:kern w:val="0"/>
                      <w:sz w:val="21"/>
                    </w:rPr>
                    <w:t>（2）市中区、五通桥区、沙湾区、犍为县、井研县、夹江县、峨眉山市的现有企业执行相应行业以及锅炉大气污染物排放标准中颗粒物、二氧化硫、氮氧化物和挥发性有机物特别排放限值和特别控制要求。全市燃煤锅炉稳定达到超低排放限值要求，烟粉尘低于10毫克立方米，二氧化硫低于35毫克立方米，氮氧化物低于50毫克立方米；</w:t>
                  </w:r>
                </w:p>
                <w:p>
                  <w:pPr>
                    <w:pStyle w:val="193"/>
                    <w:spacing w:before="24" w:after="24" w:line="240" w:lineRule="auto"/>
                    <w:ind w:firstLine="0" w:firstLineChars="0"/>
                    <w:rPr>
                      <w:rFonts w:eastAsia="宋体"/>
                      <w:kern w:val="0"/>
                      <w:sz w:val="21"/>
                    </w:rPr>
                  </w:pPr>
                  <w:r>
                    <w:rPr>
                      <w:rFonts w:eastAsia="宋体"/>
                      <w:kern w:val="0"/>
                      <w:sz w:val="21"/>
                    </w:rPr>
                    <w:t>（3）严禁新增钢铁、电力、水泥、玻璃、砖瓦、陶瓷、焦化、电解铝、有色等重点行业大气污染物排放。持续推进水泥、陶瓷、砖瓦、铸造、铁合金、钢铁等行业大气污染深度治理，深入推进颗粒物、二氧化硫、氮氧化物和挥发性有机物治理，持续推进陶瓷行业（喷雾干燥塔）清洁能源改造工程，加快推进五通桥涉氨排放化工企业氨排放治理。</w:t>
                  </w:r>
                </w:p>
                <w:p>
                  <w:pPr>
                    <w:pStyle w:val="193"/>
                    <w:spacing w:before="24" w:after="24" w:line="240" w:lineRule="auto"/>
                    <w:ind w:firstLine="0" w:firstLineChars="0"/>
                    <w:rPr>
                      <w:rFonts w:eastAsia="宋体"/>
                      <w:kern w:val="0"/>
                      <w:sz w:val="21"/>
                    </w:rPr>
                  </w:pPr>
                  <w:r>
                    <w:rPr>
                      <w:rFonts w:eastAsia="宋体"/>
                      <w:kern w:val="0"/>
                      <w:sz w:val="21"/>
                    </w:rPr>
                    <w:t>其他污染物排放管控要求</w:t>
                  </w:r>
                </w:p>
                <w:p>
                  <w:pPr>
                    <w:pStyle w:val="193"/>
                    <w:spacing w:before="24" w:after="24" w:line="240" w:lineRule="auto"/>
                    <w:ind w:firstLine="0" w:firstLineChars="0"/>
                    <w:rPr>
                      <w:rFonts w:eastAsia="宋体"/>
                      <w:kern w:val="0"/>
                      <w:sz w:val="21"/>
                    </w:rPr>
                  </w:pPr>
                  <w:r>
                    <w:rPr>
                      <w:rFonts w:eastAsia="宋体"/>
                      <w:kern w:val="0"/>
                      <w:sz w:val="21"/>
                    </w:rPr>
                    <w:t>（1）新、改、扩建工业项目全面执行大气污染物特别排放限值。</w:t>
                  </w:r>
                </w:p>
                <w:p>
                  <w:pPr>
                    <w:pStyle w:val="193"/>
                    <w:spacing w:before="24" w:after="24" w:line="240" w:lineRule="auto"/>
                    <w:ind w:firstLine="0" w:firstLineChars="0"/>
                    <w:rPr>
                      <w:rFonts w:eastAsia="宋体"/>
                      <w:kern w:val="0"/>
                      <w:sz w:val="21"/>
                    </w:rPr>
                  </w:pPr>
                  <w:r>
                    <w:rPr>
                      <w:rFonts w:eastAsia="宋体"/>
                      <w:kern w:val="0"/>
                      <w:sz w:val="21"/>
                    </w:rPr>
                    <w:t>（2）乡镇生活污水处理设施全覆盖，生活污水收集处理率80%。到 2022 年底，65%以上的行政村农村生活污水得到有效治理。</w:t>
                  </w:r>
                </w:p>
                <w:p>
                  <w:pPr>
                    <w:pStyle w:val="193"/>
                    <w:spacing w:before="24" w:after="24" w:line="240" w:lineRule="auto"/>
                    <w:ind w:firstLine="0" w:firstLineChars="0"/>
                    <w:rPr>
                      <w:rFonts w:eastAsia="宋体"/>
                      <w:kern w:val="0"/>
                      <w:sz w:val="21"/>
                    </w:rPr>
                  </w:pPr>
                  <w:r>
                    <w:rPr>
                      <w:rFonts w:eastAsia="宋体"/>
                      <w:kern w:val="0"/>
                      <w:sz w:val="21"/>
                    </w:rPr>
                    <w:t>（3）新、改扩建规模化畜禽养殖场（小区）要实施雨污分流、粪便污水资源化利用。主要农作物化肥、农药使用量实现零增长，利用率提高到40%以上，测土配方施肥技术推广覆盖率提高到90%以上，控制农村面源污染，采取灌排分离等措施控制农田氮磷流失。</w:t>
                  </w:r>
                </w:p>
                <w:p>
                  <w:pPr>
                    <w:pStyle w:val="193"/>
                    <w:spacing w:before="24" w:after="24" w:line="240" w:lineRule="auto"/>
                    <w:ind w:firstLine="0" w:firstLineChars="0"/>
                    <w:rPr>
                      <w:rFonts w:eastAsia="宋体"/>
                      <w:kern w:val="0"/>
                      <w:sz w:val="21"/>
                    </w:rPr>
                  </w:pPr>
                  <w:r>
                    <w:rPr>
                      <w:rFonts w:eastAsia="宋体"/>
                      <w:kern w:val="0"/>
                      <w:sz w:val="21"/>
                    </w:rPr>
                    <w:t>（4）新、改扩造纸企业参考执行乐山市“三线一单”生态环境分区管控中制浆造纸行业资源环境绩效准入门槛相应要求。</w:t>
                  </w:r>
                </w:p>
                <w:p>
                  <w:pPr>
                    <w:pStyle w:val="193"/>
                    <w:spacing w:before="24" w:after="24" w:line="240" w:lineRule="auto"/>
                    <w:ind w:firstLine="0" w:firstLineChars="0"/>
                    <w:rPr>
                      <w:rFonts w:eastAsia="宋体"/>
                      <w:kern w:val="0"/>
                      <w:sz w:val="21"/>
                    </w:rPr>
                  </w:pPr>
                  <w:r>
                    <w:rPr>
                      <w:rFonts w:eastAsia="宋体"/>
                      <w:kern w:val="0"/>
                      <w:sz w:val="21"/>
                    </w:rPr>
                    <w:t>（5）屠宰项目如需接入城市污水管网，必须按照排水许可证要求排放污水，同时接受所在地的城镇排水主管部门的监督管理。</w:t>
                  </w:r>
                </w:p>
                <w:p>
                  <w:pPr>
                    <w:pStyle w:val="193"/>
                    <w:spacing w:before="24" w:after="24" w:line="240" w:lineRule="auto"/>
                    <w:ind w:firstLine="0" w:firstLineChars="0"/>
                    <w:rPr>
                      <w:rFonts w:eastAsia="宋体"/>
                      <w:kern w:val="0"/>
                      <w:sz w:val="21"/>
                    </w:rPr>
                  </w:pPr>
                  <w:r>
                    <w:rPr>
                      <w:rFonts w:eastAsia="宋体"/>
                      <w:kern w:val="0"/>
                      <w:sz w:val="21"/>
                    </w:rPr>
                    <w:t>（6）到 2023 年底，乡镇及行政村生活垃圾收转运处置体系基本实现全覆盖。</w:t>
                  </w:r>
                </w:p>
                <w:p>
                  <w:pPr>
                    <w:pStyle w:val="193"/>
                    <w:spacing w:before="24" w:after="24" w:line="240" w:lineRule="auto"/>
                    <w:ind w:firstLine="0" w:firstLineChars="0"/>
                    <w:rPr>
                      <w:rFonts w:eastAsia="宋体"/>
                      <w:kern w:val="0"/>
                      <w:sz w:val="21"/>
                    </w:rPr>
                  </w:pPr>
                  <w:r>
                    <w:rPr>
                      <w:rFonts w:eastAsia="宋体"/>
                      <w:kern w:val="0"/>
                      <w:sz w:val="21"/>
                    </w:rPr>
                    <w:t>（7）大气环境布局敏感区强化挥发性有机物整治。扎实推进机械设备制造、家具制造等重点行业挥发性有机物治理，确保全面达标；推广使用符合环保要求的建筑涂料、木器涂料、胶黏剂等产品；全面推广汽修行业使用低挥发性涂料，采用高效涂装工艺，完善有机废气收集和处理系统，取缔露天和敞开式汽修喷涂作业。</w:t>
                  </w:r>
                </w:p>
                <w:p>
                  <w:pPr>
                    <w:pStyle w:val="193"/>
                    <w:spacing w:before="24" w:after="24" w:line="240" w:lineRule="auto"/>
                    <w:ind w:firstLine="0" w:firstLineChars="0"/>
                    <w:rPr>
                      <w:rFonts w:eastAsia="宋体"/>
                      <w:kern w:val="0"/>
                      <w:sz w:val="21"/>
                    </w:rPr>
                  </w:pPr>
                  <w:r>
                    <w:rPr>
                      <w:rFonts w:eastAsia="宋体"/>
                      <w:kern w:val="0"/>
                      <w:sz w:val="21"/>
                    </w:rPr>
                    <w:t>（8）严格执行《关于实施第六阶段机动车排放标准的通告》及《四川省机动车和非道路移动机械排气污染防治办法》。加强油品的监督管理，按照国家、省要求全面供应国六标准的车用汽柴油，严厉打击生产、销售、使用不合格油品和车用尿素行为。</w:t>
                  </w:r>
                </w:p>
                <w:p>
                  <w:pPr>
                    <w:pStyle w:val="193"/>
                    <w:spacing w:before="24" w:after="24" w:line="240" w:lineRule="auto"/>
                    <w:ind w:firstLine="0" w:firstLineChars="0"/>
                    <w:rPr>
                      <w:rFonts w:eastAsia="宋体"/>
                      <w:kern w:val="0"/>
                      <w:sz w:val="21"/>
                    </w:rPr>
                  </w:pPr>
                  <w:r>
                    <w:rPr>
                      <w:rFonts w:eastAsia="宋体"/>
                      <w:kern w:val="0"/>
                      <w:sz w:val="21"/>
                    </w:rPr>
                    <w:t>（9）严格控制道路扬尘。国省道路、高速路连接线等重点通行线路和建成区城乡结合部每天机械化清扫、冲洗不少于1次。强化城郊结合部扬尘污染管控。重点抓好重点交通建筑工地扬尘治理，切实加强城郊结合部重点货车绕行道路扬尘治理。熏制腊肉集中规划布点，加强宣传和引导，防止腌制品熏制污染大气环境。</w:t>
                  </w:r>
                </w:p>
                <w:p>
                  <w:pPr>
                    <w:pStyle w:val="193"/>
                    <w:spacing w:before="24" w:after="24" w:line="240" w:lineRule="auto"/>
                    <w:ind w:firstLine="0" w:firstLineChars="0"/>
                    <w:rPr>
                      <w:rFonts w:eastAsia="宋体"/>
                      <w:kern w:val="0"/>
                      <w:sz w:val="21"/>
                    </w:rPr>
                  </w:pPr>
                  <w:r>
                    <w:rPr>
                      <w:rFonts w:eastAsia="宋体"/>
                      <w:kern w:val="0"/>
                      <w:sz w:val="21"/>
                    </w:rPr>
                    <w:t>环境风险防控：</w:t>
                  </w:r>
                </w:p>
                <w:p>
                  <w:pPr>
                    <w:pStyle w:val="193"/>
                    <w:spacing w:before="24" w:after="24" w:line="240" w:lineRule="auto"/>
                    <w:ind w:firstLine="0" w:firstLineChars="0"/>
                    <w:rPr>
                      <w:rFonts w:eastAsia="宋体"/>
                      <w:kern w:val="0"/>
                      <w:sz w:val="21"/>
                    </w:rPr>
                  </w:pPr>
                  <w:r>
                    <w:rPr>
                      <w:rFonts w:eastAsia="宋体"/>
                      <w:kern w:val="0"/>
                      <w:sz w:val="21"/>
                    </w:rPr>
                    <w:t>联防联控要求</w:t>
                  </w:r>
                </w:p>
                <w:p>
                  <w:pPr>
                    <w:pStyle w:val="193"/>
                    <w:spacing w:before="24" w:after="24" w:line="240" w:lineRule="auto"/>
                    <w:ind w:firstLine="0" w:firstLineChars="0"/>
                    <w:rPr>
                      <w:rFonts w:eastAsia="宋体"/>
                      <w:kern w:val="0"/>
                      <w:sz w:val="21"/>
                    </w:rPr>
                  </w:pPr>
                  <w:r>
                    <w:rPr>
                      <w:rFonts w:eastAsia="宋体"/>
                      <w:kern w:val="0"/>
                      <w:sz w:val="21"/>
                    </w:rPr>
                    <w:t>暂无</w:t>
                  </w:r>
                </w:p>
                <w:p>
                  <w:pPr>
                    <w:pStyle w:val="193"/>
                    <w:spacing w:before="24" w:after="24" w:line="240" w:lineRule="auto"/>
                    <w:ind w:firstLine="0" w:firstLineChars="0"/>
                    <w:rPr>
                      <w:rFonts w:eastAsia="宋体"/>
                      <w:kern w:val="0"/>
                      <w:sz w:val="21"/>
                    </w:rPr>
                  </w:pPr>
                  <w:r>
                    <w:rPr>
                      <w:rFonts w:eastAsia="宋体"/>
                      <w:kern w:val="0"/>
                      <w:sz w:val="21"/>
                    </w:rPr>
                    <w:t>其他环境风险防控要求</w:t>
                  </w:r>
                </w:p>
                <w:p>
                  <w:pPr>
                    <w:pStyle w:val="193"/>
                    <w:spacing w:before="24" w:after="24" w:line="240" w:lineRule="auto"/>
                    <w:ind w:firstLine="0" w:firstLineChars="0"/>
                    <w:rPr>
                      <w:rFonts w:eastAsia="宋体"/>
                      <w:kern w:val="0"/>
                      <w:sz w:val="21"/>
                    </w:rPr>
                  </w:pPr>
                  <w:r>
                    <w:rPr>
                      <w:rFonts w:eastAsia="宋体"/>
                      <w:kern w:val="0"/>
                      <w:sz w:val="21"/>
                    </w:rPr>
                    <w:t>（1）严禁新增以铅、汞、镉、铬、砷五类重金属为主的污染物排放，引导现有企业结合产业升级等适时搬入产业对口园区；</w:t>
                  </w:r>
                </w:p>
                <w:p>
                  <w:pPr>
                    <w:pStyle w:val="193"/>
                    <w:spacing w:before="24" w:after="24" w:line="240" w:lineRule="auto"/>
                    <w:ind w:firstLine="0" w:firstLineChars="0"/>
                    <w:rPr>
                      <w:rFonts w:eastAsia="宋体"/>
                      <w:kern w:val="0"/>
                      <w:sz w:val="21"/>
                    </w:rPr>
                  </w:pPr>
                  <w:r>
                    <w:rPr>
                      <w:rFonts w:eastAsia="宋体"/>
                      <w:kern w:val="0"/>
                      <w:sz w:val="21"/>
                    </w:rPr>
                    <w:t>（2）对拟收回土地使用权的有色金属矿采选、有色金属冶炼、石油加工、化工、焦化、电镀、制革、天然（页岩）气开采、铅蓄电池、汽车制造、农药、危废处置、电子拆解等行业企业用地，以及用途拟变更为居住和商业、学校、医疗、养老机构等公共设施的上述企业用地，应按相关要求进行土壤环境状况调查评估，符合相应规划用地土壤环境质量要求的地块，方可进入用地程序；</w:t>
                  </w:r>
                </w:p>
                <w:p>
                  <w:pPr>
                    <w:pStyle w:val="193"/>
                    <w:spacing w:before="24" w:after="24" w:line="240" w:lineRule="auto"/>
                    <w:ind w:firstLine="0" w:firstLineChars="0"/>
                    <w:rPr>
                      <w:rFonts w:eastAsia="宋体"/>
                      <w:kern w:val="0"/>
                      <w:sz w:val="21"/>
                    </w:rPr>
                  </w:pPr>
                  <w:r>
                    <w:rPr>
                      <w:rFonts w:eastAsia="宋体"/>
                      <w:kern w:val="0"/>
                      <w:sz w:val="21"/>
                    </w:rPr>
                    <w:t>（3）严禁将城镇生活垃圾、污泥、工业废物直接用作肥料，禁止处理不达标的污泥进入耕地；禁止在农用地排放、倾倒、使用污泥、清淤底泥、尾矿（渣）等可能对土壤造成污染的固体废物；</w:t>
                  </w:r>
                </w:p>
                <w:p>
                  <w:pPr>
                    <w:pStyle w:val="193"/>
                    <w:spacing w:before="24" w:after="24" w:line="240" w:lineRule="auto"/>
                    <w:ind w:firstLine="0" w:firstLineChars="0"/>
                    <w:rPr>
                      <w:rFonts w:eastAsia="宋体"/>
                      <w:kern w:val="0"/>
                      <w:sz w:val="21"/>
                    </w:rPr>
                  </w:pPr>
                  <w:r>
                    <w:rPr>
                      <w:rFonts w:eastAsia="宋体"/>
                      <w:kern w:val="0"/>
                      <w:sz w:val="21"/>
                    </w:rPr>
                    <w:t>（4）严格控制在优先保护类耕地集中的区县新建有色金属矿采选、有色金属冶炼、石油加工、化工、焦化、电镀、制革、天然（页岩）气开采、铅蓄电池、汽车制造、农药、危废处置、电子拆解、涉重等行业企业。严格控制林地、草地、园地的农药使用量，禁止使用高毒、高残留农药。</w:t>
                  </w:r>
                </w:p>
                <w:p>
                  <w:pPr>
                    <w:pStyle w:val="193"/>
                    <w:spacing w:before="24" w:after="24" w:line="240" w:lineRule="auto"/>
                    <w:ind w:firstLine="0" w:firstLineChars="0"/>
                    <w:rPr>
                      <w:rFonts w:eastAsia="宋体"/>
                      <w:kern w:val="0"/>
                      <w:sz w:val="21"/>
                    </w:rPr>
                  </w:pPr>
                  <w:r>
                    <w:rPr>
                      <w:rFonts w:eastAsia="宋体"/>
                      <w:kern w:val="0"/>
                      <w:sz w:val="21"/>
                    </w:rPr>
                    <w:t>资源开发利用效率要求：</w:t>
                  </w:r>
                </w:p>
                <w:p>
                  <w:pPr>
                    <w:pStyle w:val="193"/>
                    <w:spacing w:before="24" w:after="24" w:line="240" w:lineRule="auto"/>
                    <w:ind w:firstLine="0" w:firstLineChars="0"/>
                    <w:rPr>
                      <w:rFonts w:eastAsia="宋体"/>
                      <w:kern w:val="0"/>
                      <w:sz w:val="21"/>
                    </w:rPr>
                  </w:pPr>
                  <w:r>
                    <w:rPr>
                      <w:rFonts w:eastAsia="宋体"/>
                      <w:kern w:val="0"/>
                      <w:sz w:val="21"/>
                    </w:rPr>
                    <w:t>水资源利用总量要求</w:t>
                  </w:r>
                </w:p>
                <w:p>
                  <w:pPr>
                    <w:pStyle w:val="193"/>
                    <w:spacing w:before="24" w:after="24" w:line="240" w:lineRule="auto"/>
                    <w:ind w:firstLine="0" w:firstLineChars="0"/>
                    <w:rPr>
                      <w:rFonts w:eastAsia="宋体"/>
                      <w:kern w:val="0"/>
                      <w:sz w:val="21"/>
                    </w:rPr>
                  </w:pPr>
                  <w:r>
                    <w:rPr>
                      <w:rFonts w:eastAsia="宋体"/>
                      <w:kern w:val="0"/>
                      <w:sz w:val="21"/>
                    </w:rPr>
                    <w:t>（1）加强农业灌溉管理，发展喷灌、微灌、管道输水灌溉、水肥一体化等高效农业节水灌溉方式和农耕农艺节水技术，提高输配水效率和调度水平。发展节水渔业、牧业，组织实施规模养殖场节水建设和改造，推行节水型畜禽养殖技术和方式。</w:t>
                  </w:r>
                </w:p>
                <w:p>
                  <w:pPr>
                    <w:pStyle w:val="193"/>
                    <w:spacing w:before="24" w:after="24" w:line="240" w:lineRule="auto"/>
                    <w:ind w:firstLine="0" w:firstLineChars="0"/>
                    <w:rPr>
                      <w:rFonts w:eastAsia="宋体"/>
                      <w:kern w:val="0"/>
                      <w:sz w:val="21"/>
                    </w:rPr>
                  </w:pPr>
                  <w:r>
                    <w:rPr>
                      <w:rFonts w:eastAsia="宋体"/>
                      <w:kern w:val="0"/>
                      <w:sz w:val="21"/>
                    </w:rPr>
                    <w:t>地下水开采要求</w:t>
                  </w:r>
                </w:p>
                <w:p>
                  <w:pPr>
                    <w:pStyle w:val="193"/>
                    <w:spacing w:before="24" w:after="24" w:line="240" w:lineRule="auto"/>
                    <w:ind w:firstLine="0" w:firstLineChars="0"/>
                    <w:rPr>
                      <w:rFonts w:eastAsia="宋体"/>
                      <w:kern w:val="0"/>
                      <w:sz w:val="21"/>
                    </w:rPr>
                  </w:pPr>
                  <w:r>
                    <w:rPr>
                      <w:rFonts w:eastAsia="宋体"/>
                      <w:kern w:val="0"/>
                      <w:sz w:val="21"/>
                    </w:rPr>
                    <w:t>暂无</w:t>
                  </w:r>
                </w:p>
                <w:p>
                  <w:pPr>
                    <w:pStyle w:val="193"/>
                    <w:spacing w:before="24" w:after="24" w:line="240" w:lineRule="auto"/>
                    <w:ind w:firstLine="0" w:firstLineChars="0"/>
                    <w:rPr>
                      <w:rFonts w:eastAsia="宋体"/>
                      <w:kern w:val="0"/>
                      <w:sz w:val="21"/>
                    </w:rPr>
                  </w:pPr>
                  <w:r>
                    <w:rPr>
                      <w:rFonts w:eastAsia="宋体"/>
                      <w:kern w:val="0"/>
                      <w:sz w:val="21"/>
                    </w:rPr>
                    <w:t>能源利用总量及效率要求</w:t>
                  </w:r>
                </w:p>
                <w:p>
                  <w:pPr>
                    <w:pStyle w:val="193"/>
                    <w:spacing w:before="24" w:after="24" w:line="240" w:lineRule="auto"/>
                    <w:ind w:firstLine="0" w:firstLineChars="0"/>
                    <w:rPr>
                      <w:rFonts w:eastAsia="宋体"/>
                      <w:kern w:val="0"/>
                      <w:sz w:val="21"/>
                    </w:rPr>
                  </w:pPr>
                  <w:r>
                    <w:rPr>
                      <w:rFonts w:eastAsia="宋体"/>
                      <w:kern w:val="0"/>
                      <w:sz w:val="21"/>
                    </w:rPr>
                    <w:t>（1）禁止焚烧秸秆，大力推进秸秆肥料化、饲料化、基料化、原料化、能源化等多种形式的秸秆综合利用。</w:t>
                  </w:r>
                </w:p>
                <w:p>
                  <w:pPr>
                    <w:pStyle w:val="193"/>
                    <w:spacing w:before="24" w:after="24" w:line="240" w:lineRule="auto"/>
                    <w:ind w:firstLine="0" w:firstLineChars="0"/>
                    <w:rPr>
                      <w:rFonts w:eastAsia="宋体"/>
                      <w:kern w:val="0"/>
                      <w:sz w:val="21"/>
                    </w:rPr>
                  </w:pPr>
                  <w:r>
                    <w:rPr>
                      <w:rFonts w:eastAsia="宋体"/>
                      <w:kern w:val="0"/>
                      <w:sz w:val="21"/>
                    </w:rPr>
                    <w:t>（2）到2030年，农业废弃物全部实现资源化利用，</w:t>
                  </w:r>
                </w:p>
                <w:p>
                  <w:pPr>
                    <w:pStyle w:val="193"/>
                    <w:spacing w:before="24" w:after="24" w:line="240" w:lineRule="auto"/>
                    <w:ind w:firstLine="0" w:firstLineChars="0"/>
                    <w:rPr>
                      <w:rFonts w:eastAsia="宋体"/>
                      <w:kern w:val="0"/>
                      <w:sz w:val="21"/>
                    </w:rPr>
                  </w:pPr>
                  <w:r>
                    <w:rPr>
                      <w:rFonts w:eastAsia="宋体"/>
                      <w:kern w:val="0"/>
                      <w:sz w:val="21"/>
                    </w:rPr>
                    <w:t>（3）在秋收和夏收阶段开展秸秆禁烧专项巡查，强化成都平原地区区域联动。</w:t>
                  </w:r>
                </w:p>
                <w:p>
                  <w:pPr>
                    <w:pStyle w:val="193"/>
                    <w:spacing w:before="24" w:after="24" w:line="240" w:lineRule="auto"/>
                    <w:ind w:firstLine="0" w:firstLineChars="0"/>
                    <w:rPr>
                      <w:rFonts w:eastAsia="宋体"/>
                      <w:kern w:val="0"/>
                      <w:sz w:val="21"/>
                    </w:rPr>
                  </w:pPr>
                  <w:r>
                    <w:rPr>
                      <w:rFonts w:eastAsia="宋体"/>
                      <w:kern w:val="0"/>
                      <w:sz w:val="21"/>
                    </w:rPr>
                    <w:t>禁燃区要求</w:t>
                  </w:r>
                </w:p>
                <w:p>
                  <w:pPr>
                    <w:pStyle w:val="193"/>
                    <w:spacing w:before="24" w:after="24" w:line="240" w:lineRule="auto"/>
                    <w:ind w:firstLine="0" w:firstLineChars="0"/>
                    <w:rPr>
                      <w:rFonts w:eastAsia="宋体"/>
                      <w:kern w:val="0"/>
                      <w:sz w:val="21"/>
                    </w:rPr>
                  </w:pPr>
                  <w:r>
                    <w:rPr>
                      <w:rFonts w:eastAsia="宋体"/>
                      <w:kern w:val="0"/>
                      <w:sz w:val="21"/>
                    </w:rPr>
                    <w:t>（1）能源结构以天然气和电为主。保留20蒸吨小时以上燃煤锅炉，并执行超低排放要求，鼓励搬入园区；</w:t>
                  </w:r>
                </w:p>
                <w:p>
                  <w:pPr>
                    <w:pStyle w:val="193"/>
                    <w:spacing w:before="24" w:after="24" w:line="240" w:lineRule="auto"/>
                    <w:ind w:firstLine="0" w:firstLineChars="0"/>
                    <w:rPr>
                      <w:rFonts w:eastAsia="宋体"/>
                      <w:kern w:val="0"/>
                      <w:sz w:val="21"/>
                    </w:rPr>
                  </w:pPr>
                  <w:r>
                    <w:rPr>
                      <w:rFonts w:eastAsia="宋体"/>
                      <w:kern w:val="0"/>
                      <w:sz w:val="21"/>
                    </w:rPr>
                    <w:t>（2）禁燃区内禁止审批（核准、备案）、新建、扩建燃用高污染燃料的项目和设施。</w:t>
                  </w:r>
                </w:p>
                <w:p>
                  <w:pPr>
                    <w:pStyle w:val="193"/>
                    <w:spacing w:before="24" w:after="24" w:line="240" w:lineRule="auto"/>
                    <w:ind w:firstLine="0" w:firstLineChars="0"/>
                    <w:rPr>
                      <w:rFonts w:eastAsia="宋体"/>
                      <w:kern w:val="0"/>
                      <w:sz w:val="21"/>
                    </w:rPr>
                  </w:pPr>
                  <w:r>
                    <w:rPr>
                      <w:rFonts w:eastAsia="宋体"/>
                      <w:kern w:val="0"/>
                      <w:sz w:val="21"/>
                    </w:rPr>
                    <w:t>其他资源利用效率要求</w:t>
                  </w:r>
                </w:p>
                <w:p>
                  <w:pPr>
                    <w:pStyle w:val="193"/>
                    <w:spacing w:before="24" w:after="24" w:line="240" w:lineRule="auto"/>
                    <w:ind w:firstLine="0" w:firstLineChars="0"/>
                    <w:rPr>
                      <w:rFonts w:eastAsia="宋体"/>
                      <w:kern w:val="0"/>
                      <w:sz w:val="21"/>
                    </w:rPr>
                  </w:pPr>
                  <w:r>
                    <w:rPr>
                      <w:rFonts w:eastAsia="宋体"/>
                      <w:kern w:val="0"/>
                      <w:sz w:val="21"/>
                    </w:rPr>
                    <w:t>暂无</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0" w:type="auto"/>
                  <w:gridSpan w:val="6"/>
                  <w:vMerge w:val="continue"/>
                </w:tcPr>
                <w:p>
                  <w:pPr>
                    <w:pStyle w:val="193"/>
                    <w:spacing w:before="24" w:after="24" w:line="240" w:lineRule="auto"/>
                    <w:ind w:firstLine="0" w:firstLineChars="0"/>
                    <w:rPr>
                      <w:rFonts w:eastAsia="宋体"/>
                      <w:kern w:val="0"/>
                      <w:sz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0" w:type="auto"/>
                  <w:gridSpan w:val="6"/>
                  <w:vMerge w:val="continue"/>
                </w:tcPr>
                <w:p>
                  <w:pPr>
                    <w:pStyle w:val="193"/>
                    <w:spacing w:before="24" w:after="24" w:line="240" w:lineRule="auto"/>
                    <w:ind w:firstLine="0" w:firstLineChars="0"/>
                    <w:rPr>
                      <w:rFonts w:eastAsia="宋体"/>
                      <w:kern w:val="0"/>
                      <w:sz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0" w:type="auto"/>
                  <w:gridSpan w:val="6"/>
                  <w:vMerge w:val="continue"/>
                </w:tcPr>
                <w:p>
                  <w:pPr>
                    <w:pStyle w:val="193"/>
                    <w:spacing w:before="24" w:after="24" w:line="240" w:lineRule="auto"/>
                    <w:ind w:firstLine="0" w:firstLineChars="0"/>
                    <w:rPr>
                      <w:rFonts w:eastAsia="宋体"/>
                      <w:kern w:val="0"/>
                      <w:sz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60" w:hRule="atLeast"/>
              </w:trPr>
              <w:tc>
                <w:tcPr>
                  <w:tcW w:w="0" w:type="auto"/>
                  <w:gridSpan w:val="6"/>
                  <w:vMerge w:val="continue"/>
                </w:tcPr>
                <w:p>
                  <w:pPr>
                    <w:pStyle w:val="193"/>
                    <w:spacing w:before="24" w:after="24" w:line="240" w:lineRule="auto"/>
                    <w:ind w:firstLine="0" w:firstLineChars="0"/>
                    <w:rPr>
                      <w:rFonts w:eastAsia="宋体"/>
                      <w:kern w:val="0"/>
                      <w:sz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0" w:type="auto"/>
                  <w:gridSpan w:val="6"/>
                  <w:vMerge w:val="continue"/>
                </w:tcPr>
                <w:p>
                  <w:pPr>
                    <w:pStyle w:val="193"/>
                    <w:spacing w:before="24" w:after="24" w:line="240" w:lineRule="auto"/>
                    <w:ind w:firstLine="0" w:firstLineChars="0"/>
                    <w:rPr>
                      <w:rFonts w:eastAsia="宋体"/>
                      <w:kern w:val="0"/>
                      <w:sz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60" w:hRule="atLeast"/>
              </w:trPr>
              <w:tc>
                <w:tcPr>
                  <w:tcW w:w="0" w:type="auto"/>
                  <w:gridSpan w:val="6"/>
                  <w:vMerge w:val="continue"/>
                </w:tcPr>
                <w:p>
                  <w:pPr>
                    <w:pStyle w:val="193"/>
                    <w:spacing w:before="24" w:after="24" w:line="240" w:lineRule="auto"/>
                    <w:ind w:firstLine="0" w:firstLineChars="0"/>
                    <w:rPr>
                      <w:rFonts w:eastAsia="宋体"/>
                      <w:kern w:val="0"/>
                      <w:sz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60" w:hRule="atLeast"/>
              </w:trPr>
              <w:tc>
                <w:tcPr>
                  <w:tcW w:w="0" w:type="auto"/>
                  <w:gridSpan w:val="6"/>
                  <w:vMerge w:val="continue"/>
                </w:tcPr>
                <w:p>
                  <w:pPr>
                    <w:pStyle w:val="193"/>
                    <w:spacing w:before="24" w:after="24" w:line="240" w:lineRule="auto"/>
                    <w:ind w:firstLine="0" w:firstLineChars="0"/>
                    <w:rPr>
                      <w:rFonts w:eastAsia="宋体"/>
                      <w:kern w:val="0"/>
                      <w:sz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60" w:hRule="atLeast"/>
              </w:trPr>
              <w:tc>
                <w:tcPr>
                  <w:tcW w:w="0" w:type="auto"/>
                  <w:gridSpan w:val="6"/>
                  <w:vMerge w:val="continue"/>
                </w:tcPr>
                <w:p>
                  <w:pPr>
                    <w:pStyle w:val="193"/>
                    <w:spacing w:before="24" w:after="24" w:line="240" w:lineRule="auto"/>
                    <w:ind w:firstLine="0" w:firstLineChars="0"/>
                    <w:rPr>
                      <w:rFonts w:eastAsia="宋体"/>
                      <w:kern w:val="0"/>
                      <w:sz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60" w:hRule="atLeast"/>
              </w:trPr>
              <w:tc>
                <w:tcPr>
                  <w:tcW w:w="0" w:type="auto"/>
                  <w:gridSpan w:val="6"/>
                  <w:vMerge w:val="continue"/>
                </w:tcPr>
                <w:p>
                  <w:pPr>
                    <w:pStyle w:val="193"/>
                    <w:spacing w:before="24" w:after="24" w:line="240" w:lineRule="auto"/>
                    <w:ind w:firstLine="0" w:firstLineChars="0"/>
                    <w:rPr>
                      <w:rFonts w:eastAsia="宋体"/>
                      <w:kern w:val="0"/>
                      <w:sz w:val="21"/>
                    </w:rPr>
                  </w:pPr>
                </w:p>
              </w:tc>
            </w:tr>
          </w:tbl>
          <w:p>
            <w:pPr>
              <w:spacing w:before="120" w:after="120" w:line="360" w:lineRule="auto"/>
              <w:ind w:firstLine="480" w:firstLineChars="200"/>
              <w:rPr>
                <w:bCs/>
                <w:sz w:val="24"/>
              </w:rPr>
            </w:pPr>
            <w:r>
              <w:rPr>
                <w:bCs/>
                <w:sz w:val="24"/>
              </w:rPr>
              <w:t>2）与乐山市生态环境分区管控方案符合性分析</w:t>
            </w:r>
          </w:p>
          <w:p>
            <w:pPr>
              <w:pStyle w:val="82"/>
              <w:adjustRightInd w:val="0"/>
              <w:snapToGrid w:val="0"/>
              <w:spacing w:line="360" w:lineRule="auto"/>
              <w:rPr>
                <w:color w:val="auto"/>
                <w:szCs w:val="24"/>
              </w:rPr>
            </w:pPr>
            <w:r>
              <w:rPr>
                <w:bCs/>
                <w:color w:val="auto"/>
              </w:rPr>
              <w:t>为实现生态环境精细化管理，建立国土空间全覆盖的生态环境保护制度，将全省行政区域从生态环境保护角度划分为优先保护、重点管控和一般管控三类环境管控单元，在一张图上落实生态保护、环境质量目标管理、资源利用管控要求，按照环境管控单元编制生态环境准入清单，构建生态环境分区管控体系。《乐山市人民政府关于落实生态保护红线、环境质量底线、资源利用上线制定生态环境准入清单 实施生态环境分区管控的通知》（乐府发〔2021〕7号）中制定了乐山市环境管控单元分布图。《乐山市人民政府关于落实生态保护红线、环境质量底线、资源利用上线制定生态环境准入清单 实施生态环境分区管控的通知》（乐府发〔2021〕7号）</w:t>
            </w:r>
            <w:r>
              <w:rPr>
                <w:color w:val="auto"/>
                <w:szCs w:val="24"/>
              </w:rPr>
              <w:t>在全市总体生态环境管控要求的基础上，全市及各县（市、区）的区域特征、发展定位和突出生态环境问题，明确全市和各县（市、区）差别化的总体生态环境管控要求。根据划分结果，本项目位于乐山市市中区，总体生态环境管控要求见下表。</w:t>
            </w:r>
          </w:p>
          <w:p>
            <w:pPr>
              <w:pStyle w:val="9"/>
              <w:keepNext w:val="0"/>
              <w:adjustRightInd w:val="0"/>
              <w:snapToGrid w:val="0"/>
              <w:spacing w:line="360" w:lineRule="auto"/>
              <w:rPr>
                <w:rFonts w:cs="Times New Roman"/>
                <w:sz w:val="24"/>
                <w:szCs w:val="24"/>
              </w:rPr>
            </w:pPr>
            <w:r>
              <w:rPr>
                <w:rFonts w:cs="Times New Roman"/>
                <w:sz w:val="24"/>
                <w:szCs w:val="24"/>
              </w:rPr>
              <w:t>表1-4  总体生态环境管控要求</w:t>
            </w:r>
          </w:p>
          <w:tbl>
            <w:tblPr>
              <w:tblStyle w:val="3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9"/>
              <w:gridCol w:w="3470"/>
              <w:gridCol w:w="2916"/>
              <w:gridCol w:w="9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699" w:type="dxa"/>
                  <w:shd w:val="clear" w:color="auto" w:fill="auto"/>
                  <w:vAlign w:val="center"/>
                </w:tcPr>
                <w:p>
                  <w:pPr>
                    <w:adjustRightInd w:val="0"/>
                    <w:snapToGrid w:val="0"/>
                    <w:jc w:val="center"/>
                    <w:rPr>
                      <w:b/>
                      <w:bCs/>
                      <w:szCs w:val="21"/>
                    </w:rPr>
                  </w:pPr>
                  <w:r>
                    <w:rPr>
                      <w:b/>
                      <w:bCs/>
                      <w:szCs w:val="21"/>
                    </w:rPr>
                    <w:t>区域</w:t>
                  </w:r>
                </w:p>
              </w:tc>
              <w:tc>
                <w:tcPr>
                  <w:tcW w:w="3470" w:type="dxa"/>
                  <w:shd w:val="clear" w:color="auto" w:fill="auto"/>
                  <w:vAlign w:val="center"/>
                </w:tcPr>
                <w:p>
                  <w:pPr>
                    <w:adjustRightInd w:val="0"/>
                    <w:snapToGrid w:val="0"/>
                    <w:jc w:val="center"/>
                    <w:rPr>
                      <w:b/>
                      <w:bCs/>
                      <w:szCs w:val="21"/>
                    </w:rPr>
                  </w:pPr>
                  <w:r>
                    <w:rPr>
                      <w:b/>
                      <w:bCs/>
                      <w:szCs w:val="21"/>
                    </w:rPr>
                    <w:t>总体生态环境管控要求</w:t>
                  </w:r>
                </w:p>
              </w:tc>
              <w:tc>
                <w:tcPr>
                  <w:tcW w:w="2916" w:type="dxa"/>
                  <w:vAlign w:val="center"/>
                </w:tcPr>
                <w:p>
                  <w:pPr>
                    <w:adjustRightInd w:val="0"/>
                    <w:snapToGrid w:val="0"/>
                    <w:jc w:val="center"/>
                    <w:rPr>
                      <w:b/>
                      <w:bCs/>
                      <w:szCs w:val="21"/>
                    </w:rPr>
                  </w:pPr>
                  <w:r>
                    <w:rPr>
                      <w:b/>
                      <w:bCs/>
                      <w:szCs w:val="21"/>
                    </w:rPr>
                    <w:t>本项目</w:t>
                  </w:r>
                </w:p>
              </w:tc>
              <w:tc>
                <w:tcPr>
                  <w:tcW w:w="946" w:type="dxa"/>
                  <w:vAlign w:val="center"/>
                </w:tcPr>
                <w:p>
                  <w:pPr>
                    <w:adjustRightInd w:val="0"/>
                    <w:snapToGrid w:val="0"/>
                    <w:jc w:val="center"/>
                    <w:rPr>
                      <w:b/>
                      <w:bCs/>
                      <w:szCs w:val="21"/>
                    </w:rPr>
                  </w:pPr>
                  <w:r>
                    <w:rPr>
                      <w:b/>
                      <w:bCs/>
                      <w:szCs w:val="21"/>
                    </w:rPr>
                    <w:t>符合性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699" w:type="dxa"/>
                  <w:shd w:val="clear" w:color="auto" w:fill="auto"/>
                  <w:vAlign w:val="center"/>
                </w:tcPr>
                <w:p>
                  <w:pPr>
                    <w:adjustRightInd w:val="0"/>
                    <w:snapToGrid w:val="0"/>
                    <w:rPr>
                      <w:szCs w:val="21"/>
                    </w:rPr>
                  </w:pPr>
                  <w:r>
                    <w:rPr>
                      <w:szCs w:val="21"/>
                    </w:rPr>
                    <w:t>市中区</w:t>
                  </w:r>
                </w:p>
              </w:tc>
              <w:tc>
                <w:tcPr>
                  <w:tcW w:w="3470" w:type="dxa"/>
                  <w:shd w:val="clear" w:color="auto" w:fill="auto"/>
                  <w:vAlign w:val="center"/>
                </w:tcPr>
                <w:p>
                  <w:pPr>
                    <w:adjustRightInd w:val="0"/>
                    <w:snapToGrid w:val="0"/>
                    <w:rPr>
                      <w:szCs w:val="21"/>
                    </w:rPr>
                  </w:pPr>
                  <w:r>
                    <w:rPr>
                      <w:szCs w:val="21"/>
                    </w:rPr>
                    <w:t>1.优化调整产业结构，严格生态环境准入要求；</w:t>
                  </w:r>
                </w:p>
                <w:p>
                  <w:pPr>
                    <w:adjustRightInd w:val="0"/>
                    <w:snapToGrid w:val="0"/>
                    <w:rPr>
                      <w:szCs w:val="21"/>
                    </w:rPr>
                  </w:pPr>
                  <w:r>
                    <w:rPr>
                      <w:szCs w:val="21"/>
                    </w:rPr>
                    <w:t>2.推动城市建成区内企业“退城入园”，严格控制园外企业无序扩张；</w:t>
                  </w:r>
                </w:p>
                <w:p>
                  <w:pPr>
                    <w:adjustRightInd w:val="0"/>
                    <w:snapToGrid w:val="0"/>
                    <w:rPr>
                      <w:szCs w:val="21"/>
                    </w:rPr>
                  </w:pPr>
                  <w:r>
                    <w:rPr>
                      <w:szCs w:val="21"/>
                    </w:rPr>
                    <w:t>3.加强泥溪河、茫溪河等小流域污染治理，严控泥溪河、茫溪河流域涉水排放项目及水产养殖规模；加强农业面源污染治理，严格控制化肥农药使用量，积极推广畜禽清洁养殖和畜禽粪污无害化、资源化利用技术；</w:t>
                  </w:r>
                </w:p>
                <w:p>
                  <w:pPr>
                    <w:adjustRightInd w:val="0"/>
                    <w:snapToGrid w:val="0"/>
                    <w:rPr>
                      <w:szCs w:val="21"/>
                    </w:rPr>
                  </w:pPr>
                  <w:r>
                    <w:rPr>
                      <w:szCs w:val="21"/>
                    </w:rPr>
                    <w:t>4.加强区域大气污染治理，推进涉挥发性有机物排放项目、砖瓦企业深度治理改造；执行大气污染物特别排放限值；</w:t>
                  </w:r>
                </w:p>
                <w:p>
                  <w:pPr>
                    <w:adjustRightInd w:val="0"/>
                    <w:snapToGrid w:val="0"/>
                    <w:rPr>
                      <w:szCs w:val="21"/>
                    </w:rPr>
                  </w:pPr>
                  <w:r>
                    <w:rPr>
                      <w:szCs w:val="21"/>
                    </w:rPr>
                    <w:t>5.加强涉危涉化企业管控，严控环境风险；</w:t>
                  </w:r>
                </w:p>
                <w:p>
                  <w:pPr>
                    <w:adjustRightInd w:val="0"/>
                    <w:snapToGrid w:val="0"/>
                    <w:rPr>
                      <w:szCs w:val="21"/>
                    </w:rPr>
                  </w:pPr>
                  <w:r>
                    <w:rPr>
                      <w:szCs w:val="21"/>
                    </w:rPr>
                    <w:t>6.加强城乡生态环境保护基础设施建设。</w:t>
                  </w:r>
                </w:p>
              </w:tc>
              <w:tc>
                <w:tcPr>
                  <w:tcW w:w="2916" w:type="dxa"/>
                  <w:vAlign w:val="center"/>
                </w:tcPr>
                <w:p>
                  <w:pPr>
                    <w:adjustRightInd w:val="0"/>
                    <w:snapToGrid w:val="0"/>
                    <w:rPr>
                      <w:szCs w:val="21"/>
                    </w:rPr>
                  </w:pPr>
                  <w:r>
                    <w:rPr>
                      <w:szCs w:val="21"/>
                    </w:rPr>
                    <w:t>（1）本项目的建设符合生态环境准入要求；</w:t>
                  </w:r>
                </w:p>
                <w:p>
                  <w:pPr>
                    <w:adjustRightInd w:val="0"/>
                    <w:snapToGrid w:val="0"/>
                    <w:rPr>
                      <w:szCs w:val="21"/>
                    </w:rPr>
                  </w:pPr>
                  <w:r>
                    <w:rPr>
                      <w:szCs w:val="21"/>
                    </w:rPr>
                    <w:t>（2）项目位于乐山市资源循环利用基地规划范围内，属于该基地规划建设内容；</w:t>
                  </w:r>
                </w:p>
                <w:p>
                  <w:pPr>
                    <w:adjustRightInd w:val="0"/>
                    <w:snapToGrid w:val="0"/>
                    <w:rPr>
                      <w:szCs w:val="21"/>
                    </w:rPr>
                  </w:pPr>
                  <w:r>
                    <w:rPr>
                      <w:szCs w:val="21"/>
                    </w:rPr>
                    <w:t>（3）项目不属于高耗水、废水排放量大的项目，生活污水、生产废水处理后循环使用，不外排；</w:t>
                  </w:r>
                </w:p>
                <w:p>
                  <w:pPr>
                    <w:adjustRightInd w:val="0"/>
                    <w:snapToGrid w:val="0"/>
                    <w:rPr>
                      <w:szCs w:val="21"/>
                    </w:rPr>
                  </w:pPr>
                  <w:r>
                    <w:rPr>
                      <w:szCs w:val="21"/>
                    </w:rPr>
                    <w:t>（4）项目大气污染物经有效措施处理后达标排放，不涉及有机物排放，不属于重点项目；</w:t>
                  </w:r>
                </w:p>
                <w:p>
                  <w:pPr>
                    <w:adjustRightInd w:val="0"/>
                    <w:snapToGrid w:val="0"/>
                    <w:rPr>
                      <w:szCs w:val="21"/>
                    </w:rPr>
                  </w:pPr>
                  <w:r>
                    <w:rPr>
                      <w:szCs w:val="21"/>
                    </w:rPr>
                    <w:t>（5）项目不属于涉化企业；</w:t>
                  </w:r>
                </w:p>
                <w:p>
                  <w:pPr>
                    <w:adjustRightInd w:val="0"/>
                    <w:snapToGrid w:val="0"/>
                    <w:rPr>
                      <w:szCs w:val="21"/>
                    </w:rPr>
                  </w:pPr>
                  <w:r>
                    <w:rPr>
                      <w:szCs w:val="21"/>
                    </w:rPr>
                    <w:t>（6）项目不涉及城乡生态环境保护基础设施建设。</w:t>
                  </w:r>
                </w:p>
              </w:tc>
              <w:tc>
                <w:tcPr>
                  <w:tcW w:w="946" w:type="dxa"/>
                  <w:vAlign w:val="center"/>
                </w:tcPr>
                <w:p>
                  <w:pPr>
                    <w:adjustRightInd w:val="0"/>
                    <w:snapToGrid w:val="0"/>
                    <w:jc w:val="center"/>
                    <w:rPr>
                      <w:szCs w:val="21"/>
                    </w:rPr>
                  </w:pPr>
                  <w:r>
                    <w:rPr>
                      <w:szCs w:val="21"/>
                    </w:rPr>
                    <w:t>符合</w:t>
                  </w:r>
                </w:p>
              </w:tc>
            </w:tr>
          </w:tbl>
          <w:p>
            <w:pPr>
              <w:spacing w:before="120" w:after="120" w:line="360" w:lineRule="auto"/>
              <w:jc w:val="left"/>
            </w:pPr>
          </w:p>
          <w:p>
            <w:pPr>
              <w:spacing w:before="120" w:after="120" w:line="360" w:lineRule="auto"/>
              <w:jc w:val="left"/>
              <w:rPr>
                <w:bCs/>
                <w:sz w:val="24"/>
              </w:rPr>
            </w:pPr>
            <w:r>
              <w:rPr>
                <w:szCs w:val="21"/>
              </w:rPr>
              <mc:AlternateContent>
                <mc:Choice Requires="wps">
                  <w:drawing>
                    <wp:anchor distT="0" distB="0" distL="114300" distR="114300" simplePos="0" relativeHeight="251659264" behindDoc="0" locked="0" layoutInCell="1" allowOverlap="1">
                      <wp:simplePos x="0" y="0"/>
                      <wp:positionH relativeFrom="column">
                        <wp:posOffset>4291330</wp:posOffset>
                      </wp:positionH>
                      <wp:positionV relativeFrom="paragraph">
                        <wp:posOffset>2242820</wp:posOffset>
                      </wp:positionV>
                      <wp:extent cx="915035" cy="299085"/>
                      <wp:effectExtent l="1812290" t="254635" r="15875" b="17780"/>
                      <wp:wrapNone/>
                      <wp:docPr id="8" name="对话气泡: 矩形 8"/>
                      <wp:cNvGraphicFramePr/>
                      <a:graphic xmlns:a="http://schemas.openxmlformats.org/drawingml/2006/main">
                        <a:graphicData uri="http://schemas.microsoft.com/office/word/2010/wordprocessingShape">
                          <wps:wsp>
                            <wps:cNvSpPr/>
                            <wps:spPr>
                              <a:xfrm>
                                <a:off x="5649478" y="3337269"/>
                                <a:ext cx="915035" cy="299085"/>
                              </a:xfrm>
                              <a:prstGeom prst="wedgeRectCallout">
                                <a:avLst>
                                  <a:gd name="adj1" fmla="val -242514"/>
                                  <a:gd name="adj2" fmla="val -130229"/>
                                </a:avLst>
                              </a:prstGeom>
                              <a:solidFill>
                                <a:schemeClr val="accent3">
                                  <a:lumMod val="20000"/>
                                  <a:lumOff val="8000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FF0000"/>
                                    </w:rPr>
                                  </w:pPr>
                                  <w:r>
                                    <w:rPr>
                                      <w:rFonts w:hint="eastAsia"/>
                                      <w:color w:val="FF0000"/>
                                    </w:rPr>
                                    <w:t>本项目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对话气泡: 矩形 8" o:spid="_x0000_s1026" o:spt="61" type="#_x0000_t61" style="position:absolute;left:0pt;margin-left:337.9pt;margin-top:176.6pt;height:23.55pt;width:72.05pt;z-index:251659264;v-text-anchor:middle;mso-width-relative:page;mso-height-relative:page;" fillcolor="#EDEDED [662]" filled="t" stroked="t" coordsize="21600,21600" o:gfxdata="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&#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" adj="-41583,-17329">
                      <v:fill on="t" focussize="0,0"/>
                      <v:stroke weight="1pt" color="#FF0000 [3204]" miterlimit="8" joinstyle="miter"/>
                      <v:imagedata o:title=""/>
                      <o:lock v:ext="edit" aspectratio="f"/>
                      <v:textbox>
                        <w:txbxContent>
                          <w:p>
                            <w:pPr>
                              <w:jc w:val="center"/>
                              <w:rPr>
                                <w:color w:val="FF0000"/>
                              </w:rPr>
                            </w:pPr>
                            <w:r>
                              <w:rPr>
                                <w:rFonts w:hint="eastAsia"/>
                                <w:color w:val="FF0000"/>
                              </w:rPr>
                              <w:t>本项目</w:t>
                            </w:r>
                          </w:p>
                        </w:txbxContent>
                      </v:textbox>
                    </v:shape>
                  </w:pict>
                </mc:Fallback>
              </mc:AlternateContent>
            </w:r>
            <w:r>
              <w:drawing>
                <wp:inline distT="0" distB="0" distL="0" distR="0">
                  <wp:extent cx="5241290" cy="3459480"/>
                  <wp:effectExtent l="0" t="0" r="1651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241290" cy="3459480"/>
                          </a:xfrm>
                          <a:prstGeom prst="rect">
                            <a:avLst/>
                          </a:prstGeom>
                          <a:noFill/>
                          <a:ln>
                            <a:noFill/>
                          </a:ln>
                        </pic:spPr>
                      </pic:pic>
                    </a:graphicData>
                  </a:graphic>
                </wp:inline>
              </w:drawing>
            </w:r>
          </w:p>
          <w:p>
            <w:pPr>
              <w:ind w:firstLine="482" w:firstLineChars="200"/>
              <w:jc w:val="center"/>
              <w:rPr>
                <w:b/>
                <w:bCs/>
                <w:sz w:val="24"/>
              </w:rPr>
            </w:pPr>
            <w:r>
              <w:rPr>
                <w:b/>
                <w:bCs/>
                <w:sz w:val="24"/>
              </w:rPr>
              <w:t>图1-1  四川省环境管控单元分布图</w:t>
            </w:r>
          </w:p>
          <w:p>
            <w:pPr>
              <w:spacing w:before="120" w:after="120" w:line="360" w:lineRule="auto"/>
              <w:rPr>
                <w:b/>
                <w:sz w:val="24"/>
              </w:rPr>
            </w:pPr>
            <w:r>
              <w:rPr>
                <w:rFonts w:eastAsia="黑体"/>
                <w:kern w:val="0"/>
                <w:sz w:val="28"/>
                <w:szCs w:val="28"/>
              </w:rPr>
              <mc:AlternateContent>
                <mc:Choice Requires="wps">
                  <w:drawing>
                    <wp:anchor distT="0" distB="0" distL="114300" distR="114300" simplePos="0" relativeHeight="251660288" behindDoc="0" locked="0" layoutInCell="1" allowOverlap="1">
                      <wp:simplePos x="0" y="0"/>
                      <wp:positionH relativeFrom="column">
                        <wp:posOffset>177800</wp:posOffset>
                      </wp:positionH>
                      <wp:positionV relativeFrom="paragraph">
                        <wp:posOffset>377825</wp:posOffset>
                      </wp:positionV>
                      <wp:extent cx="1318260" cy="307975"/>
                      <wp:effectExtent l="9525" t="9525" r="1072515" b="406400"/>
                      <wp:wrapNone/>
                      <wp:docPr id="10" name="对话气泡: 圆角矩形 10"/>
                      <wp:cNvGraphicFramePr/>
                      <a:graphic xmlns:a="http://schemas.openxmlformats.org/drawingml/2006/main">
                        <a:graphicData uri="http://schemas.microsoft.com/office/word/2010/wordprocessingShape">
                          <wps:wsp>
                            <wps:cNvSpPr/>
                            <wps:spPr>
                              <a:xfrm>
                                <a:off x="1554480" y="5364480"/>
                                <a:ext cx="1318260" cy="307975"/>
                              </a:xfrm>
                              <a:prstGeom prst="wedgeRoundRectCallout">
                                <a:avLst>
                                  <a:gd name="adj1" fmla="val 125304"/>
                                  <a:gd name="adj2" fmla="val 169906"/>
                                  <a:gd name="adj3" fmla="val 16667"/>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color w:val="FF0000"/>
                                    </w:rPr>
                                  </w:pPr>
                                  <w:r>
                                    <w:rPr>
                                      <w:rFonts w:hint="eastAsia"/>
                                      <w:color w:val="FF0000"/>
                                    </w:rPr>
                                    <w:t>本项目所在地</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对话气泡: 圆角矩形 10" o:spid="_x0000_s1026" o:spt="62" type="#_x0000_t62" style="position:absolute;left:0pt;margin-left:14pt;margin-top:29.75pt;height:24.25pt;width:103.8pt;z-index:251660288;v-text-anchor:middle;mso-width-relative:page;mso-height-relative:page;" fillcolor="#FFFFFF [3212]" filled="t" stroked="t" coordsize="21600,21600" o:gfxdata="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" adj="37866,47500,14400">
                      <v:fill on="t" focussize="0,0"/>
                      <v:stroke weight="1.5pt" color="#000000 [3213]" miterlimit="8" joinstyle="miter"/>
                      <v:imagedata o:title=""/>
                      <o:lock v:ext="edit" aspectratio="f"/>
                      <v:textbox>
                        <w:txbxContent>
                          <w:p>
                            <w:pPr>
                              <w:jc w:val="center"/>
                              <w:rPr>
                                <w:color w:val="FF0000"/>
                              </w:rPr>
                            </w:pPr>
                            <w:r>
                              <w:rPr>
                                <w:rFonts w:hint="eastAsia"/>
                                <w:color w:val="FF0000"/>
                              </w:rPr>
                              <w:t>本项目所在地</w:t>
                            </w:r>
                          </w:p>
                        </w:txbxContent>
                      </v:textbox>
                    </v:shape>
                  </w:pict>
                </mc:Fallback>
              </mc:AlternateContent>
            </w:r>
            <w:r>
              <w:rPr>
                <w:rFonts w:eastAsia="黑体"/>
                <w:kern w:val="0"/>
                <w:sz w:val="28"/>
                <w:szCs w:val="28"/>
              </w:rPr>
              <w:drawing>
                <wp:inline distT="0" distB="0" distL="114300" distR="114300">
                  <wp:extent cx="4903470" cy="3346450"/>
                  <wp:effectExtent l="0" t="0" r="11430" b="6350"/>
                  <wp:docPr id="7" name="图片 7" descr="乐山管控单元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乐山管控单元图"/>
                          <pic:cNvPicPr>
                            <a:picLocks noChangeAspect="1"/>
                          </pic:cNvPicPr>
                        </pic:nvPicPr>
                        <pic:blipFill>
                          <a:blip r:embed="rId47" cstate="print"/>
                          <a:stretch>
                            <a:fillRect/>
                          </a:stretch>
                        </pic:blipFill>
                        <pic:spPr>
                          <a:xfrm>
                            <a:off x="0" y="0"/>
                            <a:ext cx="4906664" cy="3348860"/>
                          </a:xfrm>
                          <a:prstGeom prst="rect">
                            <a:avLst/>
                          </a:prstGeom>
                          <a:noFill/>
                          <a:ln>
                            <a:noFill/>
                          </a:ln>
                        </pic:spPr>
                      </pic:pic>
                    </a:graphicData>
                  </a:graphic>
                </wp:inline>
              </w:drawing>
            </w:r>
          </w:p>
          <w:p>
            <w:pPr>
              <w:ind w:firstLine="482" w:firstLineChars="200"/>
              <w:jc w:val="center"/>
              <w:rPr>
                <w:b/>
                <w:bCs/>
                <w:sz w:val="24"/>
              </w:rPr>
            </w:pPr>
            <w:r>
              <w:rPr>
                <w:b/>
                <w:bCs/>
                <w:sz w:val="24"/>
              </w:rPr>
              <w:t>图1-2  乐山市环境管控单元分布图</w:t>
            </w:r>
          </w:p>
          <w:p>
            <w:pPr>
              <w:spacing w:before="120" w:after="120" w:line="360" w:lineRule="auto"/>
              <w:ind w:firstLine="480" w:firstLineChars="200"/>
              <w:rPr>
                <w:bCs/>
                <w:sz w:val="24"/>
              </w:rPr>
            </w:pPr>
            <w:r>
              <w:rPr>
                <w:bCs/>
                <w:sz w:val="24"/>
              </w:rPr>
              <w:t>本项目位于</w:t>
            </w:r>
            <w:r>
              <w:rPr>
                <w:sz w:val="24"/>
              </w:rPr>
              <w:t>乐山市市中区茅桥镇迎阳村（乐山市环保发电厂旁）</w:t>
            </w:r>
            <w:r>
              <w:rPr>
                <w:bCs/>
                <w:sz w:val="24"/>
              </w:rPr>
              <w:t>，属于</w:t>
            </w:r>
            <w:r>
              <w:rPr>
                <w:kern w:val="0"/>
                <w:sz w:val="24"/>
              </w:rPr>
              <w:t>乐山市资源循环利用基地规划范围内</w:t>
            </w:r>
            <w:r>
              <w:rPr>
                <w:bCs/>
                <w:sz w:val="24"/>
              </w:rPr>
              <w:t>。项目所在区域不涉及乐山市生态保护红线区域，无自然保护区、基本农田、地下水源等保护区，无大的输电线路和需要保护的文物。</w:t>
            </w:r>
          </w:p>
          <w:p>
            <w:pPr>
              <w:pStyle w:val="154"/>
              <w:adjustRightInd w:val="0"/>
              <w:snapToGrid w:val="0"/>
              <w:spacing w:line="360" w:lineRule="auto"/>
              <w:rPr>
                <w:b w:val="0"/>
                <w:color w:val="auto"/>
                <w:szCs w:val="24"/>
                <w:shd w:val="clear" w:color="auto" w:fill="FFFFFF"/>
              </w:rPr>
            </w:pPr>
            <w:r>
              <w:rPr>
                <w:b w:val="0"/>
                <w:color w:val="auto"/>
                <w:szCs w:val="24"/>
                <w:shd w:val="clear" w:color="auto" w:fill="FFFFFF"/>
              </w:rPr>
              <w:t>本项目为</w:t>
            </w:r>
            <w:r>
              <w:rPr>
                <w:b w:val="0"/>
                <w:bCs/>
                <w:color w:val="auto"/>
                <w:szCs w:val="24"/>
              </w:rPr>
              <w:t>固体废物治理项目</w:t>
            </w:r>
            <w:r>
              <w:rPr>
                <w:b w:val="0"/>
                <w:color w:val="auto"/>
                <w:szCs w:val="24"/>
                <w:shd w:val="clear" w:color="auto" w:fill="FFFFFF"/>
              </w:rPr>
              <w:t>，项目严格落实国家及地方相关法律法规、环境影响评价提出的各项污染防治措施后，项目的建设能满足乐山市市中区总体生态环境管控要求。综上所述，本项目符合“三线一单”相关要求。</w:t>
            </w:r>
          </w:p>
          <w:p>
            <w:pPr>
              <w:spacing w:line="360" w:lineRule="auto"/>
              <w:ind w:firstLine="482" w:firstLineChars="200"/>
              <w:rPr>
                <w:b/>
                <w:sz w:val="24"/>
              </w:rPr>
            </w:pPr>
            <w:r>
              <w:rPr>
                <w:b/>
                <w:sz w:val="24"/>
              </w:rPr>
              <w:t>（3）与大气污染防治等相关规划符合性分析</w:t>
            </w:r>
          </w:p>
          <w:p>
            <w:pPr>
              <w:autoSpaceDE w:val="0"/>
              <w:autoSpaceDN w:val="0"/>
              <w:adjustRightInd w:val="0"/>
              <w:snapToGrid w:val="0"/>
              <w:spacing w:line="360" w:lineRule="auto"/>
              <w:ind w:firstLine="480" w:firstLineChars="200"/>
              <w:rPr>
                <w:kern w:val="0"/>
                <w:sz w:val="24"/>
              </w:rPr>
            </w:pPr>
            <w:r>
              <w:rPr>
                <w:kern w:val="0"/>
                <w:sz w:val="24"/>
              </w:rPr>
              <w:t>本项目为固体废物治理项目，主要为</w:t>
            </w:r>
            <w:r>
              <w:rPr>
                <w:sz w:val="24"/>
              </w:rPr>
              <w:t>生活垃圾焚烧发电炉渣综合利用及建筑垃圾资源化利用</w:t>
            </w:r>
            <w:r>
              <w:rPr>
                <w:kern w:val="0"/>
                <w:sz w:val="24"/>
              </w:rPr>
              <w:t>，其生产过程中主要废气为卸料、上料粉尘，破碎、筛分粉尘，产品装车粉尘等废气经废气处理措施处理及车间通风处理等措施处理后达标排放，符合</w:t>
            </w:r>
            <w:r>
              <w:rPr>
                <w:sz w:val="24"/>
              </w:rPr>
              <w:t>《国务院打赢蓝天保卫战三年行动计划》（国发〔2018〕22号）、《四川省打赢蓝天保卫战实施方案》（川府发2019[4]号）、乐山市《2022年大气污染防治攻坚方案》等大气污染物防治政策相符</w:t>
            </w:r>
            <w:r>
              <w:rPr>
                <w:kern w:val="0"/>
                <w:sz w:val="24"/>
              </w:rPr>
              <w:t>。具体分析见下表。</w:t>
            </w:r>
          </w:p>
          <w:p>
            <w:pPr>
              <w:pStyle w:val="9"/>
              <w:keepNext w:val="0"/>
              <w:adjustRightInd w:val="0"/>
              <w:snapToGrid w:val="0"/>
              <w:spacing w:line="360" w:lineRule="auto"/>
              <w:rPr>
                <w:rFonts w:cs="Times New Roman"/>
                <w:sz w:val="24"/>
                <w:szCs w:val="24"/>
              </w:rPr>
            </w:pPr>
            <w:r>
              <w:rPr>
                <w:rFonts w:cs="Times New Roman"/>
                <w:sz w:val="24"/>
                <w:szCs w:val="24"/>
              </w:rPr>
              <w:t>表1-4  本项目与大气污染防治等相关规划符合性分析</w:t>
            </w:r>
          </w:p>
          <w:tbl>
            <w:tblPr>
              <w:tblStyle w:val="38"/>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1235"/>
              <w:gridCol w:w="4215"/>
              <w:gridCol w:w="2102"/>
              <w:gridCol w:w="60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tblHeader/>
              </w:trPr>
              <w:tc>
                <w:tcPr>
                  <w:tcW w:w="757" w:type="pct"/>
                  <w:vAlign w:val="center"/>
                </w:tcPr>
                <w:p>
                  <w:pPr>
                    <w:jc w:val="center"/>
                    <w:rPr>
                      <w:b/>
                      <w:bCs/>
                      <w:spacing w:val="8"/>
                      <w:szCs w:val="21"/>
                    </w:rPr>
                  </w:pPr>
                  <w:r>
                    <w:rPr>
                      <w:b/>
                      <w:bCs/>
                      <w:spacing w:val="8"/>
                      <w:szCs w:val="21"/>
                    </w:rPr>
                    <w:t>政策名称</w:t>
                  </w:r>
                </w:p>
              </w:tc>
              <w:tc>
                <w:tcPr>
                  <w:tcW w:w="2583" w:type="pct"/>
                  <w:vAlign w:val="center"/>
                </w:tcPr>
                <w:p>
                  <w:pPr>
                    <w:jc w:val="center"/>
                    <w:rPr>
                      <w:b/>
                      <w:bCs/>
                      <w:spacing w:val="8"/>
                      <w:szCs w:val="21"/>
                    </w:rPr>
                  </w:pPr>
                  <w:r>
                    <w:rPr>
                      <w:b/>
                      <w:bCs/>
                      <w:spacing w:val="8"/>
                      <w:szCs w:val="21"/>
                    </w:rPr>
                    <w:t>要求</w:t>
                  </w:r>
                </w:p>
              </w:tc>
              <w:tc>
                <w:tcPr>
                  <w:tcW w:w="1288" w:type="pct"/>
                  <w:vAlign w:val="center"/>
                </w:tcPr>
                <w:p>
                  <w:pPr>
                    <w:jc w:val="center"/>
                    <w:rPr>
                      <w:b/>
                      <w:bCs/>
                      <w:spacing w:val="8"/>
                      <w:szCs w:val="21"/>
                    </w:rPr>
                  </w:pPr>
                  <w:r>
                    <w:rPr>
                      <w:b/>
                      <w:bCs/>
                      <w:spacing w:val="8"/>
                      <w:szCs w:val="21"/>
                    </w:rPr>
                    <w:t>本项目情况</w:t>
                  </w:r>
                </w:p>
              </w:tc>
              <w:tc>
                <w:tcPr>
                  <w:tcW w:w="371" w:type="pct"/>
                  <w:vAlign w:val="center"/>
                </w:tcPr>
                <w:p>
                  <w:pPr>
                    <w:jc w:val="center"/>
                    <w:rPr>
                      <w:b/>
                      <w:bCs/>
                      <w:spacing w:val="8"/>
                      <w:szCs w:val="21"/>
                    </w:rPr>
                  </w:pPr>
                  <w:r>
                    <w:rPr>
                      <w:b/>
                      <w:bCs/>
                      <w:spacing w:val="8"/>
                      <w:szCs w:val="21"/>
                    </w:rPr>
                    <w:t>符合性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757" w:type="pct"/>
                  <w:vMerge w:val="restart"/>
                  <w:vAlign w:val="center"/>
                </w:tcPr>
                <w:p>
                  <w:pPr>
                    <w:jc w:val="center"/>
                    <w:rPr>
                      <w:szCs w:val="21"/>
                    </w:rPr>
                  </w:pPr>
                  <w:r>
                    <w:rPr>
                      <w:szCs w:val="21"/>
                    </w:rPr>
                    <w:t>《国务院打赢蓝天保卫战三年行动计划》（国发〔2018〕22号）</w:t>
                  </w:r>
                </w:p>
              </w:tc>
              <w:tc>
                <w:tcPr>
                  <w:tcW w:w="2583" w:type="pct"/>
                  <w:vAlign w:val="center"/>
                </w:tcPr>
                <w:p>
                  <w:pPr>
                    <w:jc w:val="center"/>
                  </w:pPr>
                  <w:r>
                    <w:t>（四）优化产业布局。各地完成生态保护红线、环境质量底线、资源利用上线、环境准入清单编制工作，明确禁止和限制发展的行业、生产工艺和产业目录。修订完善高耗能、高污染和资源型行业准入条件，环境空气质量未达标城市应制订更严格的产业准入门槛。积极推行区域、规划环境影响评价，新、改、扩建钢铁、石化、化工、焦化、建材、有色等项目的环境影响评价，应满足区域、规划环评要求。</w:t>
                  </w:r>
                </w:p>
              </w:tc>
              <w:tc>
                <w:tcPr>
                  <w:tcW w:w="1288" w:type="pct"/>
                  <w:vAlign w:val="center"/>
                </w:tcPr>
                <w:p>
                  <w:pPr>
                    <w:jc w:val="center"/>
                    <w:rPr>
                      <w:szCs w:val="21"/>
                    </w:rPr>
                  </w:pPr>
                  <w:r>
                    <w:rPr>
                      <w:szCs w:val="21"/>
                    </w:rPr>
                    <w:t>本项目属于鼓励类项目，符合</w:t>
                  </w:r>
                  <w:r>
                    <w:t>“三线一单”要求，不属于环境准入负面清单。</w:t>
                  </w:r>
                </w:p>
              </w:tc>
              <w:tc>
                <w:tcPr>
                  <w:tcW w:w="371" w:type="pct"/>
                  <w:vAlign w:val="center"/>
                </w:tcPr>
                <w:p>
                  <w:pPr>
                    <w:jc w:val="center"/>
                    <w:rPr>
                      <w:szCs w:val="21"/>
                    </w:rPr>
                  </w:pPr>
                  <w:r>
                    <w:rPr>
                      <w:szCs w:val="21"/>
                    </w:rPr>
                    <w:t>符合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757" w:type="pct"/>
                  <w:vMerge w:val="continue"/>
                  <w:vAlign w:val="center"/>
                </w:tcPr>
                <w:p>
                  <w:pPr>
                    <w:jc w:val="center"/>
                    <w:rPr>
                      <w:sz w:val="24"/>
                    </w:rPr>
                  </w:pPr>
                </w:p>
              </w:tc>
              <w:tc>
                <w:tcPr>
                  <w:tcW w:w="2583" w:type="pct"/>
                  <w:vAlign w:val="center"/>
                </w:tcPr>
                <w:p>
                  <w:pPr>
                    <w:jc w:val="center"/>
                  </w:pPr>
                  <w:r>
                    <w:t>（五）严控“两高”行业产能。重点区域严禁新增钢铁、焦化、电解铝、铸造、水泥和平板玻璃等产能；严格执行钢铁、水泥、平板玻璃等行业产能置换实施办法；新、改、扩建涉及大宗物料运输的建设项目，原则上不得采用公路运输。</w:t>
                  </w:r>
                </w:p>
              </w:tc>
              <w:tc>
                <w:tcPr>
                  <w:tcW w:w="1288" w:type="pct"/>
                  <w:vAlign w:val="center"/>
                </w:tcPr>
                <w:p>
                  <w:pPr>
                    <w:jc w:val="center"/>
                    <w:rPr>
                      <w:szCs w:val="21"/>
                    </w:rPr>
                  </w:pPr>
                  <w:r>
                    <w:rPr>
                      <w:szCs w:val="21"/>
                    </w:rPr>
                    <w:t>本项目不属于新增钢铁、焦化、电解铝、铸造、水泥和平板玻璃等“两高”行业，符合国家产业政策，不属于禁止新增产能行业，不涉及大宗物料运输。</w:t>
                  </w:r>
                </w:p>
              </w:tc>
              <w:tc>
                <w:tcPr>
                  <w:tcW w:w="371" w:type="pct"/>
                  <w:vAlign w:val="center"/>
                </w:tcPr>
                <w:p>
                  <w:pPr>
                    <w:jc w:val="center"/>
                    <w:rPr>
                      <w:szCs w:val="21"/>
                    </w:rPr>
                  </w:pPr>
                  <w:r>
                    <w:rPr>
                      <w:szCs w:val="21"/>
                    </w:rPr>
                    <w:t>符合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757" w:type="pct"/>
                  <w:vMerge w:val="restart"/>
                  <w:vAlign w:val="center"/>
                </w:tcPr>
                <w:p>
                  <w:pPr>
                    <w:jc w:val="center"/>
                    <w:rPr>
                      <w:spacing w:val="8"/>
                      <w:szCs w:val="21"/>
                    </w:rPr>
                  </w:pPr>
                  <w:r>
                    <w:rPr>
                      <w:szCs w:val="21"/>
                    </w:rPr>
                    <w:t>《四川省打赢蓝天保卫战实施方案》（川府发2019[4]号）</w:t>
                  </w:r>
                </w:p>
              </w:tc>
              <w:tc>
                <w:tcPr>
                  <w:tcW w:w="2583" w:type="pct"/>
                  <w:vAlign w:val="center"/>
                </w:tcPr>
                <w:p>
                  <w:pPr>
                    <w:jc w:val="center"/>
                    <w:rPr>
                      <w:spacing w:val="8"/>
                      <w:szCs w:val="21"/>
                    </w:rPr>
                  </w:pPr>
                  <w:r>
                    <w:rPr>
                      <w:spacing w:val="8"/>
                      <w:szCs w:val="21"/>
                    </w:rPr>
                    <w:t>(一)调整产业结构,深化工业污染治理。强化“三线一单”(生态保护红线、环境质量底线、资源利用上线、生态环境准入清单)约束,明确禁止和限制发展的行业、生产工艺和产业目录，优化产业布局和资源配置。积极推行区域、规划环境影响评价，新、改、扩建钢铁、石化、化工、焦化、建材、有色等项目的环境影响评价应满足区域、规划环境影响评价要求。</w:t>
                  </w:r>
                </w:p>
              </w:tc>
              <w:tc>
                <w:tcPr>
                  <w:tcW w:w="1288" w:type="pct"/>
                  <w:vAlign w:val="center"/>
                </w:tcPr>
                <w:p>
                  <w:pPr>
                    <w:jc w:val="center"/>
                    <w:rPr>
                      <w:szCs w:val="21"/>
                    </w:rPr>
                  </w:pPr>
                  <w:r>
                    <w:rPr>
                      <w:szCs w:val="21"/>
                    </w:rPr>
                    <w:t>本项目不属于明确禁止和限制发展行业属于允许类行业，符合</w:t>
                  </w:r>
                  <w:r>
                    <w:t>“三线一单”要求。不属于</w:t>
                  </w:r>
                  <w:r>
                    <w:rPr>
                      <w:spacing w:val="8"/>
                      <w:szCs w:val="21"/>
                    </w:rPr>
                    <w:t>新、改、扩建钢铁、石化、化工、焦化、建材、有色等项目。</w:t>
                  </w:r>
                </w:p>
              </w:tc>
              <w:tc>
                <w:tcPr>
                  <w:tcW w:w="371" w:type="pct"/>
                  <w:vAlign w:val="center"/>
                </w:tcPr>
                <w:p>
                  <w:pPr>
                    <w:jc w:val="center"/>
                    <w:rPr>
                      <w:spacing w:val="8"/>
                      <w:szCs w:val="21"/>
                    </w:rPr>
                  </w:pPr>
                  <w:r>
                    <w:rPr>
                      <w:spacing w:val="8"/>
                      <w:szCs w:val="21"/>
                    </w:rPr>
                    <w:t>符合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757" w:type="pct"/>
                  <w:vMerge w:val="continue"/>
                  <w:vAlign w:val="center"/>
                </w:tcPr>
                <w:p>
                  <w:pPr>
                    <w:jc w:val="center"/>
                    <w:rPr>
                      <w:spacing w:val="8"/>
                      <w:szCs w:val="21"/>
                    </w:rPr>
                  </w:pPr>
                </w:p>
              </w:tc>
              <w:tc>
                <w:tcPr>
                  <w:tcW w:w="2583" w:type="pct"/>
                  <w:vAlign w:val="center"/>
                </w:tcPr>
                <w:p>
                  <w:pPr>
                    <w:jc w:val="center"/>
                    <w:rPr>
                      <w:spacing w:val="8"/>
                      <w:szCs w:val="21"/>
                    </w:rPr>
                  </w:pPr>
                  <w:r>
                    <w:rPr>
                      <w:spacing w:val="8"/>
                      <w:szCs w:val="21"/>
                    </w:rPr>
                    <w:t>严控“两高”行业产能。严格执行质量、环保、能耗、安全等法规标准。制定淘汰落后产能工作方案,严格执行钢铁、水泥、平板玻璃等行业产能置换实施办法，重点区域内严禁未经产能置换违规新增钢铁、焦化、电解铝、水泥和平板玻璃等产能。新、改、扩建涉及大宗物料运输的建设项目应优化运输结构。防范落后产能跨地区转移,严防“地条钢”死灰复燃。</w:t>
                  </w:r>
                </w:p>
              </w:tc>
              <w:tc>
                <w:tcPr>
                  <w:tcW w:w="1288" w:type="pct"/>
                  <w:vAlign w:val="center"/>
                </w:tcPr>
                <w:p>
                  <w:pPr>
                    <w:jc w:val="center"/>
                    <w:rPr>
                      <w:szCs w:val="21"/>
                    </w:rPr>
                  </w:pPr>
                  <w:r>
                    <w:rPr>
                      <w:szCs w:val="21"/>
                    </w:rPr>
                    <w:t>本项目不属于</w:t>
                  </w:r>
                  <w:r>
                    <w:rPr>
                      <w:spacing w:val="8"/>
                      <w:szCs w:val="21"/>
                    </w:rPr>
                    <w:t>钢铁、水泥、平板玻璃等行业，</w:t>
                  </w:r>
                  <w:r>
                    <w:rPr>
                      <w:szCs w:val="21"/>
                    </w:rPr>
                    <w:t>不属于“两高”行业，符合国家产业政策。</w:t>
                  </w:r>
                </w:p>
              </w:tc>
              <w:tc>
                <w:tcPr>
                  <w:tcW w:w="371" w:type="pct"/>
                  <w:vAlign w:val="center"/>
                </w:tcPr>
                <w:p>
                  <w:pPr>
                    <w:jc w:val="center"/>
                    <w:rPr>
                      <w:spacing w:val="8"/>
                      <w:szCs w:val="21"/>
                    </w:rPr>
                  </w:pPr>
                  <w:r>
                    <w:rPr>
                      <w:spacing w:val="8"/>
                      <w:szCs w:val="21"/>
                    </w:rPr>
                    <w:t>符合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0" w:hRule="atLeast"/>
              </w:trPr>
              <w:tc>
                <w:tcPr>
                  <w:tcW w:w="757" w:type="pct"/>
                  <w:vAlign w:val="center"/>
                </w:tcPr>
                <w:p>
                  <w:pPr>
                    <w:jc w:val="center"/>
                    <w:rPr>
                      <w:szCs w:val="21"/>
                    </w:rPr>
                  </w:pPr>
                  <w:r>
                    <w:rPr>
                      <w:bCs/>
                      <w:szCs w:val="21"/>
                    </w:rPr>
                    <w:t>乐山市《2022年大气污染防治攻坚方案》</w:t>
                  </w:r>
                </w:p>
              </w:tc>
              <w:tc>
                <w:tcPr>
                  <w:tcW w:w="2583" w:type="pct"/>
                  <w:vAlign w:val="center"/>
                </w:tcPr>
                <w:p>
                  <w:pPr>
                    <w:widowControl/>
                    <w:shd w:val="clear" w:color="auto" w:fill="FFFFFF"/>
                    <w:jc w:val="center"/>
                    <w:rPr>
                      <w:kern w:val="0"/>
                      <w:szCs w:val="21"/>
                    </w:rPr>
                  </w:pPr>
                  <w:r>
                    <w:rPr>
                      <w:szCs w:val="21"/>
                    </w:rPr>
                    <w:t>乐山市2022年将系统实施重点工业行业深度治理、臭氧污染防治、柴油货车污染治理、扬尘污染防治、面源污染治理、重污染天气消除、基础能力建设等七大攻坚战。</w:t>
                  </w:r>
                </w:p>
              </w:tc>
              <w:tc>
                <w:tcPr>
                  <w:tcW w:w="1288" w:type="pct"/>
                  <w:vAlign w:val="center"/>
                </w:tcPr>
                <w:p>
                  <w:pPr>
                    <w:jc w:val="center"/>
                    <w:rPr>
                      <w:szCs w:val="21"/>
                    </w:rPr>
                  </w:pPr>
                  <w:r>
                    <w:rPr>
                      <w:szCs w:val="21"/>
                    </w:rPr>
                    <w:t>项目主要涉及扬尘气体，通过废气污染治理措施处理后达标排放，不涉及重点工业行业。</w:t>
                  </w:r>
                </w:p>
              </w:tc>
              <w:tc>
                <w:tcPr>
                  <w:tcW w:w="371" w:type="pct"/>
                  <w:vAlign w:val="center"/>
                </w:tcPr>
                <w:p>
                  <w:pPr>
                    <w:jc w:val="center"/>
                    <w:rPr>
                      <w:szCs w:val="21"/>
                    </w:rPr>
                  </w:pPr>
                  <w:r>
                    <w:rPr>
                      <w:szCs w:val="21"/>
                    </w:rPr>
                    <w:t>符合</w:t>
                  </w:r>
                </w:p>
              </w:tc>
            </w:tr>
          </w:tbl>
          <w:p>
            <w:pPr>
              <w:spacing w:line="360" w:lineRule="auto"/>
              <w:ind w:firstLine="480" w:firstLineChars="200"/>
              <w:rPr>
                <w:sz w:val="24"/>
              </w:rPr>
            </w:pPr>
            <w:r>
              <w:rPr>
                <w:sz w:val="24"/>
              </w:rPr>
              <w:t>综上所述，本项目与《国务院打赢蓝天保卫战三年行动计划》（国发〔2018〕22号）、《四川省打赢蓝天保卫战实施方案》（川府发2019[4]号）、乐山市《2022年大气污染防治攻坚方案》等大气污染物防治政策相符。</w:t>
            </w:r>
          </w:p>
          <w:p>
            <w:pPr>
              <w:spacing w:line="360" w:lineRule="auto"/>
              <w:ind w:firstLine="482" w:firstLineChars="200"/>
              <w:rPr>
                <w:b/>
                <w:sz w:val="24"/>
              </w:rPr>
            </w:pPr>
            <w:r>
              <w:rPr>
                <w:b/>
                <w:sz w:val="24"/>
              </w:rPr>
              <w:t>（4）与《固体废物再生利用污染防治技术导则》（HJ1091-2020）符合性分析</w:t>
            </w:r>
          </w:p>
          <w:p>
            <w:pPr>
              <w:spacing w:line="360" w:lineRule="auto"/>
              <w:ind w:firstLine="480" w:firstLineChars="200"/>
              <w:rPr>
                <w:bCs/>
                <w:sz w:val="24"/>
              </w:rPr>
            </w:pPr>
            <w:r>
              <w:rPr>
                <w:bCs/>
                <w:sz w:val="24"/>
              </w:rPr>
              <w:t>根据《中华人民共和国固体废物污染环境防治法》（2020修订），国家鼓励采用先进技术、工艺、设备和管理措施，推进建筑垃圾源头减量，建立建筑垃圾回收利用体系。由此，本项目拟建建筑垃圾资源化回收利用项目。本项目属于固体废物建材利用，利用固体废物直接代替传统建筑材料生产原料，或将其转化为建筑材料生产原料来生产建材的过程。固体废物建材利用的主要形式包括利用固体废物生产水泥、砖瓦、轻骨料、混凝土、玻璃、陶瓷、陶粒、路基材料等。</w:t>
            </w:r>
          </w:p>
          <w:p>
            <w:pPr>
              <w:spacing w:line="360" w:lineRule="auto"/>
              <w:ind w:firstLine="480" w:firstLineChars="200"/>
              <w:jc w:val="center"/>
              <w:rPr>
                <w:sz w:val="24"/>
              </w:rPr>
            </w:pPr>
            <w:r>
              <w:rPr>
                <w:sz w:val="24"/>
              </w:rPr>
              <w:t>表1-5 固体废物建材利用污染防治技术要求</w:t>
            </w:r>
          </w:p>
          <w:tbl>
            <w:tblPr>
              <w:tblStyle w:val="39"/>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62"/>
              <w:gridCol w:w="3709"/>
              <w:gridCol w:w="378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406" w:type="pct"/>
                  <w:vAlign w:val="center"/>
                </w:tcPr>
                <w:p>
                  <w:pPr>
                    <w:jc w:val="center"/>
                    <w:rPr>
                      <w:b/>
                      <w:szCs w:val="21"/>
                    </w:rPr>
                  </w:pPr>
                  <w:r>
                    <w:rPr>
                      <w:b/>
                      <w:szCs w:val="21"/>
                    </w:rPr>
                    <w:t>序号</w:t>
                  </w:r>
                </w:p>
              </w:tc>
              <w:tc>
                <w:tcPr>
                  <w:tcW w:w="2273" w:type="pct"/>
                  <w:vAlign w:val="center"/>
                </w:tcPr>
                <w:p>
                  <w:pPr>
                    <w:jc w:val="center"/>
                    <w:rPr>
                      <w:b/>
                      <w:szCs w:val="21"/>
                    </w:rPr>
                  </w:pPr>
                  <w:r>
                    <w:rPr>
                      <w:b/>
                      <w:szCs w:val="21"/>
                    </w:rPr>
                    <w:t>技术要求</w:t>
                  </w:r>
                </w:p>
              </w:tc>
              <w:tc>
                <w:tcPr>
                  <w:tcW w:w="2321" w:type="pct"/>
                  <w:vAlign w:val="center"/>
                </w:tcPr>
                <w:p>
                  <w:pPr>
                    <w:jc w:val="center"/>
                    <w:rPr>
                      <w:b/>
                      <w:szCs w:val="21"/>
                    </w:rPr>
                  </w:pPr>
                  <w:r>
                    <w:rPr>
                      <w:b/>
                      <w:szCs w:val="21"/>
                    </w:rPr>
                    <w:t>符合性分析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360" w:hRule="atLeast"/>
              </w:trPr>
              <w:tc>
                <w:tcPr>
                  <w:tcW w:w="406" w:type="pct"/>
                  <w:vAlign w:val="center"/>
                </w:tcPr>
                <w:p>
                  <w:pPr>
                    <w:jc w:val="center"/>
                    <w:rPr>
                      <w:bCs/>
                      <w:szCs w:val="21"/>
                    </w:rPr>
                  </w:pPr>
                  <w:r>
                    <w:rPr>
                      <w:bCs/>
                      <w:szCs w:val="21"/>
                    </w:rPr>
                    <w:t>1</w:t>
                  </w:r>
                </w:p>
              </w:tc>
              <w:tc>
                <w:tcPr>
                  <w:tcW w:w="2273" w:type="pct"/>
                  <w:vAlign w:val="center"/>
                </w:tcPr>
                <w:p>
                  <w:pPr>
                    <w:jc w:val="center"/>
                    <w:rPr>
                      <w:bCs/>
                      <w:szCs w:val="21"/>
                    </w:rPr>
                  </w:pPr>
                  <w:r>
                    <w:rPr>
                      <w:bCs/>
                      <w:szCs w:val="21"/>
                    </w:rPr>
                    <w:t>固体废物建材利用设施应配备必要的废气处理、防止或降低噪声与粉尘处理等污染防治装置。</w:t>
                  </w:r>
                </w:p>
              </w:tc>
              <w:tc>
                <w:tcPr>
                  <w:tcW w:w="2321" w:type="pct"/>
                  <w:vAlign w:val="center"/>
                </w:tcPr>
                <w:p>
                  <w:pPr>
                    <w:jc w:val="center"/>
                    <w:rPr>
                      <w:bCs/>
                      <w:szCs w:val="21"/>
                    </w:rPr>
                  </w:pPr>
                  <w:r>
                    <w:rPr>
                      <w:bCs/>
                      <w:szCs w:val="21"/>
                    </w:rPr>
                    <w:t>项目采取密闭车间，设置喷淋除尘等措施，同时采用湿法作业，在一破是进行洒水操作；设置喷雾除尘、布袋除尘等措施防治扬尘。噪声采取设备减震、合理布局、定期维护等措施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07" w:hRule="atLeast"/>
              </w:trPr>
              <w:tc>
                <w:tcPr>
                  <w:tcW w:w="406" w:type="pct"/>
                  <w:vAlign w:val="center"/>
                </w:tcPr>
                <w:p>
                  <w:pPr>
                    <w:jc w:val="center"/>
                    <w:rPr>
                      <w:bCs/>
                      <w:szCs w:val="21"/>
                    </w:rPr>
                  </w:pPr>
                  <w:r>
                    <w:rPr>
                      <w:bCs/>
                      <w:szCs w:val="21"/>
                    </w:rPr>
                    <w:t>2</w:t>
                  </w:r>
                </w:p>
              </w:tc>
              <w:tc>
                <w:tcPr>
                  <w:tcW w:w="2273" w:type="pct"/>
                  <w:vAlign w:val="center"/>
                </w:tcPr>
                <w:p>
                  <w:pPr>
                    <w:jc w:val="center"/>
                    <w:rPr>
                      <w:bCs/>
                      <w:szCs w:val="21"/>
                    </w:rPr>
                  </w:pPr>
                  <w:r>
                    <w:rPr>
                      <w:bCs/>
                      <w:szCs w:val="21"/>
                    </w:rPr>
                    <w:t>利用固体废物生产水泥过程及产品的污染控制应满足GB 30485。HJ 662与GB 30760的要求。</w:t>
                  </w:r>
                </w:p>
              </w:tc>
              <w:tc>
                <w:tcPr>
                  <w:tcW w:w="2321" w:type="pct"/>
                  <w:vAlign w:val="center"/>
                </w:tcPr>
                <w:p>
                  <w:pPr>
                    <w:jc w:val="center"/>
                    <w:rPr>
                      <w:bCs/>
                      <w:szCs w:val="21"/>
                    </w:rPr>
                  </w:pPr>
                  <w:r>
                    <w:rPr>
                      <w:bCs/>
                      <w:szCs w:val="21"/>
                    </w:rPr>
                    <w:t>项目原料固体废物不含GB30760不应协同处置的废物</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345" w:hRule="atLeast"/>
              </w:trPr>
              <w:tc>
                <w:tcPr>
                  <w:tcW w:w="406" w:type="pct"/>
                  <w:vAlign w:val="center"/>
                </w:tcPr>
                <w:p>
                  <w:pPr>
                    <w:jc w:val="center"/>
                    <w:rPr>
                      <w:bCs/>
                      <w:szCs w:val="21"/>
                    </w:rPr>
                  </w:pPr>
                  <w:r>
                    <w:rPr>
                      <w:bCs/>
                      <w:szCs w:val="21"/>
                    </w:rPr>
                    <w:t>3</w:t>
                  </w:r>
                </w:p>
              </w:tc>
              <w:tc>
                <w:tcPr>
                  <w:tcW w:w="2273" w:type="pct"/>
                  <w:vAlign w:val="center"/>
                </w:tcPr>
                <w:p>
                  <w:pPr>
                    <w:jc w:val="center"/>
                    <w:rPr>
                      <w:bCs/>
                      <w:szCs w:val="21"/>
                    </w:rPr>
                  </w:pPr>
                  <w:r>
                    <w:rPr>
                      <w:bCs/>
                      <w:szCs w:val="21"/>
                    </w:rPr>
                    <w:t>利用固体废物生产砖瓦、轻骨料、集料、玻璃、陶瓷、陶粒、路基材料等建材过程的污染控制执行相关行业污染物排放标准，相关产品中有害物质含量参照GB30760的要求执行。</w:t>
                  </w:r>
                </w:p>
              </w:tc>
              <w:tc>
                <w:tcPr>
                  <w:tcW w:w="2321" w:type="pct"/>
                  <w:vAlign w:val="center"/>
                </w:tcPr>
                <w:p>
                  <w:pPr>
                    <w:jc w:val="center"/>
                    <w:rPr>
                      <w:bCs/>
                      <w:szCs w:val="21"/>
                    </w:rPr>
                  </w:pPr>
                  <w:r>
                    <w:rPr>
                      <w:bCs/>
                      <w:szCs w:val="21"/>
                    </w:rPr>
                    <w:t>项目原料及产品不含有害物质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807" w:hRule="atLeast"/>
              </w:trPr>
              <w:tc>
                <w:tcPr>
                  <w:tcW w:w="406" w:type="pct"/>
                  <w:vAlign w:val="center"/>
                </w:tcPr>
                <w:p>
                  <w:pPr>
                    <w:jc w:val="center"/>
                    <w:rPr>
                      <w:bCs/>
                      <w:szCs w:val="21"/>
                    </w:rPr>
                  </w:pPr>
                  <w:r>
                    <w:rPr>
                      <w:bCs/>
                      <w:szCs w:val="21"/>
                    </w:rPr>
                    <w:t>4</w:t>
                  </w:r>
                </w:p>
              </w:tc>
              <w:tc>
                <w:tcPr>
                  <w:tcW w:w="2273" w:type="pct"/>
                  <w:vAlign w:val="center"/>
                </w:tcPr>
                <w:p>
                  <w:pPr>
                    <w:jc w:val="center"/>
                    <w:rPr>
                      <w:bCs/>
                      <w:szCs w:val="21"/>
                    </w:rPr>
                  </w:pPr>
                  <w:r>
                    <w:rPr>
                      <w:bCs/>
                      <w:szCs w:val="21"/>
                    </w:rPr>
                    <w:t>固体废物建材利用过程中的再生利用工艺单元的污染控制应分别满足本标准中相应再生利用工艺单元的要求。</w:t>
                  </w:r>
                </w:p>
              </w:tc>
              <w:tc>
                <w:tcPr>
                  <w:tcW w:w="2321" w:type="pct"/>
                  <w:vAlign w:val="center"/>
                </w:tcPr>
                <w:p>
                  <w:pPr>
                    <w:jc w:val="center"/>
                    <w:rPr>
                      <w:bCs/>
                      <w:szCs w:val="21"/>
                    </w:rPr>
                  </w:pPr>
                  <w:r>
                    <w:rPr>
                      <w:bCs/>
                      <w:szCs w:val="21"/>
                    </w:rPr>
                    <w:t>项目的建设满足导则中破碎技术要求、分选技术要求</w:t>
                  </w:r>
                </w:p>
              </w:tc>
            </w:tr>
          </w:tbl>
          <w:p>
            <w:pPr>
              <w:spacing w:line="360" w:lineRule="auto"/>
              <w:ind w:firstLine="480" w:firstLineChars="200"/>
              <w:rPr>
                <w:bCs/>
                <w:sz w:val="24"/>
              </w:rPr>
            </w:pPr>
            <w:r>
              <w:rPr>
                <w:bCs/>
                <w:sz w:val="24"/>
              </w:rPr>
              <w:t>综上，本项目的建设符合《固体废物再生利用污染防治技术导则》（HJ1091-2020）相关要求。</w:t>
            </w:r>
          </w:p>
          <w:p>
            <w:pPr>
              <w:autoSpaceDE w:val="0"/>
              <w:autoSpaceDN w:val="0"/>
              <w:adjustRightInd w:val="0"/>
              <w:snapToGrid w:val="0"/>
              <w:spacing w:line="360" w:lineRule="auto"/>
              <w:ind w:firstLine="482" w:firstLineChars="200"/>
              <w:rPr>
                <w:b/>
                <w:sz w:val="24"/>
              </w:rPr>
            </w:pPr>
            <w:r>
              <w:rPr>
                <w:b/>
                <w:sz w:val="24"/>
              </w:rPr>
              <w:t>（5）与《关于印发土壤污染防治行动计划的通知》（国发[2016]31号）符合性分析</w:t>
            </w:r>
          </w:p>
          <w:p>
            <w:pPr>
              <w:spacing w:line="360" w:lineRule="auto"/>
              <w:ind w:firstLine="480" w:firstLineChars="200"/>
            </w:pPr>
            <w:r>
              <w:rPr>
                <w:sz w:val="24"/>
              </w:rPr>
              <w:t>2016年5月28日，国务院印发《关于印发土壤污染防治行动计划的通知》（国发[2016]31号）。项目与《土壤污染防治行动计划》的符合性分析如下：</w:t>
            </w:r>
          </w:p>
          <w:p>
            <w:pPr>
              <w:widowControl/>
              <w:adjustRightInd w:val="0"/>
              <w:snapToGrid w:val="0"/>
              <w:ind w:firstLine="480" w:firstLineChars="200"/>
              <w:jc w:val="center"/>
              <w:rPr>
                <w:bCs/>
                <w:sz w:val="24"/>
                <w:szCs w:val="21"/>
              </w:rPr>
            </w:pPr>
            <w:r>
              <w:rPr>
                <w:bCs/>
                <w:sz w:val="24"/>
                <w:szCs w:val="21"/>
              </w:rPr>
              <w:t>表1-5 项目与《土壤污染防治行动计划》的符合性分析</w:t>
            </w:r>
          </w:p>
          <w:tbl>
            <w:tblPr>
              <w:tblStyle w:val="38"/>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16"/>
              <w:gridCol w:w="3686"/>
              <w:gridCol w:w="2118"/>
              <w:gridCol w:w="93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5" w:type="pct"/>
                  <w:vAlign w:val="center"/>
                </w:tcPr>
                <w:p>
                  <w:pPr>
                    <w:pStyle w:val="22"/>
                    <w:spacing w:after="0" w:line="240" w:lineRule="auto"/>
                    <w:ind w:left="0" w:leftChars="0"/>
                    <w:jc w:val="center"/>
                    <w:rPr>
                      <w:b/>
                      <w:bCs/>
                      <w:szCs w:val="21"/>
                    </w:rPr>
                  </w:pPr>
                  <w:r>
                    <w:rPr>
                      <w:b/>
                      <w:bCs/>
                      <w:szCs w:val="21"/>
                    </w:rPr>
                    <w:t>文件</w:t>
                  </w:r>
                </w:p>
              </w:tc>
              <w:tc>
                <w:tcPr>
                  <w:tcW w:w="2499" w:type="pct"/>
                  <w:vAlign w:val="center"/>
                </w:tcPr>
                <w:p>
                  <w:pPr>
                    <w:pStyle w:val="22"/>
                    <w:spacing w:after="0" w:line="240" w:lineRule="auto"/>
                    <w:ind w:left="0" w:leftChars="0"/>
                    <w:jc w:val="center"/>
                    <w:rPr>
                      <w:b/>
                      <w:bCs/>
                      <w:szCs w:val="21"/>
                    </w:rPr>
                  </w:pPr>
                  <w:r>
                    <w:rPr>
                      <w:b/>
                      <w:bCs/>
                      <w:szCs w:val="21"/>
                    </w:rPr>
                    <w:t>相关要求</w:t>
                  </w:r>
                </w:p>
              </w:tc>
              <w:tc>
                <w:tcPr>
                  <w:tcW w:w="1538" w:type="pct"/>
                  <w:vAlign w:val="center"/>
                </w:tcPr>
                <w:p>
                  <w:pPr>
                    <w:pStyle w:val="22"/>
                    <w:spacing w:after="0" w:line="240" w:lineRule="auto"/>
                    <w:ind w:left="0" w:leftChars="0"/>
                    <w:jc w:val="center"/>
                    <w:rPr>
                      <w:b/>
                      <w:bCs/>
                      <w:szCs w:val="21"/>
                    </w:rPr>
                  </w:pPr>
                  <w:r>
                    <w:rPr>
                      <w:b/>
                      <w:bCs/>
                      <w:szCs w:val="21"/>
                    </w:rPr>
                    <w:t>本项目情况</w:t>
                  </w:r>
                </w:p>
              </w:tc>
              <w:tc>
                <w:tcPr>
                  <w:tcW w:w="468" w:type="pct"/>
                  <w:vAlign w:val="center"/>
                </w:tcPr>
                <w:p>
                  <w:pPr>
                    <w:pStyle w:val="22"/>
                    <w:spacing w:after="0" w:line="240" w:lineRule="auto"/>
                    <w:ind w:left="0" w:leftChars="0"/>
                    <w:jc w:val="center"/>
                    <w:rPr>
                      <w:b/>
                      <w:bCs/>
                      <w:szCs w:val="21"/>
                    </w:rPr>
                  </w:pPr>
                  <w:r>
                    <w:rPr>
                      <w:b/>
                      <w:bCs/>
                      <w:szCs w:val="21"/>
                    </w:rPr>
                    <w:t>符合性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5" w:type="pct"/>
                  <w:vMerge w:val="restart"/>
                  <w:vAlign w:val="center"/>
                </w:tcPr>
                <w:p>
                  <w:pPr>
                    <w:pStyle w:val="22"/>
                    <w:spacing w:after="0" w:line="240" w:lineRule="auto"/>
                    <w:ind w:left="0" w:leftChars="0"/>
                    <w:jc w:val="center"/>
                    <w:rPr>
                      <w:szCs w:val="21"/>
                    </w:rPr>
                  </w:pPr>
                  <w:r>
                    <w:rPr>
                      <w:szCs w:val="21"/>
                    </w:rPr>
                    <w:t>《关于印发土壤污染防治行动计划的通知》（国发[2016]31号）</w:t>
                  </w:r>
                </w:p>
              </w:tc>
              <w:tc>
                <w:tcPr>
                  <w:tcW w:w="2499" w:type="pct"/>
                  <w:vAlign w:val="center"/>
                </w:tcPr>
                <w:p>
                  <w:pPr>
                    <w:numPr>
                      <w:ilvl w:val="0"/>
                      <w:numId w:val="3"/>
                    </w:numPr>
                    <w:jc w:val="left"/>
                    <w:rPr>
                      <w:szCs w:val="21"/>
                    </w:rPr>
                  </w:pPr>
                  <w:r>
                    <w:rPr>
                      <w:szCs w:val="21"/>
                    </w:rPr>
                    <w:t>防范建设用地新增污染。排放重点污染物的建设项目，在开展环境影响评价时，要增加对土壤环境影响的评价内容，并提出防范土壤污染的具体措施；需要建设的土壤污染防治设施，要与主体工程同时设计、同时施工、同时投产使用；有关环境保护部门要做好有关措施落实情况的监督管理工作。</w:t>
                  </w:r>
                </w:p>
              </w:tc>
              <w:tc>
                <w:tcPr>
                  <w:tcW w:w="1538" w:type="pct"/>
                  <w:vAlign w:val="center"/>
                </w:tcPr>
                <w:p>
                  <w:pPr>
                    <w:pStyle w:val="22"/>
                    <w:spacing w:after="0" w:line="240" w:lineRule="auto"/>
                    <w:ind w:left="0" w:leftChars="0"/>
                    <w:jc w:val="center"/>
                    <w:rPr>
                      <w:szCs w:val="21"/>
                    </w:rPr>
                  </w:pPr>
                  <w:r>
                    <w:rPr>
                      <w:szCs w:val="21"/>
                    </w:rPr>
                    <w:t>本项目为固体废物治理项目，经处理后达标排放污染物，不涉及重点污染物的排放。要求企业落实风险防范措施，严防土壤污染。</w:t>
                  </w:r>
                </w:p>
              </w:tc>
              <w:tc>
                <w:tcPr>
                  <w:tcW w:w="468" w:type="pct"/>
                  <w:vAlign w:val="center"/>
                </w:tcPr>
                <w:p>
                  <w:pPr>
                    <w:pStyle w:val="22"/>
                    <w:spacing w:after="0" w:line="240" w:lineRule="auto"/>
                    <w:ind w:left="0" w:leftChars="0"/>
                    <w:jc w:val="center"/>
                    <w:rPr>
                      <w:szCs w:val="21"/>
                    </w:rPr>
                  </w:pPr>
                  <w:r>
                    <w:rPr>
                      <w:szCs w:val="21"/>
                    </w:rPr>
                    <w:t>符合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5" w:type="pct"/>
                  <w:vMerge w:val="continue"/>
                  <w:vAlign w:val="center"/>
                </w:tcPr>
                <w:p>
                  <w:pPr>
                    <w:pStyle w:val="22"/>
                    <w:spacing w:after="0" w:line="240" w:lineRule="auto"/>
                    <w:ind w:left="0" w:leftChars="0"/>
                    <w:jc w:val="center"/>
                    <w:rPr>
                      <w:szCs w:val="21"/>
                    </w:rPr>
                  </w:pPr>
                </w:p>
              </w:tc>
              <w:tc>
                <w:tcPr>
                  <w:tcW w:w="2499" w:type="pct"/>
                  <w:vAlign w:val="center"/>
                </w:tcPr>
                <w:p>
                  <w:pPr>
                    <w:numPr>
                      <w:ilvl w:val="0"/>
                      <w:numId w:val="3"/>
                    </w:numPr>
                    <w:jc w:val="left"/>
                    <w:rPr>
                      <w:szCs w:val="21"/>
                    </w:rPr>
                  </w:pPr>
                  <w:r>
                    <w:rPr>
                      <w:szCs w:val="21"/>
                    </w:rPr>
                    <w:t>强化空间布局管控。</w:t>
                  </w:r>
                </w:p>
                <w:p>
                  <w:pPr>
                    <w:pStyle w:val="22"/>
                    <w:spacing w:after="0" w:line="240" w:lineRule="auto"/>
                    <w:ind w:left="0" w:leftChars="0"/>
                    <w:jc w:val="left"/>
                    <w:rPr>
                      <w:szCs w:val="21"/>
                    </w:rPr>
                  </w:pPr>
                  <w:r>
                    <w:rPr>
                      <w:szCs w:val="21"/>
                    </w:rPr>
                    <w:t>严格执行相关行业企业布局选址要求，禁止在居民区、学校、医疗和养老机构等周边新建有色金属冶炼、焦化等行业企业。</w:t>
                  </w:r>
                </w:p>
              </w:tc>
              <w:tc>
                <w:tcPr>
                  <w:tcW w:w="1538" w:type="pct"/>
                  <w:vAlign w:val="center"/>
                </w:tcPr>
                <w:p>
                  <w:pPr>
                    <w:pStyle w:val="22"/>
                    <w:spacing w:after="0" w:line="240" w:lineRule="auto"/>
                    <w:ind w:left="0" w:leftChars="0"/>
                    <w:jc w:val="center"/>
                    <w:rPr>
                      <w:szCs w:val="21"/>
                    </w:rPr>
                  </w:pPr>
                  <w:r>
                    <w:rPr>
                      <w:szCs w:val="21"/>
                    </w:rPr>
                    <w:t>本项目选址于</w:t>
                  </w:r>
                  <w:r>
                    <w:rPr>
                      <w:kern w:val="0"/>
                      <w:szCs w:val="21"/>
                    </w:rPr>
                    <w:t>乐山市资源循环利用基地规划范围内</w:t>
                  </w:r>
                  <w:r>
                    <w:rPr>
                      <w:szCs w:val="21"/>
                    </w:rPr>
                    <w:t>，不在居民区、学校、医疗和养老机构等周边。</w:t>
                  </w:r>
                </w:p>
              </w:tc>
              <w:tc>
                <w:tcPr>
                  <w:tcW w:w="468" w:type="pct"/>
                  <w:vAlign w:val="center"/>
                </w:tcPr>
                <w:p>
                  <w:pPr>
                    <w:pStyle w:val="22"/>
                    <w:spacing w:after="0" w:line="240" w:lineRule="auto"/>
                    <w:ind w:left="0" w:leftChars="0"/>
                    <w:jc w:val="center"/>
                    <w:rPr>
                      <w:szCs w:val="21"/>
                    </w:rPr>
                  </w:pPr>
                  <w:r>
                    <w:rPr>
                      <w:szCs w:val="21"/>
                    </w:rPr>
                    <w:t>符合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5" w:type="pct"/>
                  <w:vMerge w:val="continue"/>
                  <w:vAlign w:val="center"/>
                </w:tcPr>
                <w:p>
                  <w:pPr>
                    <w:pStyle w:val="22"/>
                    <w:spacing w:after="0" w:line="240" w:lineRule="auto"/>
                    <w:ind w:left="0" w:leftChars="0"/>
                    <w:jc w:val="center"/>
                    <w:rPr>
                      <w:szCs w:val="21"/>
                    </w:rPr>
                  </w:pPr>
                </w:p>
              </w:tc>
              <w:tc>
                <w:tcPr>
                  <w:tcW w:w="2499" w:type="pct"/>
                  <w:vAlign w:val="center"/>
                </w:tcPr>
                <w:p>
                  <w:pPr>
                    <w:jc w:val="left"/>
                    <w:rPr>
                      <w:szCs w:val="21"/>
                    </w:rPr>
                  </w:pPr>
                  <w:r>
                    <w:rPr>
                      <w:szCs w:val="21"/>
                    </w:rPr>
                    <w:t>（十八）严控工矿污染。</w:t>
                  </w:r>
                </w:p>
                <w:p>
                  <w:pPr>
                    <w:jc w:val="left"/>
                    <w:rPr>
                      <w:szCs w:val="21"/>
                    </w:rPr>
                  </w:pPr>
                  <w:r>
                    <w:rPr>
                      <w:szCs w:val="21"/>
                    </w:rPr>
                    <w:t>（2）严防矿产资源开发污染土壤。加强对矿产资源开发利用活动的辐射安全监管，有关企业每年要对本矿区土壤进行辐射环境监测。</w:t>
                  </w:r>
                </w:p>
                <w:p>
                  <w:pPr>
                    <w:pStyle w:val="22"/>
                    <w:spacing w:after="0" w:line="240" w:lineRule="auto"/>
                    <w:ind w:left="0" w:leftChars="0"/>
                    <w:jc w:val="left"/>
                    <w:rPr>
                      <w:szCs w:val="21"/>
                    </w:rPr>
                  </w:pPr>
                  <w:r>
                    <w:rPr>
                      <w:szCs w:val="21"/>
                    </w:rPr>
                    <w:t>（3）加强涉重金属行业污染防控。严格执行重金属污染物排放标准并落实相关总量控制指标。</w:t>
                  </w:r>
                </w:p>
              </w:tc>
              <w:tc>
                <w:tcPr>
                  <w:tcW w:w="1538" w:type="pct"/>
                  <w:vAlign w:val="center"/>
                </w:tcPr>
                <w:p>
                  <w:pPr>
                    <w:pStyle w:val="22"/>
                    <w:spacing w:after="0" w:line="240" w:lineRule="auto"/>
                    <w:ind w:left="0" w:leftChars="0"/>
                    <w:jc w:val="center"/>
                    <w:rPr>
                      <w:szCs w:val="21"/>
                    </w:rPr>
                  </w:pPr>
                  <w:r>
                    <w:rPr>
                      <w:szCs w:val="21"/>
                    </w:rPr>
                    <w:t>本项目为固体废物治理项目，项目严格控制废水。废气处理处置，严格落实达标排放。</w:t>
                  </w:r>
                </w:p>
              </w:tc>
              <w:tc>
                <w:tcPr>
                  <w:tcW w:w="468" w:type="pct"/>
                  <w:vAlign w:val="center"/>
                </w:tcPr>
                <w:p>
                  <w:pPr>
                    <w:pStyle w:val="22"/>
                    <w:spacing w:after="0" w:line="240" w:lineRule="auto"/>
                    <w:ind w:left="0" w:leftChars="0"/>
                    <w:jc w:val="center"/>
                    <w:rPr>
                      <w:szCs w:val="21"/>
                    </w:rPr>
                  </w:pPr>
                  <w:r>
                    <w:rPr>
                      <w:szCs w:val="21"/>
                    </w:rPr>
                    <w:t>符合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5" w:type="pct"/>
                  <w:vMerge w:val="continue"/>
                  <w:vAlign w:val="center"/>
                </w:tcPr>
                <w:p>
                  <w:pPr>
                    <w:pStyle w:val="22"/>
                    <w:spacing w:after="0" w:line="240" w:lineRule="auto"/>
                    <w:ind w:left="0" w:leftChars="0"/>
                    <w:jc w:val="center"/>
                    <w:rPr>
                      <w:szCs w:val="21"/>
                    </w:rPr>
                  </w:pPr>
                </w:p>
              </w:tc>
              <w:tc>
                <w:tcPr>
                  <w:tcW w:w="2499" w:type="pct"/>
                  <w:vAlign w:val="center"/>
                </w:tcPr>
                <w:p>
                  <w:pPr>
                    <w:pStyle w:val="22"/>
                    <w:spacing w:after="0" w:line="240" w:lineRule="auto"/>
                    <w:ind w:left="0" w:leftChars="0"/>
                    <w:jc w:val="left"/>
                    <w:rPr>
                      <w:szCs w:val="21"/>
                    </w:rPr>
                  </w:pPr>
                  <w:r>
                    <w:rPr>
                      <w:szCs w:val="21"/>
                    </w:rPr>
                    <w:t>（4）加强工业废物处理处置。全面整治尾矿、煤矸石、工业副产石膏、粉煤灰、赤泥、冶炼渣、电石渣、铬渣、砷渣以及脱硫、脱硝、除尘产生固体废物的堆存场所，完善防扬散、防流失、防渗漏等设施，制定整治方案并有序实施。加强工业固体废物综合利用。</w:t>
                  </w:r>
                </w:p>
              </w:tc>
              <w:tc>
                <w:tcPr>
                  <w:tcW w:w="1538" w:type="pct"/>
                  <w:vAlign w:val="center"/>
                </w:tcPr>
                <w:p>
                  <w:pPr>
                    <w:pStyle w:val="22"/>
                    <w:spacing w:after="0" w:line="240" w:lineRule="auto"/>
                    <w:ind w:left="0" w:leftChars="0"/>
                    <w:jc w:val="center"/>
                    <w:rPr>
                      <w:szCs w:val="21"/>
                    </w:rPr>
                  </w:pPr>
                  <w:r>
                    <w:rPr>
                      <w:szCs w:val="21"/>
                    </w:rPr>
                    <w:t>本项目为固体废物治理项目，本项目不涉及前述固废，属于固体废物综合利用项目。</w:t>
                  </w:r>
                </w:p>
              </w:tc>
              <w:tc>
                <w:tcPr>
                  <w:tcW w:w="468" w:type="pct"/>
                  <w:vAlign w:val="center"/>
                </w:tcPr>
                <w:p>
                  <w:pPr>
                    <w:pStyle w:val="22"/>
                    <w:spacing w:after="0" w:line="240" w:lineRule="auto"/>
                    <w:ind w:left="0" w:leftChars="0"/>
                    <w:jc w:val="center"/>
                    <w:rPr>
                      <w:szCs w:val="21"/>
                    </w:rPr>
                  </w:pPr>
                  <w:r>
                    <w:rPr>
                      <w:szCs w:val="21"/>
                    </w:rPr>
                    <w:t>符合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95" w:type="pct"/>
                  <w:vAlign w:val="center"/>
                </w:tcPr>
                <w:p>
                  <w:pPr>
                    <w:pStyle w:val="22"/>
                    <w:spacing w:after="0" w:line="240" w:lineRule="auto"/>
                    <w:ind w:left="0" w:leftChars="0"/>
                    <w:jc w:val="center"/>
                    <w:rPr>
                      <w:szCs w:val="21"/>
                    </w:rPr>
                  </w:pPr>
                  <w:r>
                    <w:rPr>
                      <w:szCs w:val="21"/>
                    </w:rPr>
                    <w:t>《〈土壤污染防治行动计划四川省工作方案〉2020年度实施计划》</w:t>
                  </w:r>
                </w:p>
              </w:tc>
              <w:tc>
                <w:tcPr>
                  <w:tcW w:w="2499" w:type="pct"/>
                  <w:vAlign w:val="center"/>
                </w:tcPr>
                <w:p>
                  <w:pPr>
                    <w:pStyle w:val="22"/>
                    <w:spacing w:after="0" w:line="240" w:lineRule="auto"/>
                    <w:ind w:left="0" w:leftChars="0"/>
                    <w:jc w:val="left"/>
                    <w:rPr>
                      <w:szCs w:val="21"/>
                    </w:rPr>
                  </w:pPr>
                  <w:r>
                    <w:rPr>
                      <w:szCs w:val="21"/>
                    </w:rPr>
                    <w:t>30．科学配置土地资源。深化工业化、城镇化过程中土地资源配置与保护，鼓励工业企业集聚发展，提高土地节约集约利用水平，减少土壤污染。严格执行相关行业企业布局选址要求，禁止在居民区、学校、医疗和养老机构等周边新建有色金属冶炼、焦化、化工、铅蓄电池制造等行业企业，有序搬迁或依法关闭对土壤造成严重污染的现有企业。……</w:t>
                  </w:r>
                </w:p>
              </w:tc>
              <w:tc>
                <w:tcPr>
                  <w:tcW w:w="1538" w:type="pct"/>
                  <w:vAlign w:val="center"/>
                </w:tcPr>
                <w:p>
                  <w:pPr>
                    <w:pStyle w:val="22"/>
                    <w:spacing w:after="0" w:line="240" w:lineRule="auto"/>
                    <w:ind w:left="0" w:leftChars="0"/>
                    <w:jc w:val="center"/>
                    <w:rPr>
                      <w:szCs w:val="21"/>
                    </w:rPr>
                  </w:pPr>
                  <w:r>
                    <w:rPr>
                      <w:szCs w:val="21"/>
                    </w:rPr>
                    <w:t>本项目选址于</w:t>
                  </w:r>
                  <w:r>
                    <w:rPr>
                      <w:kern w:val="0"/>
                      <w:szCs w:val="21"/>
                    </w:rPr>
                    <w:t>乐山市资源循环利用基地规划范围内</w:t>
                  </w:r>
                  <w:r>
                    <w:rPr>
                      <w:szCs w:val="21"/>
                    </w:rPr>
                    <w:t>，不在居民区、学校、医疗和养老机构等周边，且不属于有色金属冶炼、焦化、化工、铅蓄电池制造等行业企业。</w:t>
                  </w:r>
                </w:p>
              </w:tc>
              <w:tc>
                <w:tcPr>
                  <w:tcW w:w="468" w:type="pct"/>
                  <w:vAlign w:val="center"/>
                </w:tcPr>
                <w:p>
                  <w:pPr>
                    <w:pStyle w:val="22"/>
                    <w:spacing w:after="0" w:line="240" w:lineRule="auto"/>
                    <w:ind w:left="0" w:leftChars="0"/>
                    <w:jc w:val="center"/>
                    <w:rPr>
                      <w:szCs w:val="21"/>
                    </w:rPr>
                  </w:pPr>
                  <w:r>
                    <w:rPr>
                      <w:szCs w:val="21"/>
                    </w:rPr>
                    <w:t>符合</w:t>
                  </w:r>
                </w:p>
              </w:tc>
            </w:tr>
          </w:tbl>
          <w:p>
            <w:pPr>
              <w:pStyle w:val="22"/>
              <w:spacing w:before="120" w:beforeLines="50" w:after="0" w:line="360" w:lineRule="auto"/>
              <w:ind w:left="0" w:leftChars="0" w:firstLine="480" w:firstLineChars="200"/>
              <w:rPr>
                <w:bCs/>
                <w:sz w:val="24"/>
              </w:rPr>
            </w:pPr>
            <w:r>
              <w:rPr>
                <w:sz w:val="24"/>
              </w:rPr>
              <w:t>综上，本项目与《土壤污染防治行动计划》（国发〔2016〕31号）相符。</w:t>
            </w:r>
          </w:p>
          <w:p>
            <w:pPr>
              <w:spacing w:line="360" w:lineRule="auto"/>
              <w:ind w:firstLine="482" w:firstLineChars="200"/>
              <w:rPr>
                <w:b/>
                <w:sz w:val="24"/>
              </w:rPr>
            </w:pPr>
            <w:r>
              <w:rPr>
                <w:b/>
                <w:sz w:val="24"/>
              </w:rPr>
              <w:t>（6）总平面布置合理性分析</w:t>
            </w:r>
          </w:p>
          <w:p>
            <w:pPr>
              <w:spacing w:line="360" w:lineRule="auto"/>
              <w:ind w:firstLine="470" w:firstLineChars="196"/>
              <w:rPr>
                <w:sz w:val="24"/>
              </w:rPr>
            </w:pPr>
            <w:r>
              <w:rPr>
                <w:sz w:val="24"/>
              </w:rPr>
              <w:t>结合同类型项目，项目生产区平面布局应满足以下原则：</w:t>
            </w:r>
            <w:r>
              <w:rPr>
                <w:sz w:val="24"/>
              </w:rPr>
              <w:fldChar w:fldCharType="begin"/>
            </w:r>
            <w:r>
              <w:rPr>
                <w:sz w:val="24"/>
              </w:rPr>
              <w:instrText xml:space="preserve"> = 1 \* roman </w:instrText>
            </w:r>
            <w:r>
              <w:rPr>
                <w:sz w:val="24"/>
              </w:rPr>
              <w:fldChar w:fldCharType="separate"/>
            </w:r>
            <w:r>
              <w:rPr>
                <w:sz w:val="24"/>
              </w:rPr>
              <w:t>i</w:t>
            </w:r>
            <w:r>
              <w:rPr>
                <w:sz w:val="24"/>
              </w:rPr>
              <w:fldChar w:fldCharType="end"/>
            </w:r>
            <w:r>
              <w:rPr>
                <w:sz w:val="24"/>
              </w:rPr>
              <w:t>、“因地制宜、就地取材”的原则，在满足生产工艺流程和物流、车流、人流的合理安排；功能分区明确、合理、得当，布局紧凑，节约用地，管理方便；</w:t>
            </w:r>
            <w:r>
              <w:rPr>
                <w:sz w:val="24"/>
              </w:rPr>
              <w:fldChar w:fldCharType="begin"/>
            </w:r>
            <w:r>
              <w:rPr>
                <w:sz w:val="24"/>
              </w:rPr>
              <w:instrText xml:space="preserve"> = 2 \* roman </w:instrText>
            </w:r>
            <w:r>
              <w:rPr>
                <w:sz w:val="24"/>
              </w:rPr>
              <w:fldChar w:fldCharType="separate"/>
            </w:r>
            <w:r>
              <w:rPr>
                <w:sz w:val="24"/>
              </w:rPr>
              <w:t>ii</w:t>
            </w:r>
            <w:r>
              <w:rPr>
                <w:sz w:val="24"/>
              </w:rPr>
              <w:fldChar w:fldCharType="end"/>
            </w:r>
            <w:r>
              <w:rPr>
                <w:sz w:val="24"/>
              </w:rPr>
              <w:t>、生产区与外界保持良好的交通联系；</w:t>
            </w:r>
            <w:r>
              <w:rPr>
                <w:sz w:val="24"/>
              </w:rPr>
              <w:fldChar w:fldCharType="begin"/>
            </w:r>
            <w:r>
              <w:rPr>
                <w:sz w:val="24"/>
              </w:rPr>
              <w:instrText xml:space="preserve"> = 3 \* roman </w:instrText>
            </w:r>
            <w:r>
              <w:rPr>
                <w:sz w:val="24"/>
              </w:rPr>
              <w:fldChar w:fldCharType="separate"/>
            </w:r>
            <w:r>
              <w:rPr>
                <w:sz w:val="24"/>
              </w:rPr>
              <w:t>iii</w:t>
            </w:r>
            <w:r>
              <w:rPr>
                <w:sz w:val="24"/>
              </w:rPr>
              <w:fldChar w:fldCharType="end"/>
            </w:r>
            <w:r>
              <w:rPr>
                <w:sz w:val="24"/>
              </w:rPr>
              <w:t>、建筑物布置应考虑当地的景观，与周边环境相协调；</w:t>
            </w:r>
            <w:r>
              <w:rPr>
                <w:sz w:val="24"/>
              </w:rPr>
              <w:fldChar w:fldCharType="begin"/>
            </w:r>
            <w:r>
              <w:rPr>
                <w:sz w:val="24"/>
              </w:rPr>
              <w:instrText xml:space="preserve"> = 4 \* roman </w:instrText>
            </w:r>
            <w:r>
              <w:rPr>
                <w:sz w:val="24"/>
              </w:rPr>
              <w:fldChar w:fldCharType="separate"/>
            </w:r>
            <w:r>
              <w:rPr>
                <w:sz w:val="24"/>
              </w:rPr>
              <w:t>iv</w:t>
            </w:r>
            <w:r>
              <w:rPr>
                <w:sz w:val="24"/>
              </w:rPr>
              <w:fldChar w:fldCharType="end"/>
            </w:r>
            <w:r>
              <w:rPr>
                <w:sz w:val="24"/>
              </w:rPr>
              <w:t>、充分利用当地给水、供电、通讯等基础设施。</w:t>
            </w:r>
          </w:p>
          <w:p>
            <w:pPr>
              <w:spacing w:line="360" w:lineRule="auto"/>
              <w:ind w:firstLine="480" w:firstLineChars="200"/>
              <w:rPr>
                <w:sz w:val="24"/>
              </w:rPr>
            </w:pPr>
            <w:r>
              <w:rPr>
                <w:sz w:val="24"/>
              </w:rPr>
              <w:t>在上述原则下，项目厂区结合地形而建，生产区整体布局简单。项目生产车间呈矩形，主要布设一条建筑垃圾资源化利用生产线和一条炉渣综合利用生产线等主要生产设施及其他配套附属设施等。项目生产车间主要布设于厂区内部，远离周边居民，根据原有厂房建设合理分区，项目工程平面布置基本合理，做到了统一布置，综合平衡，功能分区明确，工艺流程合理，管线短捷，运输方便，并符合环保、消防及安全要求等。</w:t>
            </w:r>
          </w:p>
          <w:p>
            <w:pPr>
              <w:spacing w:line="360" w:lineRule="auto"/>
              <w:ind w:firstLine="472" w:firstLineChars="196"/>
              <w:rPr>
                <w:sz w:val="24"/>
              </w:rPr>
            </w:pPr>
            <w:r>
              <w:rPr>
                <w:b/>
                <w:sz w:val="24"/>
              </w:rPr>
              <w:t>综上所述</w:t>
            </w:r>
            <w:r>
              <w:rPr>
                <w:sz w:val="24"/>
              </w:rPr>
              <w:t>，本项目在总体布局上，遵循“分区合理、工艺流畅、物流短捷；突出环保与安全”的原则，结合场地的用地条件及生产工艺，综合考虑环保、消防、劳动卫生等要求，进行了平面布置统筹安排，总图布置从环保角度合理</w:t>
            </w:r>
            <w:r>
              <w:rPr>
                <w:bCs/>
                <w:sz w:val="24"/>
              </w:rPr>
              <w:t>。详见</w:t>
            </w:r>
            <w:r>
              <w:rPr>
                <w:sz w:val="24"/>
              </w:rPr>
              <w:t>附图2项目平面布置图。</w:t>
            </w:r>
          </w:p>
          <w:p>
            <w:pPr>
              <w:spacing w:line="360" w:lineRule="auto"/>
              <w:ind w:firstLine="472" w:firstLineChars="196"/>
              <w:rPr>
                <w:b/>
                <w:bCs/>
                <w:sz w:val="24"/>
              </w:rPr>
            </w:pPr>
            <w:r>
              <w:rPr>
                <w:b/>
                <w:bCs/>
                <w:sz w:val="24"/>
              </w:rPr>
              <w:t>（7）选址合理性分析</w:t>
            </w:r>
          </w:p>
          <w:p>
            <w:pPr>
              <w:spacing w:line="360" w:lineRule="auto"/>
              <w:ind w:firstLine="480" w:firstLineChars="200"/>
              <w:rPr>
                <w:bCs/>
                <w:sz w:val="24"/>
              </w:rPr>
            </w:pPr>
            <w:r>
              <w:rPr>
                <w:kern w:val="0"/>
                <w:sz w:val="24"/>
              </w:rPr>
              <w:t>本项目</w:t>
            </w:r>
            <w:r>
              <w:rPr>
                <w:sz w:val="24"/>
              </w:rPr>
              <w:t>位于乐山市市中区茅桥镇迎阳村（乐山市环保发电厂旁），属于</w:t>
            </w:r>
            <w:r>
              <w:rPr>
                <w:kern w:val="0"/>
                <w:sz w:val="24"/>
              </w:rPr>
              <w:t>乐山市资源循环利用基地规划范围内，</w:t>
            </w:r>
            <w:r>
              <w:rPr>
                <w:sz w:val="24"/>
              </w:rPr>
              <w:t>选址合理，符合</w:t>
            </w:r>
            <w:r>
              <w:rPr>
                <w:bCs/>
                <w:sz w:val="24"/>
              </w:rPr>
              <w:t>乐山市资源循环利用基地发展，符合规划主导产业、规划期限及目标，总体规划。</w:t>
            </w:r>
            <w:r>
              <w:rPr>
                <w:sz w:val="24"/>
              </w:rPr>
              <w:t>经分析，项目选址符合“三线一单”、《乐山市人民政府关于落实生态保护红线、环境质量底线、资源利用上线制定生态环境准入清单 实施生态环境分区管控的通知》（乐府发〔2021〕7号）、《国务院打赢蓝天保卫战三年行动计划》（国发〔2018〕22号）、《四川省打赢蓝天保卫战实施方案》（川府发2019[4]号）、乐山市《2022年大气污染防治攻坚方案》、《固体废物再生利用污染防治技术导则》（HJ1091-2020）、《关于印发土壤污染防治行动计划的通知》（国发[2016]31号）</w:t>
            </w:r>
            <w:r>
              <w:rPr>
                <w:bCs/>
                <w:sz w:val="24"/>
              </w:rPr>
              <w:t>等相关规范条件。</w:t>
            </w:r>
          </w:p>
          <w:p>
            <w:pPr>
              <w:spacing w:line="360" w:lineRule="auto"/>
              <w:ind w:firstLine="480" w:firstLineChars="200"/>
              <w:rPr>
                <w:bCs/>
                <w:sz w:val="24"/>
              </w:rPr>
            </w:pPr>
            <w:r>
              <w:rPr>
                <w:bCs/>
                <w:sz w:val="24"/>
              </w:rPr>
              <w:t>项目</w:t>
            </w:r>
            <w:r>
              <w:rPr>
                <w:sz w:val="24"/>
              </w:rPr>
              <w:t>属于</w:t>
            </w:r>
            <w:r>
              <w:rPr>
                <w:kern w:val="0"/>
                <w:sz w:val="24"/>
              </w:rPr>
              <w:t>乐山市资源循环利用基地规划范围内，</w:t>
            </w:r>
            <w:r>
              <w:rPr>
                <w:bCs/>
                <w:sz w:val="24"/>
              </w:rPr>
              <w:t>本项目周边皆为资源循环利用产业</w:t>
            </w:r>
            <w:r>
              <w:rPr>
                <w:kern w:val="0"/>
                <w:sz w:val="24"/>
              </w:rPr>
              <w:t>，项目</w:t>
            </w:r>
            <w:r>
              <w:rPr>
                <w:bCs/>
                <w:sz w:val="24"/>
              </w:rPr>
              <w:t>周边主要为工业建设用地及林地、耕地、散居居民等，周边散居居民距离本项目500m以上，影响较小。本项目位于</w:t>
            </w:r>
            <w:r>
              <w:rPr>
                <w:kern w:val="0"/>
                <w:sz w:val="24"/>
              </w:rPr>
              <w:t>乐山市资源循环利用基地</w:t>
            </w:r>
            <w:r>
              <w:rPr>
                <w:bCs/>
                <w:sz w:val="24"/>
              </w:rPr>
              <w:t>，周边企业皆为乐山市生活垃圾无害化、资源化处理产业等，对本项目影响较小。同时，项目外环境单纯，主要污染影响为对周边散居居民噪声及废气污染物影响，项目采取相应的污染防治措施后，污染物可达标排放，对周边敏感点影响较小。项目周围无自然保护区、风景名胜区、饮用水源等敏感区，从环保角度看该项目选址可行。</w:t>
            </w:r>
          </w:p>
          <w:p>
            <w:pPr>
              <w:spacing w:line="360" w:lineRule="auto"/>
              <w:ind w:firstLine="470" w:firstLineChars="196"/>
              <w:rPr>
                <w:sz w:val="24"/>
              </w:rPr>
            </w:pPr>
          </w:p>
          <w:p>
            <w:pPr>
              <w:snapToGrid w:val="0"/>
              <w:spacing w:line="360" w:lineRule="auto"/>
              <w:ind w:firstLine="480" w:firstLineChars="200"/>
              <w:rPr>
                <w:sz w:val="24"/>
              </w:rPr>
            </w:pPr>
          </w:p>
          <w:p>
            <w:pPr>
              <w:snapToGrid w:val="0"/>
              <w:spacing w:line="360" w:lineRule="auto"/>
              <w:ind w:firstLine="480" w:firstLineChars="200"/>
              <w:rPr>
                <w:sz w:val="24"/>
              </w:rPr>
            </w:pPr>
          </w:p>
          <w:p>
            <w:pPr>
              <w:snapToGrid w:val="0"/>
              <w:spacing w:line="360" w:lineRule="auto"/>
              <w:ind w:firstLine="480" w:firstLineChars="200"/>
              <w:rPr>
                <w:sz w:val="24"/>
              </w:rPr>
            </w:pPr>
          </w:p>
          <w:p>
            <w:pPr>
              <w:snapToGrid w:val="0"/>
              <w:spacing w:line="360" w:lineRule="auto"/>
              <w:ind w:firstLine="480" w:firstLineChars="200"/>
              <w:rPr>
                <w:sz w:val="24"/>
              </w:rPr>
            </w:pPr>
          </w:p>
          <w:p>
            <w:pPr>
              <w:snapToGrid w:val="0"/>
              <w:spacing w:line="360" w:lineRule="auto"/>
              <w:ind w:firstLine="480" w:firstLineChars="200"/>
              <w:rPr>
                <w:sz w:val="24"/>
              </w:rPr>
            </w:pPr>
          </w:p>
          <w:p>
            <w:pPr>
              <w:snapToGrid w:val="0"/>
              <w:spacing w:line="360" w:lineRule="auto"/>
              <w:ind w:firstLine="480" w:firstLineChars="200"/>
              <w:rPr>
                <w:sz w:val="24"/>
              </w:rPr>
            </w:pPr>
          </w:p>
          <w:p>
            <w:pPr>
              <w:snapToGrid w:val="0"/>
              <w:spacing w:line="360" w:lineRule="auto"/>
              <w:ind w:firstLine="480" w:firstLineChars="200"/>
              <w:rPr>
                <w:sz w:val="24"/>
              </w:rPr>
            </w:pPr>
          </w:p>
          <w:p>
            <w:pPr>
              <w:snapToGrid w:val="0"/>
              <w:spacing w:line="360" w:lineRule="auto"/>
              <w:ind w:firstLine="480" w:firstLineChars="200"/>
              <w:rPr>
                <w:sz w:val="24"/>
              </w:rPr>
            </w:pPr>
          </w:p>
          <w:p>
            <w:pPr>
              <w:snapToGrid w:val="0"/>
              <w:spacing w:line="360" w:lineRule="auto"/>
              <w:ind w:firstLine="480" w:firstLineChars="200"/>
              <w:rPr>
                <w:sz w:val="24"/>
              </w:rPr>
            </w:pPr>
          </w:p>
          <w:p>
            <w:pPr>
              <w:snapToGrid w:val="0"/>
              <w:spacing w:line="360" w:lineRule="auto"/>
              <w:ind w:firstLine="480" w:firstLineChars="200"/>
              <w:rPr>
                <w:sz w:val="24"/>
              </w:rPr>
            </w:pPr>
          </w:p>
          <w:p>
            <w:pPr>
              <w:snapToGrid w:val="0"/>
              <w:spacing w:line="360" w:lineRule="auto"/>
              <w:ind w:firstLine="480" w:firstLineChars="200"/>
              <w:rPr>
                <w:sz w:val="24"/>
              </w:rPr>
            </w:pPr>
          </w:p>
          <w:p>
            <w:pPr>
              <w:snapToGrid w:val="0"/>
              <w:spacing w:line="360" w:lineRule="auto"/>
              <w:rPr>
                <w:kern w:val="0"/>
                <w:szCs w:val="21"/>
              </w:rPr>
            </w:pPr>
          </w:p>
        </w:tc>
      </w:tr>
    </w:tbl>
    <w:p>
      <w:pPr>
        <w:spacing w:line="360" w:lineRule="auto"/>
        <w:outlineLvl w:val="0"/>
        <w:rPr>
          <w:rFonts w:eastAsia="黑体"/>
          <w:sz w:val="30"/>
        </w:rPr>
        <w:sectPr>
          <w:footerReference r:id="rId5" w:type="default"/>
          <w:pgSz w:w="11906" w:h="16838"/>
          <w:pgMar w:top="1701" w:right="1531" w:bottom="1701" w:left="1531" w:header="851" w:footer="1077" w:gutter="0"/>
          <w:pgNumType w:start="1"/>
          <w:cols w:space="720" w:num="1"/>
          <w:docGrid w:linePitch="312" w:charSpace="0"/>
        </w:sectPr>
      </w:pPr>
    </w:p>
    <w:p>
      <w:pPr>
        <w:pStyle w:val="33"/>
        <w:outlineLvl w:val="0"/>
        <w:rPr>
          <w:rFonts w:ascii="Times New Roman" w:hAnsi="Times New Roman" w:eastAsia="黑体"/>
          <w:snapToGrid w:val="0"/>
          <w:sz w:val="30"/>
          <w:szCs w:val="30"/>
        </w:rPr>
      </w:pPr>
      <w:bookmarkStart w:id="9" w:name="_Toc99010600"/>
      <w:r>
        <w:rPr>
          <w:rFonts w:ascii="Times New Roman" w:hAnsi="Times New Roman" w:eastAsia="黑体"/>
          <w:snapToGrid w:val="0"/>
          <w:sz w:val="30"/>
          <w:szCs w:val="30"/>
        </w:rPr>
        <w:t>二、建设项目工程分析</w:t>
      </w:r>
      <w:bookmarkEnd w:id="9"/>
    </w:p>
    <w:tbl>
      <w:tblPr>
        <w:tblStyle w:val="38"/>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8634"/>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jc w:val="center"/>
        </w:trPr>
        <w:tc>
          <w:tcPr>
            <w:tcW w:w="155" w:type="pct"/>
            <w:vAlign w:val="center"/>
          </w:tcPr>
          <w:p>
            <w:pPr>
              <w:pStyle w:val="33"/>
              <w:adjustRightInd w:val="0"/>
              <w:snapToGrid w:val="0"/>
              <w:spacing w:before="0" w:beforeAutospacing="0" w:after="0" w:afterAutospacing="0"/>
              <w:jc w:val="center"/>
              <w:rPr>
                <w:rFonts w:ascii="Times New Roman" w:hAnsi="Times New Roman"/>
                <w:sz w:val="21"/>
                <w:szCs w:val="21"/>
              </w:rPr>
            </w:pPr>
            <w:r>
              <w:rPr>
                <w:rFonts w:ascii="Times New Roman" w:hAnsi="Times New Roman"/>
                <w:sz w:val="21"/>
                <w:szCs w:val="21"/>
              </w:rPr>
              <w:t>建设内容</w:t>
            </w:r>
          </w:p>
        </w:tc>
        <w:tc>
          <w:tcPr>
            <w:tcW w:w="4845" w:type="pct"/>
          </w:tcPr>
          <w:p>
            <w:pPr>
              <w:spacing w:line="360" w:lineRule="auto"/>
              <w:ind w:firstLine="472" w:firstLineChars="196"/>
              <w:rPr>
                <w:b/>
                <w:bCs/>
                <w:sz w:val="24"/>
              </w:rPr>
            </w:pPr>
            <w:r>
              <w:rPr>
                <w:b/>
                <w:bCs/>
                <w:sz w:val="24"/>
              </w:rPr>
              <w:t>1、项目由来</w:t>
            </w:r>
          </w:p>
          <w:p>
            <w:pPr>
              <w:spacing w:line="360" w:lineRule="auto"/>
              <w:ind w:firstLine="504" w:firstLineChars="210"/>
              <w:rPr>
                <w:bCs/>
                <w:sz w:val="24"/>
              </w:rPr>
            </w:pPr>
            <w:r>
              <w:rPr>
                <w:bCs/>
                <w:sz w:val="24"/>
              </w:rPr>
              <w:t>乐山恒一能环保科技有限公司成立于2017年08月10日，注册地位于四川省乐山市市中区司法街37号，法定代表人为李明泽。经营范围包括环保技术服务；科技推广和应用服务；工业炉渣综合处理和利用；砖生产、销售；金属材料（不含稀贵金属）销售（依法须经批准的项目，经相关部门批准后方可开展经营活动）。</w:t>
            </w:r>
          </w:p>
          <w:p>
            <w:pPr>
              <w:spacing w:line="360" w:lineRule="auto"/>
              <w:ind w:firstLine="480" w:firstLineChars="200"/>
              <w:jc w:val="left"/>
              <w:rPr>
                <w:sz w:val="24"/>
              </w:rPr>
            </w:pPr>
            <w:r>
              <w:rPr>
                <w:sz w:val="24"/>
              </w:rPr>
              <w:t>根据相关数据，焚烧一吨垃圾将产生200~250公斤的炉渣，若将生活垃圾焚烧)炉渣填埋处理，不仅占用大量土地资源，而且会给土壤和地下水带来环境安全隐忠，因此必须无害化、资源化、减量化处理生活垃圾焚烧产生的大量炉渣，减少环境风险，实现城镇可持续发展。本项目是为全面贯彻中央生活垃圾分类相关要求，遵循减量化、资源化、无害化原则，深入实施生活垃圾焚烧发电炉渣综合利用，有效改善乐山市城乡环境，提升人居品质和文明素质，促进资源回收利用，助力卫生文明城市建设，美丽四川建设。</w:t>
            </w:r>
          </w:p>
          <w:p>
            <w:pPr>
              <w:spacing w:line="360" w:lineRule="auto"/>
              <w:ind w:firstLine="480" w:firstLineChars="200"/>
              <w:rPr>
                <w:sz w:val="24"/>
              </w:rPr>
            </w:pPr>
            <w:r>
              <w:rPr>
                <w:sz w:val="24"/>
              </w:rPr>
              <w:t>生活垃圾经过焚烧之后，大约会产生20%～30%的炉渣，炉渣中往往含有一些金属元素（铁、铝、镁、钾、钠、锶、钛、锰、锌等〉，具有一定的资源化回收价值，为了进一步实现资源的综合利用，</w:t>
            </w:r>
            <w:r>
              <w:rPr>
                <w:bCs/>
                <w:sz w:val="24"/>
              </w:rPr>
              <w:t>乐山恒一能环保科技有限公司</w:t>
            </w:r>
            <w:r>
              <w:rPr>
                <w:sz w:val="24"/>
              </w:rPr>
              <w:t>投资建设乐山市建筑垃圾资源化利用及炉渣综合利用项目，对乐山市生活垃圾焚烧发电项目炉渣分拣出未燃尽炉渣、细骨料（砂）、废旧金属（包括铁、铝、金属砂等可回收金属），及乐山市城市建设、装修产生的建筑垃圾（主要为装修垃圾）进行处理并综合利用，炉渣综合利用生产线投产后炉渣处理能力为1000吨/日。建筑垃圾资源化利用生产线投产后处理能力约为200吨/日。</w:t>
            </w:r>
          </w:p>
          <w:p>
            <w:pPr>
              <w:spacing w:line="360" w:lineRule="auto"/>
              <w:ind w:firstLine="504" w:firstLineChars="210"/>
              <w:rPr>
                <w:sz w:val="24"/>
              </w:rPr>
            </w:pPr>
            <w:r>
              <w:rPr>
                <w:sz w:val="24"/>
              </w:rPr>
              <w:t>根据《中华人民共和国环境保护法》、《关于修改&lt;建设项目环境保护管理条例&gt;的决定》（中华人民共和国国务院令 第682号）、《中华人民共和国环境影响评价法》及国务院253号令的要求，本项目应进行环境影响评价工作，故于2022年5月，建设单位委托我单位承担“乐山市建筑垃圾资源化利用及炉渣综合利用项目”项目环保手续。</w:t>
            </w:r>
          </w:p>
          <w:p>
            <w:pPr>
              <w:spacing w:line="360" w:lineRule="auto"/>
              <w:ind w:firstLine="470" w:firstLineChars="196"/>
              <w:rPr>
                <w:bCs/>
                <w:sz w:val="24"/>
                <w:u w:val="single"/>
              </w:rPr>
            </w:pPr>
            <w:r>
              <w:rPr>
                <w:sz w:val="24"/>
              </w:rPr>
              <w:t>接受委托后，</w:t>
            </w:r>
            <w:r>
              <w:rPr>
                <w:bCs/>
                <w:sz w:val="24"/>
              </w:rPr>
              <w:t>我单位根据相关法律法规并查阅《建设项目环境影响评价分类管理名录（2021年版）》（部令第16号），本项目属于“四十七、生态保护和环境治理业  103、一般工业固体废物（含污水处理污泥）、建筑施工废弃物处置及综合利用  其他”，应编制环境影响报告表。通过现场勘察、收集资料等工作，结合本项目的特点，按照国家有关技术规范要求，编制完成了《乐山市建筑垃圾资源化利用及炉渣综合利用项目环境影响报告表》，现呈报审查，待审批后作为开展项目建设环保设计及主管部门环境管理工作的依据。</w:t>
            </w:r>
          </w:p>
          <w:p>
            <w:pPr>
              <w:spacing w:line="360" w:lineRule="auto"/>
              <w:ind w:firstLine="472" w:firstLineChars="196"/>
              <w:rPr>
                <w:b/>
                <w:bCs/>
                <w:sz w:val="24"/>
              </w:rPr>
            </w:pPr>
            <w:r>
              <w:rPr>
                <w:b/>
                <w:bCs/>
                <w:sz w:val="24"/>
              </w:rPr>
              <w:t>2、项目概况</w:t>
            </w:r>
          </w:p>
          <w:p>
            <w:pPr>
              <w:spacing w:line="360" w:lineRule="auto"/>
              <w:ind w:firstLine="470" w:firstLineChars="196"/>
              <w:rPr>
                <w:sz w:val="24"/>
              </w:rPr>
            </w:pPr>
            <w:r>
              <w:rPr>
                <w:sz w:val="24"/>
              </w:rPr>
              <w:t>（1）项目基本情况</w:t>
            </w:r>
          </w:p>
          <w:p>
            <w:pPr>
              <w:spacing w:line="360" w:lineRule="auto"/>
              <w:ind w:firstLine="470" w:firstLineChars="196"/>
              <w:rPr>
                <w:sz w:val="24"/>
              </w:rPr>
            </w:pPr>
            <w:r>
              <w:rPr>
                <w:sz w:val="24"/>
              </w:rPr>
              <w:t>项目名称：乐山市建筑垃圾资源化利用及炉渣综合利用项目</w:t>
            </w:r>
          </w:p>
          <w:p>
            <w:pPr>
              <w:spacing w:line="360" w:lineRule="auto"/>
              <w:ind w:firstLine="470" w:firstLineChars="196"/>
              <w:rPr>
                <w:sz w:val="24"/>
              </w:rPr>
            </w:pPr>
            <w:r>
              <w:rPr>
                <w:sz w:val="24"/>
              </w:rPr>
              <w:t>建设单位：乐山恒一能环保科技有限公司</w:t>
            </w:r>
          </w:p>
          <w:p>
            <w:pPr>
              <w:spacing w:line="360" w:lineRule="auto"/>
              <w:ind w:firstLine="470" w:firstLineChars="196"/>
              <w:rPr>
                <w:sz w:val="24"/>
              </w:rPr>
            </w:pPr>
            <w:r>
              <w:rPr>
                <w:sz w:val="24"/>
              </w:rPr>
              <w:t>建设地点：乐山市市中区茅桥镇迎阳村乐山市环保发电厂旁</w:t>
            </w:r>
          </w:p>
          <w:p>
            <w:pPr>
              <w:spacing w:line="360" w:lineRule="auto"/>
              <w:ind w:firstLine="470" w:firstLineChars="196"/>
              <w:rPr>
                <w:sz w:val="24"/>
              </w:rPr>
            </w:pPr>
            <w:r>
              <w:rPr>
                <w:sz w:val="24"/>
              </w:rPr>
              <w:t>建设性质：新建</w:t>
            </w:r>
          </w:p>
          <w:p>
            <w:pPr>
              <w:spacing w:line="360" w:lineRule="auto"/>
              <w:ind w:firstLine="470" w:firstLineChars="196"/>
              <w:rPr>
                <w:sz w:val="24"/>
              </w:rPr>
            </w:pPr>
            <w:r>
              <w:rPr>
                <w:sz w:val="24"/>
              </w:rPr>
              <w:t>工作制度及劳动定员：项目劳动定员25人，</w:t>
            </w:r>
            <w:bookmarkStart w:id="10" w:name="_Hlk82694130"/>
            <w:r>
              <w:rPr>
                <w:sz w:val="24"/>
              </w:rPr>
              <w:t>采用一班制，单班10小时工作制，全年工作日为330天。</w:t>
            </w:r>
          </w:p>
          <w:bookmarkEnd w:id="10"/>
          <w:p>
            <w:pPr>
              <w:spacing w:line="360" w:lineRule="auto"/>
              <w:ind w:firstLine="470" w:firstLineChars="196"/>
              <w:rPr>
                <w:sz w:val="24"/>
              </w:rPr>
            </w:pPr>
            <w:r>
              <w:rPr>
                <w:sz w:val="24"/>
              </w:rPr>
              <w:t>项目总投资：项目总投资3500万元，企业自筹3500万元。</w:t>
            </w:r>
          </w:p>
          <w:p>
            <w:pPr>
              <w:spacing w:line="360" w:lineRule="auto"/>
              <w:ind w:firstLine="470" w:firstLineChars="196"/>
              <w:rPr>
                <w:sz w:val="24"/>
              </w:rPr>
            </w:pPr>
            <w:r>
              <w:rPr>
                <w:sz w:val="24"/>
              </w:rPr>
              <w:t>建设主要内容及规模：</w:t>
            </w:r>
          </w:p>
          <w:p>
            <w:pPr>
              <w:spacing w:line="360" w:lineRule="auto"/>
              <w:ind w:firstLine="470" w:firstLineChars="196"/>
              <w:rPr>
                <w:sz w:val="24"/>
              </w:rPr>
            </w:pPr>
            <w:bookmarkStart w:id="11" w:name="_Hlk57972848"/>
            <w:r>
              <w:rPr>
                <w:sz w:val="24"/>
              </w:rPr>
              <w:t>项目位于乐山市市中区茅桥镇迎阳村乐山市环保发电厂旁，占地约15.2亩，总建筑面积5893.03m</w:t>
            </w:r>
            <w:r>
              <w:rPr>
                <w:sz w:val="24"/>
                <w:vertAlign w:val="superscript"/>
              </w:rPr>
              <w:t>2</w:t>
            </w:r>
            <w:r>
              <w:rPr>
                <w:sz w:val="24"/>
              </w:rPr>
              <w:t>，其中厂房建筑面积约5889.03 m</w:t>
            </w:r>
            <w:r>
              <w:rPr>
                <w:sz w:val="24"/>
                <w:vertAlign w:val="superscript"/>
              </w:rPr>
              <w:t>2</w:t>
            </w:r>
            <w:r>
              <w:rPr>
                <w:sz w:val="24"/>
              </w:rPr>
              <w:t>，门卫室4 m</w:t>
            </w:r>
            <w:r>
              <w:rPr>
                <w:sz w:val="24"/>
                <w:vertAlign w:val="superscript"/>
              </w:rPr>
              <w:t>2</w:t>
            </w:r>
            <w:r>
              <w:rPr>
                <w:sz w:val="24"/>
              </w:rPr>
              <w:t>。同时包含附属工程及绿化等建筑。购置设备：铠装自卸式电磁除铁器，脉冲除尘器，破碎打铁机，跳汰机，有色金属涡电流风选机（跳铝机），破袋整形机，板式给料机，风选机，打包机等约50台。炉渣综合利用生产线投产后炉渣处理能力为1000吨/日。建筑垃圾资源化利用生产线投产后处理能力约为200吨/日。</w:t>
            </w:r>
          </w:p>
          <w:p>
            <w:pPr>
              <w:spacing w:line="360" w:lineRule="auto"/>
              <w:ind w:firstLine="470" w:firstLineChars="196"/>
              <w:rPr>
                <w:sz w:val="24"/>
              </w:rPr>
            </w:pPr>
            <w:r>
              <w:rPr>
                <w:sz w:val="24"/>
              </w:rPr>
              <w:t>（2）产品方案</w:t>
            </w:r>
          </w:p>
          <w:p>
            <w:pPr>
              <w:spacing w:line="360" w:lineRule="auto"/>
              <w:ind w:firstLine="470" w:firstLineChars="196"/>
              <w:rPr>
                <w:sz w:val="24"/>
              </w:rPr>
            </w:pPr>
            <w:r>
              <w:rPr>
                <w:sz w:val="24"/>
              </w:rPr>
              <w:t>项目主要拟新布设一条建筑垃圾资源化利用生产线和一条炉渣综合利用生产线，形成年处理炉渣约14.6万t/a及年处理建筑垃圾约6.6万t/a的处理能力，并配套建设相关设施，项目建成运营主要产品及产能见表2-1：</w:t>
            </w:r>
          </w:p>
          <w:p>
            <w:pPr>
              <w:spacing w:line="500" w:lineRule="exact"/>
              <w:ind w:firstLine="480" w:firstLineChars="200"/>
              <w:jc w:val="center"/>
              <w:rPr>
                <w:snapToGrid w:val="0"/>
                <w:kern w:val="0"/>
                <w:sz w:val="24"/>
              </w:rPr>
            </w:pPr>
            <w:r>
              <w:rPr>
                <w:snapToGrid w:val="0"/>
                <w:kern w:val="0"/>
                <w:sz w:val="24"/>
              </w:rPr>
              <w:t>表2-1  项目产品方案一览表</w:t>
            </w:r>
          </w:p>
          <w:tbl>
            <w:tblPr>
              <w:tblStyle w:val="38"/>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14"/>
              <w:gridCol w:w="2756"/>
              <w:gridCol w:w="905"/>
              <w:gridCol w:w="414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6" w:hRule="atLeast"/>
                <w:jc w:val="center"/>
              </w:trPr>
              <w:tc>
                <w:tcPr>
                  <w:tcW w:w="371" w:type="pct"/>
                  <w:vAlign w:val="center"/>
                </w:tcPr>
                <w:p>
                  <w:pPr>
                    <w:pStyle w:val="120"/>
                    <w:rPr>
                      <w:rFonts w:eastAsia="宋体"/>
                      <w:b/>
                      <w:bCs/>
                      <w:szCs w:val="21"/>
                    </w:rPr>
                  </w:pPr>
                  <w:r>
                    <w:rPr>
                      <w:rFonts w:eastAsia="宋体"/>
                      <w:b/>
                      <w:bCs/>
                      <w:szCs w:val="21"/>
                    </w:rPr>
                    <w:t>序号</w:t>
                  </w:r>
                </w:p>
              </w:tc>
              <w:tc>
                <w:tcPr>
                  <w:tcW w:w="1643" w:type="pct"/>
                  <w:vAlign w:val="center"/>
                </w:tcPr>
                <w:p>
                  <w:pPr>
                    <w:pStyle w:val="120"/>
                    <w:rPr>
                      <w:rFonts w:eastAsia="宋体"/>
                      <w:b/>
                      <w:bCs/>
                      <w:szCs w:val="21"/>
                    </w:rPr>
                  </w:pPr>
                  <w:r>
                    <w:rPr>
                      <w:rFonts w:eastAsia="宋体"/>
                      <w:b/>
                      <w:bCs/>
                      <w:szCs w:val="21"/>
                    </w:rPr>
                    <w:t>产品</w:t>
                  </w:r>
                </w:p>
              </w:tc>
              <w:tc>
                <w:tcPr>
                  <w:tcW w:w="519" w:type="pct"/>
                  <w:vAlign w:val="center"/>
                </w:tcPr>
                <w:p>
                  <w:pPr>
                    <w:pStyle w:val="120"/>
                    <w:rPr>
                      <w:rFonts w:eastAsia="宋体"/>
                      <w:b/>
                      <w:bCs/>
                      <w:szCs w:val="21"/>
                    </w:rPr>
                  </w:pPr>
                  <w:r>
                    <w:rPr>
                      <w:rFonts w:eastAsia="宋体"/>
                      <w:b/>
                      <w:bCs/>
                      <w:szCs w:val="21"/>
                    </w:rPr>
                    <w:t>年产量</w:t>
                  </w:r>
                </w:p>
              </w:tc>
              <w:tc>
                <w:tcPr>
                  <w:tcW w:w="2467" w:type="pct"/>
                  <w:vAlign w:val="center"/>
                </w:tcPr>
                <w:p>
                  <w:pPr>
                    <w:pStyle w:val="120"/>
                    <w:rPr>
                      <w:rFonts w:eastAsia="宋体"/>
                      <w:b/>
                      <w:bCs/>
                      <w:szCs w:val="21"/>
                    </w:rPr>
                  </w:pPr>
                  <w:r>
                    <w:rPr>
                      <w:rFonts w:eastAsia="宋体"/>
                      <w:b/>
                      <w:bCs/>
                      <w:szCs w:val="21"/>
                    </w:rPr>
                    <w:t>备注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6" w:hRule="atLeast"/>
                <w:jc w:val="center"/>
              </w:trPr>
              <w:tc>
                <w:tcPr>
                  <w:tcW w:w="371" w:type="pct"/>
                  <w:vAlign w:val="center"/>
                </w:tcPr>
                <w:p>
                  <w:pPr>
                    <w:pStyle w:val="120"/>
                    <w:rPr>
                      <w:rFonts w:eastAsia="宋体"/>
                      <w:szCs w:val="21"/>
                    </w:rPr>
                  </w:pPr>
                  <w:r>
                    <w:rPr>
                      <w:rFonts w:eastAsia="宋体"/>
                      <w:szCs w:val="21"/>
                    </w:rPr>
                    <w:t>1</w:t>
                  </w:r>
                </w:p>
              </w:tc>
              <w:tc>
                <w:tcPr>
                  <w:tcW w:w="1643" w:type="pct"/>
                  <w:vAlign w:val="center"/>
                </w:tcPr>
                <w:p>
                  <w:pPr>
                    <w:pStyle w:val="120"/>
                    <w:rPr>
                      <w:rFonts w:eastAsia="宋体"/>
                      <w:szCs w:val="21"/>
                    </w:rPr>
                  </w:pPr>
                  <w:r>
                    <w:rPr>
                      <w:rFonts w:eastAsia="宋体"/>
                      <w:szCs w:val="21"/>
                    </w:rPr>
                    <w:t>细骨料（砂）</w:t>
                  </w:r>
                </w:p>
              </w:tc>
              <w:tc>
                <w:tcPr>
                  <w:tcW w:w="519" w:type="pct"/>
                  <w:vAlign w:val="center"/>
                </w:tcPr>
                <w:p>
                  <w:pPr>
                    <w:pStyle w:val="120"/>
                    <w:rPr>
                      <w:rFonts w:eastAsia="宋体"/>
                      <w:szCs w:val="21"/>
                    </w:rPr>
                  </w:pPr>
                  <w:r>
                    <w:rPr>
                      <w:rFonts w:eastAsia="宋体"/>
                      <w:szCs w:val="21"/>
                    </w:rPr>
                    <w:t>105760t</w:t>
                  </w:r>
                </w:p>
              </w:tc>
              <w:tc>
                <w:tcPr>
                  <w:tcW w:w="2467" w:type="pct"/>
                  <w:vAlign w:val="center"/>
                </w:tcPr>
                <w:p>
                  <w:pPr>
                    <w:pStyle w:val="31"/>
                    <w:spacing w:line="240" w:lineRule="auto"/>
                    <w:rPr>
                      <w:szCs w:val="21"/>
                    </w:rPr>
                  </w:pPr>
                  <w:r>
                    <w:rPr>
                      <w:szCs w:val="21"/>
                    </w:rPr>
                    <w:t>0.01～2mm、2～4mm级，外售水泥厂、混凝土砌块砖厂、混凝土搅拌站等处，作为替代河沙、细石骨料使用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6" w:hRule="atLeast"/>
                <w:jc w:val="center"/>
              </w:trPr>
              <w:tc>
                <w:tcPr>
                  <w:tcW w:w="371" w:type="pct"/>
                  <w:vAlign w:val="center"/>
                </w:tcPr>
                <w:p>
                  <w:pPr>
                    <w:pStyle w:val="120"/>
                    <w:rPr>
                      <w:rFonts w:eastAsia="宋体"/>
                      <w:szCs w:val="21"/>
                    </w:rPr>
                  </w:pPr>
                  <w:r>
                    <w:rPr>
                      <w:rFonts w:eastAsia="宋体"/>
                      <w:szCs w:val="21"/>
                    </w:rPr>
                    <w:t>2</w:t>
                  </w:r>
                </w:p>
              </w:tc>
              <w:tc>
                <w:tcPr>
                  <w:tcW w:w="1643" w:type="pct"/>
                  <w:vAlign w:val="center"/>
                </w:tcPr>
                <w:p>
                  <w:pPr>
                    <w:pStyle w:val="120"/>
                    <w:rPr>
                      <w:rFonts w:eastAsia="宋体"/>
                      <w:szCs w:val="21"/>
                    </w:rPr>
                  </w:pPr>
                  <w:r>
                    <w:rPr>
                      <w:rFonts w:eastAsia="宋体"/>
                      <w:szCs w:val="21"/>
                    </w:rPr>
                    <w:t>废旧金属-强磁性金属（铁）</w:t>
                  </w:r>
                </w:p>
              </w:tc>
              <w:tc>
                <w:tcPr>
                  <w:tcW w:w="519" w:type="pct"/>
                  <w:vAlign w:val="center"/>
                </w:tcPr>
                <w:p>
                  <w:pPr>
                    <w:pStyle w:val="120"/>
                    <w:rPr>
                      <w:rFonts w:eastAsia="宋体"/>
                      <w:szCs w:val="21"/>
                    </w:rPr>
                  </w:pPr>
                  <w:r>
                    <w:rPr>
                      <w:rFonts w:eastAsia="宋体"/>
                      <w:szCs w:val="21"/>
                    </w:rPr>
                    <w:t>11096t</w:t>
                  </w:r>
                </w:p>
              </w:tc>
              <w:tc>
                <w:tcPr>
                  <w:tcW w:w="2467" w:type="pct"/>
                  <w:vAlign w:val="center"/>
                </w:tcPr>
                <w:p>
                  <w:pPr>
                    <w:pStyle w:val="120"/>
                    <w:rPr>
                      <w:rFonts w:eastAsia="宋体"/>
                      <w:szCs w:val="21"/>
                    </w:rPr>
                  </w:pPr>
                  <w:r>
                    <w:rPr>
                      <w:rFonts w:eastAsia="宋体"/>
                      <w:szCs w:val="21"/>
                    </w:rPr>
                    <w:t>外售金属回收公司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6" w:hRule="atLeast"/>
                <w:jc w:val="center"/>
              </w:trPr>
              <w:tc>
                <w:tcPr>
                  <w:tcW w:w="371" w:type="pct"/>
                  <w:vAlign w:val="center"/>
                </w:tcPr>
                <w:p>
                  <w:pPr>
                    <w:pStyle w:val="120"/>
                    <w:rPr>
                      <w:rFonts w:eastAsia="宋体"/>
                      <w:szCs w:val="21"/>
                    </w:rPr>
                  </w:pPr>
                  <w:r>
                    <w:rPr>
                      <w:rFonts w:eastAsia="宋体"/>
                      <w:szCs w:val="21"/>
                    </w:rPr>
                    <w:t>3</w:t>
                  </w:r>
                </w:p>
              </w:tc>
              <w:tc>
                <w:tcPr>
                  <w:tcW w:w="1643" w:type="pct"/>
                  <w:vAlign w:val="center"/>
                </w:tcPr>
                <w:p>
                  <w:pPr>
                    <w:pStyle w:val="120"/>
                    <w:rPr>
                      <w:rFonts w:eastAsia="宋体"/>
                      <w:szCs w:val="21"/>
                    </w:rPr>
                  </w:pPr>
                  <w:r>
                    <w:rPr>
                      <w:rFonts w:eastAsia="宋体"/>
                      <w:szCs w:val="21"/>
                    </w:rPr>
                    <w:t>废旧金属-铝</w:t>
                  </w:r>
                </w:p>
              </w:tc>
              <w:tc>
                <w:tcPr>
                  <w:tcW w:w="519" w:type="pct"/>
                  <w:vAlign w:val="center"/>
                </w:tcPr>
                <w:p>
                  <w:pPr>
                    <w:pStyle w:val="120"/>
                    <w:rPr>
                      <w:rFonts w:eastAsia="宋体"/>
                      <w:szCs w:val="21"/>
                    </w:rPr>
                  </w:pPr>
                  <w:r>
                    <w:rPr>
                      <w:rFonts w:eastAsia="宋体"/>
                      <w:szCs w:val="21"/>
                    </w:rPr>
                    <w:t>292t</w:t>
                  </w:r>
                </w:p>
              </w:tc>
              <w:tc>
                <w:tcPr>
                  <w:tcW w:w="2467" w:type="pct"/>
                  <w:vAlign w:val="center"/>
                </w:tcPr>
                <w:p>
                  <w:pPr>
                    <w:pStyle w:val="120"/>
                    <w:rPr>
                      <w:rFonts w:eastAsia="宋体"/>
                      <w:szCs w:val="21"/>
                    </w:rPr>
                  </w:pPr>
                  <w:r>
                    <w:rPr>
                      <w:rFonts w:eastAsia="宋体"/>
                      <w:szCs w:val="21"/>
                    </w:rPr>
                    <w:t>外售金属回收公司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6" w:hRule="atLeast"/>
                <w:jc w:val="center"/>
              </w:trPr>
              <w:tc>
                <w:tcPr>
                  <w:tcW w:w="371" w:type="pct"/>
                  <w:vAlign w:val="center"/>
                </w:tcPr>
                <w:p>
                  <w:pPr>
                    <w:pStyle w:val="120"/>
                    <w:rPr>
                      <w:rFonts w:eastAsia="宋体"/>
                      <w:szCs w:val="21"/>
                    </w:rPr>
                  </w:pPr>
                  <w:r>
                    <w:rPr>
                      <w:rFonts w:eastAsia="宋体"/>
                      <w:szCs w:val="21"/>
                    </w:rPr>
                    <w:t>4</w:t>
                  </w:r>
                </w:p>
              </w:tc>
              <w:tc>
                <w:tcPr>
                  <w:tcW w:w="1643" w:type="pct"/>
                  <w:vAlign w:val="center"/>
                </w:tcPr>
                <w:p>
                  <w:pPr>
                    <w:pStyle w:val="120"/>
                    <w:rPr>
                      <w:rFonts w:eastAsia="宋体"/>
                      <w:szCs w:val="21"/>
                    </w:rPr>
                  </w:pPr>
                  <w:r>
                    <w:rPr>
                      <w:rFonts w:eastAsia="宋体"/>
                      <w:szCs w:val="21"/>
                    </w:rPr>
                    <w:t>废旧金属-金属砂</w:t>
                  </w:r>
                </w:p>
              </w:tc>
              <w:tc>
                <w:tcPr>
                  <w:tcW w:w="519" w:type="pct"/>
                  <w:vAlign w:val="center"/>
                </w:tcPr>
                <w:p>
                  <w:pPr>
                    <w:pStyle w:val="120"/>
                    <w:rPr>
                      <w:rFonts w:eastAsia="宋体"/>
                      <w:szCs w:val="21"/>
                    </w:rPr>
                  </w:pPr>
                  <w:r>
                    <w:rPr>
                      <w:rFonts w:eastAsia="宋体"/>
                      <w:szCs w:val="21"/>
                    </w:rPr>
                    <w:t>292t</w:t>
                  </w:r>
                </w:p>
              </w:tc>
              <w:tc>
                <w:tcPr>
                  <w:tcW w:w="2467" w:type="pct"/>
                  <w:vAlign w:val="center"/>
                </w:tcPr>
                <w:p>
                  <w:pPr>
                    <w:pStyle w:val="120"/>
                    <w:rPr>
                      <w:rFonts w:eastAsia="宋体"/>
                      <w:szCs w:val="21"/>
                    </w:rPr>
                  </w:pPr>
                  <w:r>
                    <w:rPr>
                      <w:rFonts w:eastAsia="宋体"/>
                      <w:szCs w:val="21"/>
                    </w:rPr>
                    <w:t>外售金属回收公司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6" w:hRule="atLeast"/>
                <w:jc w:val="center"/>
              </w:trPr>
              <w:tc>
                <w:tcPr>
                  <w:tcW w:w="371" w:type="pct"/>
                  <w:vAlign w:val="center"/>
                </w:tcPr>
                <w:p>
                  <w:pPr>
                    <w:pStyle w:val="120"/>
                    <w:rPr>
                      <w:rFonts w:eastAsia="宋体"/>
                      <w:szCs w:val="21"/>
                    </w:rPr>
                  </w:pPr>
                  <w:r>
                    <w:rPr>
                      <w:rFonts w:eastAsia="宋体"/>
                      <w:szCs w:val="21"/>
                    </w:rPr>
                    <w:t>5</w:t>
                  </w:r>
                </w:p>
              </w:tc>
              <w:tc>
                <w:tcPr>
                  <w:tcW w:w="1643" w:type="pct"/>
                  <w:vAlign w:val="center"/>
                </w:tcPr>
                <w:p>
                  <w:pPr>
                    <w:pStyle w:val="120"/>
                    <w:rPr>
                      <w:rFonts w:eastAsia="宋体"/>
                      <w:szCs w:val="21"/>
                    </w:rPr>
                  </w:pPr>
                  <w:r>
                    <w:rPr>
                      <w:rFonts w:eastAsia="宋体"/>
                      <w:szCs w:val="21"/>
                    </w:rPr>
                    <w:t>工业黏土（污泥压滤副产品）</w:t>
                  </w:r>
                </w:p>
              </w:tc>
              <w:tc>
                <w:tcPr>
                  <w:tcW w:w="519" w:type="pct"/>
                  <w:vAlign w:val="center"/>
                </w:tcPr>
                <w:p>
                  <w:pPr>
                    <w:pStyle w:val="120"/>
                    <w:rPr>
                      <w:rFonts w:eastAsia="宋体"/>
                      <w:szCs w:val="21"/>
                    </w:rPr>
                  </w:pPr>
                  <w:r>
                    <w:rPr>
                      <w:rFonts w:eastAsia="宋体"/>
                      <w:szCs w:val="21"/>
                    </w:rPr>
                    <w:t>4380</w:t>
                  </w:r>
                </w:p>
              </w:tc>
              <w:tc>
                <w:tcPr>
                  <w:tcW w:w="2467" w:type="pct"/>
                  <w:vAlign w:val="center"/>
                </w:tcPr>
                <w:p>
                  <w:pPr>
                    <w:pStyle w:val="120"/>
                    <w:rPr>
                      <w:rFonts w:eastAsia="宋体"/>
                      <w:szCs w:val="21"/>
                    </w:rPr>
                  </w:pPr>
                  <w:r>
                    <w:rPr>
                      <w:rFonts w:eastAsia="宋体"/>
                      <w:szCs w:val="21"/>
                    </w:rPr>
                    <w:t>外售混凝土砌块砖厂作为制砖辅料使用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6" w:hRule="atLeast"/>
                <w:jc w:val="center"/>
              </w:trPr>
              <w:tc>
                <w:tcPr>
                  <w:tcW w:w="371" w:type="pct"/>
                  <w:vAlign w:val="center"/>
                </w:tcPr>
                <w:p>
                  <w:pPr>
                    <w:pStyle w:val="120"/>
                    <w:rPr>
                      <w:rFonts w:eastAsia="宋体"/>
                      <w:szCs w:val="21"/>
                    </w:rPr>
                  </w:pPr>
                  <w:r>
                    <w:rPr>
                      <w:rFonts w:eastAsia="宋体"/>
                      <w:szCs w:val="21"/>
                    </w:rPr>
                    <w:t>6</w:t>
                  </w:r>
                </w:p>
              </w:tc>
              <w:tc>
                <w:tcPr>
                  <w:tcW w:w="1643" w:type="pct"/>
                  <w:vAlign w:val="center"/>
                </w:tcPr>
                <w:p>
                  <w:pPr>
                    <w:pStyle w:val="120"/>
                    <w:rPr>
                      <w:rFonts w:eastAsia="宋体"/>
                      <w:szCs w:val="21"/>
                    </w:rPr>
                  </w:pPr>
                  <w:r>
                    <w:rPr>
                      <w:rFonts w:eastAsia="宋体"/>
                      <w:szCs w:val="21"/>
                    </w:rPr>
                    <w:t>骨料（沙）</w:t>
                  </w:r>
                </w:p>
              </w:tc>
              <w:tc>
                <w:tcPr>
                  <w:tcW w:w="519" w:type="pct"/>
                  <w:vAlign w:val="center"/>
                </w:tcPr>
                <w:p>
                  <w:pPr>
                    <w:pStyle w:val="120"/>
                    <w:rPr>
                      <w:rFonts w:eastAsia="宋体"/>
                      <w:szCs w:val="21"/>
                    </w:rPr>
                  </w:pPr>
                  <w:r>
                    <w:rPr>
                      <w:rFonts w:eastAsia="宋体"/>
                      <w:szCs w:val="21"/>
                    </w:rPr>
                    <w:t>32900</w:t>
                  </w:r>
                </w:p>
              </w:tc>
              <w:tc>
                <w:tcPr>
                  <w:tcW w:w="2467" w:type="pct"/>
                  <w:vAlign w:val="center"/>
                </w:tcPr>
                <w:p>
                  <w:pPr>
                    <w:pStyle w:val="120"/>
                    <w:rPr>
                      <w:rFonts w:eastAsia="宋体"/>
                      <w:szCs w:val="21"/>
                    </w:rPr>
                  </w:pPr>
                  <w:r>
                    <w:rPr>
                      <w:rFonts w:eastAsia="宋体"/>
                      <w:szCs w:val="21"/>
                    </w:rPr>
                    <w:t>0～5mm、0～10mm级，外售建材公司综合利用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96" w:hRule="atLeast"/>
                <w:jc w:val="center"/>
              </w:trPr>
              <w:tc>
                <w:tcPr>
                  <w:tcW w:w="371" w:type="pct"/>
                  <w:vAlign w:val="center"/>
                </w:tcPr>
                <w:p>
                  <w:pPr>
                    <w:pStyle w:val="120"/>
                    <w:rPr>
                      <w:rFonts w:eastAsia="宋体"/>
                      <w:szCs w:val="21"/>
                    </w:rPr>
                  </w:pPr>
                  <w:r>
                    <w:rPr>
                      <w:rFonts w:eastAsia="宋体"/>
                      <w:szCs w:val="21"/>
                    </w:rPr>
                    <w:t>7</w:t>
                  </w:r>
                </w:p>
              </w:tc>
              <w:tc>
                <w:tcPr>
                  <w:tcW w:w="1643" w:type="pct"/>
                  <w:vAlign w:val="center"/>
                </w:tcPr>
                <w:p>
                  <w:pPr>
                    <w:pStyle w:val="120"/>
                    <w:rPr>
                      <w:rFonts w:eastAsia="宋体"/>
                      <w:szCs w:val="21"/>
                    </w:rPr>
                  </w:pPr>
                  <w:r>
                    <w:rPr>
                      <w:rFonts w:eastAsia="宋体"/>
                      <w:szCs w:val="21"/>
                    </w:rPr>
                    <w:t>石粉料</w:t>
                  </w:r>
                </w:p>
              </w:tc>
              <w:tc>
                <w:tcPr>
                  <w:tcW w:w="519" w:type="pct"/>
                  <w:vAlign w:val="center"/>
                </w:tcPr>
                <w:p>
                  <w:pPr>
                    <w:pStyle w:val="120"/>
                    <w:rPr>
                      <w:rFonts w:eastAsia="宋体"/>
                      <w:szCs w:val="21"/>
                    </w:rPr>
                  </w:pPr>
                  <w:r>
                    <w:rPr>
                      <w:rFonts w:eastAsia="宋体"/>
                      <w:szCs w:val="21"/>
                    </w:rPr>
                    <w:t>32900</w:t>
                  </w:r>
                </w:p>
              </w:tc>
              <w:tc>
                <w:tcPr>
                  <w:tcW w:w="2467" w:type="pct"/>
                  <w:vAlign w:val="center"/>
                </w:tcPr>
                <w:p>
                  <w:pPr>
                    <w:pStyle w:val="120"/>
                    <w:rPr>
                      <w:rFonts w:eastAsia="宋体"/>
                      <w:szCs w:val="21"/>
                    </w:rPr>
                  </w:pPr>
                  <w:r>
                    <w:rPr>
                      <w:rFonts w:eastAsia="宋体"/>
                      <w:szCs w:val="21"/>
                    </w:rPr>
                    <w:t>外售建材公司综合利用</w:t>
                  </w:r>
                </w:p>
              </w:tc>
            </w:tr>
          </w:tbl>
          <w:p>
            <w:pPr>
              <w:spacing w:line="360" w:lineRule="auto"/>
              <w:ind w:firstLine="470" w:firstLineChars="196"/>
              <w:rPr>
                <w:sz w:val="24"/>
              </w:rPr>
            </w:pPr>
            <w:r>
              <w:rPr>
                <w:bCs/>
                <w:sz w:val="24"/>
              </w:rPr>
              <w:t>（3）项目组成及主要环境问题</w:t>
            </w:r>
          </w:p>
          <w:p>
            <w:pPr>
              <w:spacing w:line="360" w:lineRule="auto"/>
              <w:ind w:firstLine="470" w:firstLineChars="196"/>
              <w:rPr>
                <w:sz w:val="24"/>
              </w:rPr>
            </w:pPr>
            <w:r>
              <w:rPr>
                <w:sz w:val="24"/>
              </w:rPr>
              <w:t>本项目主要为固体废物治理项目，建设内容分为主体工程、辅助工程、公用工程、办公及生活设施、仓储及环保措施。本项目组成及主要环境问题详见表2-2。</w:t>
            </w:r>
          </w:p>
          <w:p>
            <w:pPr>
              <w:widowControl/>
              <w:adjustRightInd w:val="0"/>
              <w:snapToGrid w:val="0"/>
              <w:spacing w:line="480" w:lineRule="exact"/>
              <w:ind w:right="106" w:rightChars="44"/>
              <w:jc w:val="center"/>
              <w:rPr>
                <w:snapToGrid w:val="0"/>
                <w:kern w:val="0"/>
                <w:sz w:val="24"/>
              </w:rPr>
            </w:pPr>
            <w:r>
              <w:rPr>
                <w:snapToGrid w:val="0"/>
                <w:kern w:val="0"/>
                <w:sz w:val="24"/>
              </w:rPr>
              <w:t>表2-2 项目组成及主要环境问题一览表</w:t>
            </w:r>
          </w:p>
          <w:tbl>
            <w:tblPr>
              <w:tblStyle w:val="38"/>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521"/>
              <w:gridCol w:w="936"/>
              <w:gridCol w:w="763"/>
              <w:gridCol w:w="3653"/>
              <w:gridCol w:w="780"/>
              <w:gridCol w:w="884"/>
              <w:gridCol w:w="881"/>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310" w:type="pct"/>
                  <w:vMerge w:val="restart"/>
                  <w:vAlign w:val="center"/>
                </w:tcPr>
                <w:p>
                  <w:pPr>
                    <w:jc w:val="center"/>
                    <w:rPr>
                      <w:b/>
                      <w:szCs w:val="21"/>
                    </w:rPr>
                  </w:pPr>
                  <w:r>
                    <w:rPr>
                      <w:b/>
                      <w:szCs w:val="21"/>
                    </w:rPr>
                    <w:t>分类</w:t>
                  </w:r>
                </w:p>
              </w:tc>
              <w:tc>
                <w:tcPr>
                  <w:tcW w:w="556" w:type="pct"/>
                  <w:vMerge w:val="restart"/>
                  <w:vAlign w:val="center"/>
                </w:tcPr>
                <w:p>
                  <w:pPr>
                    <w:jc w:val="center"/>
                    <w:rPr>
                      <w:b/>
                      <w:szCs w:val="21"/>
                    </w:rPr>
                  </w:pPr>
                  <w:r>
                    <w:rPr>
                      <w:b/>
                      <w:szCs w:val="21"/>
                    </w:rPr>
                    <w:t>项目组成</w:t>
                  </w:r>
                </w:p>
              </w:tc>
              <w:tc>
                <w:tcPr>
                  <w:tcW w:w="2623" w:type="pct"/>
                  <w:gridSpan w:val="2"/>
                  <w:vMerge w:val="restart"/>
                  <w:vAlign w:val="center"/>
                </w:tcPr>
                <w:p>
                  <w:pPr>
                    <w:jc w:val="center"/>
                    <w:rPr>
                      <w:b/>
                      <w:szCs w:val="21"/>
                    </w:rPr>
                  </w:pPr>
                  <w:r>
                    <w:rPr>
                      <w:b/>
                      <w:szCs w:val="21"/>
                    </w:rPr>
                    <w:t>工程内容及规模</w:t>
                  </w:r>
                </w:p>
              </w:tc>
              <w:tc>
                <w:tcPr>
                  <w:tcW w:w="463" w:type="pct"/>
                  <w:vMerge w:val="restart"/>
                  <w:vAlign w:val="center"/>
                </w:tcPr>
                <w:p>
                  <w:pPr>
                    <w:jc w:val="center"/>
                    <w:rPr>
                      <w:b/>
                      <w:szCs w:val="21"/>
                    </w:rPr>
                  </w:pPr>
                  <w:r>
                    <w:rPr>
                      <w:b/>
                      <w:szCs w:val="21"/>
                    </w:rPr>
                    <w:t>性质</w:t>
                  </w:r>
                </w:p>
              </w:tc>
              <w:tc>
                <w:tcPr>
                  <w:tcW w:w="1049" w:type="pct"/>
                  <w:gridSpan w:val="2"/>
                  <w:vAlign w:val="center"/>
                </w:tcPr>
                <w:p>
                  <w:pPr>
                    <w:ind w:left="-120" w:leftChars="-50" w:right="-120" w:rightChars="-50"/>
                    <w:jc w:val="center"/>
                    <w:rPr>
                      <w:b/>
                      <w:szCs w:val="21"/>
                    </w:rPr>
                  </w:pPr>
                  <w:r>
                    <w:rPr>
                      <w:b/>
                      <w:szCs w:val="21"/>
                    </w:rPr>
                    <w:t>可能产生的环境问题</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310" w:type="pct"/>
                  <w:vMerge w:val="continue"/>
                  <w:vAlign w:val="center"/>
                </w:tcPr>
                <w:p>
                  <w:pPr>
                    <w:jc w:val="center"/>
                    <w:rPr>
                      <w:b/>
                      <w:szCs w:val="21"/>
                    </w:rPr>
                  </w:pPr>
                </w:p>
              </w:tc>
              <w:tc>
                <w:tcPr>
                  <w:tcW w:w="556" w:type="pct"/>
                  <w:vMerge w:val="continue"/>
                  <w:vAlign w:val="center"/>
                </w:tcPr>
                <w:p>
                  <w:pPr>
                    <w:jc w:val="center"/>
                    <w:rPr>
                      <w:b/>
                      <w:szCs w:val="21"/>
                    </w:rPr>
                  </w:pPr>
                </w:p>
              </w:tc>
              <w:tc>
                <w:tcPr>
                  <w:tcW w:w="2623" w:type="pct"/>
                  <w:gridSpan w:val="2"/>
                  <w:vMerge w:val="continue"/>
                  <w:vAlign w:val="center"/>
                </w:tcPr>
                <w:p>
                  <w:pPr>
                    <w:jc w:val="center"/>
                    <w:rPr>
                      <w:b/>
                      <w:szCs w:val="21"/>
                    </w:rPr>
                  </w:pPr>
                </w:p>
              </w:tc>
              <w:tc>
                <w:tcPr>
                  <w:tcW w:w="463" w:type="pct"/>
                  <w:vMerge w:val="continue"/>
                  <w:vAlign w:val="center"/>
                </w:tcPr>
                <w:p>
                  <w:pPr>
                    <w:jc w:val="center"/>
                    <w:rPr>
                      <w:b/>
                      <w:szCs w:val="21"/>
                    </w:rPr>
                  </w:pPr>
                </w:p>
              </w:tc>
              <w:tc>
                <w:tcPr>
                  <w:tcW w:w="525" w:type="pct"/>
                  <w:vAlign w:val="center"/>
                </w:tcPr>
                <w:p>
                  <w:pPr>
                    <w:jc w:val="center"/>
                    <w:rPr>
                      <w:b/>
                      <w:szCs w:val="21"/>
                    </w:rPr>
                  </w:pPr>
                  <w:r>
                    <w:rPr>
                      <w:b/>
                      <w:szCs w:val="21"/>
                    </w:rPr>
                    <w:t>施工期</w:t>
                  </w:r>
                </w:p>
              </w:tc>
              <w:tc>
                <w:tcPr>
                  <w:tcW w:w="524" w:type="pct"/>
                  <w:vAlign w:val="center"/>
                </w:tcPr>
                <w:p>
                  <w:pPr>
                    <w:jc w:val="center"/>
                    <w:rPr>
                      <w:b/>
                      <w:szCs w:val="21"/>
                    </w:rPr>
                  </w:pPr>
                  <w:r>
                    <w:rPr>
                      <w:b/>
                      <w:szCs w:val="21"/>
                    </w:rPr>
                    <w:t>营运期</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310" w:type="pct"/>
                  <w:vAlign w:val="center"/>
                </w:tcPr>
                <w:p>
                  <w:pPr>
                    <w:jc w:val="center"/>
                    <w:rPr>
                      <w:szCs w:val="21"/>
                    </w:rPr>
                  </w:pPr>
                  <w:r>
                    <w:rPr>
                      <w:szCs w:val="21"/>
                    </w:rPr>
                    <w:t>主体工程</w:t>
                  </w:r>
                </w:p>
              </w:tc>
              <w:tc>
                <w:tcPr>
                  <w:tcW w:w="556" w:type="pct"/>
                  <w:vAlign w:val="center"/>
                </w:tcPr>
                <w:p>
                  <w:pPr>
                    <w:jc w:val="center"/>
                    <w:rPr>
                      <w:szCs w:val="21"/>
                    </w:rPr>
                  </w:pPr>
                  <w:r>
                    <w:rPr>
                      <w:szCs w:val="21"/>
                    </w:rPr>
                    <w:t>生产车间</w:t>
                  </w:r>
                </w:p>
              </w:tc>
              <w:tc>
                <w:tcPr>
                  <w:tcW w:w="2623" w:type="pct"/>
                  <w:gridSpan w:val="2"/>
                  <w:vAlign w:val="center"/>
                </w:tcPr>
                <w:p>
                  <w:pPr>
                    <w:topLinePunct/>
                    <w:adjustRightInd w:val="0"/>
                    <w:snapToGrid w:val="0"/>
                  </w:pPr>
                  <w:r>
                    <w:rPr>
                      <w:szCs w:val="21"/>
                    </w:rPr>
                    <w:t>项目于厂区中央布设综合生产车间1座，建筑面积约6000</w:t>
                  </w:r>
                  <w:r>
                    <w:t>m</w:t>
                  </w:r>
                  <w:r>
                    <w:rPr>
                      <w:vertAlign w:val="superscript"/>
                    </w:rPr>
                    <w:t>2</w:t>
                  </w:r>
                  <w:r>
                    <w:t>。主要规划有一条建筑垃圾资源化利用生产线和一条炉渣综合利用生产线，主要布设喂料机、破碎机、湿选机、跳汰机、筛分机、跳铝机、摇床、脱水筛、电磁除铁器、升降机等主要生产设施及其他配套附属设施等。</w:t>
                  </w:r>
                </w:p>
              </w:tc>
              <w:tc>
                <w:tcPr>
                  <w:tcW w:w="463" w:type="pct"/>
                  <w:vAlign w:val="center"/>
                </w:tcPr>
                <w:p>
                  <w:pPr>
                    <w:jc w:val="center"/>
                    <w:rPr>
                      <w:szCs w:val="21"/>
                    </w:rPr>
                  </w:pPr>
                  <w:r>
                    <w:rPr>
                      <w:szCs w:val="21"/>
                    </w:rPr>
                    <w:t>新建</w:t>
                  </w:r>
                </w:p>
              </w:tc>
              <w:tc>
                <w:tcPr>
                  <w:tcW w:w="525" w:type="pct"/>
                  <w:vMerge w:val="restart"/>
                  <w:vAlign w:val="center"/>
                </w:tcPr>
                <w:p>
                  <w:pPr>
                    <w:jc w:val="center"/>
                    <w:rPr>
                      <w:szCs w:val="21"/>
                    </w:rPr>
                  </w:pPr>
                  <w:r>
                    <w:rPr>
                      <w:szCs w:val="21"/>
                    </w:rPr>
                    <w:t>噪声、废气、废水、生活垃圾、施工固废</w:t>
                  </w:r>
                </w:p>
              </w:tc>
              <w:tc>
                <w:tcPr>
                  <w:tcW w:w="524" w:type="pct"/>
                  <w:vAlign w:val="center"/>
                </w:tcPr>
                <w:p>
                  <w:pPr>
                    <w:jc w:val="center"/>
                    <w:rPr>
                      <w:szCs w:val="21"/>
                    </w:rPr>
                  </w:pPr>
                  <w:r>
                    <w:rPr>
                      <w:szCs w:val="21"/>
                    </w:rPr>
                    <w:t>噪声、废气、固废、废水、风险等</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52" w:hRule="atLeast"/>
                <w:jc w:val="center"/>
              </w:trPr>
              <w:tc>
                <w:tcPr>
                  <w:tcW w:w="310" w:type="pct"/>
                  <w:vMerge w:val="restart"/>
                  <w:vAlign w:val="center"/>
                </w:tcPr>
                <w:p>
                  <w:pPr>
                    <w:jc w:val="center"/>
                    <w:rPr>
                      <w:szCs w:val="21"/>
                    </w:rPr>
                  </w:pPr>
                  <w:r>
                    <w:rPr>
                      <w:szCs w:val="21"/>
                    </w:rPr>
                    <w:t>公用工程</w:t>
                  </w:r>
                </w:p>
              </w:tc>
              <w:tc>
                <w:tcPr>
                  <w:tcW w:w="556" w:type="pct"/>
                  <w:vAlign w:val="center"/>
                </w:tcPr>
                <w:p>
                  <w:pPr>
                    <w:jc w:val="center"/>
                    <w:rPr>
                      <w:szCs w:val="21"/>
                    </w:rPr>
                  </w:pPr>
                  <w:r>
                    <w:rPr>
                      <w:szCs w:val="21"/>
                    </w:rPr>
                    <w:t>供电</w:t>
                  </w:r>
                </w:p>
              </w:tc>
              <w:tc>
                <w:tcPr>
                  <w:tcW w:w="2623" w:type="pct"/>
                  <w:gridSpan w:val="2"/>
                  <w:vAlign w:val="center"/>
                </w:tcPr>
                <w:p>
                  <w:pPr>
                    <w:rPr>
                      <w:szCs w:val="21"/>
                    </w:rPr>
                  </w:pPr>
                  <w:r>
                    <w:rPr>
                      <w:szCs w:val="21"/>
                    </w:rPr>
                    <w:t>市政电网供应</w:t>
                  </w:r>
                </w:p>
              </w:tc>
              <w:tc>
                <w:tcPr>
                  <w:tcW w:w="463" w:type="pct"/>
                  <w:vAlign w:val="center"/>
                </w:tcPr>
                <w:p>
                  <w:pPr>
                    <w:jc w:val="center"/>
                    <w:rPr>
                      <w:szCs w:val="21"/>
                    </w:rPr>
                  </w:pPr>
                  <w:r>
                    <w:rPr>
                      <w:szCs w:val="21"/>
                    </w:rPr>
                    <w:t>新建</w:t>
                  </w:r>
                </w:p>
              </w:tc>
              <w:tc>
                <w:tcPr>
                  <w:tcW w:w="525" w:type="pct"/>
                  <w:vMerge w:val="continue"/>
                  <w:vAlign w:val="center"/>
                </w:tcPr>
                <w:p>
                  <w:pPr>
                    <w:jc w:val="center"/>
                    <w:rPr>
                      <w:szCs w:val="21"/>
                    </w:rPr>
                  </w:pPr>
                </w:p>
              </w:tc>
              <w:tc>
                <w:tcPr>
                  <w:tcW w:w="524" w:type="pct"/>
                  <w:vAlign w:val="center"/>
                </w:tcPr>
                <w:p>
                  <w:pPr>
                    <w:jc w:val="center"/>
                    <w:rPr>
                      <w:szCs w:val="21"/>
                    </w:rPr>
                  </w:pPr>
                  <w:r>
                    <w:rPr>
                      <w:szCs w:val="21"/>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4" w:hRule="atLeast"/>
                <w:jc w:val="center"/>
              </w:trPr>
              <w:tc>
                <w:tcPr>
                  <w:tcW w:w="310" w:type="pct"/>
                  <w:vMerge w:val="continue"/>
                  <w:vAlign w:val="center"/>
                </w:tcPr>
                <w:p>
                  <w:pPr>
                    <w:jc w:val="center"/>
                    <w:rPr>
                      <w:szCs w:val="21"/>
                    </w:rPr>
                  </w:pPr>
                </w:p>
              </w:tc>
              <w:tc>
                <w:tcPr>
                  <w:tcW w:w="556" w:type="pct"/>
                  <w:vAlign w:val="center"/>
                </w:tcPr>
                <w:p>
                  <w:pPr>
                    <w:jc w:val="center"/>
                    <w:rPr>
                      <w:szCs w:val="21"/>
                    </w:rPr>
                  </w:pPr>
                  <w:r>
                    <w:rPr>
                      <w:szCs w:val="21"/>
                    </w:rPr>
                    <w:t>供水</w:t>
                  </w:r>
                </w:p>
              </w:tc>
              <w:tc>
                <w:tcPr>
                  <w:tcW w:w="2623" w:type="pct"/>
                  <w:gridSpan w:val="2"/>
                  <w:vAlign w:val="center"/>
                </w:tcPr>
                <w:p>
                  <w:pPr>
                    <w:jc w:val="left"/>
                    <w:rPr>
                      <w:szCs w:val="21"/>
                    </w:rPr>
                  </w:pPr>
                  <w:r>
                    <w:rPr>
                      <w:szCs w:val="21"/>
                    </w:rPr>
                    <w:t>供水取自市政水网；厂区排水实行雨污分流。</w:t>
                  </w:r>
                </w:p>
              </w:tc>
              <w:tc>
                <w:tcPr>
                  <w:tcW w:w="463" w:type="pct"/>
                  <w:vAlign w:val="center"/>
                </w:tcPr>
                <w:p>
                  <w:pPr>
                    <w:jc w:val="center"/>
                    <w:rPr>
                      <w:szCs w:val="21"/>
                    </w:rPr>
                  </w:pPr>
                  <w:r>
                    <w:rPr>
                      <w:szCs w:val="21"/>
                    </w:rPr>
                    <w:t>新建</w:t>
                  </w:r>
                </w:p>
              </w:tc>
              <w:tc>
                <w:tcPr>
                  <w:tcW w:w="525" w:type="pct"/>
                  <w:vMerge w:val="continue"/>
                  <w:vAlign w:val="center"/>
                </w:tcPr>
                <w:p>
                  <w:pPr>
                    <w:jc w:val="center"/>
                    <w:rPr>
                      <w:szCs w:val="21"/>
                    </w:rPr>
                  </w:pPr>
                </w:p>
              </w:tc>
              <w:tc>
                <w:tcPr>
                  <w:tcW w:w="524" w:type="pct"/>
                  <w:vAlign w:val="center"/>
                </w:tcPr>
                <w:p>
                  <w:pPr>
                    <w:jc w:val="center"/>
                    <w:rPr>
                      <w:szCs w:val="21"/>
                    </w:rPr>
                  </w:pPr>
                  <w:r>
                    <w:rPr>
                      <w:szCs w:val="21"/>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578" w:hRule="atLeast"/>
                <w:jc w:val="center"/>
              </w:trPr>
              <w:tc>
                <w:tcPr>
                  <w:tcW w:w="310" w:type="pct"/>
                  <w:vMerge w:val="continue"/>
                  <w:vAlign w:val="center"/>
                </w:tcPr>
                <w:p>
                  <w:pPr>
                    <w:jc w:val="center"/>
                    <w:rPr>
                      <w:szCs w:val="21"/>
                    </w:rPr>
                  </w:pPr>
                </w:p>
              </w:tc>
              <w:tc>
                <w:tcPr>
                  <w:tcW w:w="556" w:type="pct"/>
                  <w:vAlign w:val="center"/>
                </w:tcPr>
                <w:p>
                  <w:pPr>
                    <w:jc w:val="center"/>
                    <w:rPr>
                      <w:szCs w:val="21"/>
                    </w:rPr>
                  </w:pPr>
                  <w:r>
                    <w:rPr>
                      <w:szCs w:val="21"/>
                    </w:rPr>
                    <w:t>消防设施</w:t>
                  </w:r>
                </w:p>
              </w:tc>
              <w:tc>
                <w:tcPr>
                  <w:tcW w:w="2623" w:type="pct"/>
                  <w:gridSpan w:val="2"/>
                  <w:vAlign w:val="center"/>
                </w:tcPr>
                <w:p>
                  <w:pPr>
                    <w:jc w:val="left"/>
                    <w:rPr>
                      <w:iCs/>
                      <w:szCs w:val="21"/>
                    </w:rPr>
                  </w:pPr>
                  <w:r>
                    <w:rPr>
                      <w:iCs/>
                      <w:szCs w:val="21"/>
                    </w:rPr>
                    <w:t>消防栓及火灾自动报警装置、灭火器、消防通道，按消防部门规定执行。</w:t>
                  </w:r>
                </w:p>
              </w:tc>
              <w:tc>
                <w:tcPr>
                  <w:tcW w:w="463" w:type="pct"/>
                  <w:vAlign w:val="center"/>
                </w:tcPr>
                <w:p>
                  <w:pPr>
                    <w:jc w:val="center"/>
                    <w:rPr>
                      <w:szCs w:val="21"/>
                    </w:rPr>
                  </w:pPr>
                  <w:r>
                    <w:rPr>
                      <w:szCs w:val="21"/>
                    </w:rPr>
                    <w:t>新建</w:t>
                  </w:r>
                </w:p>
              </w:tc>
              <w:tc>
                <w:tcPr>
                  <w:tcW w:w="525" w:type="pct"/>
                  <w:vMerge w:val="continue"/>
                  <w:vAlign w:val="center"/>
                </w:tcPr>
                <w:p>
                  <w:pPr>
                    <w:jc w:val="center"/>
                    <w:rPr>
                      <w:szCs w:val="21"/>
                    </w:rPr>
                  </w:pPr>
                </w:p>
              </w:tc>
              <w:tc>
                <w:tcPr>
                  <w:tcW w:w="524" w:type="pct"/>
                  <w:vAlign w:val="center"/>
                </w:tcPr>
                <w:p>
                  <w:pPr>
                    <w:jc w:val="center"/>
                    <w:rPr>
                      <w:szCs w:val="21"/>
                    </w:rPr>
                  </w:pPr>
                  <w:r>
                    <w:rPr>
                      <w:szCs w:val="21"/>
                    </w:rPr>
                    <w:t>环境风险</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310" w:type="pct"/>
                  <w:vMerge w:val="restart"/>
                  <w:vAlign w:val="center"/>
                </w:tcPr>
                <w:p>
                  <w:pPr>
                    <w:ind w:left="-120" w:leftChars="-50" w:right="-120" w:rightChars="-50"/>
                    <w:jc w:val="center"/>
                    <w:rPr>
                      <w:szCs w:val="21"/>
                    </w:rPr>
                  </w:pPr>
                  <w:r>
                    <w:rPr>
                      <w:szCs w:val="21"/>
                    </w:rPr>
                    <w:t>仓储系统</w:t>
                  </w:r>
                </w:p>
              </w:tc>
              <w:tc>
                <w:tcPr>
                  <w:tcW w:w="556" w:type="pct"/>
                  <w:vAlign w:val="center"/>
                </w:tcPr>
                <w:p>
                  <w:pPr>
                    <w:jc w:val="center"/>
                    <w:rPr>
                      <w:szCs w:val="21"/>
                    </w:rPr>
                  </w:pPr>
                  <w:r>
                    <w:rPr>
                      <w:szCs w:val="21"/>
                    </w:rPr>
                    <w:t>原料堆场</w:t>
                  </w:r>
                </w:p>
              </w:tc>
              <w:tc>
                <w:tcPr>
                  <w:tcW w:w="2623" w:type="pct"/>
                  <w:gridSpan w:val="2"/>
                  <w:vAlign w:val="center"/>
                </w:tcPr>
                <w:p>
                  <w:pPr>
                    <w:rPr>
                      <w:szCs w:val="21"/>
                    </w:rPr>
                  </w:pPr>
                  <w:r>
                    <w:rPr>
                      <w:szCs w:val="21"/>
                    </w:rPr>
                    <w:t>项目生产车间西北侧设置为原料堆场，用于原料炉渣及建筑垃圾临时分类堆存</w:t>
                  </w:r>
                </w:p>
              </w:tc>
              <w:tc>
                <w:tcPr>
                  <w:tcW w:w="463" w:type="pct"/>
                  <w:vAlign w:val="center"/>
                </w:tcPr>
                <w:p>
                  <w:pPr>
                    <w:jc w:val="center"/>
                    <w:rPr>
                      <w:szCs w:val="21"/>
                    </w:rPr>
                  </w:pPr>
                  <w:r>
                    <w:rPr>
                      <w:szCs w:val="21"/>
                    </w:rPr>
                    <w:t>新建</w:t>
                  </w:r>
                </w:p>
              </w:tc>
              <w:tc>
                <w:tcPr>
                  <w:tcW w:w="525" w:type="pct"/>
                  <w:vMerge w:val="continue"/>
                  <w:vAlign w:val="center"/>
                </w:tcPr>
                <w:p>
                  <w:pPr>
                    <w:jc w:val="center"/>
                    <w:rPr>
                      <w:szCs w:val="21"/>
                    </w:rPr>
                  </w:pPr>
                </w:p>
              </w:tc>
              <w:tc>
                <w:tcPr>
                  <w:tcW w:w="524" w:type="pct"/>
                  <w:vAlign w:val="center"/>
                </w:tcPr>
                <w:p>
                  <w:pPr>
                    <w:jc w:val="center"/>
                    <w:rPr>
                      <w:szCs w:val="21"/>
                    </w:rPr>
                  </w:pPr>
                  <w:r>
                    <w:rPr>
                      <w:szCs w:val="21"/>
                    </w:rPr>
                    <w:t>固废、噪声</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310" w:type="pct"/>
                  <w:vMerge w:val="continue"/>
                  <w:vAlign w:val="center"/>
                </w:tcPr>
                <w:p>
                  <w:pPr>
                    <w:ind w:left="-120" w:leftChars="-50" w:right="-120" w:rightChars="-50"/>
                    <w:jc w:val="center"/>
                    <w:rPr>
                      <w:szCs w:val="21"/>
                    </w:rPr>
                  </w:pPr>
                </w:p>
              </w:tc>
              <w:tc>
                <w:tcPr>
                  <w:tcW w:w="556" w:type="pct"/>
                  <w:vAlign w:val="center"/>
                </w:tcPr>
                <w:p>
                  <w:pPr>
                    <w:jc w:val="center"/>
                    <w:rPr>
                      <w:szCs w:val="21"/>
                    </w:rPr>
                  </w:pPr>
                  <w:r>
                    <w:rPr>
                      <w:szCs w:val="21"/>
                    </w:rPr>
                    <w:t>成品堆场</w:t>
                  </w:r>
                </w:p>
              </w:tc>
              <w:tc>
                <w:tcPr>
                  <w:tcW w:w="2623" w:type="pct"/>
                  <w:gridSpan w:val="2"/>
                  <w:vAlign w:val="center"/>
                </w:tcPr>
                <w:p>
                  <w:pPr>
                    <w:rPr>
                      <w:szCs w:val="21"/>
                    </w:rPr>
                  </w:pPr>
                  <w:r>
                    <w:rPr>
                      <w:szCs w:val="21"/>
                    </w:rPr>
                    <w:t>项目生产车间东南侧设置为成品堆场，用于成品临时分类堆存</w:t>
                  </w:r>
                </w:p>
              </w:tc>
              <w:tc>
                <w:tcPr>
                  <w:tcW w:w="463" w:type="pct"/>
                  <w:vAlign w:val="center"/>
                </w:tcPr>
                <w:p>
                  <w:pPr>
                    <w:jc w:val="center"/>
                    <w:rPr>
                      <w:szCs w:val="21"/>
                    </w:rPr>
                  </w:pPr>
                  <w:r>
                    <w:rPr>
                      <w:szCs w:val="21"/>
                    </w:rPr>
                    <w:t>新建</w:t>
                  </w:r>
                </w:p>
              </w:tc>
              <w:tc>
                <w:tcPr>
                  <w:tcW w:w="525" w:type="pct"/>
                  <w:vMerge w:val="continue"/>
                  <w:vAlign w:val="center"/>
                </w:tcPr>
                <w:p>
                  <w:pPr>
                    <w:jc w:val="center"/>
                    <w:rPr>
                      <w:szCs w:val="21"/>
                    </w:rPr>
                  </w:pPr>
                </w:p>
              </w:tc>
              <w:tc>
                <w:tcPr>
                  <w:tcW w:w="524" w:type="pct"/>
                  <w:vAlign w:val="center"/>
                </w:tcPr>
                <w:p>
                  <w:pPr>
                    <w:jc w:val="center"/>
                    <w:rPr>
                      <w:szCs w:val="21"/>
                    </w:rPr>
                  </w:pPr>
                  <w:r>
                    <w:rPr>
                      <w:szCs w:val="21"/>
                    </w:rPr>
                    <w:t>固废、噪声</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310" w:type="pct"/>
                  <w:vMerge w:val="restart"/>
                  <w:vAlign w:val="center"/>
                </w:tcPr>
                <w:p>
                  <w:pPr>
                    <w:ind w:left="-120" w:leftChars="-50" w:right="-120" w:rightChars="-50"/>
                    <w:jc w:val="center"/>
                    <w:rPr>
                      <w:szCs w:val="21"/>
                    </w:rPr>
                  </w:pPr>
                  <w:r>
                    <w:rPr>
                      <w:szCs w:val="21"/>
                    </w:rPr>
                    <w:t>环保措施</w:t>
                  </w:r>
                </w:p>
              </w:tc>
              <w:tc>
                <w:tcPr>
                  <w:tcW w:w="556" w:type="pct"/>
                  <w:vMerge w:val="restart"/>
                  <w:vAlign w:val="center"/>
                </w:tcPr>
                <w:p>
                  <w:pPr>
                    <w:jc w:val="center"/>
                    <w:rPr>
                      <w:szCs w:val="21"/>
                    </w:rPr>
                  </w:pPr>
                  <w:r>
                    <w:rPr>
                      <w:szCs w:val="21"/>
                    </w:rPr>
                    <w:t>废水</w:t>
                  </w:r>
                </w:p>
              </w:tc>
              <w:tc>
                <w:tcPr>
                  <w:tcW w:w="453" w:type="pct"/>
                  <w:vAlign w:val="center"/>
                </w:tcPr>
                <w:p>
                  <w:pPr>
                    <w:jc w:val="center"/>
                    <w:rPr>
                      <w:szCs w:val="21"/>
                    </w:rPr>
                  </w:pPr>
                  <w:r>
                    <w:rPr>
                      <w:szCs w:val="21"/>
                    </w:rPr>
                    <w:t>生活废水</w:t>
                  </w:r>
                </w:p>
              </w:tc>
              <w:tc>
                <w:tcPr>
                  <w:tcW w:w="2170" w:type="pct"/>
                  <w:vAlign w:val="center"/>
                </w:tcPr>
                <w:p>
                  <w:pPr>
                    <w:rPr>
                      <w:szCs w:val="21"/>
                    </w:rPr>
                  </w:pPr>
                  <w:r>
                    <w:t>项目新建生活污水一体化设施</w:t>
                  </w:r>
                  <w:r>
                    <w:rPr>
                      <w:szCs w:val="21"/>
                    </w:rPr>
                    <w:t>用于生活污水处理，生活污水经一体化污水处理设施处理后回用生产，不外排。</w:t>
                  </w:r>
                </w:p>
              </w:tc>
              <w:tc>
                <w:tcPr>
                  <w:tcW w:w="463" w:type="pct"/>
                  <w:vAlign w:val="center"/>
                </w:tcPr>
                <w:p>
                  <w:pPr>
                    <w:jc w:val="center"/>
                    <w:rPr>
                      <w:szCs w:val="21"/>
                    </w:rPr>
                  </w:pPr>
                  <w:r>
                    <w:rPr>
                      <w:szCs w:val="21"/>
                    </w:rPr>
                    <w:t>新建</w:t>
                  </w:r>
                </w:p>
              </w:tc>
              <w:tc>
                <w:tcPr>
                  <w:tcW w:w="525" w:type="pct"/>
                  <w:vMerge w:val="continue"/>
                  <w:vAlign w:val="center"/>
                </w:tcPr>
                <w:p>
                  <w:pPr>
                    <w:jc w:val="center"/>
                    <w:rPr>
                      <w:szCs w:val="21"/>
                    </w:rPr>
                  </w:pPr>
                </w:p>
              </w:tc>
              <w:tc>
                <w:tcPr>
                  <w:tcW w:w="524" w:type="pct"/>
                  <w:vAlign w:val="center"/>
                </w:tcPr>
                <w:p>
                  <w:pPr>
                    <w:jc w:val="center"/>
                    <w:rPr>
                      <w:szCs w:val="21"/>
                    </w:rPr>
                  </w:pPr>
                  <w:r>
                    <w:rPr>
                      <w:szCs w:val="21"/>
                    </w:rPr>
                    <w:t>废水、废气、风险</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310" w:type="pct"/>
                  <w:vMerge w:val="continue"/>
                  <w:vAlign w:val="center"/>
                </w:tcPr>
                <w:p>
                  <w:pPr>
                    <w:ind w:left="-120" w:leftChars="-50" w:right="-120" w:rightChars="-50"/>
                    <w:jc w:val="center"/>
                    <w:rPr>
                      <w:szCs w:val="21"/>
                    </w:rPr>
                  </w:pPr>
                </w:p>
              </w:tc>
              <w:tc>
                <w:tcPr>
                  <w:tcW w:w="556" w:type="pct"/>
                  <w:vMerge w:val="continue"/>
                  <w:vAlign w:val="center"/>
                </w:tcPr>
                <w:p>
                  <w:pPr>
                    <w:jc w:val="center"/>
                  </w:pPr>
                </w:p>
              </w:tc>
              <w:tc>
                <w:tcPr>
                  <w:tcW w:w="453" w:type="pct"/>
                  <w:vAlign w:val="center"/>
                </w:tcPr>
                <w:p>
                  <w:pPr>
                    <w:jc w:val="center"/>
                    <w:rPr>
                      <w:szCs w:val="21"/>
                    </w:rPr>
                  </w:pPr>
                  <w:r>
                    <w:t>生产废水</w:t>
                  </w:r>
                </w:p>
              </w:tc>
              <w:tc>
                <w:tcPr>
                  <w:tcW w:w="2170" w:type="pct"/>
                  <w:vAlign w:val="center"/>
                </w:tcPr>
                <w:p>
                  <w:pPr>
                    <w:rPr>
                      <w:szCs w:val="21"/>
                    </w:rPr>
                  </w:pPr>
                  <w:r>
                    <w:rPr>
                      <w:szCs w:val="21"/>
                    </w:rPr>
                    <w:t>项目新建生产废水处理站，产生工艺废水经三级沉淀+压滤处理后循环使用，一级、二级沉淀池、清水池容积分别为750m³、450m³、1200m³。处理能力300m³/h。</w:t>
                  </w:r>
                </w:p>
              </w:tc>
              <w:tc>
                <w:tcPr>
                  <w:tcW w:w="463" w:type="pct"/>
                  <w:vAlign w:val="center"/>
                </w:tcPr>
                <w:p>
                  <w:pPr>
                    <w:jc w:val="center"/>
                    <w:rPr>
                      <w:szCs w:val="21"/>
                    </w:rPr>
                  </w:pPr>
                  <w:r>
                    <w:rPr>
                      <w:szCs w:val="21"/>
                    </w:rPr>
                    <w:t>新建</w:t>
                  </w:r>
                </w:p>
              </w:tc>
              <w:tc>
                <w:tcPr>
                  <w:tcW w:w="525" w:type="pct"/>
                  <w:vMerge w:val="continue"/>
                  <w:vAlign w:val="center"/>
                </w:tcPr>
                <w:p>
                  <w:pPr>
                    <w:jc w:val="center"/>
                    <w:rPr>
                      <w:szCs w:val="21"/>
                    </w:rPr>
                  </w:pPr>
                </w:p>
              </w:tc>
              <w:tc>
                <w:tcPr>
                  <w:tcW w:w="524" w:type="pct"/>
                  <w:vAlign w:val="center"/>
                </w:tcPr>
                <w:p>
                  <w:pPr>
                    <w:jc w:val="center"/>
                    <w:rPr>
                      <w:szCs w:val="21"/>
                    </w:rPr>
                  </w:pPr>
                  <w:r>
                    <w:rPr>
                      <w:szCs w:val="21"/>
                    </w:rPr>
                    <w:t>废水、废气、风险</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310" w:type="pct"/>
                  <w:vMerge w:val="continue"/>
                  <w:vAlign w:val="center"/>
                </w:tcPr>
                <w:p>
                  <w:pPr>
                    <w:ind w:left="-120" w:leftChars="-50" w:right="-120" w:rightChars="-50"/>
                    <w:jc w:val="center"/>
                    <w:rPr>
                      <w:szCs w:val="21"/>
                    </w:rPr>
                  </w:pPr>
                </w:p>
              </w:tc>
              <w:tc>
                <w:tcPr>
                  <w:tcW w:w="556" w:type="pct"/>
                  <w:vAlign w:val="center"/>
                </w:tcPr>
                <w:p>
                  <w:pPr>
                    <w:jc w:val="center"/>
                  </w:pPr>
                  <w:r>
                    <w:t>废气</w:t>
                  </w:r>
                </w:p>
              </w:tc>
              <w:tc>
                <w:tcPr>
                  <w:tcW w:w="453" w:type="pct"/>
                  <w:vAlign w:val="center"/>
                </w:tcPr>
                <w:p>
                  <w:pPr>
                    <w:jc w:val="center"/>
                  </w:pPr>
                  <w:r>
                    <w:t>生产废气</w:t>
                  </w:r>
                </w:p>
              </w:tc>
              <w:tc>
                <w:tcPr>
                  <w:tcW w:w="2170" w:type="pct"/>
                  <w:vAlign w:val="center"/>
                </w:tcPr>
                <w:p>
                  <w:pPr>
                    <w:rPr>
                      <w:szCs w:val="21"/>
                    </w:rPr>
                  </w:pPr>
                  <w:r>
                    <w:rPr>
                      <w:szCs w:val="21"/>
                    </w:rPr>
                    <w:t>项目主要道路硬化，车间密闭，厂内道路洒水降尘，厂区物流门口设洗车平台冲洗汽车轮胎，降低扬尘；</w:t>
                  </w:r>
                </w:p>
                <w:p>
                  <w:pPr>
                    <w:rPr>
                      <w:szCs w:val="21"/>
                    </w:rPr>
                  </w:pPr>
                  <w:r>
                    <w:rPr>
                      <w:kern w:val="0"/>
                      <w:szCs w:val="21"/>
                    </w:rPr>
                    <w:t>装卸物料围挡、设喷淋抑尘系统；进料口围挡、设喷淋装置；生产湿法作业；设置雾炮机降低粉尘；</w:t>
                  </w:r>
                </w:p>
              </w:tc>
              <w:tc>
                <w:tcPr>
                  <w:tcW w:w="463" w:type="pct"/>
                  <w:vAlign w:val="center"/>
                </w:tcPr>
                <w:p>
                  <w:pPr>
                    <w:jc w:val="center"/>
                    <w:rPr>
                      <w:szCs w:val="21"/>
                    </w:rPr>
                  </w:pPr>
                  <w:r>
                    <w:rPr>
                      <w:szCs w:val="21"/>
                    </w:rPr>
                    <w:t>新建</w:t>
                  </w:r>
                </w:p>
              </w:tc>
              <w:tc>
                <w:tcPr>
                  <w:tcW w:w="525" w:type="pct"/>
                  <w:vMerge w:val="continue"/>
                  <w:vAlign w:val="center"/>
                </w:tcPr>
                <w:p>
                  <w:pPr>
                    <w:jc w:val="center"/>
                    <w:rPr>
                      <w:szCs w:val="21"/>
                    </w:rPr>
                  </w:pPr>
                </w:p>
              </w:tc>
              <w:tc>
                <w:tcPr>
                  <w:tcW w:w="524" w:type="pct"/>
                  <w:vAlign w:val="center"/>
                </w:tcPr>
                <w:p>
                  <w:pPr>
                    <w:jc w:val="center"/>
                    <w:rPr>
                      <w:szCs w:val="21"/>
                    </w:rPr>
                  </w:pPr>
                  <w:r>
                    <w:rPr>
                      <w:szCs w:val="21"/>
                    </w:rPr>
                    <w:t>废气、噪声</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310" w:type="pct"/>
                  <w:vMerge w:val="continue"/>
                  <w:vAlign w:val="center"/>
                </w:tcPr>
                <w:p>
                  <w:pPr>
                    <w:ind w:left="-120" w:leftChars="-50" w:right="-120" w:rightChars="-50"/>
                    <w:jc w:val="center"/>
                    <w:rPr>
                      <w:szCs w:val="21"/>
                    </w:rPr>
                  </w:pPr>
                </w:p>
              </w:tc>
              <w:tc>
                <w:tcPr>
                  <w:tcW w:w="556" w:type="pct"/>
                  <w:vAlign w:val="center"/>
                </w:tcPr>
                <w:p>
                  <w:pPr>
                    <w:jc w:val="center"/>
                  </w:pPr>
                  <w:r>
                    <w:t>噪声</w:t>
                  </w:r>
                </w:p>
              </w:tc>
              <w:tc>
                <w:tcPr>
                  <w:tcW w:w="453" w:type="pct"/>
                  <w:vAlign w:val="center"/>
                </w:tcPr>
                <w:p>
                  <w:pPr>
                    <w:jc w:val="center"/>
                  </w:pPr>
                  <w:r>
                    <w:t>生产噪声</w:t>
                  </w:r>
                </w:p>
              </w:tc>
              <w:tc>
                <w:tcPr>
                  <w:tcW w:w="2170" w:type="pct"/>
                  <w:vAlign w:val="center"/>
                </w:tcPr>
                <w:p>
                  <w:pPr>
                    <w:rPr>
                      <w:szCs w:val="21"/>
                    </w:rPr>
                  </w:pPr>
                  <w:r>
                    <w:rPr>
                      <w:szCs w:val="21"/>
                    </w:rPr>
                    <w:t>设备噪声，采取基础减震和厂房隔声和柔性连接等措施。</w:t>
                  </w:r>
                </w:p>
              </w:tc>
              <w:tc>
                <w:tcPr>
                  <w:tcW w:w="463" w:type="pct"/>
                  <w:vAlign w:val="center"/>
                </w:tcPr>
                <w:p>
                  <w:pPr>
                    <w:jc w:val="center"/>
                    <w:rPr>
                      <w:szCs w:val="21"/>
                    </w:rPr>
                  </w:pPr>
                  <w:r>
                    <w:rPr>
                      <w:szCs w:val="21"/>
                    </w:rPr>
                    <w:t>新建</w:t>
                  </w:r>
                </w:p>
              </w:tc>
              <w:tc>
                <w:tcPr>
                  <w:tcW w:w="525" w:type="pct"/>
                  <w:vMerge w:val="continue"/>
                  <w:vAlign w:val="center"/>
                </w:tcPr>
                <w:p>
                  <w:pPr>
                    <w:jc w:val="center"/>
                    <w:rPr>
                      <w:szCs w:val="21"/>
                    </w:rPr>
                  </w:pPr>
                </w:p>
              </w:tc>
              <w:tc>
                <w:tcPr>
                  <w:tcW w:w="524" w:type="pct"/>
                  <w:vAlign w:val="center"/>
                </w:tcPr>
                <w:p>
                  <w:pPr>
                    <w:jc w:val="center"/>
                    <w:rPr>
                      <w:szCs w:val="21"/>
                    </w:rPr>
                  </w:pPr>
                  <w:r>
                    <w:rPr>
                      <w:szCs w:val="21"/>
                    </w:rPr>
                    <w:t>噪声</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310" w:type="pct"/>
                  <w:vMerge w:val="continue"/>
                  <w:vAlign w:val="center"/>
                </w:tcPr>
                <w:p>
                  <w:pPr>
                    <w:ind w:left="-120" w:leftChars="-50" w:right="-120" w:rightChars="-50"/>
                    <w:jc w:val="center"/>
                    <w:rPr>
                      <w:szCs w:val="21"/>
                    </w:rPr>
                  </w:pPr>
                </w:p>
              </w:tc>
              <w:tc>
                <w:tcPr>
                  <w:tcW w:w="556" w:type="pct"/>
                  <w:vMerge w:val="restart"/>
                  <w:vAlign w:val="center"/>
                </w:tcPr>
                <w:p>
                  <w:pPr>
                    <w:jc w:val="center"/>
                    <w:rPr>
                      <w:szCs w:val="21"/>
                    </w:rPr>
                  </w:pPr>
                  <w:r>
                    <w:rPr>
                      <w:szCs w:val="21"/>
                    </w:rPr>
                    <w:t>固废</w:t>
                  </w:r>
                </w:p>
              </w:tc>
              <w:tc>
                <w:tcPr>
                  <w:tcW w:w="453" w:type="pct"/>
                  <w:vAlign w:val="center"/>
                </w:tcPr>
                <w:p>
                  <w:pPr>
                    <w:jc w:val="center"/>
                    <w:rPr>
                      <w:szCs w:val="21"/>
                    </w:rPr>
                  </w:pPr>
                  <w:r>
                    <w:rPr>
                      <w:szCs w:val="21"/>
                    </w:rPr>
                    <w:t>一般工业固废</w:t>
                  </w:r>
                </w:p>
              </w:tc>
              <w:tc>
                <w:tcPr>
                  <w:tcW w:w="2170" w:type="pct"/>
                  <w:vAlign w:val="center"/>
                </w:tcPr>
                <w:p>
                  <w:pPr>
                    <w:rPr>
                      <w:szCs w:val="21"/>
                    </w:rPr>
                  </w:pPr>
                  <w:r>
                    <w:rPr>
                      <w:kern w:val="0"/>
                    </w:rPr>
                    <w:t>炉渣清理未燃尽生活垃圾及分离的建筑垃圾</w:t>
                  </w:r>
                  <w:r>
                    <w:rPr>
                      <w:szCs w:val="21"/>
                    </w:rPr>
                    <w:t>返回垃圾焚烧厂处理；化粪池污泥定期清理；循环池压滤出的工业粘土作为副产品，外销砖厂作为制砖原料；废机油生产线做润滑油使用，剩余部分交资质单位处理。</w:t>
                  </w:r>
                  <w:r>
                    <w:t>一般工业固废暂存于车间内，分类堆存，及时清理。</w:t>
                  </w:r>
                </w:p>
              </w:tc>
              <w:tc>
                <w:tcPr>
                  <w:tcW w:w="463" w:type="pct"/>
                  <w:vAlign w:val="center"/>
                </w:tcPr>
                <w:p>
                  <w:pPr>
                    <w:jc w:val="center"/>
                    <w:rPr>
                      <w:szCs w:val="21"/>
                    </w:rPr>
                  </w:pPr>
                  <w:r>
                    <w:rPr>
                      <w:szCs w:val="21"/>
                    </w:rPr>
                    <w:t>新建</w:t>
                  </w:r>
                </w:p>
              </w:tc>
              <w:tc>
                <w:tcPr>
                  <w:tcW w:w="525" w:type="pct"/>
                  <w:vMerge w:val="continue"/>
                  <w:vAlign w:val="center"/>
                </w:tcPr>
                <w:p>
                  <w:pPr>
                    <w:jc w:val="center"/>
                    <w:rPr>
                      <w:szCs w:val="21"/>
                    </w:rPr>
                  </w:pPr>
                </w:p>
              </w:tc>
              <w:tc>
                <w:tcPr>
                  <w:tcW w:w="524" w:type="pct"/>
                  <w:vAlign w:val="center"/>
                </w:tcPr>
                <w:p>
                  <w:pPr>
                    <w:jc w:val="center"/>
                    <w:rPr>
                      <w:szCs w:val="21"/>
                    </w:rPr>
                  </w:pPr>
                  <w:r>
                    <w:rPr>
                      <w:szCs w:val="21"/>
                    </w:rPr>
                    <w:t>固废</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jc w:val="center"/>
              </w:trPr>
              <w:tc>
                <w:tcPr>
                  <w:tcW w:w="310" w:type="pct"/>
                  <w:vMerge w:val="continue"/>
                  <w:vAlign w:val="center"/>
                </w:tcPr>
                <w:p>
                  <w:pPr>
                    <w:ind w:left="-120" w:leftChars="-50" w:right="-120" w:rightChars="-50"/>
                    <w:jc w:val="center"/>
                    <w:rPr>
                      <w:szCs w:val="21"/>
                    </w:rPr>
                  </w:pPr>
                </w:p>
              </w:tc>
              <w:tc>
                <w:tcPr>
                  <w:tcW w:w="556" w:type="pct"/>
                  <w:vMerge w:val="continue"/>
                  <w:vAlign w:val="center"/>
                </w:tcPr>
                <w:p>
                  <w:pPr>
                    <w:jc w:val="center"/>
                    <w:rPr>
                      <w:szCs w:val="21"/>
                    </w:rPr>
                  </w:pPr>
                </w:p>
              </w:tc>
              <w:tc>
                <w:tcPr>
                  <w:tcW w:w="453" w:type="pct"/>
                  <w:vAlign w:val="center"/>
                </w:tcPr>
                <w:p>
                  <w:pPr>
                    <w:jc w:val="center"/>
                    <w:rPr>
                      <w:szCs w:val="21"/>
                    </w:rPr>
                  </w:pPr>
                  <w:r>
                    <w:rPr>
                      <w:szCs w:val="21"/>
                    </w:rPr>
                    <w:t>生活垃圾</w:t>
                  </w:r>
                </w:p>
              </w:tc>
              <w:tc>
                <w:tcPr>
                  <w:tcW w:w="2170" w:type="pct"/>
                  <w:vAlign w:val="center"/>
                </w:tcPr>
                <w:p>
                  <w:pPr>
                    <w:rPr>
                      <w:szCs w:val="21"/>
                    </w:rPr>
                  </w:pPr>
                  <w:r>
                    <w:rPr>
                      <w:bCs/>
                      <w:szCs w:val="21"/>
                    </w:rPr>
                    <w:t>生活垃圾暂存于回炉炉渣堆棚内</w:t>
                  </w:r>
                  <w:r>
                    <w:rPr>
                      <w:szCs w:val="21"/>
                    </w:rPr>
                    <w:t>，定期与</w:t>
                  </w:r>
                  <w:r>
                    <w:rPr>
                      <w:kern w:val="0"/>
                    </w:rPr>
                    <w:t>炉渣清理未燃尽生活垃圾</w:t>
                  </w:r>
                  <w:r>
                    <w:rPr>
                      <w:szCs w:val="21"/>
                    </w:rPr>
                    <w:t>运至垃圾焚烧厂处理；</w:t>
                  </w:r>
                </w:p>
              </w:tc>
              <w:tc>
                <w:tcPr>
                  <w:tcW w:w="463" w:type="pct"/>
                  <w:vAlign w:val="center"/>
                </w:tcPr>
                <w:p>
                  <w:pPr>
                    <w:jc w:val="center"/>
                    <w:rPr>
                      <w:szCs w:val="21"/>
                    </w:rPr>
                  </w:pPr>
                  <w:r>
                    <w:rPr>
                      <w:szCs w:val="21"/>
                    </w:rPr>
                    <w:t>新建</w:t>
                  </w:r>
                </w:p>
              </w:tc>
              <w:tc>
                <w:tcPr>
                  <w:tcW w:w="525" w:type="pct"/>
                  <w:vMerge w:val="continue"/>
                  <w:vAlign w:val="center"/>
                </w:tcPr>
                <w:p>
                  <w:pPr>
                    <w:jc w:val="center"/>
                    <w:rPr>
                      <w:szCs w:val="21"/>
                    </w:rPr>
                  </w:pPr>
                </w:p>
              </w:tc>
              <w:tc>
                <w:tcPr>
                  <w:tcW w:w="524" w:type="pct"/>
                  <w:vAlign w:val="center"/>
                </w:tcPr>
                <w:p>
                  <w:pPr>
                    <w:jc w:val="center"/>
                    <w:rPr>
                      <w:szCs w:val="21"/>
                    </w:rPr>
                  </w:pPr>
                  <w:r>
                    <w:rPr>
                      <w:szCs w:val="21"/>
                    </w:rPr>
                    <w:t>固废</w:t>
                  </w:r>
                </w:p>
              </w:tc>
            </w:tr>
          </w:tbl>
          <w:p>
            <w:pPr>
              <w:spacing w:line="480" w:lineRule="exact"/>
              <w:ind w:firstLine="470" w:firstLineChars="196"/>
              <w:rPr>
                <w:sz w:val="24"/>
              </w:rPr>
            </w:pPr>
            <w:r>
              <w:rPr>
                <w:sz w:val="24"/>
              </w:rPr>
              <w:t>（4）原辅材料</w:t>
            </w:r>
          </w:p>
          <w:p>
            <w:pPr>
              <w:spacing w:line="500" w:lineRule="exact"/>
              <w:ind w:firstLine="480" w:firstLineChars="200"/>
              <w:rPr>
                <w:sz w:val="24"/>
              </w:rPr>
            </w:pPr>
            <w:r>
              <w:rPr>
                <w:sz w:val="24"/>
              </w:rPr>
              <w:t>本项目主要原辅材料年用量汇总见下表2-3。</w:t>
            </w:r>
          </w:p>
          <w:p>
            <w:pPr>
              <w:widowControl/>
              <w:adjustRightInd w:val="0"/>
              <w:snapToGrid w:val="0"/>
              <w:spacing w:line="480" w:lineRule="exact"/>
              <w:ind w:right="106" w:rightChars="44"/>
              <w:jc w:val="center"/>
              <w:rPr>
                <w:snapToGrid w:val="0"/>
                <w:kern w:val="0"/>
                <w:sz w:val="24"/>
              </w:rPr>
            </w:pPr>
            <w:r>
              <w:rPr>
                <w:snapToGrid w:val="0"/>
                <w:kern w:val="0"/>
                <w:sz w:val="24"/>
              </w:rPr>
              <w:t>表2-3 项目主要原辅材料及能源消耗一览表</w:t>
            </w:r>
          </w:p>
          <w:tbl>
            <w:tblPr>
              <w:tblStyle w:val="38"/>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796"/>
              <w:gridCol w:w="1089"/>
              <w:gridCol w:w="1134"/>
              <w:gridCol w:w="874"/>
              <w:gridCol w:w="2142"/>
              <w:gridCol w:w="2353"/>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796" w:type="dxa"/>
                  <w:tcBorders>
                    <w:top w:val="single" w:color="auto" w:sz="12" w:space="0"/>
                    <w:left w:val="nil"/>
                    <w:bottom w:val="single" w:color="auto" w:sz="12" w:space="0"/>
                  </w:tcBorders>
                  <w:shd w:val="clear" w:color="auto" w:fill="auto"/>
                  <w:vAlign w:val="center"/>
                </w:tcPr>
                <w:p>
                  <w:pPr>
                    <w:autoSpaceDE w:val="0"/>
                    <w:ind w:left="-2"/>
                    <w:jc w:val="center"/>
                    <w:rPr>
                      <w:b/>
                    </w:rPr>
                  </w:pPr>
                  <w:r>
                    <w:rPr>
                      <w:b/>
                    </w:rPr>
                    <w:t>类别</w:t>
                  </w:r>
                </w:p>
              </w:tc>
              <w:tc>
                <w:tcPr>
                  <w:tcW w:w="1089" w:type="dxa"/>
                  <w:tcBorders>
                    <w:top w:val="single" w:color="auto" w:sz="12" w:space="0"/>
                    <w:bottom w:val="single" w:color="auto" w:sz="12" w:space="0"/>
                  </w:tcBorders>
                  <w:shd w:val="clear" w:color="auto" w:fill="auto"/>
                  <w:vAlign w:val="center"/>
                </w:tcPr>
                <w:p>
                  <w:pPr>
                    <w:autoSpaceDE w:val="0"/>
                    <w:ind w:left="-2"/>
                    <w:jc w:val="center"/>
                    <w:rPr>
                      <w:b/>
                    </w:rPr>
                  </w:pPr>
                  <w:r>
                    <w:rPr>
                      <w:b/>
                    </w:rPr>
                    <w:t>名称</w:t>
                  </w:r>
                </w:p>
              </w:tc>
              <w:tc>
                <w:tcPr>
                  <w:tcW w:w="1134" w:type="dxa"/>
                  <w:tcBorders>
                    <w:top w:val="single" w:color="auto" w:sz="12" w:space="0"/>
                    <w:bottom w:val="single" w:color="auto" w:sz="12" w:space="0"/>
                  </w:tcBorders>
                  <w:shd w:val="clear" w:color="auto" w:fill="auto"/>
                  <w:vAlign w:val="center"/>
                </w:tcPr>
                <w:p>
                  <w:pPr>
                    <w:autoSpaceDE w:val="0"/>
                    <w:ind w:left="-2"/>
                    <w:jc w:val="center"/>
                    <w:rPr>
                      <w:b/>
                    </w:rPr>
                  </w:pPr>
                  <w:r>
                    <w:rPr>
                      <w:b/>
                    </w:rPr>
                    <w:t>年消耗量</w:t>
                  </w:r>
                </w:p>
              </w:tc>
              <w:tc>
                <w:tcPr>
                  <w:tcW w:w="792" w:type="dxa"/>
                  <w:tcBorders>
                    <w:top w:val="single" w:color="auto" w:sz="12" w:space="0"/>
                    <w:bottom w:val="single" w:color="auto" w:sz="12" w:space="0"/>
                  </w:tcBorders>
                  <w:vAlign w:val="center"/>
                </w:tcPr>
                <w:p>
                  <w:pPr>
                    <w:autoSpaceDE w:val="0"/>
                    <w:ind w:left="-2"/>
                    <w:jc w:val="center"/>
                    <w:rPr>
                      <w:b/>
                    </w:rPr>
                  </w:pPr>
                  <w:r>
                    <w:rPr>
                      <w:b/>
                    </w:rPr>
                    <w:t>单位</w:t>
                  </w:r>
                </w:p>
              </w:tc>
              <w:tc>
                <w:tcPr>
                  <w:tcW w:w="2142" w:type="dxa"/>
                  <w:tcBorders>
                    <w:top w:val="single" w:color="auto" w:sz="12" w:space="0"/>
                    <w:bottom w:val="single" w:color="auto" w:sz="12" w:space="0"/>
                  </w:tcBorders>
                  <w:vAlign w:val="center"/>
                </w:tcPr>
                <w:p>
                  <w:pPr>
                    <w:autoSpaceDE w:val="0"/>
                    <w:ind w:left="-2"/>
                    <w:jc w:val="center"/>
                    <w:rPr>
                      <w:b/>
                    </w:rPr>
                  </w:pPr>
                  <w:r>
                    <w:rPr>
                      <w:b/>
                    </w:rPr>
                    <w:t>厂区最大储存量，储存方式</w:t>
                  </w:r>
                </w:p>
              </w:tc>
              <w:tc>
                <w:tcPr>
                  <w:tcW w:w="0" w:type="auto"/>
                  <w:tcBorders>
                    <w:top w:val="single" w:color="auto" w:sz="12" w:space="0"/>
                    <w:bottom w:val="single" w:color="auto" w:sz="12" w:space="0"/>
                    <w:right w:val="nil"/>
                  </w:tcBorders>
                  <w:vAlign w:val="center"/>
                </w:tcPr>
                <w:p>
                  <w:pPr>
                    <w:autoSpaceDE w:val="0"/>
                    <w:ind w:left="-2"/>
                    <w:jc w:val="center"/>
                    <w:rPr>
                      <w:b/>
                    </w:rPr>
                  </w:pPr>
                  <w:r>
                    <w:rPr>
                      <w:b/>
                    </w:rPr>
                    <w:t>备注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796" w:type="dxa"/>
                  <w:vMerge w:val="restart"/>
                  <w:tcBorders>
                    <w:left w:val="nil"/>
                  </w:tcBorders>
                  <w:shd w:val="clear" w:color="auto" w:fill="auto"/>
                  <w:vAlign w:val="center"/>
                </w:tcPr>
                <w:p>
                  <w:pPr>
                    <w:autoSpaceDE w:val="0"/>
                    <w:ind w:left="-2"/>
                    <w:jc w:val="center"/>
                    <w:rPr>
                      <w:szCs w:val="21"/>
                    </w:rPr>
                  </w:pPr>
                  <w:r>
                    <w:rPr>
                      <w:szCs w:val="21"/>
                    </w:rPr>
                    <w:t>原辅料</w:t>
                  </w:r>
                </w:p>
              </w:tc>
              <w:tc>
                <w:tcPr>
                  <w:tcW w:w="1089" w:type="dxa"/>
                  <w:tcBorders>
                    <w:bottom w:val="single" w:color="auto" w:sz="4" w:space="0"/>
                  </w:tcBorders>
                  <w:shd w:val="clear" w:color="auto" w:fill="auto"/>
                  <w:vAlign w:val="center"/>
                </w:tcPr>
                <w:p>
                  <w:pPr>
                    <w:autoSpaceDE w:val="0"/>
                    <w:ind w:left="-2"/>
                    <w:jc w:val="center"/>
                    <w:rPr>
                      <w:szCs w:val="21"/>
                    </w:rPr>
                  </w:pPr>
                  <w:r>
                    <w:rPr>
                      <w:szCs w:val="21"/>
                    </w:rPr>
                    <w:t>炉渣</w:t>
                  </w:r>
                </w:p>
              </w:tc>
              <w:tc>
                <w:tcPr>
                  <w:tcW w:w="1134" w:type="dxa"/>
                  <w:tcBorders>
                    <w:bottom w:val="single" w:color="auto" w:sz="4" w:space="0"/>
                  </w:tcBorders>
                  <w:shd w:val="clear" w:color="auto" w:fill="auto"/>
                  <w:vAlign w:val="center"/>
                </w:tcPr>
                <w:p>
                  <w:pPr>
                    <w:autoSpaceDE w:val="0"/>
                    <w:ind w:left="-2"/>
                    <w:jc w:val="center"/>
                    <w:rPr>
                      <w:szCs w:val="21"/>
                    </w:rPr>
                  </w:pPr>
                  <w:r>
                    <w:rPr>
                      <w:szCs w:val="21"/>
                    </w:rPr>
                    <w:t>146000</w:t>
                  </w:r>
                </w:p>
              </w:tc>
              <w:tc>
                <w:tcPr>
                  <w:tcW w:w="792" w:type="dxa"/>
                  <w:tcBorders>
                    <w:bottom w:val="single" w:color="auto" w:sz="4" w:space="0"/>
                  </w:tcBorders>
                  <w:vAlign w:val="center"/>
                </w:tcPr>
                <w:p>
                  <w:pPr>
                    <w:autoSpaceDE w:val="0"/>
                    <w:ind w:left="-2"/>
                    <w:jc w:val="center"/>
                    <w:rPr>
                      <w:szCs w:val="21"/>
                    </w:rPr>
                  </w:pPr>
                  <w:r>
                    <w:rPr>
                      <w:szCs w:val="21"/>
                    </w:rPr>
                    <w:t>t</w:t>
                  </w:r>
                </w:p>
              </w:tc>
              <w:tc>
                <w:tcPr>
                  <w:tcW w:w="2142" w:type="dxa"/>
                  <w:vAlign w:val="center"/>
                </w:tcPr>
                <w:p>
                  <w:pPr>
                    <w:autoSpaceDE w:val="0"/>
                    <w:ind w:left="-2"/>
                    <w:jc w:val="center"/>
                    <w:rPr>
                      <w:szCs w:val="21"/>
                    </w:rPr>
                  </w:pPr>
                  <w:r>
                    <w:rPr>
                      <w:szCs w:val="21"/>
                    </w:rPr>
                    <w:t>8000t，炉渣堆放区存放</w:t>
                  </w:r>
                </w:p>
              </w:tc>
              <w:tc>
                <w:tcPr>
                  <w:tcW w:w="0" w:type="auto"/>
                  <w:tcBorders>
                    <w:right w:val="nil"/>
                  </w:tcBorders>
                  <w:vAlign w:val="center"/>
                </w:tcPr>
                <w:p>
                  <w:pPr>
                    <w:autoSpaceDE w:val="0"/>
                    <w:ind w:left="-2"/>
                    <w:jc w:val="center"/>
                    <w:rPr>
                      <w:szCs w:val="21"/>
                    </w:rPr>
                  </w:pPr>
                  <w:r>
                    <w:rPr>
                      <w:szCs w:val="21"/>
                    </w:rPr>
                    <w:t>乐山市城市生活垃圾环保发电厂</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796" w:type="dxa"/>
                  <w:vMerge w:val="continue"/>
                  <w:tcBorders>
                    <w:left w:val="nil"/>
                  </w:tcBorders>
                  <w:shd w:val="clear" w:color="auto" w:fill="auto"/>
                  <w:vAlign w:val="center"/>
                </w:tcPr>
                <w:p>
                  <w:pPr>
                    <w:autoSpaceDE w:val="0"/>
                    <w:ind w:left="-2"/>
                    <w:jc w:val="center"/>
                    <w:rPr>
                      <w:szCs w:val="21"/>
                    </w:rPr>
                  </w:pPr>
                </w:p>
              </w:tc>
              <w:tc>
                <w:tcPr>
                  <w:tcW w:w="1089" w:type="dxa"/>
                  <w:tcBorders>
                    <w:bottom w:val="single" w:color="auto" w:sz="4" w:space="0"/>
                  </w:tcBorders>
                  <w:shd w:val="clear" w:color="auto" w:fill="auto"/>
                  <w:vAlign w:val="center"/>
                </w:tcPr>
                <w:p>
                  <w:pPr>
                    <w:autoSpaceDE w:val="0"/>
                    <w:ind w:left="-2"/>
                    <w:jc w:val="center"/>
                    <w:rPr>
                      <w:szCs w:val="21"/>
                    </w:rPr>
                  </w:pPr>
                  <w:r>
                    <w:rPr>
                      <w:szCs w:val="21"/>
                    </w:rPr>
                    <w:t>建筑垃圾</w:t>
                  </w:r>
                </w:p>
              </w:tc>
              <w:tc>
                <w:tcPr>
                  <w:tcW w:w="1134" w:type="dxa"/>
                  <w:tcBorders>
                    <w:bottom w:val="single" w:color="auto" w:sz="4" w:space="0"/>
                  </w:tcBorders>
                  <w:shd w:val="clear" w:color="auto" w:fill="auto"/>
                  <w:vAlign w:val="center"/>
                </w:tcPr>
                <w:p>
                  <w:pPr>
                    <w:autoSpaceDE w:val="0"/>
                    <w:ind w:left="-2"/>
                    <w:jc w:val="center"/>
                    <w:rPr>
                      <w:bCs/>
                      <w:szCs w:val="21"/>
                    </w:rPr>
                  </w:pPr>
                  <w:r>
                    <w:rPr>
                      <w:szCs w:val="21"/>
                    </w:rPr>
                    <w:t>66000</w:t>
                  </w:r>
                </w:p>
              </w:tc>
              <w:tc>
                <w:tcPr>
                  <w:tcW w:w="792" w:type="dxa"/>
                  <w:tcBorders>
                    <w:bottom w:val="single" w:color="auto" w:sz="4" w:space="0"/>
                  </w:tcBorders>
                  <w:vAlign w:val="center"/>
                </w:tcPr>
                <w:p>
                  <w:pPr>
                    <w:autoSpaceDE w:val="0"/>
                    <w:ind w:left="-2"/>
                    <w:jc w:val="center"/>
                    <w:rPr>
                      <w:bCs/>
                      <w:szCs w:val="21"/>
                    </w:rPr>
                  </w:pPr>
                  <w:r>
                    <w:rPr>
                      <w:szCs w:val="21"/>
                    </w:rPr>
                    <w:t>t</w:t>
                  </w:r>
                </w:p>
              </w:tc>
              <w:tc>
                <w:tcPr>
                  <w:tcW w:w="2142" w:type="dxa"/>
                  <w:vAlign w:val="center"/>
                </w:tcPr>
                <w:p>
                  <w:pPr>
                    <w:autoSpaceDE w:val="0"/>
                    <w:ind w:left="-2"/>
                    <w:jc w:val="center"/>
                    <w:rPr>
                      <w:szCs w:val="21"/>
                    </w:rPr>
                  </w:pPr>
                  <w:r>
                    <w:rPr>
                      <w:szCs w:val="21"/>
                    </w:rPr>
                    <w:t>4000t，建筑垃圾堆放区存放</w:t>
                  </w:r>
                </w:p>
              </w:tc>
              <w:tc>
                <w:tcPr>
                  <w:tcW w:w="0" w:type="auto"/>
                  <w:tcBorders>
                    <w:right w:val="nil"/>
                  </w:tcBorders>
                  <w:vAlign w:val="center"/>
                </w:tcPr>
                <w:p>
                  <w:pPr>
                    <w:autoSpaceDE w:val="0"/>
                    <w:ind w:left="-2"/>
                    <w:jc w:val="center"/>
                    <w:rPr>
                      <w:szCs w:val="21"/>
                    </w:rPr>
                  </w:pPr>
                  <w:r>
                    <w:rPr>
                      <w:szCs w:val="21"/>
                    </w:rPr>
                    <w:t>乐山市建筑垃圾</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796" w:type="dxa"/>
                  <w:vMerge w:val="restart"/>
                  <w:tcBorders>
                    <w:top w:val="single" w:color="auto" w:sz="4" w:space="0"/>
                    <w:left w:val="nil"/>
                  </w:tcBorders>
                  <w:shd w:val="clear" w:color="auto" w:fill="auto"/>
                  <w:vAlign w:val="center"/>
                </w:tcPr>
                <w:p>
                  <w:pPr>
                    <w:autoSpaceDE w:val="0"/>
                    <w:ind w:left="-2"/>
                    <w:jc w:val="center"/>
                  </w:pPr>
                  <w:r>
                    <w:t>能源</w:t>
                  </w:r>
                </w:p>
              </w:tc>
              <w:tc>
                <w:tcPr>
                  <w:tcW w:w="1089" w:type="dxa"/>
                  <w:tcBorders>
                    <w:top w:val="single" w:color="auto" w:sz="4" w:space="0"/>
                    <w:bottom w:val="single" w:color="auto" w:sz="4" w:space="0"/>
                  </w:tcBorders>
                  <w:shd w:val="clear" w:color="auto" w:fill="auto"/>
                  <w:vAlign w:val="center"/>
                </w:tcPr>
                <w:p>
                  <w:pPr>
                    <w:autoSpaceDE w:val="0"/>
                    <w:ind w:left="-2"/>
                    <w:jc w:val="center"/>
                    <w:rPr>
                      <w:bCs/>
                      <w:szCs w:val="21"/>
                    </w:rPr>
                  </w:pPr>
                  <w:r>
                    <w:rPr>
                      <w:bCs/>
                      <w:szCs w:val="21"/>
                    </w:rPr>
                    <w:t>电</w:t>
                  </w:r>
                </w:p>
              </w:tc>
              <w:tc>
                <w:tcPr>
                  <w:tcW w:w="1134" w:type="dxa"/>
                  <w:tcBorders>
                    <w:top w:val="single" w:color="auto" w:sz="4" w:space="0"/>
                    <w:bottom w:val="single" w:color="auto" w:sz="4" w:space="0"/>
                  </w:tcBorders>
                  <w:shd w:val="clear" w:color="auto" w:fill="auto"/>
                  <w:vAlign w:val="center"/>
                </w:tcPr>
                <w:p>
                  <w:pPr>
                    <w:autoSpaceDE w:val="0"/>
                    <w:ind w:left="-2"/>
                    <w:jc w:val="center"/>
                    <w:rPr>
                      <w:bCs/>
                      <w:szCs w:val="21"/>
                    </w:rPr>
                  </w:pPr>
                  <w:r>
                    <w:rPr>
                      <w:bCs/>
                      <w:szCs w:val="21"/>
                    </w:rPr>
                    <w:t>万</w:t>
                  </w:r>
                  <w:r>
                    <w:t>Kw·h</w:t>
                  </w:r>
                </w:p>
              </w:tc>
              <w:tc>
                <w:tcPr>
                  <w:tcW w:w="792" w:type="dxa"/>
                  <w:tcBorders>
                    <w:top w:val="single" w:color="auto" w:sz="4" w:space="0"/>
                    <w:bottom w:val="single" w:color="auto" w:sz="4" w:space="0"/>
                  </w:tcBorders>
                  <w:vAlign w:val="center"/>
                </w:tcPr>
                <w:p>
                  <w:pPr>
                    <w:autoSpaceDE w:val="0"/>
                    <w:ind w:left="-2"/>
                    <w:jc w:val="center"/>
                    <w:rPr>
                      <w:bCs/>
                      <w:szCs w:val="21"/>
                    </w:rPr>
                  </w:pPr>
                  <w:r>
                    <w:rPr>
                      <w:bCs/>
                      <w:szCs w:val="21"/>
                    </w:rPr>
                    <w:t>200</w:t>
                  </w:r>
                </w:p>
              </w:tc>
              <w:tc>
                <w:tcPr>
                  <w:tcW w:w="2142" w:type="dxa"/>
                  <w:tcBorders>
                    <w:top w:val="single" w:color="auto" w:sz="4" w:space="0"/>
                    <w:bottom w:val="single" w:color="auto" w:sz="4" w:space="0"/>
                  </w:tcBorders>
                  <w:vAlign w:val="center"/>
                </w:tcPr>
                <w:p>
                  <w:pPr>
                    <w:autoSpaceDE w:val="0"/>
                    <w:ind w:left="-2"/>
                    <w:jc w:val="center"/>
                    <w:rPr>
                      <w:bCs/>
                      <w:szCs w:val="21"/>
                    </w:rPr>
                  </w:pPr>
                  <w:r>
                    <w:rPr>
                      <w:bCs/>
                      <w:szCs w:val="21"/>
                    </w:rPr>
                    <w:t>/</w:t>
                  </w:r>
                </w:p>
              </w:tc>
              <w:tc>
                <w:tcPr>
                  <w:tcW w:w="0" w:type="auto"/>
                  <w:tcBorders>
                    <w:top w:val="single" w:color="auto" w:sz="4" w:space="0"/>
                    <w:bottom w:val="single" w:color="auto" w:sz="4" w:space="0"/>
                    <w:right w:val="nil"/>
                  </w:tcBorders>
                  <w:vAlign w:val="center"/>
                </w:tcPr>
                <w:p>
                  <w:pPr>
                    <w:autoSpaceDE w:val="0"/>
                    <w:ind w:left="-2"/>
                    <w:jc w:val="center"/>
                  </w:pPr>
                  <w:r>
                    <w:rPr>
                      <w:bCs/>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68" w:hRule="atLeast"/>
              </w:trPr>
              <w:tc>
                <w:tcPr>
                  <w:tcW w:w="796" w:type="dxa"/>
                  <w:vMerge w:val="continue"/>
                  <w:tcBorders>
                    <w:left w:val="nil"/>
                  </w:tcBorders>
                  <w:shd w:val="clear" w:color="auto" w:fill="auto"/>
                  <w:vAlign w:val="center"/>
                </w:tcPr>
                <w:p>
                  <w:pPr>
                    <w:autoSpaceDE w:val="0"/>
                    <w:ind w:left="-2"/>
                    <w:jc w:val="center"/>
                  </w:pPr>
                </w:p>
              </w:tc>
              <w:tc>
                <w:tcPr>
                  <w:tcW w:w="1089" w:type="dxa"/>
                  <w:tcBorders>
                    <w:top w:val="single" w:color="auto" w:sz="4" w:space="0"/>
                    <w:bottom w:val="single" w:color="auto" w:sz="12" w:space="0"/>
                  </w:tcBorders>
                  <w:shd w:val="clear" w:color="auto" w:fill="auto"/>
                  <w:vAlign w:val="center"/>
                </w:tcPr>
                <w:p>
                  <w:pPr>
                    <w:autoSpaceDE w:val="0"/>
                    <w:ind w:left="-2"/>
                    <w:jc w:val="center"/>
                    <w:rPr>
                      <w:bCs/>
                      <w:szCs w:val="21"/>
                    </w:rPr>
                  </w:pPr>
                  <w:r>
                    <w:rPr>
                      <w:bCs/>
                      <w:szCs w:val="21"/>
                    </w:rPr>
                    <w:t>水</w:t>
                  </w:r>
                </w:p>
              </w:tc>
              <w:tc>
                <w:tcPr>
                  <w:tcW w:w="1134" w:type="dxa"/>
                  <w:tcBorders>
                    <w:top w:val="single" w:color="auto" w:sz="4" w:space="0"/>
                    <w:bottom w:val="single" w:color="auto" w:sz="12" w:space="0"/>
                  </w:tcBorders>
                  <w:shd w:val="clear" w:color="auto" w:fill="auto"/>
                  <w:vAlign w:val="center"/>
                </w:tcPr>
                <w:p>
                  <w:pPr>
                    <w:autoSpaceDE w:val="0"/>
                    <w:ind w:left="-2"/>
                    <w:jc w:val="center"/>
                    <w:rPr>
                      <w:bCs/>
                      <w:szCs w:val="21"/>
                    </w:rPr>
                  </w:pPr>
                  <w:r>
                    <w:rPr>
                      <w:bCs/>
                      <w:szCs w:val="21"/>
                    </w:rPr>
                    <w:t>m</w:t>
                  </w:r>
                  <w:r>
                    <w:rPr>
                      <w:bCs/>
                      <w:szCs w:val="21"/>
                      <w:vertAlign w:val="superscript"/>
                    </w:rPr>
                    <w:t>3</w:t>
                  </w:r>
                </w:p>
              </w:tc>
              <w:tc>
                <w:tcPr>
                  <w:tcW w:w="792" w:type="dxa"/>
                  <w:tcBorders>
                    <w:top w:val="single" w:color="auto" w:sz="4" w:space="0"/>
                    <w:bottom w:val="single" w:color="auto" w:sz="12" w:space="0"/>
                  </w:tcBorders>
                  <w:vAlign w:val="center"/>
                </w:tcPr>
                <w:p>
                  <w:pPr>
                    <w:autoSpaceDE w:val="0"/>
                    <w:ind w:left="-2"/>
                    <w:jc w:val="center"/>
                    <w:rPr>
                      <w:bCs/>
                      <w:szCs w:val="21"/>
                    </w:rPr>
                  </w:pPr>
                  <w:r>
                    <w:rPr>
                      <w:bCs/>
                      <w:szCs w:val="21"/>
                    </w:rPr>
                    <w:t>6388.8</w:t>
                  </w:r>
                </w:p>
              </w:tc>
              <w:tc>
                <w:tcPr>
                  <w:tcW w:w="2142" w:type="dxa"/>
                  <w:tcBorders>
                    <w:top w:val="single" w:color="auto" w:sz="4" w:space="0"/>
                    <w:bottom w:val="single" w:color="auto" w:sz="12" w:space="0"/>
                  </w:tcBorders>
                  <w:vAlign w:val="center"/>
                </w:tcPr>
                <w:p>
                  <w:pPr>
                    <w:autoSpaceDE w:val="0"/>
                    <w:ind w:left="-2"/>
                    <w:jc w:val="center"/>
                    <w:rPr>
                      <w:bCs/>
                      <w:szCs w:val="21"/>
                    </w:rPr>
                  </w:pPr>
                  <w:r>
                    <w:rPr>
                      <w:bCs/>
                      <w:szCs w:val="21"/>
                    </w:rPr>
                    <w:t>/</w:t>
                  </w:r>
                </w:p>
              </w:tc>
              <w:tc>
                <w:tcPr>
                  <w:tcW w:w="0" w:type="auto"/>
                  <w:tcBorders>
                    <w:top w:val="single" w:color="auto" w:sz="4" w:space="0"/>
                    <w:bottom w:val="single" w:color="auto" w:sz="12" w:space="0"/>
                    <w:right w:val="nil"/>
                  </w:tcBorders>
                  <w:vAlign w:val="center"/>
                </w:tcPr>
                <w:p>
                  <w:pPr>
                    <w:autoSpaceDE w:val="0"/>
                    <w:ind w:left="-2"/>
                    <w:jc w:val="center"/>
                  </w:pPr>
                  <w:r>
                    <w:rPr>
                      <w:bCs/>
                      <w:szCs w:val="21"/>
                    </w:rPr>
                    <w:t>降尘、湿法作业消耗，办公生活</w:t>
                  </w:r>
                </w:p>
              </w:tc>
            </w:tr>
          </w:tbl>
          <w:p>
            <w:pPr>
              <w:spacing w:before="120" w:beforeLines="50" w:line="360" w:lineRule="auto"/>
              <w:ind w:firstLine="482" w:firstLineChars="200"/>
              <w:rPr>
                <w:b/>
                <w:sz w:val="24"/>
              </w:rPr>
            </w:pPr>
            <w:r>
              <w:rPr>
                <w:b/>
                <w:sz w:val="24"/>
              </w:rPr>
              <w:t>炉渣：</w:t>
            </w:r>
          </w:p>
          <w:p>
            <w:pPr>
              <w:spacing w:line="360" w:lineRule="auto"/>
              <w:ind w:firstLine="480" w:firstLineChars="200"/>
              <w:rPr>
                <w:sz w:val="24"/>
              </w:rPr>
            </w:pPr>
            <w:r>
              <w:rPr>
                <w:sz w:val="24"/>
              </w:rPr>
              <w:t>生活垃圾焚烧炉渣主要指由炉床尾端排出的残余物，不含焚烧过程中产生的飞灰，主要由未列入《国家危险废物名录》（2021年版）的熔渣、黑色及有色金属、陶瓷碎片、玻璃及其他不燃物质及少量未燃有机物组成。根据《生活垃圾焚烧污染控制标准》（GB18485-2014）规定：“焚烧后的炉渣按一般固体废物处理”，故炉渣可按一般固体废物进行综合利用。炉渣的粒径分布比较均匀，主要在2~50mm之间，大于2mm颗粒占60%以上。炉渣中所含的主要元素为Si、Ca、Al，其坚固性好、化学性质稳定、耐久性好，并具有一定的强度。炉渣属于一般工业固体废物中第Ⅰ类固体废物，经焚烧炉焚烧处理后，有机质已经大部分分解，炉渣中主要成分为：碎石块，大块塑料，金属等，且炉渣降温需通过水洗，因此炉渣不会产生恶臭气体。</w:t>
            </w:r>
          </w:p>
          <w:p>
            <w:pPr>
              <w:widowControl/>
              <w:adjustRightInd w:val="0"/>
              <w:snapToGrid w:val="0"/>
              <w:spacing w:line="480" w:lineRule="exact"/>
              <w:ind w:right="106" w:rightChars="44"/>
              <w:jc w:val="center"/>
              <w:rPr>
                <w:snapToGrid w:val="0"/>
                <w:kern w:val="0"/>
                <w:sz w:val="24"/>
              </w:rPr>
            </w:pPr>
            <w:r>
              <w:rPr>
                <w:snapToGrid w:val="0"/>
                <w:kern w:val="0"/>
                <w:sz w:val="24"/>
              </w:rPr>
              <w:t>表2-4 生活垃圾焚烧炉渣粒径分布</w:t>
            </w:r>
          </w:p>
          <w:tbl>
            <w:tblPr>
              <w:tblStyle w:val="38"/>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331"/>
              <w:gridCol w:w="652"/>
              <w:gridCol w:w="826"/>
              <w:gridCol w:w="826"/>
              <w:gridCol w:w="765"/>
              <w:gridCol w:w="793"/>
              <w:gridCol w:w="1118"/>
              <w:gridCol w:w="1186"/>
              <w:gridCol w:w="92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798" w:type="pct"/>
                  <w:vAlign w:val="center"/>
                </w:tcPr>
                <w:p>
                  <w:pPr>
                    <w:jc w:val="center"/>
                  </w:pPr>
                  <w:r>
                    <w:t>粒径（</w:t>
                  </w:r>
                  <w:r>
                    <w:rPr>
                      <w:bCs/>
                    </w:rPr>
                    <w:t>mm</w:t>
                  </w:r>
                  <w:r>
                    <w:t>）</w:t>
                  </w:r>
                </w:p>
              </w:tc>
              <w:tc>
                <w:tcPr>
                  <w:tcW w:w="395" w:type="pct"/>
                  <w:vAlign w:val="center"/>
                </w:tcPr>
                <w:p>
                  <w:pPr>
                    <w:jc w:val="center"/>
                  </w:pPr>
                  <w:r>
                    <w:t>＞</w:t>
                  </w:r>
                  <w:r>
                    <w:rPr>
                      <w:bCs/>
                    </w:rPr>
                    <w:t>50</w:t>
                  </w:r>
                </w:p>
              </w:tc>
              <w:tc>
                <w:tcPr>
                  <w:tcW w:w="479" w:type="pct"/>
                  <w:vAlign w:val="center"/>
                </w:tcPr>
                <w:p>
                  <w:pPr>
                    <w:jc w:val="center"/>
                  </w:pPr>
                  <w:r>
                    <w:rPr>
                      <w:bCs/>
                    </w:rPr>
                    <w:t>20~50</w:t>
                  </w:r>
                </w:p>
              </w:tc>
              <w:tc>
                <w:tcPr>
                  <w:tcW w:w="479" w:type="pct"/>
                  <w:vAlign w:val="center"/>
                </w:tcPr>
                <w:p>
                  <w:pPr>
                    <w:jc w:val="center"/>
                  </w:pPr>
                  <w:r>
                    <w:rPr>
                      <w:bCs/>
                    </w:rPr>
                    <w:t>10~20</w:t>
                  </w:r>
                </w:p>
              </w:tc>
              <w:tc>
                <w:tcPr>
                  <w:tcW w:w="462" w:type="pct"/>
                  <w:vAlign w:val="center"/>
                </w:tcPr>
                <w:p>
                  <w:pPr>
                    <w:jc w:val="center"/>
                  </w:pPr>
                  <w:r>
                    <w:rPr>
                      <w:bCs/>
                    </w:rPr>
                    <w:t>2~10</w:t>
                  </w:r>
                </w:p>
              </w:tc>
              <w:tc>
                <w:tcPr>
                  <w:tcW w:w="479" w:type="pct"/>
                  <w:vAlign w:val="center"/>
                </w:tcPr>
                <w:p>
                  <w:pPr>
                    <w:jc w:val="center"/>
                  </w:pPr>
                  <w:r>
                    <w:rPr>
                      <w:bCs/>
                    </w:rPr>
                    <w:t>0.9~2</w:t>
                  </w:r>
                </w:p>
              </w:tc>
              <w:tc>
                <w:tcPr>
                  <w:tcW w:w="672" w:type="pct"/>
                  <w:vAlign w:val="center"/>
                </w:tcPr>
                <w:p>
                  <w:pPr>
                    <w:jc w:val="center"/>
                  </w:pPr>
                  <w:r>
                    <w:rPr>
                      <w:bCs/>
                    </w:rPr>
                    <w:t>0.45~0.9</w:t>
                  </w:r>
                </w:p>
              </w:tc>
              <w:tc>
                <w:tcPr>
                  <w:tcW w:w="682" w:type="pct"/>
                  <w:vAlign w:val="center"/>
                </w:tcPr>
                <w:p>
                  <w:pPr>
                    <w:jc w:val="center"/>
                  </w:pPr>
                  <w:r>
                    <w:rPr>
                      <w:bCs/>
                    </w:rPr>
                    <w:t>0.07~0.45</w:t>
                  </w:r>
                </w:p>
              </w:tc>
              <w:tc>
                <w:tcPr>
                  <w:tcW w:w="555" w:type="pct"/>
                  <w:vAlign w:val="center"/>
                </w:tcPr>
                <w:p>
                  <w:pPr>
                    <w:jc w:val="center"/>
                  </w:pPr>
                  <w:r>
                    <w:t>＜</w:t>
                  </w:r>
                  <w:r>
                    <w:rPr>
                      <w:bCs/>
                    </w:rPr>
                    <w:t>0.07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798" w:type="pct"/>
                  <w:vAlign w:val="center"/>
                </w:tcPr>
                <w:p>
                  <w:pPr>
                    <w:jc w:val="center"/>
                  </w:pPr>
                  <w:r>
                    <w:t>含量（%）</w:t>
                  </w:r>
                </w:p>
              </w:tc>
              <w:tc>
                <w:tcPr>
                  <w:tcW w:w="395" w:type="pct"/>
                  <w:vAlign w:val="center"/>
                </w:tcPr>
                <w:p>
                  <w:pPr>
                    <w:jc w:val="center"/>
                  </w:pPr>
                  <w:r>
                    <w:t>5.68</w:t>
                  </w:r>
                </w:p>
              </w:tc>
              <w:tc>
                <w:tcPr>
                  <w:tcW w:w="479" w:type="pct"/>
                  <w:vAlign w:val="center"/>
                </w:tcPr>
                <w:p>
                  <w:pPr>
                    <w:jc w:val="center"/>
                  </w:pPr>
                  <w:r>
                    <w:t>16.89</w:t>
                  </w:r>
                </w:p>
              </w:tc>
              <w:tc>
                <w:tcPr>
                  <w:tcW w:w="479" w:type="pct"/>
                  <w:vAlign w:val="center"/>
                </w:tcPr>
                <w:p>
                  <w:pPr>
                    <w:jc w:val="center"/>
                  </w:pPr>
                  <w:r>
                    <w:t>16.97</w:t>
                  </w:r>
                </w:p>
              </w:tc>
              <w:tc>
                <w:tcPr>
                  <w:tcW w:w="462" w:type="pct"/>
                  <w:vAlign w:val="center"/>
                </w:tcPr>
                <w:p>
                  <w:pPr>
                    <w:jc w:val="center"/>
                  </w:pPr>
                  <w:r>
                    <w:t>34.17</w:t>
                  </w:r>
                </w:p>
              </w:tc>
              <w:tc>
                <w:tcPr>
                  <w:tcW w:w="479" w:type="pct"/>
                  <w:vAlign w:val="center"/>
                </w:tcPr>
                <w:p>
                  <w:pPr>
                    <w:jc w:val="center"/>
                  </w:pPr>
                  <w:r>
                    <w:t>6.48</w:t>
                  </w:r>
                </w:p>
              </w:tc>
              <w:tc>
                <w:tcPr>
                  <w:tcW w:w="672" w:type="pct"/>
                  <w:vAlign w:val="center"/>
                </w:tcPr>
                <w:p>
                  <w:pPr>
                    <w:jc w:val="center"/>
                  </w:pPr>
                  <w:r>
                    <w:t>6.70</w:t>
                  </w:r>
                </w:p>
              </w:tc>
              <w:tc>
                <w:tcPr>
                  <w:tcW w:w="682" w:type="pct"/>
                  <w:vAlign w:val="center"/>
                </w:tcPr>
                <w:p>
                  <w:pPr>
                    <w:jc w:val="center"/>
                  </w:pPr>
                  <w:r>
                    <w:t>12.57</w:t>
                  </w:r>
                </w:p>
              </w:tc>
              <w:tc>
                <w:tcPr>
                  <w:tcW w:w="555" w:type="pct"/>
                  <w:vAlign w:val="center"/>
                </w:tcPr>
                <w:p>
                  <w:pPr>
                    <w:jc w:val="center"/>
                  </w:pPr>
                  <w:r>
                    <w:t>0.54</w:t>
                  </w:r>
                </w:p>
              </w:tc>
            </w:tr>
          </w:tbl>
          <w:p>
            <w:pPr>
              <w:widowControl/>
              <w:adjustRightInd w:val="0"/>
              <w:snapToGrid w:val="0"/>
              <w:spacing w:line="480" w:lineRule="exact"/>
              <w:ind w:right="106" w:rightChars="44"/>
              <w:jc w:val="center"/>
              <w:rPr>
                <w:snapToGrid w:val="0"/>
                <w:kern w:val="0"/>
                <w:sz w:val="24"/>
              </w:rPr>
            </w:pPr>
            <w:r>
              <w:rPr>
                <w:snapToGrid w:val="0"/>
                <w:kern w:val="0"/>
                <w:sz w:val="24"/>
              </w:rPr>
              <w:t>表2-5 生活垃圾焚烧炉渣主要组分</w:t>
            </w:r>
          </w:p>
          <w:tbl>
            <w:tblPr>
              <w:tblStyle w:val="38"/>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85"/>
              <w:gridCol w:w="894"/>
              <w:gridCol w:w="1052"/>
              <w:gridCol w:w="897"/>
              <w:gridCol w:w="955"/>
              <w:gridCol w:w="1135"/>
              <w:gridCol w:w="909"/>
              <w:gridCol w:w="109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82" w:type="pct"/>
                  <w:vAlign w:val="center"/>
                </w:tcPr>
                <w:p>
                  <w:pPr>
                    <w:jc w:val="center"/>
                    <w:rPr>
                      <w:b/>
                    </w:rPr>
                  </w:pPr>
                  <w:r>
                    <w:rPr>
                      <w:b/>
                    </w:rPr>
                    <w:t>物理组成</w:t>
                  </w:r>
                </w:p>
              </w:tc>
              <w:tc>
                <w:tcPr>
                  <w:tcW w:w="531" w:type="pct"/>
                  <w:vAlign w:val="center"/>
                </w:tcPr>
                <w:p>
                  <w:pPr>
                    <w:jc w:val="center"/>
                    <w:rPr>
                      <w:b/>
                    </w:rPr>
                  </w:pPr>
                  <w:r>
                    <w:rPr>
                      <w:b/>
                    </w:rPr>
                    <w:t>熔渣</w:t>
                  </w:r>
                </w:p>
              </w:tc>
              <w:tc>
                <w:tcPr>
                  <w:tcW w:w="625" w:type="pct"/>
                  <w:vAlign w:val="center"/>
                </w:tcPr>
                <w:p>
                  <w:pPr>
                    <w:jc w:val="center"/>
                    <w:rPr>
                      <w:b/>
                    </w:rPr>
                  </w:pPr>
                  <w:r>
                    <w:rPr>
                      <w:b/>
                    </w:rPr>
                    <w:t>玻璃</w:t>
                  </w:r>
                </w:p>
              </w:tc>
              <w:tc>
                <w:tcPr>
                  <w:tcW w:w="533" w:type="pct"/>
                  <w:vAlign w:val="center"/>
                </w:tcPr>
                <w:p>
                  <w:pPr>
                    <w:jc w:val="center"/>
                    <w:rPr>
                      <w:b/>
                    </w:rPr>
                  </w:pPr>
                  <w:r>
                    <w:rPr>
                      <w:b/>
                    </w:rPr>
                    <w:t>石子</w:t>
                  </w:r>
                </w:p>
              </w:tc>
              <w:tc>
                <w:tcPr>
                  <w:tcW w:w="567" w:type="pct"/>
                  <w:vAlign w:val="center"/>
                </w:tcPr>
                <w:p>
                  <w:pPr>
                    <w:jc w:val="center"/>
                    <w:rPr>
                      <w:b/>
                    </w:rPr>
                  </w:pPr>
                  <w:r>
                    <w:rPr>
                      <w:b/>
                    </w:rPr>
                    <w:t>砖块</w:t>
                  </w:r>
                </w:p>
              </w:tc>
              <w:tc>
                <w:tcPr>
                  <w:tcW w:w="674" w:type="pct"/>
                  <w:vAlign w:val="center"/>
                </w:tcPr>
                <w:p>
                  <w:pPr>
                    <w:jc w:val="center"/>
                    <w:rPr>
                      <w:b/>
                    </w:rPr>
                  </w:pPr>
                  <w:r>
                    <w:rPr>
                      <w:b/>
                    </w:rPr>
                    <w:t>陶瓷</w:t>
                  </w:r>
                </w:p>
              </w:tc>
              <w:tc>
                <w:tcPr>
                  <w:tcW w:w="540" w:type="pct"/>
                  <w:vAlign w:val="center"/>
                </w:tcPr>
                <w:p>
                  <w:pPr>
                    <w:jc w:val="center"/>
                    <w:rPr>
                      <w:b/>
                    </w:rPr>
                  </w:pPr>
                  <w:r>
                    <w:rPr>
                      <w:b/>
                    </w:rPr>
                    <w:t>有机物</w:t>
                  </w:r>
                </w:p>
              </w:tc>
              <w:tc>
                <w:tcPr>
                  <w:tcW w:w="648" w:type="pct"/>
                  <w:vAlign w:val="center"/>
                </w:tcPr>
                <w:p>
                  <w:pPr>
                    <w:jc w:val="center"/>
                    <w:rPr>
                      <w:b/>
                    </w:rPr>
                  </w:pPr>
                  <w:r>
                    <w:rPr>
                      <w:b/>
                    </w:rPr>
                    <w:t>金属</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82" w:type="pct"/>
                  <w:vAlign w:val="center"/>
                </w:tcPr>
                <w:p>
                  <w:pPr>
                    <w:jc w:val="center"/>
                  </w:pPr>
                  <w:r>
                    <w:t>含量（%）</w:t>
                  </w:r>
                </w:p>
              </w:tc>
              <w:tc>
                <w:tcPr>
                  <w:tcW w:w="531" w:type="pct"/>
                  <w:vAlign w:val="center"/>
                </w:tcPr>
                <w:p>
                  <w:pPr>
                    <w:jc w:val="center"/>
                  </w:pPr>
                  <w:r>
                    <w:t>65</w:t>
                  </w:r>
                </w:p>
              </w:tc>
              <w:tc>
                <w:tcPr>
                  <w:tcW w:w="625" w:type="pct"/>
                  <w:vAlign w:val="center"/>
                </w:tcPr>
                <w:p>
                  <w:pPr>
                    <w:jc w:val="center"/>
                  </w:pPr>
                  <w:r>
                    <w:t>7.6</w:t>
                  </w:r>
                </w:p>
              </w:tc>
              <w:tc>
                <w:tcPr>
                  <w:tcW w:w="533" w:type="pct"/>
                  <w:vAlign w:val="center"/>
                </w:tcPr>
                <w:p>
                  <w:pPr>
                    <w:jc w:val="center"/>
                  </w:pPr>
                  <w:r>
                    <w:t>4.9</w:t>
                  </w:r>
                </w:p>
              </w:tc>
              <w:tc>
                <w:tcPr>
                  <w:tcW w:w="567" w:type="pct"/>
                  <w:vAlign w:val="center"/>
                </w:tcPr>
                <w:p>
                  <w:pPr>
                    <w:jc w:val="center"/>
                  </w:pPr>
                  <w:r>
                    <w:t>15.4</w:t>
                  </w:r>
                </w:p>
              </w:tc>
              <w:tc>
                <w:tcPr>
                  <w:tcW w:w="674" w:type="pct"/>
                  <w:vAlign w:val="center"/>
                </w:tcPr>
                <w:p>
                  <w:pPr>
                    <w:jc w:val="center"/>
                  </w:pPr>
                  <w:r>
                    <w:t>4.8</w:t>
                  </w:r>
                </w:p>
              </w:tc>
              <w:tc>
                <w:tcPr>
                  <w:tcW w:w="540" w:type="pct"/>
                  <w:vAlign w:val="center"/>
                </w:tcPr>
                <w:p>
                  <w:pPr>
                    <w:jc w:val="center"/>
                  </w:pPr>
                  <w:r>
                    <w:t>0.5</w:t>
                  </w:r>
                </w:p>
              </w:tc>
              <w:tc>
                <w:tcPr>
                  <w:tcW w:w="648" w:type="pct"/>
                  <w:vAlign w:val="center"/>
                </w:tcPr>
                <w:p>
                  <w:pPr>
                    <w:jc w:val="center"/>
                  </w:pPr>
                  <w:r>
                    <w:t>1.8</w:t>
                  </w:r>
                </w:p>
              </w:tc>
            </w:tr>
          </w:tbl>
          <w:p>
            <w:pPr>
              <w:widowControl/>
              <w:adjustRightInd w:val="0"/>
              <w:snapToGrid w:val="0"/>
              <w:spacing w:line="480" w:lineRule="exact"/>
              <w:ind w:right="106" w:rightChars="44"/>
              <w:jc w:val="center"/>
              <w:rPr>
                <w:snapToGrid w:val="0"/>
                <w:kern w:val="0"/>
                <w:sz w:val="24"/>
              </w:rPr>
            </w:pPr>
            <w:r>
              <w:rPr>
                <w:snapToGrid w:val="0"/>
                <w:kern w:val="0"/>
                <w:sz w:val="24"/>
              </w:rPr>
              <w:t>表2-6 生活垃圾焚烧炉渣物理性质</w:t>
            </w:r>
          </w:p>
          <w:tbl>
            <w:tblPr>
              <w:tblStyle w:val="38"/>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69"/>
              <w:gridCol w:w="1122"/>
              <w:gridCol w:w="1122"/>
              <w:gridCol w:w="1122"/>
              <w:gridCol w:w="788"/>
              <w:gridCol w:w="939"/>
              <w:gridCol w:w="1098"/>
              <w:gridCol w:w="105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714" w:type="pct"/>
                  <w:vAlign w:val="center"/>
                </w:tcPr>
                <w:p>
                  <w:pPr>
                    <w:jc w:val="center"/>
                    <w:rPr>
                      <w:b/>
                    </w:rPr>
                  </w:pPr>
                  <w:r>
                    <w:rPr>
                      <w:b/>
                    </w:rPr>
                    <w:t>物理性质</w:t>
                  </w:r>
                </w:p>
              </w:tc>
              <w:tc>
                <w:tcPr>
                  <w:tcW w:w="679" w:type="pct"/>
                  <w:vAlign w:val="center"/>
                </w:tcPr>
                <w:p>
                  <w:pPr>
                    <w:jc w:val="center"/>
                    <w:rPr>
                      <w:b/>
                    </w:rPr>
                  </w:pPr>
                  <w:r>
                    <w:rPr>
                      <w:b/>
                    </w:rPr>
                    <w:t>比重</w:t>
                  </w:r>
                  <w:r>
                    <w:rPr>
                      <w:b/>
                    </w:rPr>
                    <w:br w:type="textWrapping"/>
                  </w:r>
                  <w:r>
                    <w:rPr>
                      <w:b/>
                    </w:rPr>
                    <w:t>（</w:t>
                  </w:r>
                  <w:r>
                    <w:rPr>
                      <w:b/>
                      <w:bCs/>
                    </w:rPr>
                    <w:t>t/m</w:t>
                  </w:r>
                  <w:r>
                    <w:rPr>
                      <w:b/>
                      <w:bCs/>
                      <w:vertAlign w:val="superscript"/>
                    </w:rPr>
                    <w:t>3</w:t>
                  </w:r>
                  <w:r>
                    <w:rPr>
                      <w:b/>
                    </w:rPr>
                    <w:t>）</w:t>
                  </w:r>
                </w:p>
              </w:tc>
              <w:tc>
                <w:tcPr>
                  <w:tcW w:w="644" w:type="pct"/>
                  <w:vAlign w:val="center"/>
                </w:tcPr>
                <w:p>
                  <w:pPr>
                    <w:jc w:val="center"/>
                    <w:rPr>
                      <w:b/>
                    </w:rPr>
                  </w:pPr>
                  <w:r>
                    <w:rPr>
                      <w:b/>
                    </w:rPr>
                    <w:t>松散密度</w:t>
                  </w:r>
                  <w:r>
                    <w:rPr>
                      <w:b/>
                    </w:rPr>
                    <w:br w:type="textWrapping"/>
                  </w:r>
                  <w:r>
                    <w:rPr>
                      <w:b/>
                    </w:rPr>
                    <w:t>（</w:t>
                  </w:r>
                  <w:r>
                    <w:rPr>
                      <w:b/>
                      <w:bCs/>
                    </w:rPr>
                    <w:t>t/m</w:t>
                  </w:r>
                  <w:r>
                    <w:rPr>
                      <w:b/>
                      <w:bCs/>
                      <w:vertAlign w:val="superscript"/>
                    </w:rPr>
                    <w:t>3</w:t>
                  </w:r>
                  <w:r>
                    <w:rPr>
                      <w:b/>
                    </w:rPr>
                    <w:t>）</w:t>
                  </w:r>
                </w:p>
              </w:tc>
              <w:tc>
                <w:tcPr>
                  <w:tcW w:w="658" w:type="pct"/>
                  <w:vAlign w:val="center"/>
                </w:tcPr>
                <w:p>
                  <w:pPr>
                    <w:jc w:val="center"/>
                    <w:rPr>
                      <w:b/>
                    </w:rPr>
                  </w:pPr>
                  <w:r>
                    <w:rPr>
                      <w:b/>
                    </w:rPr>
                    <w:t>压实密度</w:t>
                  </w:r>
                  <w:r>
                    <w:rPr>
                      <w:b/>
                    </w:rPr>
                    <w:br w:type="textWrapping"/>
                  </w:r>
                  <w:r>
                    <w:rPr>
                      <w:b/>
                    </w:rPr>
                    <w:t>（</w:t>
                  </w:r>
                  <w:r>
                    <w:rPr>
                      <w:b/>
                      <w:bCs/>
                    </w:rPr>
                    <w:t>t/m</w:t>
                  </w:r>
                  <w:r>
                    <w:rPr>
                      <w:b/>
                      <w:bCs/>
                      <w:vertAlign w:val="superscript"/>
                    </w:rPr>
                    <w:t>3</w:t>
                  </w:r>
                  <w:r>
                    <w:rPr>
                      <w:b/>
                    </w:rPr>
                    <w:t>）</w:t>
                  </w:r>
                </w:p>
              </w:tc>
              <w:tc>
                <w:tcPr>
                  <w:tcW w:w="494" w:type="pct"/>
                  <w:vAlign w:val="center"/>
                </w:tcPr>
                <w:p>
                  <w:pPr>
                    <w:jc w:val="center"/>
                    <w:rPr>
                      <w:b/>
                    </w:rPr>
                  </w:pPr>
                  <w:r>
                    <w:rPr>
                      <w:b/>
                    </w:rPr>
                    <w:t>热灼</w:t>
                  </w:r>
                  <w:r>
                    <w:rPr>
                      <w:b/>
                    </w:rPr>
                    <w:br w:type="textWrapping"/>
                  </w:r>
                  <w:r>
                    <w:rPr>
                      <w:b/>
                    </w:rPr>
                    <w:t>减率</w:t>
                  </w:r>
                </w:p>
              </w:tc>
              <w:tc>
                <w:tcPr>
                  <w:tcW w:w="493" w:type="pct"/>
                  <w:vAlign w:val="center"/>
                </w:tcPr>
                <w:p>
                  <w:pPr>
                    <w:jc w:val="center"/>
                    <w:rPr>
                      <w:b/>
                    </w:rPr>
                  </w:pPr>
                  <w:r>
                    <w:rPr>
                      <w:b/>
                    </w:rPr>
                    <w:t>摩擦角</w:t>
                  </w:r>
                  <w:r>
                    <w:rPr>
                      <w:b/>
                    </w:rPr>
                    <w:br w:type="textWrapping"/>
                  </w:r>
                  <w:r>
                    <w:rPr>
                      <w:b/>
                    </w:rPr>
                    <w:t>（度）</w:t>
                  </w:r>
                </w:p>
              </w:tc>
              <w:tc>
                <w:tcPr>
                  <w:tcW w:w="658" w:type="pct"/>
                  <w:vAlign w:val="center"/>
                </w:tcPr>
                <w:p>
                  <w:pPr>
                    <w:jc w:val="center"/>
                    <w:rPr>
                      <w:b/>
                    </w:rPr>
                  </w:pPr>
                  <w:r>
                    <w:rPr>
                      <w:b/>
                    </w:rPr>
                    <w:t>粒度分布</w:t>
                  </w:r>
                  <w:r>
                    <w:rPr>
                      <w:b/>
                    </w:rPr>
                    <w:br w:type="textWrapping"/>
                  </w:r>
                  <w:r>
                    <w:rPr>
                      <w:b/>
                    </w:rPr>
                    <w:t>（</w:t>
                  </w:r>
                  <w:r>
                    <w:rPr>
                      <w:b/>
                      <w:bCs/>
                    </w:rPr>
                    <w:t>mm</w:t>
                  </w:r>
                  <w:r>
                    <w:rPr>
                      <w:b/>
                    </w:rPr>
                    <w:t>）</w:t>
                  </w:r>
                </w:p>
              </w:tc>
              <w:tc>
                <w:tcPr>
                  <w:tcW w:w="658" w:type="pct"/>
                  <w:vAlign w:val="center"/>
                </w:tcPr>
                <w:p>
                  <w:pPr>
                    <w:jc w:val="center"/>
                    <w:rPr>
                      <w:b/>
                    </w:rPr>
                  </w:pPr>
                  <w:r>
                    <w:rPr>
                      <w:b/>
                    </w:rPr>
                    <w:t>渗透率</w:t>
                  </w:r>
                  <w:r>
                    <w:rPr>
                      <w:b/>
                    </w:rPr>
                    <w:br w:type="textWrapping"/>
                  </w:r>
                  <w:r>
                    <w:rPr>
                      <w:b/>
                    </w:rPr>
                    <w:t>（</w:t>
                  </w:r>
                  <w:r>
                    <w:rPr>
                      <w:b/>
                      <w:bCs/>
                    </w:rPr>
                    <w:t>m/s</w:t>
                  </w:r>
                  <w:r>
                    <w:rPr>
                      <w:b/>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714" w:type="pct"/>
                  <w:vAlign w:val="center"/>
                </w:tcPr>
                <w:p>
                  <w:pPr>
                    <w:jc w:val="center"/>
                  </w:pPr>
                  <w:r>
                    <w:t>炉渣</w:t>
                  </w:r>
                </w:p>
              </w:tc>
              <w:tc>
                <w:tcPr>
                  <w:tcW w:w="679" w:type="pct"/>
                  <w:vAlign w:val="center"/>
                </w:tcPr>
                <w:p>
                  <w:pPr>
                    <w:jc w:val="center"/>
                  </w:pPr>
                  <w:r>
                    <w:t>2.67</w:t>
                  </w:r>
                </w:p>
              </w:tc>
              <w:tc>
                <w:tcPr>
                  <w:tcW w:w="644" w:type="pct"/>
                  <w:vAlign w:val="center"/>
                </w:tcPr>
                <w:p>
                  <w:pPr>
                    <w:jc w:val="center"/>
                  </w:pPr>
                  <w:r>
                    <w:t>1.17</w:t>
                  </w:r>
                </w:p>
              </w:tc>
              <w:tc>
                <w:tcPr>
                  <w:tcW w:w="658" w:type="pct"/>
                  <w:vAlign w:val="center"/>
                </w:tcPr>
                <w:p>
                  <w:pPr>
                    <w:jc w:val="center"/>
                  </w:pPr>
                  <w:r>
                    <w:t>1.54</w:t>
                  </w:r>
                </w:p>
              </w:tc>
              <w:tc>
                <w:tcPr>
                  <w:tcW w:w="494" w:type="pct"/>
                  <w:vAlign w:val="center"/>
                </w:tcPr>
                <w:p>
                  <w:pPr>
                    <w:jc w:val="center"/>
                  </w:pPr>
                  <w:r>
                    <w:t>2.7</w:t>
                  </w:r>
                </w:p>
              </w:tc>
              <w:tc>
                <w:tcPr>
                  <w:tcW w:w="493" w:type="pct"/>
                  <w:vAlign w:val="center"/>
                </w:tcPr>
                <w:p>
                  <w:pPr>
                    <w:jc w:val="center"/>
                  </w:pPr>
                  <w:r>
                    <w:t>46.5</w:t>
                  </w:r>
                </w:p>
              </w:tc>
              <w:tc>
                <w:tcPr>
                  <w:tcW w:w="658" w:type="pct"/>
                  <w:vAlign w:val="center"/>
                </w:tcPr>
                <w:p>
                  <w:pPr>
                    <w:jc w:val="center"/>
                  </w:pPr>
                  <w:r>
                    <w:t>＜5</w:t>
                  </w:r>
                </w:p>
              </w:tc>
              <w:tc>
                <w:tcPr>
                  <w:tcW w:w="658" w:type="pct"/>
                  <w:vAlign w:val="center"/>
                </w:tcPr>
                <w:p>
                  <w:pPr>
                    <w:jc w:val="center"/>
                  </w:pPr>
                  <w:r>
                    <w:t>3.3×10</w:t>
                  </w:r>
                  <w:r>
                    <w:rPr>
                      <w:vertAlign w:val="superscript"/>
                    </w:rPr>
                    <w:t>-5</w:t>
                  </w:r>
                </w:p>
              </w:tc>
            </w:tr>
          </w:tbl>
          <w:p>
            <w:pPr>
              <w:spacing w:before="120" w:beforeLines="50" w:line="360" w:lineRule="auto"/>
              <w:ind w:firstLine="480" w:firstLineChars="200"/>
              <w:rPr>
                <w:sz w:val="24"/>
              </w:rPr>
            </w:pPr>
            <w:r>
              <w:rPr>
                <w:sz w:val="24"/>
              </w:rPr>
              <w:t>根据《三亚市生活垃圾焚烧发电厂炉渣综合利用项目环境影响报告表》，项目原料炉渣的无机化学组成成分如下表所示：</w:t>
            </w:r>
          </w:p>
          <w:p>
            <w:pPr>
              <w:widowControl/>
              <w:adjustRightInd w:val="0"/>
              <w:snapToGrid w:val="0"/>
              <w:spacing w:line="360" w:lineRule="auto"/>
              <w:ind w:right="106" w:rightChars="44"/>
              <w:jc w:val="center"/>
              <w:rPr>
                <w:snapToGrid w:val="0"/>
                <w:kern w:val="0"/>
                <w:sz w:val="24"/>
              </w:rPr>
            </w:pPr>
            <w:r>
              <w:rPr>
                <w:snapToGrid w:val="0"/>
                <w:kern w:val="0"/>
                <w:sz w:val="24"/>
              </w:rPr>
              <w:t>表2-7 项目原料炉渣的组成成分</w:t>
            </w:r>
          </w:p>
          <w:tbl>
            <w:tblPr>
              <w:tblStyle w:val="38"/>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331"/>
              <w:gridCol w:w="681"/>
              <w:gridCol w:w="4536"/>
              <w:gridCol w:w="164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331" w:type="dxa"/>
                  <w:vMerge w:val="restart"/>
                  <w:shd w:val="clear" w:color="auto" w:fill="auto"/>
                  <w:vAlign w:val="center"/>
                </w:tcPr>
                <w:p>
                  <w:pPr>
                    <w:jc w:val="center"/>
                    <w:rPr>
                      <w:szCs w:val="21"/>
                    </w:rPr>
                  </w:pPr>
                  <w:r>
                    <w:rPr>
                      <w:szCs w:val="21"/>
                    </w:rPr>
                    <w:t>炉渣全成分分析结果</w:t>
                  </w:r>
                </w:p>
              </w:tc>
              <w:tc>
                <w:tcPr>
                  <w:tcW w:w="681" w:type="dxa"/>
                  <w:shd w:val="clear" w:color="auto" w:fill="auto"/>
                  <w:vAlign w:val="center"/>
                </w:tcPr>
                <w:p>
                  <w:pPr>
                    <w:jc w:val="center"/>
                    <w:rPr>
                      <w:b/>
                      <w:szCs w:val="21"/>
                    </w:rPr>
                  </w:pPr>
                  <w:r>
                    <w:rPr>
                      <w:b/>
                      <w:szCs w:val="21"/>
                    </w:rPr>
                    <w:t>序号</w:t>
                  </w:r>
                </w:p>
              </w:tc>
              <w:tc>
                <w:tcPr>
                  <w:tcW w:w="4536" w:type="dxa"/>
                  <w:shd w:val="clear" w:color="auto" w:fill="auto"/>
                  <w:vAlign w:val="center"/>
                </w:tcPr>
                <w:p>
                  <w:pPr>
                    <w:jc w:val="center"/>
                    <w:rPr>
                      <w:b/>
                      <w:szCs w:val="21"/>
                    </w:rPr>
                  </w:pPr>
                  <w:r>
                    <w:rPr>
                      <w:b/>
                      <w:szCs w:val="21"/>
                    </w:rPr>
                    <w:t>化合物名称</w:t>
                  </w:r>
                </w:p>
              </w:tc>
              <w:tc>
                <w:tcPr>
                  <w:tcW w:w="1643" w:type="dxa"/>
                  <w:shd w:val="clear" w:color="auto" w:fill="auto"/>
                  <w:vAlign w:val="center"/>
                </w:tcPr>
                <w:p>
                  <w:pPr>
                    <w:jc w:val="center"/>
                    <w:rPr>
                      <w:b/>
                      <w:szCs w:val="21"/>
                    </w:rPr>
                  </w:pPr>
                  <w:r>
                    <w:rPr>
                      <w:b/>
                      <w:szCs w:val="21"/>
                    </w:rPr>
                    <w:t>含量（%）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331" w:type="dxa"/>
                  <w:vMerge w:val="continue"/>
                  <w:shd w:val="clear" w:color="auto" w:fill="auto"/>
                  <w:vAlign w:val="center"/>
                </w:tcPr>
                <w:p>
                  <w:pPr>
                    <w:jc w:val="center"/>
                    <w:rPr>
                      <w:szCs w:val="21"/>
                    </w:rPr>
                  </w:pPr>
                </w:p>
              </w:tc>
              <w:tc>
                <w:tcPr>
                  <w:tcW w:w="681" w:type="dxa"/>
                  <w:shd w:val="clear" w:color="auto" w:fill="auto"/>
                  <w:vAlign w:val="center"/>
                </w:tcPr>
                <w:p>
                  <w:pPr>
                    <w:jc w:val="center"/>
                    <w:rPr>
                      <w:szCs w:val="21"/>
                    </w:rPr>
                  </w:pPr>
                  <w:r>
                    <w:rPr>
                      <w:szCs w:val="21"/>
                    </w:rPr>
                    <w:t>1</w:t>
                  </w:r>
                </w:p>
              </w:tc>
              <w:tc>
                <w:tcPr>
                  <w:tcW w:w="4536" w:type="dxa"/>
                  <w:shd w:val="clear" w:color="auto" w:fill="auto"/>
                  <w:vAlign w:val="center"/>
                </w:tcPr>
                <w:p>
                  <w:pPr>
                    <w:jc w:val="center"/>
                    <w:rPr>
                      <w:szCs w:val="21"/>
                    </w:rPr>
                  </w:pPr>
                  <w:r>
                    <w:rPr>
                      <w:szCs w:val="21"/>
                    </w:rPr>
                    <w:t>二氧化硅</w:t>
                  </w:r>
                </w:p>
              </w:tc>
              <w:tc>
                <w:tcPr>
                  <w:tcW w:w="1643" w:type="dxa"/>
                  <w:shd w:val="clear" w:color="auto" w:fill="auto"/>
                  <w:vAlign w:val="center"/>
                </w:tcPr>
                <w:p>
                  <w:pPr>
                    <w:jc w:val="center"/>
                    <w:rPr>
                      <w:szCs w:val="21"/>
                    </w:rPr>
                  </w:pPr>
                  <w:r>
                    <w:rPr>
                      <w:szCs w:val="21"/>
                    </w:rPr>
                    <w:t>35.1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331" w:type="dxa"/>
                  <w:vMerge w:val="continue"/>
                  <w:shd w:val="clear" w:color="auto" w:fill="auto"/>
                  <w:vAlign w:val="center"/>
                </w:tcPr>
                <w:p>
                  <w:pPr>
                    <w:jc w:val="center"/>
                    <w:rPr>
                      <w:szCs w:val="21"/>
                    </w:rPr>
                  </w:pPr>
                </w:p>
              </w:tc>
              <w:tc>
                <w:tcPr>
                  <w:tcW w:w="681" w:type="dxa"/>
                  <w:shd w:val="clear" w:color="auto" w:fill="auto"/>
                  <w:vAlign w:val="center"/>
                </w:tcPr>
                <w:p>
                  <w:pPr>
                    <w:jc w:val="center"/>
                    <w:rPr>
                      <w:szCs w:val="21"/>
                    </w:rPr>
                  </w:pPr>
                  <w:r>
                    <w:rPr>
                      <w:szCs w:val="21"/>
                    </w:rPr>
                    <w:t>2</w:t>
                  </w:r>
                </w:p>
              </w:tc>
              <w:tc>
                <w:tcPr>
                  <w:tcW w:w="4536" w:type="dxa"/>
                  <w:shd w:val="clear" w:color="auto" w:fill="auto"/>
                  <w:vAlign w:val="center"/>
                </w:tcPr>
                <w:p>
                  <w:pPr>
                    <w:jc w:val="center"/>
                    <w:rPr>
                      <w:szCs w:val="21"/>
                    </w:rPr>
                  </w:pPr>
                  <w:r>
                    <w:rPr>
                      <w:szCs w:val="21"/>
                    </w:rPr>
                    <w:t>三氧化二铝</w:t>
                  </w:r>
                </w:p>
              </w:tc>
              <w:tc>
                <w:tcPr>
                  <w:tcW w:w="1643" w:type="dxa"/>
                  <w:shd w:val="clear" w:color="auto" w:fill="auto"/>
                  <w:vAlign w:val="center"/>
                </w:tcPr>
                <w:p>
                  <w:pPr>
                    <w:jc w:val="center"/>
                    <w:rPr>
                      <w:szCs w:val="21"/>
                    </w:rPr>
                  </w:pPr>
                  <w:r>
                    <w:rPr>
                      <w:szCs w:val="21"/>
                    </w:rPr>
                    <w:t>4.5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331" w:type="dxa"/>
                  <w:vMerge w:val="continue"/>
                  <w:shd w:val="clear" w:color="auto" w:fill="auto"/>
                  <w:vAlign w:val="center"/>
                </w:tcPr>
                <w:p>
                  <w:pPr>
                    <w:jc w:val="center"/>
                    <w:rPr>
                      <w:szCs w:val="21"/>
                    </w:rPr>
                  </w:pPr>
                </w:p>
              </w:tc>
              <w:tc>
                <w:tcPr>
                  <w:tcW w:w="681" w:type="dxa"/>
                  <w:shd w:val="clear" w:color="auto" w:fill="auto"/>
                  <w:vAlign w:val="center"/>
                </w:tcPr>
                <w:p>
                  <w:pPr>
                    <w:jc w:val="center"/>
                    <w:rPr>
                      <w:szCs w:val="21"/>
                    </w:rPr>
                  </w:pPr>
                  <w:r>
                    <w:rPr>
                      <w:szCs w:val="21"/>
                    </w:rPr>
                    <w:t>3</w:t>
                  </w:r>
                </w:p>
              </w:tc>
              <w:tc>
                <w:tcPr>
                  <w:tcW w:w="4536" w:type="dxa"/>
                  <w:shd w:val="clear" w:color="auto" w:fill="auto"/>
                  <w:vAlign w:val="center"/>
                </w:tcPr>
                <w:p>
                  <w:pPr>
                    <w:jc w:val="center"/>
                    <w:rPr>
                      <w:szCs w:val="21"/>
                    </w:rPr>
                  </w:pPr>
                  <w:r>
                    <w:rPr>
                      <w:szCs w:val="21"/>
                    </w:rPr>
                    <w:t>氧化钙+碳酸钙+磷酸钙</w:t>
                  </w:r>
                </w:p>
              </w:tc>
              <w:tc>
                <w:tcPr>
                  <w:tcW w:w="1643" w:type="dxa"/>
                  <w:shd w:val="clear" w:color="auto" w:fill="auto"/>
                  <w:vAlign w:val="center"/>
                </w:tcPr>
                <w:p>
                  <w:pPr>
                    <w:jc w:val="center"/>
                    <w:rPr>
                      <w:szCs w:val="21"/>
                    </w:rPr>
                  </w:pPr>
                  <w:r>
                    <w:rPr>
                      <w:szCs w:val="21"/>
                    </w:rPr>
                    <w:t>40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331" w:type="dxa"/>
                  <w:vMerge w:val="continue"/>
                  <w:shd w:val="clear" w:color="auto" w:fill="auto"/>
                  <w:vAlign w:val="center"/>
                </w:tcPr>
                <w:p>
                  <w:pPr>
                    <w:jc w:val="center"/>
                    <w:rPr>
                      <w:szCs w:val="21"/>
                    </w:rPr>
                  </w:pPr>
                </w:p>
              </w:tc>
              <w:tc>
                <w:tcPr>
                  <w:tcW w:w="681" w:type="dxa"/>
                  <w:shd w:val="clear" w:color="auto" w:fill="auto"/>
                  <w:vAlign w:val="center"/>
                </w:tcPr>
                <w:p>
                  <w:pPr>
                    <w:jc w:val="center"/>
                    <w:rPr>
                      <w:szCs w:val="21"/>
                    </w:rPr>
                  </w:pPr>
                  <w:r>
                    <w:rPr>
                      <w:szCs w:val="21"/>
                    </w:rPr>
                    <w:t>4</w:t>
                  </w:r>
                </w:p>
              </w:tc>
              <w:tc>
                <w:tcPr>
                  <w:tcW w:w="4536" w:type="dxa"/>
                  <w:shd w:val="clear" w:color="auto" w:fill="auto"/>
                  <w:vAlign w:val="center"/>
                </w:tcPr>
                <w:p>
                  <w:pPr>
                    <w:jc w:val="center"/>
                    <w:rPr>
                      <w:szCs w:val="21"/>
                    </w:rPr>
                  </w:pPr>
                  <w:r>
                    <w:rPr>
                      <w:szCs w:val="21"/>
                    </w:rPr>
                    <w:t>氧化镁</w:t>
                  </w:r>
                </w:p>
              </w:tc>
              <w:tc>
                <w:tcPr>
                  <w:tcW w:w="1643" w:type="dxa"/>
                  <w:shd w:val="clear" w:color="auto" w:fill="auto"/>
                  <w:vAlign w:val="center"/>
                </w:tcPr>
                <w:p>
                  <w:pPr>
                    <w:jc w:val="center"/>
                    <w:rPr>
                      <w:szCs w:val="21"/>
                    </w:rPr>
                  </w:pPr>
                  <w:r>
                    <w:rPr>
                      <w:szCs w:val="21"/>
                    </w:rPr>
                    <w:t>1.1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331" w:type="dxa"/>
                  <w:vMerge w:val="continue"/>
                  <w:shd w:val="clear" w:color="auto" w:fill="auto"/>
                  <w:vAlign w:val="center"/>
                </w:tcPr>
                <w:p>
                  <w:pPr>
                    <w:jc w:val="center"/>
                    <w:rPr>
                      <w:szCs w:val="21"/>
                    </w:rPr>
                  </w:pPr>
                </w:p>
              </w:tc>
              <w:tc>
                <w:tcPr>
                  <w:tcW w:w="681" w:type="dxa"/>
                  <w:shd w:val="clear" w:color="auto" w:fill="auto"/>
                  <w:vAlign w:val="center"/>
                </w:tcPr>
                <w:p>
                  <w:pPr>
                    <w:jc w:val="center"/>
                    <w:rPr>
                      <w:szCs w:val="21"/>
                    </w:rPr>
                  </w:pPr>
                  <w:r>
                    <w:rPr>
                      <w:szCs w:val="21"/>
                    </w:rPr>
                    <w:t>5</w:t>
                  </w:r>
                </w:p>
              </w:tc>
              <w:tc>
                <w:tcPr>
                  <w:tcW w:w="4536" w:type="dxa"/>
                  <w:shd w:val="clear" w:color="auto" w:fill="auto"/>
                  <w:vAlign w:val="center"/>
                </w:tcPr>
                <w:p>
                  <w:pPr>
                    <w:jc w:val="center"/>
                    <w:rPr>
                      <w:szCs w:val="21"/>
                    </w:rPr>
                  </w:pPr>
                  <w:r>
                    <w:rPr>
                      <w:szCs w:val="21"/>
                    </w:rPr>
                    <w:t>氯化钠</w:t>
                  </w:r>
                </w:p>
              </w:tc>
              <w:tc>
                <w:tcPr>
                  <w:tcW w:w="1643" w:type="dxa"/>
                  <w:shd w:val="clear" w:color="auto" w:fill="auto"/>
                  <w:vAlign w:val="center"/>
                </w:tcPr>
                <w:p>
                  <w:pPr>
                    <w:jc w:val="center"/>
                    <w:rPr>
                      <w:szCs w:val="21"/>
                    </w:rPr>
                  </w:pPr>
                  <w:r>
                    <w:rPr>
                      <w:szCs w:val="21"/>
                    </w:rPr>
                    <w:t>0.8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331" w:type="dxa"/>
                  <w:vMerge w:val="continue"/>
                  <w:shd w:val="clear" w:color="auto" w:fill="auto"/>
                  <w:vAlign w:val="center"/>
                </w:tcPr>
                <w:p>
                  <w:pPr>
                    <w:jc w:val="center"/>
                    <w:rPr>
                      <w:szCs w:val="21"/>
                    </w:rPr>
                  </w:pPr>
                </w:p>
              </w:tc>
              <w:tc>
                <w:tcPr>
                  <w:tcW w:w="681" w:type="dxa"/>
                  <w:shd w:val="clear" w:color="auto" w:fill="auto"/>
                  <w:vAlign w:val="center"/>
                </w:tcPr>
                <w:p>
                  <w:pPr>
                    <w:jc w:val="center"/>
                    <w:rPr>
                      <w:szCs w:val="21"/>
                    </w:rPr>
                  </w:pPr>
                  <w:r>
                    <w:rPr>
                      <w:szCs w:val="21"/>
                    </w:rPr>
                    <w:t>6</w:t>
                  </w:r>
                </w:p>
              </w:tc>
              <w:tc>
                <w:tcPr>
                  <w:tcW w:w="4536" w:type="dxa"/>
                  <w:shd w:val="clear" w:color="auto" w:fill="auto"/>
                  <w:vAlign w:val="center"/>
                </w:tcPr>
                <w:p>
                  <w:pPr>
                    <w:jc w:val="center"/>
                    <w:rPr>
                      <w:szCs w:val="21"/>
                    </w:rPr>
                  </w:pPr>
                  <w:r>
                    <w:rPr>
                      <w:szCs w:val="21"/>
                    </w:rPr>
                    <w:t>硫酸钾</w:t>
                  </w:r>
                </w:p>
              </w:tc>
              <w:tc>
                <w:tcPr>
                  <w:tcW w:w="1643" w:type="dxa"/>
                  <w:shd w:val="clear" w:color="auto" w:fill="auto"/>
                  <w:vAlign w:val="center"/>
                </w:tcPr>
                <w:p>
                  <w:pPr>
                    <w:jc w:val="center"/>
                    <w:rPr>
                      <w:szCs w:val="21"/>
                    </w:rPr>
                  </w:pPr>
                  <w:r>
                    <w:rPr>
                      <w:szCs w:val="21"/>
                    </w:rPr>
                    <w:t>0.6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331" w:type="dxa"/>
                  <w:vMerge w:val="continue"/>
                  <w:shd w:val="clear" w:color="auto" w:fill="auto"/>
                  <w:vAlign w:val="center"/>
                </w:tcPr>
                <w:p>
                  <w:pPr>
                    <w:jc w:val="center"/>
                    <w:rPr>
                      <w:szCs w:val="21"/>
                    </w:rPr>
                  </w:pPr>
                </w:p>
              </w:tc>
              <w:tc>
                <w:tcPr>
                  <w:tcW w:w="681" w:type="dxa"/>
                  <w:shd w:val="clear" w:color="auto" w:fill="auto"/>
                  <w:vAlign w:val="center"/>
                </w:tcPr>
                <w:p>
                  <w:pPr>
                    <w:jc w:val="center"/>
                    <w:rPr>
                      <w:szCs w:val="21"/>
                    </w:rPr>
                  </w:pPr>
                  <w:r>
                    <w:rPr>
                      <w:szCs w:val="21"/>
                    </w:rPr>
                    <w:t>7</w:t>
                  </w:r>
                </w:p>
              </w:tc>
              <w:tc>
                <w:tcPr>
                  <w:tcW w:w="4536" w:type="dxa"/>
                  <w:shd w:val="clear" w:color="auto" w:fill="auto"/>
                  <w:vAlign w:val="center"/>
                </w:tcPr>
                <w:p>
                  <w:pPr>
                    <w:jc w:val="center"/>
                    <w:rPr>
                      <w:szCs w:val="21"/>
                    </w:rPr>
                  </w:pPr>
                  <w:r>
                    <w:rPr>
                      <w:szCs w:val="21"/>
                    </w:rPr>
                    <w:t>碳酸钠</w:t>
                  </w:r>
                </w:p>
              </w:tc>
              <w:tc>
                <w:tcPr>
                  <w:tcW w:w="1643" w:type="dxa"/>
                  <w:shd w:val="clear" w:color="auto" w:fill="auto"/>
                  <w:vAlign w:val="center"/>
                </w:tcPr>
                <w:p>
                  <w:pPr>
                    <w:jc w:val="center"/>
                    <w:rPr>
                      <w:szCs w:val="21"/>
                    </w:rPr>
                  </w:pPr>
                  <w:r>
                    <w:rPr>
                      <w:szCs w:val="21"/>
                    </w:rPr>
                    <w:t>1.8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331" w:type="dxa"/>
                  <w:vMerge w:val="continue"/>
                  <w:shd w:val="clear" w:color="auto" w:fill="auto"/>
                  <w:vAlign w:val="center"/>
                </w:tcPr>
                <w:p>
                  <w:pPr>
                    <w:jc w:val="center"/>
                    <w:rPr>
                      <w:szCs w:val="21"/>
                    </w:rPr>
                  </w:pPr>
                </w:p>
              </w:tc>
              <w:tc>
                <w:tcPr>
                  <w:tcW w:w="681" w:type="dxa"/>
                  <w:shd w:val="clear" w:color="auto" w:fill="auto"/>
                  <w:vAlign w:val="center"/>
                </w:tcPr>
                <w:p>
                  <w:pPr>
                    <w:jc w:val="center"/>
                    <w:rPr>
                      <w:szCs w:val="21"/>
                    </w:rPr>
                  </w:pPr>
                  <w:r>
                    <w:rPr>
                      <w:szCs w:val="21"/>
                    </w:rPr>
                    <w:t>8</w:t>
                  </w:r>
                </w:p>
              </w:tc>
              <w:tc>
                <w:tcPr>
                  <w:tcW w:w="4536" w:type="dxa"/>
                  <w:shd w:val="clear" w:color="auto" w:fill="auto"/>
                  <w:vAlign w:val="center"/>
                </w:tcPr>
                <w:p>
                  <w:pPr>
                    <w:jc w:val="center"/>
                    <w:rPr>
                      <w:szCs w:val="21"/>
                    </w:rPr>
                  </w:pPr>
                  <w:r>
                    <w:rPr>
                      <w:szCs w:val="21"/>
                    </w:rPr>
                    <w:t>氧化铁+硫酸铁</w:t>
                  </w:r>
                </w:p>
              </w:tc>
              <w:tc>
                <w:tcPr>
                  <w:tcW w:w="1643" w:type="dxa"/>
                  <w:shd w:val="clear" w:color="auto" w:fill="auto"/>
                  <w:vAlign w:val="center"/>
                </w:tcPr>
                <w:p>
                  <w:pPr>
                    <w:jc w:val="center"/>
                    <w:rPr>
                      <w:szCs w:val="21"/>
                    </w:rPr>
                  </w:pPr>
                  <w:r>
                    <w:rPr>
                      <w:szCs w:val="21"/>
                    </w:rPr>
                    <w:t>3.6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331" w:type="dxa"/>
                  <w:vMerge w:val="continue"/>
                  <w:shd w:val="clear" w:color="auto" w:fill="auto"/>
                  <w:vAlign w:val="center"/>
                </w:tcPr>
                <w:p>
                  <w:pPr>
                    <w:jc w:val="center"/>
                    <w:rPr>
                      <w:szCs w:val="21"/>
                    </w:rPr>
                  </w:pPr>
                </w:p>
              </w:tc>
              <w:tc>
                <w:tcPr>
                  <w:tcW w:w="681" w:type="dxa"/>
                  <w:shd w:val="clear" w:color="auto" w:fill="auto"/>
                  <w:vAlign w:val="center"/>
                </w:tcPr>
                <w:p>
                  <w:pPr>
                    <w:jc w:val="center"/>
                    <w:rPr>
                      <w:szCs w:val="21"/>
                    </w:rPr>
                  </w:pPr>
                  <w:r>
                    <w:rPr>
                      <w:szCs w:val="21"/>
                    </w:rPr>
                    <w:t>9</w:t>
                  </w:r>
                </w:p>
              </w:tc>
              <w:tc>
                <w:tcPr>
                  <w:tcW w:w="4536" w:type="dxa"/>
                  <w:shd w:val="clear" w:color="auto" w:fill="auto"/>
                  <w:vAlign w:val="center"/>
                </w:tcPr>
                <w:p>
                  <w:pPr>
                    <w:jc w:val="center"/>
                    <w:rPr>
                      <w:szCs w:val="21"/>
                    </w:rPr>
                  </w:pPr>
                  <w:r>
                    <w:rPr>
                      <w:szCs w:val="21"/>
                    </w:rPr>
                    <w:t>硫酸钡</w:t>
                  </w:r>
                </w:p>
              </w:tc>
              <w:tc>
                <w:tcPr>
                  <w:tcW w:w="1643" w:type="dxa"/>
                  <w:shd w:val="clear" w:color="auto" w:fill="auto"/>
                  <w:vAlign w:val="center"/>
                </w:tcPr>
                <w:p>
                  <w:pPr>
                    <w:jc w:val="center"/>
                    <w:rPr>
                      <w:szCs w:val="21"/>
                    </w:rPr>
                  </w:pPr>
                  <w:r>
                    <w:rPr>
                      <w:szCs w:val="21"/>
                    </w:rPr>
                    <w:t>0.2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331" w:type="dxa"/>
                  <w:vMerge w:val="continue"/>
                  <w:shd w:val="clear" w:color="auto" w:fill="auto"/>
                  <w:vAlign w:val="center"/>
                </w:tcPr>
                <w:p>
                  <w:pPr>
                    <w:jc w:val="center"/>
                    <w:rPr>
                      <w:szCs w:val="21"/>
                    </w:rPr>
                  </w:pPr>
                </w:p>
              </w:tc>
              <w:tc>
                <w:tcPr>
                  <w:tcW w:w="681" w:type="dxa"/>
                  <w:shd w:val="clear" w:color="auto" w:fill="auto"/>
                  <w:vAlign w:val="center"/>
                </w:tcPr>
                <w:p>
                  <w:pPr>
                    <w:jc w:val="center"/>
                    <w:rPr>
                      <w:szCs w:val="21"/>
                    </w:rPr>
                  </w:pPr>
                  <w:r>
                    <w:rPr>
                      <w:szCs w:val="21"/>
                    </w:rPr>
                    <w:t>10</w:t>
                  </w:r>
                </w:p>
              </w:tc>
              <w:tc>
                <w:tcPr>
                  <w:tcW w:w="4536" w:type="dxa"/>
                  <w:shd w:val="clear" w:color="auto" w:fill="auto"/>
                  <w:vAlign w:val="center"/>
                </w:tcPr>
                <w:p>
                  <w:pPr>
                    <w:jc w:val="center"/>
                    <w:rPr>
                      <w:szCs w:val="21"/>
                    </w:rPr>
                  </w:pPr>
                  <w:r>
                    <w:rPr>
                      <w:szCs w:val="21"/>
                    </w:rPr>
                    <w:t>氧化锶、二氧化钛、氧化锰、氧化锌、氧化铜、氧化铅</w:t>
                  </w:r>
                </w:p>
              </w:tc>
              <w:tc>
                <w:tcPr>
                  <w:tcW w:w="1643" w:type="dxa"/>
                  <w:shd w:val="clear" w:color="auto" w:fill="auto"/>
                  <w:vAlign w:val="center"/>
                </w:tcPr>
                <w:p>
                  <w:pPr>
                    <w:jc w:val="center"/>
                    <w:rPr>
                      <w:szCs w:val="21"/>
                    </w:rPr>
                  </w:pPr>
                  <w:r>
                    <w:rPr>
                      <w:szCs w:val="21"/>
                    </w:rPr>
                    <w:t>1.5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331" w:type="dxa"/>
                  <w:vMerge w:val="continue"/>
                  <w:shd w:val="clear" w:color="auto" w:fill="auto"/>
                  <w:vAlign w:val="center"/>
                </w:tcPr>
                <w:p>
                  <w:pPr>
                    <w:jc w:val="center"/>
                    <w:rPr>
                      <w:szCs w:val="21"/>
                    </w:rPr>
                  </w:pPr>
                </w:p>
              </w:tc>
              <w:tc>
                <w:tcPr>
                  <w:tcW w:w="681" w:type="dxa"/>
                  <w:shd w:val="clear" w:color="auto" w:fill="auto"/>
                  <w:vAlign w:val="center"/>
                </w:tcPr>
                <w:p>
                  <w:pPr>
                    <w:jc w:val="center"/>
                    <w:rPr>
                      <w:szCs w:val="21"/>
                    </w:rPr>
                  </w:pPr>
                  <w:r>
                    <w:rPr>
                      <w:szCs w:val="21"/>
                    </w:rPr>
                    <w:t>11</w:t>
                  </w:r>
                </w:p>
              </w:tc>
              <w:tc>
                <w:tcPr>
                  <w:tcW w:w="4536" w:type="dxa"/>
                  <w:shd w:val="clear" w:color="auto" w:fill="auto"/>
                  <w:vAlign w:val="center"/>
                </w:tcPr>
                <w:p>
                  <w:pPr>
                    <w:jc w:val="center"/>
                    <w:rPr>
                      <w:szCs w:val="21"/>
                    </w:rPr>
                  </w:pPr>
                  <w:r>
                    <w:rPr>
                      <w:szCs w:val="21"/>
                    </w:rPr>
                    <w:t>水</w:t>
                  </w:r>
                </w:p>
              </w:tc>
              <w:tc>
                <w:tcPr>
                  <w:tcW w:w="1643" w:type="dxa"/>
                  <w:shd w:val="clear" w:color="auto" w:fill="auto"/>
                  <w:vAlign w:val="center"/>
                </w:tcPr>
                <w:p>
                  <w:pPr>
                    <w:jc w:val="center"/>
                    <w:rPr>
                      <w:szCs w:val="21"/>
                    </w:rPr>
                  </w:pPr>
                  <w:r>
                    <w:rPr>
                      <w:szCs w:val="21"/>
                    </w:rPr>
                    <w:t>10.8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331" w:type="dxa"/>
                  <w:vMerge w:val="continue"/>
                  <w:shd w:val="clear" w:color="auto" w:fill="auto"/>
                  <w:vAlign w:val="center"/>
                </w:tcPr>
                <w:p>
                  <w:pPr>
                    <w:jc w:val="center"/>
                    <w:rPr>
                      <w:szCs w:val="21"/>
                    </w:rPr>
                  </w:pPr>
                </w:p>
              </w:tc>
              <w:tc>
                <w:tcPr>
                  <w:tcW w:w="5217" w:type="dxa"/>
                  <w:gridSpan w:val="2"/>
                  <w:shd w:val="clear" w:color="auto" w:fill="auto"/>
                  <w:vAlign w:val="center"/>
                </w:tcPr>
                <w:p>
                  <w:pPr>
                    <w:jc w:val="center"/>
                    <w:rPr>
                      <w:szCs w:val="21"/>
                    </w:rPr>
                  </w:pPr>
                  <w:r>
                    <w:rPr>
                      <w:szCs w:val="21"/>
                    </w:rPr>
                    <w:t>总计</w:t>
                  </w:r>
                </w:p>
              </w:tc>
              <w:tc>
                <w:tcPr>
                  <w:tcW w:w="1643" w:type="dxa"/>
                  <w:shd w:val="clear" w:color="auto" w:fill="auto"/>
                  <w:vAlign w:val="center"/>
                </w:tcPr>
                <w:p>
                  <w:pPr>
                    <w:jc w:val="center"/>
                    <w:rPr>
                      <w:szCs w:val="21"/>
                    </w:rPr>
                  </w:pPr>
                  <w:r>
                    <w:rPr>
                      <w:szCs w:val="21"/>
                    </w:rPr>
                    <w:t>100</w:t>
                  </w:r>
                </w:p>
              </w:tc>
            </w:tr>
          </w:tbl>
          <w:p>
            <w:pPr>
              <w:widowControl/>
              <w:adjustRightInd w:val="0"/>
              <w:snapToGrid w:val="0"/>
              <w:spacing w:line="480" w:lineRule="exact"/>
              <w:ind w:right="106" w:rightChars="44" w:firstLine="480" w:firstLineChars="200"/>
              <w:jc w:val="left"/>
              <w:rPr>
                <w:sz w:val="24"/>
              </w:rPr>
            </w:pPr>
            <w:r>
              <w:rPr>
                <w:sz w:val="24"/>
              </w:rPr>
              <w:t>本项目建筑垃圾相关要求见下表：</w:t>
            </w:r>
          </w:p>
          <w:p>
            <w:pPr>
              <w:widowControl/>
              <w:adjustRightInd w:val="0"/>
              <w:snapToGrid w:val="0"/>
              <w:spacing w:line="480" w:lineRule="exact"/>
              <w:ind w:right="106" w:rightChars="44" w:firstLine="480" w:firstLineChars="200"/>
              <w:jc w:val="center"/>
              <w:rPr>
                <w:sz w:val="24"/>
              </w:rPr>
            </w:pPr>
            <w:r>
              <w:rPr>
                <w:sz w:val="24"/>
              </w:rPr>
              <w:t>表2-8 建筑垃圾相关信息一览表</w:t>
            </w:r>
          </w:p>
          <w:tbl>
            <w:tblPr>
              <w:tblStyle w:val="39"/>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742"/>
              <w:gridCol w:w="1652"/>
              <w:gridCol w:w="2033"/>
              <w:gridCol w:w="1451"/>
              <w:gridCol w:w="154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0" w:type="auto"/>
                  <w:vAlign w:val="center"/>
                </w:tcPr>
                <w:p>
                  <w:pPr>
                    <w:widowControl/>
                    <w:adjustRightInd w:val="0"/>
                    <w:snapToGrid w:val="0"/>
                    <w:ind w:right="106" w:rightChars="44"/>
                    <w:jc w:val="center"/>
                    <w:rPr>
                      <w:b/>
                      <w:szCs w:val="16"/>
                    </w:rPr>
                  </w:pPr>
                  <w:r>
                    <w:rPr>
                      <w:b/>
                      <w:szCs w:val="16"/>
                    </w:rPr>
                    <w:t>种类</w:t>
                  </w:r>
                </w:p>
              </w:tc>
              <w:tc>
                <w:tcPr>
                  <w:tcW w:w="0" w:type="auto"/>
                  <w:vAlign w:val="center"/>
                </w:tcPr>
                <w:p>
                  <w:pPr>
                    <w:widowControl/>
                    <w:adjustRightInd w:val="0"/>
                    <w:snapToGrid w:val="0"/>
                    <w:ind w:right="106" w:rightChars="44"/>
                    <w:jc w:val="center"/>
                    <w:rPr>
                      <w:b/>
                      <w:szCs w:val="16"/>
                    </w:rPr>
                  </w:pPr>
                  <w:r>
                    <w:rPr>
                      <w:b/>
                      <w:szCs w:val="16"/>
                    </w:rPr>
                    <w:t>来源</w:t>
                  </w:r>
                </w:p>
              </w:tc>
              <w:tc>
                <w:tcPr>
                  <w:tcW w:w="0" w:type="auto"/>
                  <w:vAlign w:val="center"/>
                </w:tcPr>
                <w:p>
                  <w:pPr>
                    <w:widowControl/>
                    <w:adjustRightInd w:val="0"/>
                    <w:snapToGrid w:val="0"/>
                    <w:ind w:right="106" w:rightChars="44"/>
                    <w:jc w:val="center"/>
                    <w:rPr>
                      <w:b/>
                      <w:szCs w:val="16"/>
                    </w:rPr>
                  </w:pPr>
                  <w:r>
                    <w:rPr>
                      <w:b/>
                      <w:szCs w:val="16"/>
                    </w:rPr>
                    <w:t>质量控制要求</w:t>
                  </w:r>
                </w:p>
              </w:tc>
              <w:tc>
                <w:tcPr>
                  <w:tcW w:w="0" w:type="auto"/>
                  <w:vAlign w:val="center"/>
                </w:tcPr>
                <w:p>
                  <w:pPr>
                    <w:widowControl/>
                    <w:adjustRightInd w:val="0"/>
                    <w:snapToGrid w:val="0"/>
                    <w:ind w:right="106" w:rightChars="44"/>
                    <w:jc w:val="center"/>
                    <w:rPr>
                      <w:b/>
                      <w:szCs w:val="16"/>
                    </w:rPr>
                  </w:pPr>
                  <w:r>
                    <w:rPr>
                      <w:b/>
                      <w:szCs w:val="16"/>
                    </w:rPr>
                    <w:t>收集运输方式</w:t>
                  </w:r>
                </w:p>
              </w:tc>
              <w:tc>
                <w:tcPr>
                  <w:tcW w:w="0" w:type="auto"/>
                  <w:vAlign w:val="center"/>
                </w:tcPr>
                <w:p>
                  <w:pPr>
                    <w:widowControl/>
                    <w:adjustRightInd w:val="0"/>
                    <w:snapToGrid w:val="0"/>
                    <w:ind w:right="106" w:rightChars="44"/>
                    <w:jc w:val="center"/>
                    <w:rPr>
                      <w:b/>
                      <w:szCs w:val="16"/>
                    </w:rPr>
                  </w:pPr>
                  <w:r>
                    <w:rPr>
                      <w:b/>
                      <w:szCs w:val="16"/>
                    </w:rPr>
                    <w:t>收集服务范围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0" w:type="auto"/>
                  <w:vAlign w:val="center"/>
                </w:tcPr>
                <w:p>
                  <w:pPr>
                    <w:widowControl/>
                    <w:adjustRightInd w:val="0"/>
                    <w:snapToGrid w:val="0"/>
                    <w:ind w:right="106" w:rightChars="44"/>
                    <w:jc w:val="center"/>
                    <w:rPr>
                      <w:szCs w:val="16"/>
                    </w:rPr>
                  </w:pPr>
                  <w:r>
                    <w:rPr>
                      <w:szCs w:val="16"/>
                    </w:rPr>
                    <w:t>房屋拆除等各类建筑物、构筑物一级装饰装修房屋中所产生的废料（废弃砖瓦、混凝土）等固体废物</w:t>
                  </w:r>
                </w:p>
              </w:tc>
              <w:tc>
                <w:tcPr>
                  <w:tcW w:w="0" w:type="auto"/>
                  <w:vAlign w:val="center"/>
                </w:tcPr>
                <w:p>
                  <w:pPr>
                    <w:widowControl/>
                    <w:adjustRightInd w:val="0"/>
                    <w:snapToGrid w:val="0"/>
                    <w:ind w:right="106" w:rightChars="44"/>
                    <w:jc w:val="center"/>
                    <w:rPr>
                      <w:szCs w:val="16"/>
                    </w:rPr>
                  </w:pPr>
                  <w:r>
                    <w:rPr>
                      <w:szCs w:val="16"/>
                    </w:rPr>
                    <w:t>主要源于乐山市城市及周边建设单位、施工单位或者个人新建、改建、扩建和拆除等建筑物</w:t>
                  </w:r>
                </w:p>
              </w:tc>
              <w:tc>
                <w:tcPr>
                  <w:tcW w:w="0" w:type="auto"/>
                  <w:vAlign w:val="center"/>
                </w:tcPr>
                <w:p>
                  <w:pPr>
                    <w:widowControl/>
                    <w:adjustRightInd w:val="0"/>
                    <w:snapToGrid w:val="0"/>
                    <w:ind w:right="106" w:rightChars="44"/>
                    <w:jc w:val="center"/>
                    <w:rPr>
                      <w:szCs w:val="16"/>
                    </w:rPr>
                  </w:pPr>
                  <w:r>
                    <w:rPr>
                      <w:szCs w:val="16"/>
                    </w:rPr>
                    <w:t>实行减量化、资源化、无害化；建筑垃圾处置场不得接纳工业固体废物、生活垃圾、餐厨垃圾、医疗垃圾、危险废物等非建筑垃圾</w:t>
                  </w:r>
                </w:p>
              </w:tc>
              <w:tc>
                <w:tcPr>
                  <w:tcW w:w="0" w:type="auto"/>
                  <w:vAlign w:val="center"/>
                </w:tcPr>
                <w:p>
                  <w:pPr>
                    <w:widowControl/>
                    <w:adjustRightInd w:val="0"/>
                    <w:snapToGrid w:val="0"/>
                    <w:ind w:right="106" w:rightChars="44"/>
                    <w:jc w:val="center"/>
                    <w:rPr>
                      <w:szCs w:val="16"/>
                    </w:rPr>
                  </w:pPr>
                  <w:r>
                    <w:rPr>
                      <w:szCs w:val="16"/>
                    </w:rPr>
                    <w:t>采用外单位符合技术规范标准的车辆，运输车辆厢体完好、密闭、整洁</w:t>
                  </w:r>
                </w:p>
              </w:tc>
              <w:tc>
                <w:tcPr>
                  <w:tcW w:w="0" w:type="auto"/>
                  <w:vAlign w:val="center"/>
                </w:tcPr>
                <w:p>
                  <w:pPr>
                    <w:widowControl/>
                    <w:adjustRightInd w:val="0"/>
                    <w:snapToGrid w:val="0"/>
                    <w:ind w:right="106" w:rightChars="44"/>
                    <w:jc w:val="center"/>
                    <w:rPr>
                      <w:szCs w:val="16"/>
                    </w:rPr>
                  </w:pPr>
                  <w:r>
                    <w:rPr>
                      <w:szCs w:val="16"/>
                    </w:rPr>
                    <w:t>房屋拆除等各类建筑物、构筑物一家装饰装修房屋中所产生的弃料、弃土等废物</w:t>
                  </w:r>
                </w:p>
              </w:tc>
            </w:tr>
          </w:tbl>
          <w:p>
            <w:pPr>
              <w:widowControl/>
              <w:adjustRightInd w:val="0"/>
              <w:snapToGrid w:val="0"/>
              <w:spacing w:line="360" w:lineRule="auto"/>
              <w:ind w:right="106" w:rightChars="44" w:firstLine="720" w:firstLineChars="300"/>
              <w:jc w:val="left"/>
              <w:rPr>
                <w:sz w:val="24"/>
              </w:rPr>
            </w:pPr>
            <w:r>
              <w:rPr>
                <w:sz w:val="24"/>
              </w:rPr>
              <w:t>（5）主要设备</w:t>
            </w:r>
          </w:p>
          <w:p>
            <w:pPr>
              <w:ind w:firstLine="480" w:firstLineChars="200"/>
              <w:rPr>
                <w:sz w:val="24"/>
              </w:rPr>
            </w:pPr>
            <w:r>
              <w:rPr>
                <w:sz w:val="24"/>
              </w:rPr>
              <w:t>项目主要生产设备见下表。</w:t>
            </w:r>
          </w:p>
          <w:p>
            <w:pPr>
              <w:spacing w:before="120" w:after="120"/>
              <w:jc w:val="center"/>
              <w:rPr>
                <w:snapToGrid w:val="0"/>
                <w:kern w:val="0"/>
                <w:sz w:val="24"/>
              </w:rPr>
            </w:pPr>
            <w:r>
              <w:rPr>
                <w:snapToGrid w:val="0"/>
                <w:kern w:val="0"/>
                <w:sz w:val="24"/>
              </w:rPr>
              <w:t>表2-9  项目主要设备设施清单</w:t>
            </w:r>
          </w:p>
          <w:tbl>
            <w:tblPr>
              <w:tblStyle w:val="38"/>
              <w:tblW w:w="0" w:type="auto"/>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539"/>
              <w:gridCol w:w="2971"/>
              <w:gridCol w:w="1618"/>
              <w:gridCol w:w="1826"/>
              <w:gridCol w:w="1250"/>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00" w:hRule="atLeast"/>
              </w:trPr>
              <w:tc>
                <w:tcPr>
                  <w:tcW w:w="539" w:type="dxa"/>
                  <w:tcBorders>
                    <w:top w:val="single" w:color="auto" w:sz="12" w:space="0"/>
                    <w:left w:val="nil"/>
                    <w:bottom w:val="single" w:color="auto" w:sz="12" w:space="0"/>
                  </w:tcBorders>
                  <w:vAlign w:val="center"/>
                </w:tcPr>
                <w:p>
                  <w:pPr>
                    <w:autoSpaceDE w:val="0"/>
                    <w:spacing w:line="320" w:lineRule="exact"/>
                    <w:jc w:val="center"/>
                  </w:pPr>
                  <w:r>
                    <w:t>序号</w:t>
                  </w:r>
                </w:p>
              </w:tc>
              <w:tc>
                <w:tcPr>
                  <w:tcW w:w="2971" w:type="dxa"/>
                  <w:tcBorders>
                    <w:top w:val="single" w:color="auto" w:sz="12" w:space="0"/>
                    <w:bottom w:val="single" w:color="auto" w:sz="12" w:space="0"/>
                  </w:tcBorders>
                  <w:vAlign w:val="center"/>
                </w:tcPr>
                <w:p>
                  <w:pPr>
                    <w:autoSpaceDE w:val="0"/>
                    <w:spacing w:line="320" w:lineRule="exact"/>
                    <w:jc w:val="center"/>
                  </w:pPr>
                  <w:r>
                    <w:t>设备名称</w:t>
                  </w:r>
                </w:p>
              </w:tc>
              <w:tc>
                <w:tcPr>
                  <w:tcW w:w="1618" w:type="dxa"/>
                  <w:tcBorders>
                    <w:top w:val="single" w:color="auto" w:sz="12" w:space="0"/>
                    <w:bottom w:val="single" w:color="auto" w:sz="12" w:space="0"/>
                  </w:tcBorders>
                  <w:vAlign w:val="center"/>
                </w:tcPr>
                <w:p>
                  <w:pPr>
                    <w:autoSpaceDE w:val="0"/>
                    <w:spacing w:line="320" w:lineRule="exact"/>
                    <w:jc w:val="center"/>
                  </w:pPr>
                  <w:r>
                    <w:t>型号/功率kW</w:t>
                  </w:r>
                </w:p>
              </w:tc>
              <w:tc>
                <w:tcPr>
                  <w:tcW w:w="1826" w:type="dxa"/>
                  <w:tcBorders>
                    <w:top w:val="single" w:color="auto" w:sz="12" w:space="0"/>
                    <w:bottom w:val="single" w:color="auto" w:sz="12" w:space="0"/>
                  </w:tcBorders>
                  <w:vAlign w:val="center"/>
                </w:tcPr>
                <w:p>
                  <w:pPr>
                    <w:autoSpaceDE w:val="0"/>
                    <w:spacing w:line="320" w:lineRule="exact"/>
                    <w:jc w:val="center"/>
                  </w:pPr>
                  <w:r>
                    <w:t>数量（台、套）</w:t>
                  </w:r>
                </w:p>
              </w:tc>
              <w:tc>
                <w:tcPr>
                  <w:tcW w:w="1250" w:type="dxa"/>
                  <w:tcBorders>
                    <w:top w:val="single" w:color="auto" w:sz="12" w:space="0"/>
                    <w:bottom w:val="single" w:color="auto" w:sz="12" w:space="0"/>
                    <w:right w:val="nil"/>
                  </w:tcBorders>
                  <w:vAlign w:val="center"/>
                </w:tcPr>
                <w:p>
                  <w:pPr>
                    <w:autoSpaceDE w:val="0"/>
                    <w:spacing w:line="320" w:lineRule="exact"/>
                    <w:jc w:val="center"/>
                  </w:pPr>
                  <w:r>
                    <w:t>备注</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07" w:hRule="atLeast"/>
              </w:trPr>
              <w:tc>
                <w:tcPr>
                  <w:tcW w:w="539" w:type="dxa"/>
                  <w:tcBorders>
                    <w:top w:val="single" w:color="auto" w:sz="12" w:space="0"/>
                    <w:left w:val="nil"/>
                  </w:tcBorders>
                  <w:vAlign w:val="center"/>
                </w:tcPr>
                <w:p>
                  <w:pPr>
                    <w:autoSpaceDE w:val="0"/>
                    <w:spacing w:line="320" w:lineRule="exact"/>
                    <w:jc w:val="center"/>
                  </w:pPr>
                  <w:r>
                    <w:t>1</w:t>
                  </w:r>
                </w:p>
              </w:tc>
              <w:tc>
                <w:tcPr>
                  <w:tcW w:w="2971" w:type="dxa"/>
                  <w:tcBorders>
                    <w:top w:val="single" w:color="auto" w:sz="12" w:space="0"/>
                  </w:tcBorders>
                  <w:vAlign w:val="center"/>
                </w:tcPr>
                <w:p>
                  <w:pPr>
                    <w:autoSpaceDE w:val="0"/>
                    <w:spacing w:line="320" w:lineRule="exact"/>
                    <w:jc w:val="center"/>
                  </w:pPr>
                  <w:r>
                    <w:rPr>
                      <w:sz w:val="22"/>
                      <w:szCs w:val="22"/>
                    </w:rPr>
                    <w:t>皮带输送机</w:t>
                  </w:r>
                </w:p>
              </w:tc>
              <w:tc>
                <w:tcPr>
                  <w:tcW w:w="1618" w:type="dxa"/>
                  <w:tcBorders>
                    <w:top w:val="single" w:color="auto" w:sz="12" w:space="0"/>
                  </w:tcBorders>
                  <w:vAlign w:val="center"/>
                </w:tcPr>
                <w:p>
                  <w:pPr>
                    <w:autoSpaceDE w:val="0"/>
                    <w:spacing w:line="320" w:lineRule="exact"/>
                    <w:jc w:val="center"/>
                  </w:pPr>
                  <w:r>
                    <w:rPr>
                      <w:sz w:val="22"/>
                      <w:szCs w:val="22"/>
                    </w:rPr>
                    <w:t>5.5</w:t>
                  </w:r>
                </w:p>
              </w:tc>
              <w:tc>
                <w:tcPr>
                  <w:tcW w:w="1826" w:type="dxa"/>
                  <w:tcBorders>
                    <w:top w:val="single" w:color="auto" w:sz="12" w:space="0"/>
                  </w:tcBorders>
                  <w:vAlign w:val="center"/>
                </w:tcPr>
                <w:p>
                  <w:pPr>
                    <w:autoSpaceDE w:val="0"/>
                    <w:spacing w:line="320" w:lineRule="exact"/>
                    <w:jc w:val="center"/>
                  </w:pPr>
                  <w:r>
                    <w:rPr>
                      <w:sz w:val="22"/>
                      <w:szCs w:val="22"/>
                    </w:rPr>
                    <w:t>19</w:t>
                  </w:r>
                </w:p>
              </w:tc>
              <w:tc>
                <w:tcPr>
                  <w:tcW w:w="1250" w:type="dxa"/>
                  <w:vMerge w:val="restart"/>
                  <w:tcBorders>
                    <w:top w:val="single" w:color="auto" w:sz="12" w:space="0"/>
                    <w:right w:val="nil"/>
                  </w:tcBorders>
                  <w:vAlign w:val="center"/>
                </w:tcPr>
                <w:p>
                  <w:pPr>
                    <w:autoSpaceDE w:val="0"/>
                    <w:spacing w:line="320" w:lineRule="exact"/>
                    <w:jc w:val="center"/>
                  </w:pPr>
                  <w:r>
                    <w:t>炉渣综合利用生产线</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75" w:hRule="atLeast"/>
              </w:trPr>
              <w:tc>
                <w:tcPr>
                  <w:tcW w:w="539" w:type="dxa"/>
                  <w:tcBorders>
                    <w:left w:val="nil"/>
                  </w:tcBorders>
                  <w:vAlign w:val="center"/>
                </w:tcPr>
                <w:p>
                  <w:pPr>
                    <w:autoSpaceDE w:val="0"/>
                    <w:spacing w:line="320" w:lineRule="exact"/>
                    <w:jc w:val="center"/>
                  </w:pPr>
                  <w:r>
                    <w:t>2</w:t>
                  </w:r>
                </w:p>
              </w:tc>
              <w:tc>
                <w:tcPr>
                  <w:tcW w:w="2971" w:type="dxa"/>
                  <w:vAlign w:val="center"/>
                </w:tcPr>
                <w:p>
                  <w:pPr>
                    <w:autoSpaceDE w:val="0"/>
                    <w:spacing w:line="320" w:lineRule="exact"/>
                    <w:jc w:val="center"/>
                  </w:pPr>
                  <w:r>
                    <w:rPr>
                      <w:sz w:val="22"/>
                      <w:szCs w:val="22"/>
                    </w:rPr>
                    <w:t>振动喂料机</w:t>
                  </w:r>
                </w:p>
              </w:tc>
              <w:tc>
                <w:tcPr>
                  <w:tcW w:w="1618" w:type="dxa"/>
                  <w:vAlign w:val="center"/>
                </w:tcPr>
                <w:p>
                  <w:pPr>
                    <w:autoSpaceDE w:val="0"/>
                    <w:spacing w:line="320" w:lineRule="exact"/>
                    <w:jc w:val="center"/>
                  </w:pPr>
                  <w:r>
                    <w:rPr>
                      <w:sz w:val="22"/>
                      <w:szCs w:val="22"/>
                    </w:rPr>
                    <w:t>0.55</w:t>
                  </w:r>
                </w:p>
              </w:tc>
              <w:tc>
                <w:tcPr>
                  <w:tcW w:w="1826" w:type="dxa"/>
                  <w:vAlign w:val="center"/>
                </w:tcPr>
                <w:p>
                  <w:pPr>
                    <w:autoSpaceDE w:val="0"/>
                    <w:spacing w:line="320" w:lineRule="exact"/>
                    <w:jc w:val="center"/>
                  </w:pPr>
                  <w:r>
                    <w:rPr>
                      <w:sz w:val="22"/>
                      <w:szCs w:val="22"/>
                    </w:rPr>
                    <w:t>5</w:t>
                  </w:r>
                </w:p>
              </w:tc>
              <w:tc>
                <w:tcPr>
                  <w:tcW w:w="1250" w:type="dxa"/>
                  <w:vMerge w:val="continue"/>
                  <w:tcBorders>
                    <w:right w:val="nil"/>
                  </w:tcBorders>
                  <w:vAlign w:val="center"/>
                </w:tcPr>
                <w:p>
                  <w:pPr>
                    <w:autoSpaceDE w:val="0"/>
                    <w:spacing w:line="320" w:lineRule="exact"/>
                    <w:jc w:val="cente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07" w:hRule="atLeast"/>
              </w:trPr>
              <w:tc>
                <w:tcPr>
                  <w:tcW w:w="539" w:type="dxa"/>
                  <w:tcBorders>
                    <w:left w:val="nil"/>
                  </w:tcBorders>
                  <w:vAlign w:val="center"/>
                </w:tcPr>
                <w:p>
                  <w:pPr>
                    <w:autoSpaceDE w:val="0"/>
                    <w:spacing w:line="320" w:lineRule="exact"/>
                    <w:jc w:val="center"/>
                  </w:pPr>
                  <w:r>
                    <w:t>3</w:t>
                  </w:r>
                </w:p>
              </w:tc>
              <w:tc>
                <w:tcPr>
                  <w:tcW w:w="2971" w:type="dxa"/>
                  <w:vAlign w:val="center"/>
                </w:tcPr>
                <w:p>
                  <w:pPr>
                    <w:autoSpaceDE w:val="0"/>
                    <w:spacing w:line="320" w:lineRule="exact"/>
                    <w:jc w:val="center"/>
                  </w:pPr>
                  <w:r>
                    <w:rPr>
                      <w:sz w:val="22"/>
                      <w:szCs w:val="22"/>
                    </w:rPr>
                    <w:t>破碎机</w:t>
                  </w:r>
                </w:p>
              </w:tc>
              <w:tc>
                <w:tcPr>
                  <w:tcW w:w="1618" w:type="dxa"/>
                  <w:vAlign w:val="center"/>
                </w:tcPr>
                <w:p>
                  <w:pPr>
                    <w:autoSpaceDE w:val="0"/>
                    <w:spacing w:line="320" w:lineRule="exact"/>
                    <w:jc w:val="center"/>
                    <w:rPr>
                      <w:szCs w:val="21"/>
                    </w:rPr>
                  </w:pPr>
                  <w:r>
                    <w:rPr>
                      <w:sz w:val="22"/>
                      <w:szCs w:val="22"/>
                    </w:rPr>
                    <w:t>55</w:t>
                  </w:r>
                </w:p>
              </w:tc>
              <w:tc>
                <w:tcPr>
                  <w:tcW w:w="1826" w:type="dxa"/>
                  <w:vAlign w:val="center"/>
                </w:tcPr>
                <w:p>
                  <w:pPr>
                    <w:autoSpaceDE w:val="0"/>
                    <w:spacing w:line="320" w:lineRule="exact"/>
                    <w:jc w:val="center"/>
                  </w:pPr>
                  <w:r>
                    <w:rPr>
                      <w:sz w:val="22"/>
                      <w:szCs w:val="22"/>
                    </w:rPr>
                    <w:t>6</w:t>
                  </w:r>
                </w:p>
              </w:tc>
              <w:tc>
                <w:tcPr>
                  <w:tcW w:w="1250" w:type="dxa"/>
                  <w:vMerge w:val="continue"/>
                  <w:tcBorders>
                    <w:right w:val="nil"/>
                  </w:tcBorders>
                  <w:vAlign w:val="center"/>
                </w:tcPr>
                <w:p>
                  <w:pPr>
                    <w:autoSpaceDE w:val="0"/>
                    <w:spacing w:line="320" w:lineRule="exact"/>
                    <w:jc w:val="cente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07" w:hRule="atLeast"/>
              </w:trPr>
              <w:tc>
                <w:tcPr>
                  <w:tcW w:w="539" w:type="dxa"/>
                  <w:tcBorders>
                    <w:left w:val="nil"/>
                  </w:tcBorders>
                  <w:vAlign w:val="center"/>
                </w:tcPr>
                <w:p>
                  <w:pPr>
                    <w:autoSpaceDE w:val="0"/>
                    <w:spacing w:line="320" w:lineRule="exact"/>
                    <w:jc w:val="center"/>
                  </w:pPr>
                  <w:r>
                    <w:t>4</w:t>
                  </w:r>
                </w:p>
              </w:tc>
              <w:tc>
                <w:tcPr>
                  <w:tcW w:w="2971" w:type="dxa"/>
                  <w:vAlign w:val="center"/>
                </w:tcPr>
                <w:p>
                  <w:pPr>
                    <w:autoSpaceDE w:val="0"/>
                    <w:spacing w:line="320" w:lineRule="exact"/>
                    <w:jc w:val="center"/>
                  </w:pPr>
                  <w:r>
                    <w:rPr>
                      <w:sz w:val="22"/>
                      <w:szCs w:val="22"/>
                    </w:rPr>
                    <w:t>湿选机</w:t>
                  </w:r>
                </w:p>
              </w:tc>
              <w:tc>
                <w:tcPr>
                  <w:tcW w:w="1618" w:type="dxa"/>
                  <w:vAlign w:val="center"/>
                </w:tcPr>
                <w:p>
                  <w:pPr>
                    <w:autoSpaceDE w:val="0"/>
                    <w:spacing w:line="320" w:lineRule="exact"/>
                    <w:jc w:val="center"/>
                    <w:rPr>
                      <w:szCs w:val="21"/>
                    </w:rPr>
                  </w:pPr>
                  <w:r>
                    <w:rPr>
                      <w:sz w:val="22"/>
                      <w:szCs w:val="22"/>
                    </w:rPr>
                    <w:t>2.2</w:t>
                  </w:r>
                </w:p>
              </w:tc>
              <w:tc>
                <w:tcPr>
                  <w:tcW w:w="1826" w:type="dxa"/>
                  <w:vAlign w:val="center"/>
                </w:tcPr>
                <w:p>
                  <w:pPr>
                    <w:autoSpaceDE w:val="0"/>
                    <w:spacing w:line="320" w:lineRule="exact"/>
                    <w:jc w:val="center"/>
                  </w:pPr>
                  <w:r>
                    <w:rPr>
                      <w:sz w:val="22"/>
                      <w:szCs w:val="22"/>
                    </w:rPr>
                    <w:t>2</w:t>
                  </w:r>
                </w:p>
              </w:tc>
              <w:tc>
                <w:tcPr>
                  <w:tcW w:w="1250" w:type="dxa"/>
                  <w:vMerge w:val="continue"/>
                  <w:tcBorders>
                    <w:right w:val="nil"/>
                  </w:tcBorders>
                  <w:vAlign w:val="center"/>
                </w:tcPr>
                <w:p>
                  <w:pPr>
                    <w:autoSpaceDE w:val="0"/>
                    <w:spacing w:line="320" w:lineRule="exact"/>
                    <w:jc w:val="cente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07" w:hRule="atLeast"/>
              </w:trPr>
              <w:tc>
                <w:tcPr>
                  <w:tcW w:w="539" w:type="dxa"/>
                  <w:tcBorders>
                    <w:left w:val="nil"/>
                  </w:tcBorders>
                  <w:vAlign w:val="center"/>
                </w:tcPr>
                <w:p>
                  <w:pPr>
                    <w:autoSpaceDE w:val="0"/>
                    <w:spacing w:line="320" w:lineRule="exact"/>
                    <w:jc w:val="center"/>
                  </w:pPr>
                  <w:r>
                    <w:t>5</w:t>
                  </w:r>
                </w:p>
              </w:tc>
              <w:tc>
                <w:tcPr>
                  <w:tcW w:w="2971" w:type="dxa"/>
                  <w:vAlign w:val="center"/>
                </w:tcPr>
                <w:p>
                  <w:pPr>
                    <w:autoSpaceDE w:val="0"/>
                    <w:spacing w:line="320" w:lineRule="exact"/>
                    <w:jc w:val="center"/>
                  </w:pPr>
                  <w:r>
                    <w:rPr>
                      <w:sz w:val="22"/>
                      <w:szCs w:val="22"/>
                    </w:rPr>
                    <w:t>跳汰机</w:t>
                  </w:r>
                </w:p>
              </w:tc>
              <w:tc>
                <w:tcPr>
                  <w:tcW w:w="1618" w:type="dxa"/>
                  <w:vAlign w:val="center"/>
                </w:tcPr>
                <w:p>
                  <w:pPr>
                    <w:autoSpaceDE w:val="0"/>
                    <w:spacing w:line="320" w:lineRule="exact"/>
                    <w:jc w:val="center"/>
                    <w:rPr>
                      <w:szCs w:val="21"/>
                    </w:rPr>
                  </w:pPr>
                  <w:r>
                    <w:rPr>
                      <w:sz w:val="22"/>
                      <w:szCs w:val="22"/>
                    </w:rPr>
                    <w:t>12</w:t>
                  </w:r>
                </w:p>
              </w:tc>
              <w:tc>
                <w:tcPr>
                  <w:tcW w:w="1826" w:type="dxa"/>
                  <w:vAlign w:val="center"/>
                </w:tcPr>
                <w:p>
                  <w:pPr>
                    <w:autoSpaceDE w:val="0"/>
                    <w:spacing w:line="320" w:lineRule="exact"/>
                    <w:jc w:val="center"/>
                  </w:pPr>
                  <w:r>
                    <w:rPr>
                      <w:sz w:val="22"/>
                      <w:szCs w:val="22"/>
                    </w:rPr>
                    <w:t>3</w:t>
                  </w:r>
                </w:p>
              </w:tc>
              <w:tc>
                <w:tcPr>
                  <w:tcW w:w="1250" w:type="dxa"/>
                  <w:vMerge w:val="continue"/>
                  <w:tcBorders>
                    <w:right w:val="nil"/>
                  </w:tcBorders>
                  <w:vAlign w:val="center"/>
                </w:tcPr>
                <w:p>
                  <w:pPr>
                    <w:autoSpaceDE w:val="0"/>
                    <w:spacing w:line="320" w:lineRule="exact"/>
                    <w:jc w:val="cente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07" w:hRule="atLeast"/>
              </w:trPr>
              <w:tc>
                <w:tcPr>
                  <w:tcW w:w="539" w:type="dxa"/>
                  <w:tcBorders>
                    <w:left w:val="nil"/>
                  </w:tcBorders>
                  <w:vAlign w:val="center"/>
                </w:tcPr>
                <w:p>
                  <w:pPr>
                    <w:autoSpaceDE w:val="0"/>
                    <w:spacing w:line="320" w:lineRule="exact"/>
                    <w:jc w:val="center"/>
                  </w:pPr>
                  <w:r>
                    <w:t>6</w:t>
                  </w:r>
                </w:p>
              </w:tc>
              <w:tc>
                <w:tcPr>
                  <w:tcW w:w="2971" w:type="dxa"/>
                  <w:vAlign w:val="center"/>
                </w:tcPr>
                <w:p>
                  <w:pPr>
                    <w:autoSpaceDE w:val="0"/>
                    <w:spacing w:line="320" w:lineRule="exact"/>
                    <w:jc w:val="center"/>
                  </w:pPr>
                  <w:r>
                    <w:rPr>
                      <w:sz w:val="22"/>
                      <w:szCs w:val="22"/>
                    </w:rPr>
                    <w:t>滚筒筛分机</w:t>
                  </w:r>
                </w:p>
              </w:tc>
              <w:tc>
                <w:tcPr>
                  <w:tcW w:w="1618" w:type="dxa"/>
                  <w:vAlign w:val="center"/>
                </w:tcPr>
                <w:p>
                  <w:pPr>
                    <w:autoSpaceDE w:val="0"/>
                    <w:spacing w:line="320" w:lineRule="exact"/>
                    <w:jc w:val="center"/>
                  </w:pPr>
                  <w:r>
                    <w:rPr>
                      <w:sz w:val="22"/>
                      <w:szCs w:val="22"/>
                    </w:rPr>
                    <w:t>18.5</w:t>
                  </w:r>
                </w:p>
              </w:tc>
              <w:tc>
                <w:tcPr>
                  <w:tcW w:w="1826" w:type="dxa"/>
                  <w:vAlign w:val="center"/>
                </w:tcPr>
                <w:p>
                  <w:pPr>
                    <w:autoSpaceDE w:val="0"/>
                    <w:spacing w:line="320" w:lineRule="exact"/>
                    <w:jc w:val="center"/>
                  </w:pPr>
                  <w:r>
                    <w:rPr>
                      <w:sz w:val="22"/>
                      <w:szCs w:val="22"/>
                    </w:rPr>
                    <w:t>2</w:t>
                  </w:r>
                </w:p>
              </w:tc>
              <w:tc>
                <w:tcPr>
                  <w:tcW w:w="1250" w:type="dxa"/>
                  <w:vMerge w:val="continue"/>
                  <w:tcBorders>
                    <w:right w:val="nil"/>
                  </w:tcBorders>
                  <w:vAlign w:val="center"/>
                </w:tcPr>
                <w:p>
                  <w:pPr>
                    <w:autoSpaceDE w:val="0"/>
                    <w:spacing w:line="320" w:lineRule="exact"/>
                    <w:jc w:val="cente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07" w:hRule="atLeast"/>
              </w:trPr>
              <w:tc>
                <w:tcPr>
                  <w:tcW w:w="539" w:type="dxa"/>
                  <w:tcBorders>
                    <w:left w:val="nil"/>
                  </w:tcBorders>
                  <w:vAlign w:val="center"/>
                </w:tcPr>
                <w:p>
                  <w:pPr>
                    <w:autoSpaceDE w:val="0"/>
                    <w:spacing w:line="320" w:lineRule="exact"/>
                    <w:jc w:val="center"/>
                  </w:pPr>
                  <w:r>
                    <w:t>7</w:t>
                  </w:r>
                </w:p>
              </w:tc>
              <w:tc>
                <w:tcPr>
                  <w:tcW w:w="2971" w:type="dxa"/>
                  <w:vAlign w:val="center"/>
                </w:tcPr>
                <w:p>
                  <w:pPr>
                    <w:autoSpaceDE w:val="0"/>
                    <w:spacing w:line="320" w:lineRule="exact"/>
                    <w:jc w:val="center"/>
                  </w:pPr>
                  <w:r>
                    <w:rPr>
                      <w:sz w:val="22"/>
                      <w:szCs w:val="22"/>
                    </w:rPr>
                    <w:t>跳铝机</w:t>
                  </w:r>
                </w:p>
              </w:tc>
              <w:tc>
                <w:tcPr>
                  <w:tcW w:w="1618" w:type="dxa"/>
                  <w:vAlign w:val="center"/>
                </w:tcPr>
                <w:p>
                  <w:pPr>
                    <w:autoSpaceDE w:val="0"/>
                    <w:spacing w:line="320" w:lineRule="exact"/>
                    <w:jc w:val="center"/>
                  </w:pPr>
                  <w:r>
                    <w:rPr>
                      <w:sz w:val="22"/>
                      <w:szCs w:val="22"/>
                    </w:rPr>
                    <w:t>14.5</w:t>
                  </w:r>
                </w:p>
              </w:tc>
              <w:tc>
                <w:tcPr>
                  <w:tcW w:w="1826" w:type="dxa"/>
                  <w:vAlign w:val="center"/>
                </w:tcPr>
                <w:p>
                  <w:pPr>
                    <w:autoSpaceDE w:val="0"/>
                    <w:spacing w:line="320" w:lineRule="exact"/>
                    <w:jc w:val="center"/>
                  </w:pPr>
                  <w:r>
                    <w:rPr>
                      <w:sz w:val="22"/>
                      <w:szCs w:val="22"/>
                    </w:rPr>
                    <w:t>2</w:t>
                  </w:r>
                </w:p>
              </w:tc>
              <w:tc>
                <w:tcPr>
                  <w:tcW w:w="1250" w:type="dxa"/>
                  <w:vMerge w:val="continue"/>
                  <w:tcBorders>
                    <w:right w:val="nil"/>
                  </w:tcBorders>
                  <w:vAlign w:val="center"/>
                </w:tcPr>
                <w:p>
                  <w:pPr>
                    <w:autoSpaceDE w:val="0"/>
                    <w:spacing w:line="320" w:lineRule="exact"/>
                    <w:jc w:val="cente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07" w:hRule="atLeast"/>
              </w:trPr>
              <w:tc>
                <w:tcPr>
                  <w:tcW w:w="539" w:type="dxa"/>
                  <w:tcBorders>
                    <w:left w:val="nil"/>
                  </w:tcBorders>
                  <w:vAlign w:val="center"/>
                </w:tcPr>
                <w:p>
                  <w:pPr>
                    <w:autoSpaceDE w:val="0"/>
                    <w:spacing w:line="320" w:lineRule="exact"/>
                    <w:jc w:val="center"/>
                  </w:pPr>
                  <w:r>
                    <w:t>8</w:t>
                  </w:r>
                </w:p>
              </w:tc>
              <w:tc>
                <w:tcPr>
                  <w:tcW w:w="2971" w:type="dxa"/>
                  <w:vAlign w:val="center"/>
                </w:tcPr>
                <w:p>
                  <w:pPr>
                    <w:autoSpaceDE w:val="0"/>
                    <w:spacing w:line="320" w:lineRule="exact"/>
                    <w:jc w:val="center"/>
                  </w:pPr>
                  <w:r>
                    <w:rPr>
                      <w:sz w:val="22"/>
                      <w:szCs w:val="22"/>
                    </w:rPr>
                    <w:t>脱水筛</w:t>
                  </w:r>
                </w:p>
              </w:tc>
              <w:tc>
                <w:tcPr>
                  <w:tcW w:w="1618" w:type="dxa"/>
                  <w:vAlign w:val="center"/>
                </w:tcPr>
                <w:p>
                  <w:pPr>
                    <w:autoSpaceDE w:val="0"/>
                    <w:spacing w:line="320" w:lineRule="exact"/>
                    <w:jc w:val="center"/>
                  </w:pPr>
                  <w:r>
                    <w:rPr>
                      <w:sz w:val="22"/>
                      <w:szCs w:val="22"/>
                    </w:rPr>
                    <w:t>15</w:t>
                  </w:r>
                </w:p>
              </w:tc>
              <w:tc>
                <w:tcPr>
                  <w:tcW w:w="1826" w:type="dxa"/>
                  <w:vAlign w:val="center"/>
                </w:tcPr>
                <w:p>
                  <w:pPr>
                    <w:autoSpaceDE w:val="0"/>
                    <w:spacing w:line="320" w:lineRule="exact"/>
                    <w:jc w:val="center"/>
                  </w:pPr>
                  <w:r>
                    <w:rPr>
                      <w:sz w:val="22"/>
                      <w:szCs w:val="22"/>
                    </w:rPr>
                    <w:t>2</w:t>
                  </w:r>
                </w:p>
              </w:tc>
              <w:tc>
                <w:tcPr>
                  <w:tcW w:w="1250" w:type="dxa"/>
                  <w:vMerge w:val="continue"/>
                  <w:tcBorders>
                    <w:right w:val="nil"/>
                  </w:tcBorders>
                  <w:vAlign w:val="center"/>
                </w:tcPr>
                <w:p>
                  <w:pPr>
                    <w:autoSpaceDE w:val="0"/>
                    <w:spacing w:line="320" w:lineRule="exact"/>
                    <w:jc w:val="cente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07" w:hRule="atLeast"/>
              </w:trPr>
              <w:tc>
                <w:tcPr>
                  <w:tcW w:w="539" w:type="dxa"/>
                  <w:tcBorders>
                    <w:left w:val="nil"/>
                  </w:tcBorders>
                  <w:vAlign w:val="center"/>
                </w:tcPr>
                <w:p>
                  <w:pPr>
                    <w:autoSpaceDE w:val="0"/>
                    <w:spacing w:line="320" w:lineRule="exact"/>
                    <w:jc w:val="center"/>
                  </w:pPr>
                  <w:r>
                    <w:t>9</w:t>
                  </w:r>
                </w:p>
              </w:tc>
              <w:tc>
                <w:tcPr>
                  <w:tcW w:w="2971" w:type="dxa"/>
                  <w:vAlign w:val="center"/>
                </w:tcPr>
                <w:p>
                  <w:pPr>
                    <w:autoSpaceDE w:val="0"/>
                    <w:spacing w:line="320" w:lineRule="exact"/>
                    <w:jc w:val="center"/>
                  </w:pPr>
                  <w:r>
                    <w:rPr>
                      <w:sz w:val="22"/>
                      <w:szCs w:val="22"/>
                    </w:rPr>
                    <w:t>摇床</w:t>
                  </w:r>
                </w:p>
              </w:tc>
              <w:tc>
                <w:tcPr>
                  <w:tcW w:w="1618" w:type="dxa"/>
                  <w:vAlign w:val="center"/>
                </w:tcPr>
                <w:p>
                  <w:pPr>
                    <w:autoSpaceDE w:val="0"/>
                    <w:spacing w:line="320" w:lineRule="exact"/>
                    <w:jc w:val="center"/>
                  </w:pPr>
                  <w:r>
                    <w:rPr>
                      <w:sz w:val="22"/>
                      <w:szCs w:val="22"/>
                    </w:rPr>
                    <w:t>1.1</w:t>
                  </w:r>
                </w:p>
              </w:tc>
              <w:tc>
                <w:tcPr>
                  <w:tcW w:w="1826" w:type="dxa"/>
                  <w:vAlign w:val="center"/>
                </w:tcPr>
                <w:p>
                  <w:pPr>
                    <w:autoSpaceDE w:val="0"/>
                    <w:spacing w:line="320" w:lineRule="exact"/>
                    <w:jc w:val="center"/>
                  </w:pPr>
                  <w:r>
                    <w:rPr>
                      <w:sz w:val="22"/>
                      <w:szCs w:val="22"/>
                    </w:rPr>
                    <w:t>4</w:t>
                  </w:r>
                </w:p>
              </w:tc>
              <w:tc>
                <w:tcPr>
                  <w:tcW w:w="1250" w:type="dxa"/>
                  <w:vMerge w:val="continue"/>
                  <w:tcBorders>
                    <w:right w:val="nil"/>
                  </w:tcBorders>
                  <w:vAlign w:val="center"/>
                </w:tcPr>
                <w:p>
                  <w:pPr>
                    <w:autoSpaceDE w:val="0"/>
                    <w:spacing w:line="320" w:lineRule="exact"/>
                    <w:jc w:val="cente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07" w:hRule="atLeast"/>
              </w:trPr>
              <w:tc>
                <w:tcPr>
                  <w:tcW w:w="539" w:type="dxa"/>
                  <w:tcBorders>
                    <w:left w:val="nil"/>
                  </w:tcBorders>
                  <w:vAlign w:val="center"/>
                </w:tcPr>
                <w:p>
                  <w:pPr>
                    <w:autoSpaceDE w:val="0"/>
                    <w:spacing w:line="320" w:lineRule="exact"/>
                    <w:jc w:val="center"/>
                  </w:pPr>
                  <w:r>
                    <w:t>10</w:t>
                  </w:r>
                </w:p>
              </w:tc>
              <w:tc>
                <w:tcPr>
                  <w:tcW w:w="2971" w:type="dxa"/>
                  <w:vAlign w:val="center"/>
                </w:tcPr>
                <w:p>
                  <w:pPr>
                    <w:autoSpaceDE w:val="0"/>
                    <w:spacing w:line="320" w:lineRule="exact"/>
                    <w:jc w:val="center"/>
                  </w:pPr>
                  <w:r>
                    <w:rPr>
                      <w:sz w:val="22"/>
                      <w:szCs w:val="22"/>
                    </w:rPr>
                    <w:t>电磁除铁器</w:t>
                  </w:r>
                </w:p>
              </w:tc>
              <w:tc>
                <w:tcPr>
                  <w:tcW w:w="1618" w:type="dxa"/>
                  <w:vAlign w:val="center"/>
                </w:tcPr>
                <w:p>
                  <w:pPr>
                    <w:autoSpaceDE w:val="0"/>
                    <w:spacing w:line="320" w:lineRule="exact"/>
                    <w:jc w:val="center"/>
                  </w:pPr>
                  <w:r>
                    <w:rPr>
                      <w:sz w:val="22"/>
                      <w:szCs w:val="22"/>
                    </w:rPr>
                    <w:t>2.2</w:t>
                  </w:r>
                </w:p>
              </w:tc>
              <w:tc>
                <w:tcPr>
                  <w:tcW w:w="1826" w:type="dxa"/>
                  <w:vAlign w:val="center"/>
                </w:tcPr>
                <w:p>
                  <w:pPr>
                    <w:autoSpaceDE w:val="0"/>
                    <w:spacing w:line="320" w:lineRule="exact"/>
                    <w:jc w:val="center"/>
                  </w:pPr>
                  <w:r>
                    <w:rPr>
                      <w:sz w:val="22"/>
                      <w:szCs w:val="22"/>
                    </w:rPr>
                    <w:t>1</w:t>
                  </w:r>
                </w:p>
              </w:tc>
              <w:tc>
                <w:tcPr>
                  <w:tcW w:w="1250" w:type="dxa"/>
                  <w:vMerge w:val="continue"/>
                  <w:tcBorders>
                    <w:right w:val="nil"/>
                  </w:tcBorders>
                  <w:vAlign w:val="center"/>
                </w:tcPr>
                <w:p>
                  <w:pPr>
                    <w:autoSpaceDE w:val="0"/>
                    <w:spacing w:line="320" w:lineRule="exact"/>
                    <w:jc w:val="cente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07" w:hRule="atLeast"/>
              </w:trPr>
              <w:tc>
                <w:tcPr>
                  <w:tcW w:w="539" w:type="dxa"/>
                  <w:tcBorders>
                    <w:left w:val="nil"/>
                  </w:tcBorders>
                  <w:vAlign w:val="center"/>
                </w:tcPr>
                <w:p>
                  <w:pPr>
                    <w:autoSpaceDE w:val="0"/>
                    <w:spacing w:line="320" w:lineRule="exact"/>
                    <w:jc w:val="center"/>
                  </w:pPr>
                  <w:r>
                    <w:t>11</w:t>
                  </w:r>
                </w:p>
              </w:tc>
              <w:tc>
                <w:tcPr>
                  <w:tcW w:w="2971" w:type="dxa"/>
                  <w:vAlign w:val="center"/>
                </w:tcPr>
                <w:p>
                  <w:pPr>
                    <w:autoSpaceDE w:val="0"/>
                    <w:spacing w:line="320" w:lineRule="exact"/>
                    <w:jc w:val="center"/>
                  </w:pPr>
                  <w:r>
                    <w:rPr>
                      <w:sz w:val="22"/>
                      <w:szCs w:val="22"/>
                    </w:rPr>
                    <w:t>液压升降机</w:t>
                  </w:r>
                </w:p>
              </w:tc>
              <w:tc>
                <w:tcPr>
                  <w:tcW w:w="1618" w:type="dxa"/>
                  <w:vAlign w:val="center"/>
                </w:tcPr>
                <w:p>
                  <w:pPr>
                    <w:autoSpaceDE w:val="0"/>
                    <w:spacing w:line="320" w:lineRule="exact"/>
                    <w:jc w:val="center"/>
                  </w:pPr>
                  <w:r>
                    <w:rPr>
                      <w:sz w:val="22"/>
                      <w:szCs w:val="22"/>
                    </w:rPr>
                    <w:t>2.2</w:t>
                  </w:r>
                </w:p>
              </w:tc>
              <w:tc>
                <w:tcPr>
                  <w:tcW w:w="1826" w:type="dxa"/>
                  <w:vAlign w:val="center"/>
                </w:tcPr>
                <w:p>
                  <w:pPr>
                    <w:autoSpaceDE w:val="0"/>
                    <w:spacing w:line="320" w:lineRule="exact"/>
                    <w:jc w:val="center"/>
                  </w:pPr>
                  <w:r>
                    <w:rPr>
                      <w:sz w:val="22"/>
                      <w:szCs w:val="22"/>
                    </w:rPr>
                    <w:t>1</w:t>
                  </w:r>
                </w:p>
              </w:tc>
              <w:tc>
                <w:tcPr>
                  <w:tcW w:w="1250" w:type="dxa"/>
                  <w:vMerge w:val="continue"/>
                  <w:tcBorders>
                    <w:right w:val="nil"/>
                  </w:tcBorders>
                  <w:vAlign w:val="center"/>
                </w:tcPr>
                <w:p>
                  <w:pPr>
                    <w:autoSpaceDE w:val="0"/>
                    <w:spacing w:line="320" w:lineRule="exact"/>
                    <w:jc w:val="cente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07" w:hRule="atLeast"/>
              </w:trPr>
              <w:tc>
                <w:tcPr>
                  <w:tcW w:w="539" w:type="dxa"/>
                  <w:tcBorders>
                    <w:left w:val="nil"/>
                  </w:tcBorders>
                  <w:vAlign w:val="center"/>
                </w:tcPr>
                <w:p>
                  <w:pPr>
                    <w:autoSpaceDE w:val="0"/>
                    <w:spacing w:line="320" w:lineRule="exact"/>
                    <w:jc w:val="center"/>
                  </w:pPr>
                  <w:r>
                    <w:t>12</w:t>
                  </w:r>
                </w:p>
              </w:tc>
              <w:tc>
                <w:tcPr>
                  <w:tcW w:w="2971" w:type="dxa"/>
                  <w:vAlign w:val="center"/>
                </w:tcPr>
                <w:p>
                  <w:pPr>
                    <w:autoSpaceDE w:val="0"/>
                    <w:spacing w:line="320" w:lineRule="exact"/>
                    <w:jc w:val="center"/>
                  </w:pPr>
                  <w:r>
                    <w:rPr>
                      <w:sz w:val="22"/>
                      <w:szCs w:val="22"/>
                    </w:rPr>
                    <w:t>水泵</w:t>
                  </w:r>
                </w:p>
              </w:tc>
              <w:tc>
                <w:tcPr>
                  <w:tcW w:w="1618" w:type="dxa"/>
                  <w:vAlign w:val="center"/>
                </w:tcPr>
                <w:p>
                  <w:pPr>
                    <w:autoSpaceDE w:val="0"/>
                    <w:spacing w:line="320" w:lineRule="exact"/>
                    <w:jc w:val="center"/>
                  </w:pPr>
                  <w:r>
                    <w:rPr>
                      <w:sz w:val="22"/>
                      <w:szCs w:val="22"/>
                    </w:rPr>
                    <w:t>55</w:t>
                  </w:r>
                </w:p>
              </w:tc>
              <w:tc>
                <w:tcPr>
                  <w:tcW w:w="1826" w:type="dxa"/>
                  <w:vAlign w:val="center"/>
                </w:tcPr>
                <w:p>
                  <w:pPr>
                    <w:autoSpaceDE w:val="0"/>
                    <w:spacing w:line="320" w:lineRule="exact"/>
                    <w:jc w:val="center"/>
                  </w:pPr>
                  <w:r>
                    <w:rPr>
                      <w:sz w:val="22"/>
                      <w:szCs w:val="22"/>
                    </w:rPr>
                    <w:t>4</w:t>
                  </w:r>
                </w:p>
              </w:tc>
              <w:tc>
                <w:tcPr>
                  <w:tcW w:w="1250" w:type="dxa"/>
                  <w:vMerge w:val="continue"/>
                  <w:tcBorders>
                    <w:right w:val="nil"/>
                  </w:tcBorders>
                  <w:vAlign w:val="center"/>
                </w:tcPr>
                <w:p>
                  <w:pPr>
                    <w:autoSpaceDE w:val="0"/>
                    <w:spacing w:line="320" w:lineRule="exact"/>
                    <w:jc w:val="cente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07" w:hRule="atLeast"/>
              </w:trPr>
              <w:tc>
                <w:tcPr>
                  <w:tcW w:w="539" w:type="dxa"/>
                  <w:tcBorders>
                    <w:left w:val="nil"/>
                  </w:tcBorders>
                  <w:vAlign w:val="center"/>
                </w:tcPr>
                <w:p>
                  <w:pPr>
                    <w:autoSpaceDE w:val="0"/>
                    <w:spacing w:line="320" w:lineRule="exact"/>
                    <w:jc w:val="center"/>
                  </w:pPr>
                  <w:r>
                    <w:t>13</w:t>
                  </w:r>
                </w:p>
              </w:tc>
              <w:tc>
                <w:tcPr>
                  <w:tcW w:w="2971" w:type="dxa"/>
                  <w:vAlign w:val="center"/>
                </w:tcPr>
                <w:p>
                  <w:pPr>
                    <w:autoSpaceDE w:val="0"/>
                    <w:spacing w:line="320" w:lineRule="exact"/>
                    <w:jc w:val="center"/>
                  </w:pPr>
                  <w:r>
                    <w:rPr>
                      <w:sz w:val="22"/>
                      <w:szCs w:val="22"/>
                    </w:rPr>
                    <w:t>压滤机</w:t>
                  </w:r>
                </w:p>
              </w:tc>
              <w:tc>
                <w:tcPr>
                  <w:tcW w:w="1618" w:type="dxa"/>
                  <w:vAlign w:val="center"/>
                </w:tcPr>
                <w:p>
                  <w:pPr>
                    <w:autoSpaceDE w:val="0"/>
                    <w:spacing w:line="320" w:lineRule="exact"/>
                    <w:jc w:val="center"/>
                  </w:pPr>
                  <w:r>
                    <w:rPr>
                      <w:sz w:val="22"/>
                      <w:szCs w:val="22"/>
                    </w:rPr>
                    <w:t>13.2</w:t>
                  </w:r>
                </w:p>
              </w:tc>
              <w:tc>
                <w:tcPr>
                  <w:tcW w:w="1826" w:type="dxa"/>
                  <w:vAlign w:val="center"/>
                </w:tcPr>
                <w:p>
                  <w:pPr>
                    <w:autoSpaceDE w:val="0"/>
                    <w:spacing w:line="320" w:lineRule="exact"/>
                    <w:jc w:val="center"/>
                  </w:pPr>
                  <w:r>
                    <w:rPr>
                      <w:sz w:val="22"/>
                      <w:szCs w:val="22"/>
                    </w:rPr>
                    <w:t>3</w:t>
                  </w:r>
                </w:p>
              </w:tc>
              <w:tc>
                <w:tcPr>
                  <w:tcW w:w="1250" w:type="dxa"/>
                  <w:vMerge w:val="continue"/>
                  <w:tcBorders>
                    <w:right w:val="nil"/>
                  </w:tcBorders>
                  <w:vAlign w:val="center"/>
                </w:tcPr>
                <w:p>
                  <w:pPr>
                    <w:autoSpaceDE w:val="0"/>
                    <w:spacing w:line="320" w:lineRule="exact"/>
                    <w:jc w:val="cente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07" w:hRule="atLeast"/>
              </w:trPr>
              <w:tc>
                <w:tcPr>
                  <w:tcW w:w="539" w:type="dxa"/>
                  <w:tcBorders>
                    <w:left w:val="nil"/>
                  </w:tcBorders>
                  <w:vAlign w:val="center"/>
                </w:tcPr>
                <w:p>
                  <w:pPr>
                    <w:autoSpaceDE w:val="0"/>
                    <w:spacing w:line="320" w:lineRule="exact"/>
                    <w:jc w:val="center"/>
                  </w:pPr>
                  <w:r>
                    <w:t>1</w:t>
                  </w:r>
                </w:p>
              </w:tc>
              <w:tc>
                <w:tcPr>
                  <w:tcW w:w="2971" w:type="dxa"/>
                  <w:vAlign w:val="center"/>
                </w:tcPr>
                <w:p>
                  <w:pPr>
                    <w:autoSpaceDE w:val="0"/>
                    <w:spacing w:line="320" w:lineRule="exact"/>
                    <w:jc w:val="center"/>
                    <w:rPr>
                      <w:szCs w:val="22"/>
                    </w:rPr>
                  </w:pPr>
                  <w:r>
                    <w:rPr>
                      <w:szCs w:val="28"/>
                    </w:rPr>
                    <w:t>板式给料机</w:t>
                  </w:r>
                </w:p>
              </w:tc>
              <w:tc>
                <w:tcPr>
                  <w:tcW w:w="1618" w:type="dxa"/>
                  <w:vAlign w:val="center"/>
                </w:tcPr>
                <w:p>
                  <w:pPr>
                    <w:autoSpaceDE w:val="0"/>
                    <w:spacing w:line="320" w:lineRule="exact"/>
                    <w:jc w:val="center"/>
                    <w:rPr>
                      <w:szCs w:val="22"/>
                    </w:rPr>
                  </w:pPr>
                  <w:r>
                    <w:rPr>
                      <w:szCs w:val="28"/>
                    </w:rPr>
                    <w:t>B1440</w:t>
                  </w:r>
                </w:p>
              </w:tc>
              <w:tc>
                <w:tcPr>
                  <w:tcW w:w="1826" w:type="dxa"/>
                  <w:vAlign w:val="center"/>
                </w:tcPr>
                <w:p>
                  <w:pPr>
                    <w:autoSpaceDE w:val="0"/>
                    <w:spacing w:line="320" w:lineRule="exact"/>
                    <w:jc w:val="center"/>
                    <w:rPr>
                      <w:szCs w:val="22"/>
                    </w:rPr>
                  </w:pPr>
                  <w:r>
                    <w:rPr>
                      <w:szCs w:val="28"/>
                    </w:rPr>
                    <w:t>1</w:t>
                  </w:r>
                </w:p>
              </w:tc>
              <w:tc>
                <w:tcPr>
                  <w:tcW w:w="1250" w:type="dxa"/>
                  <w:vMerge w:val="restart"/>
                  <w:tcBorders>
                    <w:right w:val="nil"/>
                  </w:tcBorders>
                  <w:vAlign w:val="center"/>
                </w:tcPr>
                <w:p>
                  <w:pPr>
                    <w:autoSpaceDE w:val="0"/>
                    <w:spacing w:line="320" w:lineRule="exact"/>
                    <w:jc w:val="center"/>
                  </w:pPr>
                  <w:r>
                    <w:t>建筑垃圾资源化利用生产线</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07" w:hRule="atLeast"/>
              </w:trPr>
              <w:tc>
                <w:tcPr>
                  <w:tcW w:w="539" w:type="dxa"/>
                  <w:tcBorders>
                    <w:left w:val="nil"/>
                  </w:tcBorders>
                  <w:vAlign w:val="center"/>
                </w:tcPr>
                <w:p>
                  <w:pPr>
                    <w:autoSpaceDE w:val="0"/>
                    <w:spacing w:line="320" w:lineRule="exact"/>
                    <w:jc w:val="center"/>
                  </w:pPr>
                  <w:r>
                    <w:t>2</w:t>
                  </w:r>
                </w:p>
              </w:tc>
              <w:tc>
                <w:tcPr>
                  <w:tcW w:w="2971" w:type="dxa"/>
                  <w:vAlign w:val="center"/>
                </w:tcPr>
                <w:p>
                  <w:pPr>
                    <w:autoSpaceDE w:val="0"/>
                    <w:spacing w:line="320" w:lineRule="exact"/>
                    <w:jc w:val="center"/>
                    <w:rPr>
                      <w:szCs w:val="22"/>
                    </w:rPr>
                  </w:pPr>
                  <w:r>
                    <w:rPr>
                      <w:szCs w:val="28"/>
                    </w:rPr>
                    <w:t>破袋整形机</w:t>
                  </w:r>
                </w:p>
              </w:tc>
              <w:tc>
                <w:tcPr>
                  <w:tcW w:w="1618" w:type="dxa"/>
                  <w:vAlign w:val="center"/>
                </w:tcPr>
                <w:p>
                  <w:pPr>
                    <w:autoSpaceDE w:val="0"/>
                    <w:spacing w:line="320" w:lineRule="exact"/>
                    <w:jc w:val="center"/>
                    <w:rPr>
                      <w:szCs w:val="22"/>
                    </w:rPr>
                  </w:pPr>
                  <w:r>
                    <w:rPr>
                      <w:szCs w:val="28"/>
                    </w:rPr>
                    <w:t>PD14</w:t>
                  </w:r>
                </w:p>
              </w:tc>
              <w:tc>
                <w:tcPr>
                  <w:tcW w:w="1826" w:type="dxa"/>
                  <w:vAlign w:val="center"/>
                </w:tcPr>
                <w:p>
                  <w:pPr>
                    <w:autoSpaceDE w:val="0"/>
                    <w:spacing w:line="320" w:lineRule="exact"/>
                    <w:jc w:val="center"/>
                    <w:rPr>
                      <w:szCs w:val="22"/>
                    </w:rPr>
                  </w:pPr>
                  <w:r>
                    <w:rPr>
                      <w:szCs w:val="28"/>
                    </w:rPr>
                    <w:t>1</w:t>
                  </w:r>
                </w:p>
              </w:tc>
              <w:tc>
                <w:tcPr>
                  <w:tcW w:w="1250" w:type="dxa"/>
                  <w:vMerge w:val="continue"/>
                  <w:tcBorders>
                    <w:right w:val="nil"/>
                  </w:tcBorders>
                  <w:vAlign w:val="center"/>
                </w:tcPr>
                <w:p>
                  <w:pPr>
                    <w:autoSpaceDE w:val="0"/>
                    <w:spacing w:line="320" w:lineRule="exact"/>
                    <w:jc w:val="cente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07" w:hRule="atLeast"/>
              </w:trPr>
              <w:tc>
                <w:tcPr>
                  <w:tcW w:w="539" w:type="dxa"/>
                  <w:tcBorders>
                    <w:left w:val="nil"/>
                  </w:tcBorders>
                  <w:vAlign w:val="center"/>
                </w:tcPr>
                <w:p>
                  <w:pPr>
                    <w:autoSpaceDE w:val="0"/>
                    <w:spacing w:line="320" w:lineRule="exact"/>
                    <w:jc w:val="center"/>
                  </w:pPr>
                  <w:r>
                    <w:t>3</w:t>
                  </w:r>
                </w:p>
              </w:tc>
              <w:tc>
                <w:tcPr>
                  <w:tcW w:w="2971" w:type="dxa"/>
                  <w:vAlign w:val="center"/>
                </w:tcPr>
                <w:p>
                  <w:pPr>
                    <w:autoSpaceDE w:val="0"/>
                    <w:spacing w:line="320" w:lineRule="exact"/>
                    <w:jc w:val="center"/>
                    <w:rPr>
                      <w:szCs w:val="22"/>
                    </w:rPr>
                  </w:pPr>
                  <w:r>
                    <w:rPr>
                      <w:szCs w:val="28"/>
                    </w:rPr>
                    <w:t>弹跳筛</w:t>
                  </w:r>
                </w:p>
              </w:tc>
              <w:tc>
                <w:tcPr>
                  <w:tcW w:w="1618" w:type="dxa"/>
                  <w:vAlign w:val="center"/>
                </w:tcPr>
                <w:p>
                  <w:pPr>
                    <w:autoSpaceDE w:val="0"/>
                    <w:spacing w:line="320" w:lineRule="exact"/>
                    <w:jc w:val="center"/>
                    <w:rPr>
                      <w:szCs w:val="22"/>
                    </w:rPr>
                  </w:pPr>
                  <w:r>
                    <w:rPr>
                      <w:szCs w:val="28"/>
                    </w:rPr>
                    <w:t>T2160</w:t>
                  </w:r>
                </w:p>
              </w:tc>
              <w:tc>
                <w:tcPr>
                  <w:tcW w:w="1826" w:type="dxa"/>
                  <w:vAlign w:val="center"/>
                </w:tcPr>
                <w:p>
                  <w:pPr>
                    <w:autoSpaceDE w:val="0"/>
                    <w:spacing w:line="320" w:lineRule="exact"/>
                    <w:jc w:val="center"/>
                    <w:rPr>
                      <w:szCs w:val="22"/>
                    </w:rPr>
                  </w:pPr>
                  <w:r>
                    <w:rPr>
                      <w:szCs w:val="28"/>
                    </w:rPr>
                    <w:t>1</w:t>
                  </w:r>
                </w:p>
              </w:tc>
              <w:tc>
                <w:tcPr>
                  <w:tcW w:w="1250" w:type="dxa"/>
                  <w:vMerge w:val="continue"/>
                  <w:tcBorders>
                    <w:right w:val="nil"/>
                  </w:tcBorders>
                  <w:vAlign w:val="center"/>
                </w:tcPr>
                <w:p>
                  <w:pPr>
                    <w:autoSpaceDE w:val="0"/>
                    <w:spacing w:line="320" w:lineRule="exact"/>
                    <w:jc w:val="cente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07" w:hRule="atLeast"/>
              </w:trPr>
              <w:tc>
                <w:tcPr>
                  <w:tcW w:w="539" w:type="dxa"/>
                  <w:tcBorders>
                    <w:left w:val="nil"/>
                  </w:tcBorders>
                  <w:vAlign w:val="center"/>
                </w:tcPr>
                <w:p>
                  <w:pPr>
                    <w:autoSpaceDE w:val="0"/>
                    <w:spacing w:line="320" w:lineRule="exact"/>
                    <w:jc w:val="center"/>
                  </w:pPr>
                  <w:r>
                    <w:t>4</w:t>
                  </w:r>
                </w:p>
              </w:tc>
              <w:tc>
                <w:tcPr>
                  <w:tcW w:w="2971" w:type="dxa"/>
                  <w:vAlign w:val="center"/>
                </w:tcPr>
                <w:p>
                  <w:pPr>
                    <w:autoSpaceDE w:val="0"/>
                    <w:spacing w:line="320" w:lineRule="exact"/>
                    <w:jc w:val="center"/>
                    <w:rPr>
                      <w:szCs w:val="22"/>
                    </w:rPr>
                  </w:pPr>
                  <w:r>
                    <w:rPr>
                      <w:szCs w:val="28"/>
                    </w:rPr>
                    <w:t>反击破</w:t>
                  </w:r>
                </w:p>
              </w:tc>
              <w:tc>
                <w:tcPr>
                  <w:tcW w:w="1618" w:type="dxa"/>
                  <w:vAlign w:val="center"/>
                </w:tcPr>
                <w:p>
                  <w:pPr>
                    <w:autoSpaceDE w:val="0"/>
                    <w:spacing w:line="320" w:lineRule="exact"/>
                    <w:jc w:val="center"/>
                    <w:rPr>
                      <w:szCs w:val="22"/>
                    </w:rPr>
                  </w:pPr>
                  <w:r>
                    <w:rPr>
                      <w:szCs w:val="28"/>
                    </w:rPr>
                    <w:t>PCF1214</w:t>
                  </w:r>
                </w:p>
              </w:tc>
              <w:tc>
                <w:tcPr>
                  <w:tcW w:w="1826" w:type="dxa"/>
                  <w:vAlign w:val="center"/>
                </w:tcPr>
                <w:p>
                  <w:pPr>
                    <w:autoSpaceDE w:val="0"/>
                    <w:spacing w:line="320" w:lineRule="exact"/>
                    <w:jc w:val="center"/>
                    <w:rPr>
                      <w:szCs w:val="22"/>
                    </w:rPr>
                  </w:pPr>
                  <w:r>
                    <w:rPr>
                      <w:szCs w:val="28"/>
                    </w:rPr>
                    <w:t>1</w:t>
                  </w:r>
                </w:p>
              </w:tc>
              <w:tc>
                <w:tcPr>
                  <w:tcW w:w="1250" w:type="dxa"/>
                  <w:vMerge w:val="continue"/>
                  <w:tcBorders>
                    <w:right w:val="nil"/>
                  </w:tcBorders>
                  <w:vAlign w:val="center"/>
                </w:tcPr>
                <w:p>
                  <w:pPr>
                    <w:autoSpaceDE w:val="0"/>
                    <w:spacing w:line="320" w:lineRule="exact"/>
                    <w:jc w:val="cente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07" w:hRule="atLeast"/>
              </w:trPr>
              <w:tc>
                <w:tcPr>
                  <w:tcW w:w="539" w:type="dxa"/>
                  <w:tcBorders>
                    <w:left w:val="nil"/>
                  </w:tcBorders>
                  <w:vAlign w:val="center"/>
                </w:tcPr>
                <w:p>
                  <w:pPr>
                    <w:autoSpaceDE w:val="0"/>
                    <w:spacing w:line="320" w:lineRule="exact"/>
                    <w:jc w:val="center"/>
                  </w:pPr>
                  <w:r>
                    <w:t>5</w:t>
                  </w:r>
                </w:p>
              </w:tc>
              <w:tc>
                <w:tcPr>
                  <w:tcW w:w="2971" w:type="dxa"/>
                  <w:vAlign w:val="center"/>
                </w:tcPr>
                <w:p>
                  <w:pPr>
                    <w:autoSpaceDE w:val="0"/>
                    <w:spacing w:line="320" w:lineRule="exact"/>
                    <w:jc w:val="center"/>
                    <w:rPr>
                      <w:szCs w:val="22"/>
                    </w:rPr>
                  </w:pPr>
                  <w:r>
                    <w:rPr>
                      <w:szCs w:val="28"/>
                    </w:rPr>
                    <w:t>振动筛</w:t>
                  </w:r>
                </w:p>
              </w:tc>
              <w:tc>
                <w:tcPr>
                  <w:tcW w:w="1618" w:type="dxa"/>
                  <w:vAlign w:val="center"/>
                </w:tcPr>
                <w:p>
                  <w:pPr>
                    <w:autoSpaceDE w:val="0"/>
                    <w:spacing w:line="320" w:lineRule="exact"/>
                    <w:jc w:val="center"/>
                    <w:rPr>
                      <w:szCs w:val="22"/>
                    </w:rPr>
                  </w:pPr>
                  <w:r>
                    <w:rPr>
                      <w:szCs w:val="28"/>
                    </w:rPr>
                    <w:t>YK1248</w:t>
                  </w:r>
                </w:p>
              </w:tc>
              <w:tc>
                <w:tcPr>
                  <w:tcW w:w="1826" w:type="dxa"/>
                  <w:vAlign w:val="center"/>
                </w:tcPr>
                <w:p>
                  <w:pPr>
                    <w:autoSpaceDE w:val="0"/>
                    <w:spacing w:line="320" w:lineRule="exact"/>
                    <w:jc w:val="center"/>
                    <w:rPr>
                      <w:szCs w:val="22"/>
                    </w:rPr>
                  </w:pPr>
                  <w:r>
                    <w:rPr>
                      <w:szCs w:val="28"/>
                    </w:rPr>
                    <w:t>1</w:t>
                  </w:r>
                </w:p>
              </w:tc>
              <w:tc>
                <w:tcPr>
                  <w:tcW w:w="1250" w:type="dxa"/>
                  <w:vMerge w:val="continue"/>
                  <w:tcBorders>
                    <w:right w:val="nil"/>
                  </w:tcBorders>
                  <w:vAlign w:val="center"/>
                </w:tcPr>
                <w:p>
                  <w:pPr>
                    <w:autoSpaceDE w:val="0"/>
                    <w:spacing w:line="320" w:lineRule="exact"/>
                    <w:jc w:val="cente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07" w:hRule="atLeast"/>
              </w:trPr>
              <w:tc>
                <w:tcPr>
                  <w:tcW w:w="539" w:type="dxa"/>
                  <w:tcBorders>
                    <w:left w:val="nil"/>
                  </w:tcBorders>
                  <w:vAlign w:val="center"/>
                </w:tcPr>
                <w:p>
                  <w:pPr>
                    <w:autoSpaceDE w:val="0"/>
                    <w:spacing w:line="320" w:lineRule="exact"/>
                    <w:jc w:val="center"/>
                  </w:pPr>
                  <w:r>
                    <w:t>6</w:t>
                  </w:r>
                </w:p>
              </w:tc>
              <w:tc>
                <w:tcPr>
                  <w:tcW w:w="2971" w:type="dxa"/>
                  <w:vAlign w:val="center"/>
                </w:tcPr>
                <w:p>
                  <w:pPr>
                    <w:autoSpaceDE w:val="0"/>
                    <w:spacing w:line="320" w:lineRule="exact"/>
                    <w:jc w:val="center"/>
                    <w:rPr>
                      <w:szCs w:val="22"/>
                    </w:rPr>
                  </w:pPr>
                  <w:r>
                    <w:rPr>
                      <w:szCs w:val="28"/>
                    </w:rPr>
                    <w:t>风选机</w:t>
                  </w:r>
                </w:p>
              </w:tc>
              <w:tc>
                <w:tcPr>
                  <w:tcW w:w="1618" w:type="dxa"/>
                  <w:vAlign w:val="center"/>
                </w:tcPr>
                <w:p>
                  <w:pPr>
                    <w:autoSpaceDE w:val="0"/>
                    <w:spacing w:line="320" w:lineRule="exact"/>
                    <w:jc w:val="center"/>
                    <w:rPr>
                      <w:szCs w:val="22"/>
                    </w:rPr>
                  </w:pPr>
                  <w:r>
                    <w:rPr>
                      <w:szCs w:val="28"/>
                    </w:rPr>
                    <w:t>FJ14</w:t>
                  </w:r>
                </w:p>
              </w:tc>
              <w:tc>
                <w:tcPr>
                  <w:tcW w:w="1826" w:type="dxa"/>
                  <w:vAlign w:val="center"/>
                </w:tcPr>
                <w:p>
                  <w:pPr>
                    <w:autoSpaceDE w:val="0"/>
                    <w:spacing w:line="320" w:lineRule="exact"/>
                    <w:jc w:val="center"/>
                    <w:rPr>
                      <w:szCs w:val="22"/>
                    </w:rPr>
                  </w:pPr>
                  <w:r>
                    <w:rPr>
                      <w:szCs w:val="28"/>
                    </w:rPr>
                    <w:t>2</w:t>
                  </w:r>
                </w:p>
              </w:tc>
              <w:tc>
                <w:tcPr>
                  <w:tcW w:w="1250" w:type="dxa"/>
                  <w:vMerge w:val="continue"/>
                  <w:tcBorders>
                    <w:right w:val="nil"/>
                  </w:tcBorders>
                  <w:vAlign w:val="center"/>
                </w:tcPr>
                <w:p>
                  <w:pPr>
                    <w:autoSpaceDE w:val="0"/>
                    <w:spacing w:line="320" w:lineRule="exact"/>
                    <w:jc w:val="cente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07" w:hRule="atLeast"/>
              </w:trPr>
              <w:tc>
                <w:tcPr>
                  <w:tcW w:w="539" w:type="dxa"/>
                  <w:tcBorders>
                    <w:left w:val="nil"/>
                  </w:tcBorders>
                  <w:vAlign w:val="center"/>
                </w:tcPr>
                <w:p>
                  <w:pPr>
                    <w:autoSpaceDE w:val="0"/>
                    <w:spacing w:line="320" w:lineRule="exact"/>
                    <w:jc w:val="center"/>
                  </w:pPr>
                  <w:r>
                    <w:t>7</w:t>
                  </w:r>
                </w:p>
              </w:tc>
              <w:tc>
                <w:tcPr>
                  <w:tcW w:w="2971" w:type="dxa"/>
                  <w:vAlign w:val="center"/>
                </w:tcPr>
                <w:p>
                  <w:pPr>
                    <w:autoSpaceDE w:val="0"/>
                    <w:spacing w:line="320" w:lineRule="exact"/>
                    <w:jc w:val="center"/>
                    <w:rPr>
                      <w:szCs w:val="22"/>
                    </w:rPr>
                  </w:pPr>
                  <w:r>
                    <w:rPr>
                      <w:szCs w:val="28"/>
                    </w:rPr>
                    <w:t>打包机</w:t>
                  </w:r>
                </w:p>
              </w:tc>
              <w:tc>
                <w:tcPr>
                  <w:tcW w:w="1618" w:type="dxa"/>
                  <w:vAlign w:val="center"/>
                </w:tcPr>
                <w:p>
                  <w:pPr>
                    <w:autoSpaceDE w:val="0"/>
                    <w:spacing w:line="320" w:lineRule="exact"/>
                    <w:jc w:val="center"/>
                    <w:rPr>
                      <w:szCs w:val="22"/>
                    </w:rPr>
                  </w:pPr>
                  <w:r>
                    <w:rPr>
                      <w:szCs w:val="28"/>
                    </w:rPr>
                    <w:t>JPW80BL</w:t>
                  </w:r>
                </w:p>
              </w:tc>
              <w:tc>
                <w:tcPr>
                  <w:tcW w:w="1826" w:type="dxa"/>
                  <w:vAlign w:val="center"/>
                </w:tcPr>
                <w:p>
                  <w:pPr>
                    <w:autoSpaceDE w:val="0"/>
                    <w:spacing w:line="320" w:lineRule="exact"/>
                    <w:jc w:val="center"/>
                    <w:rPr>
                      <w:szCs w:val="22"/>
                    </w:rPr>
                  </w:pPr>
                  <w:r>
                    <w:rPr>
                      <w:szCs w:val="28"/>
                    </w:rPr>
                    <w:t>1</w:t>
                  </w:r>
                </w:p>
              </w:tc>
              <w:tc>
                <w:tcPr>
                  <w:tcW w:w="1250" w:type="dxa"/>
                  <w:vMerge w:val="continue"/>
                  <w:tcBorders>
                    <w:right w:val="nil"/>
                  </w:tcBorders>
                  <w:vAlign w:val="center"/>
                </w:tcPr>
                <w:p>
                  <w:pPr>
                    <w:autoSpaceDE w:val="0"/>
                    <w:spacing w:line="320" w:lineRule="exact"/>
                    <w:jc w:val="cente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07" w:hRule="atLeast"/>
              </w:trPr>
              <w:tc>
                <w:tcPr>
                  <w:tcW w:w="539" w:type="dxa"/>
                  <w:tcBorders>
                    <w:left w:val="nil"/>
                  </w:tcBorders>
                  <w:vAlign w:val="center"/>
                </w:tcPr>
                <w:p>
                  <w:pPr>
                    <w:autoSpaceDE w:val="0"/>
                    <w:spacing w:line="320" w:lineRule="exact"/>
                    <w:jc w:val="center"/>
                  </w:pPr>
                  <w:r>
                    <w:t>8</w:t>
                  </w:r>
                </w:p>
              </w:tc>
              <w:tc>
                <w:tcPr>
                  <w:tcW w:w="2971" w:type="dxa"/>
                  <w:vAlign w:val="center"/>
                </w:tcPr>
                <w:p>
                  <w:pPr>
                    <w:autoSpaceDE w:val="0"/>
                    <w:spacing w:line="320" w:lineRule="exact"/>
                    <w:jc w:val="center"/>
                    <w:rPr>
                      <w:szCs w:val="22"/>
                    </w:rPr>
                  </w:pPr>
                  <w:r>
                    <w:rPr>
                      <w:szCs w:val="28"/>
                    </w:rPr>
                    <w:t>电磁除铁器</w:t>
                  </w:r>
                </w:p>
              </w:tc>
              <w:tc>
                <w:tcPr>
                  <w:tcW w:w="1618" w:type="dxa"/>
                  <w:vAlign w:val="center"/>
                </w:tcPr>
                <w:p>
                  <w:pPr>
                    <w:autoSpaceDE w:val="0"/>
                    <w:spacing w:line="320" w:lineRule="exact"/>
                    <w:jc w:val="center"/>
                    <w:rPr>
                      <w:szCs w:val="22"/>
                    </w:rPr>
                  </w:pPr>
                  <w:r>
                    <w:rPr>
                      <w:szCs w:val="28"/>
                    </w:rPr>
                    <w:t>RCYD12</w:t>
                  </w:r>
                </w:p>
              </w:tc>
              <w:tc>
                <w:tcPr>
                  <w:tcW w:w="1826" w:type="dxa"/>
                  <w:vAlign w:val="center"/>
                </w:tcPr>
                <w:p>
                  <w:pPr>
                    <w:autoSpaceDE w:val="0"/>
                    <w:spacing w:line="320" w:lineRule="exact"/>
                    <w:jc w:val="center"/>
                    <w:rPr>
                      <w:szCs w:val="22"/>
                    </w:rPr>
                  </w:pPr>
                  <w:r>
                    <w:rPr>
                      <w:szCs w:val="28"/>
                    </w:rPr>
                    <w:t>2</w:t>
                  </w:r>
                </w:p>
              </w:tc>
              <w:tc>
                <w:tcPr>
                  <w:tcW w:w="1250" w:type="dxa"/>
                  <w:vMerge w:val="continue"/>
                  <w:tcBorders>
                    <w:right w:val="nil"/>
                  </w:tcBorders>
                  <w:vAlign w:val="center"/>
                </w:tcPr>
                <w:p>
                  <w:pPr>
                    <w:autoSpaceDE w:val="0"/>
                    <w:spacing w:line="320" w:lineRule="exact"/>
                    <w:jc w:val="cente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07" w:hRule="atLeast"/>
              </w:trPr>
              <w:tc>
                <w:tcPr>
                  <w:tcW w:w="539" w:type="dxa"/>
                  <w:tcBorders>
                    <w:left w:val="nil"/>
                  </w:tcBorders>
                  <w:vAlign w:val="center"/>
                </w:tcPr>
                <w:p>
                  <w:pPr>
                    <w:autoSpaceDE w:val="0"/>
                    <w:spacing w:line="320" w:lineRule="exact"/>
                    <w:jc w:val="center"/>
                  </w:pPr>
                  <w:r>
                    <w:t>9</w:t>
                  </w:r>
                </w:p>
              </w:tc>
              <w:tc>
                <w:tcPr>
                  <w:tcW w:w="2971" w:type="dxa"/>
                  <w:vAlign w:val="center"/>
                </w:tcPr>
                <w:p>
                  <w:pPr>
                    <w:autoSpaceDE w:val="0"/>
                    <w:spacing w:line="320" w:lineRule="exact"/>
                    <w:jc w:val="center"/>
                    <w:rPr>
                      <w:szCs w:val="22"/>
                    </w:rPr>
                  </w:pPr>
                  <w:r>
                    <w:rPr>
                      <w:szCs w:val="28"/>
                    </w:rPr>
                    <w:t>脉冲除尘器</w:t>
                  </w:r>
                </w:p>
              </w:tc>
              <w:tc>
                <w:tcPr>
                  <w:tcW w:w="1618" w:type="dxa"/>
                  <w:vAlign w:val="center"/>
                </w:tcPr>
                <w:p>
                  <w:pPr>
                    <w:autoSpaceDE w:val="0"/>
                    <w:spacing w:line="320" w:lineRule="exact"/>
                    <w:jc w:val="center"/>
                    <w:rPr>
                      <w:szCs w:val="22"/>
                    </w:rPr>
                  </w:pPr>
                  <w:r>
                    <w:rPr>
                      <w:szCs w:val="28"/>
                    </w:rPr>
                    <w:t>P48</w:t>
                  </w:r>
                </w:p>
              </w:tc>
              <w:tc>
                <w:tcPr>
                  <w:tcW w:w="1826" w:type="dxa"/>
                  <w:vAlign w:val="center"/>
                </w:tcPr>
                <w:p>
                  <w:pPr>
                    <w:autoSpaceDE w:val="0"/>
                    <w:spacing w:line="320" w:lineRule="exact"/>
                    <w:jc w:val="center"/>
                    <w:rPr>
                      <w:szCs w:val="22"/>
                    </w:rPr>
                  </w:pPr>
                  <w:r>
                    <w:rPr>
                      <w:szCs w:val="28"/>
                    </w:rPr>
                    <w:t>4</w:t>
                  </w:r>
                </w:p>
              </w:tc>
              <w:tc>
                <w:tcPr>
                  <w:tcW w:w="1250" w:type="dxa"/>
                  <w:vMerge w:val="continue"/>
                  <w:tcBorders>
                    <w:right w:val="nil"/>
                  </w:tcBorders>
                  <w:vAlign w:val="center"/>
                </w:tcPr>
                <w:p>
                  <w:pPr>
                    <w:autoSpaceDE w:val="0"/>
                    <w:spacing w:line="320" w:lineRule="exact"/>
                    <w:jc w:val="cente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07" w:hRule="atLeast"/>
              </w:trPr>
              <w:tc>
                <w:tcPr>
                  <w:tcW w:w="539" w:type="dxa"/>
                  <w:tcBorders>
                    <w:left w:val="nil"/>
                  </w:tcBorders>
                  <w:vAlign w:val="center"/>
                </w:tcPr>
                <w:p>
                  <w:pPr>
                    <w:autoSpaceDE w:val="0"/>
                    <w:spacing w:line="320" w:lineRule="exact"/>
                    <w:jc w:val="center"/>
                  </w:pPr>
                  <w:r>
                    <w:t>10</w:t>
                  </w:r>
                </w:p>
              </w:tc>
              <w:tc>
                <w:tcPr>
                  <w:tcW w:w="2971" w:type="dxa"/>
                  <w:vAlign w:val="center"/>
                </w:tcPr>
                <w:p>
                  <w:pPr>
                    <w:autoSpaceDE w:val="0"/>
                    <w:spacing w:line="320" w:lineRule="exact"/>
                    <w:jc w:val="center"/>
                    <w:rPr>
                      <w:szCs w:val="22"/>
                    </w:rPr>
                  </w:pPr>
                  <w:r>
                    <w:rPr>
                      <w:szCs w:val="28"/>
                    </w:rPr>
                    <w:t>皮带输送机</w:t>
                  </w:r>
                </w:p>
              </w:tc>
              <w:tc>
                <w:tcPr>
                  <w:tcW w:w="1618" w:type="dxa"/>
                  <w:vAlign w:val="center"/>
                </w:tcPr>
                <w:p>
                  <w:pPr>
                    <w:autoSpaceDE w:val="0"/>
                    <w:spacing w:line="320" w:lineRule="exact"/>
                    <w:jc w:val="center"/>
                    <w:rPr>
                      <w:szCs w:val="22"/>
                    </w:rPr>
                  </w:pPr>
                  <w:r>
                    <w:rPr>
                      <w:szCs w:val="28"/>
                    </w:rPr>
                    <w:t>TD1200</w:t>
                  </w:r>
                </w:p>
              </w:tc>
              <w:tc>
                <w:tcPr>
                  <w:tcW w:w="1826" w:type="dxa"/>
                  <w:vAlign w:val="center"/>
                </w:tcPr>
                <w:p>
                  <w:pPr>
                    <w:autoSpaceDE w:val="0"/>
                    <w:spacing w:line="320" w:lineRule="exact"/>
                    <w:jc w:val="center"/>
                    <w:rPr>
                      <w:szCs w:val="22"/>
                    </w:rPr>
                  </w:pPr>
                  <w:r>
                    <w:rPr>
                      <w:szCs w:val="28"/>
                    </w:rPr>
                    <w:t>14</w:t>
                  </w:r>
                </w:p>
              </w:tc>
              <w:tc>
                <w:tcPr>
                  <w:tcW w:w="1250" w:type="dxa"/>
                  <w:vMerge w:val="continue"/>
                  <w:tcBorders>
                    <w:right w:val="nil"/>
                  </w:tcBorders>
                  <w:vAlign w:val="center"/>
                </w:tcPr>
                <w:p>
                  <w:pPr>
                    <w:autoSpaceDE w:val="0"/>
                    <w:spacing w:line="320" w:lineRule="exact"/>
                    <w:jc w:val="center"/>
                  </w:pPr>
                </w:p>
              </w:tc>
            </w:tr>
          </w:tbl>
          <w:p>
            <w:pPr>
              <w:spacing w:line="360" w:lineRule="auto"/>
              <w:ind w:firstLine="482" w:firstLineChars="200"/>
              <w:rPr>
                <w:b/>
                <w:bCs/>
                <w:sz w:val="24"/>
              </w:rPr>
            </w:pPr>
            <w:r>
              <w:rPr>
                <w:b/>
                <w:bCs/>
                <w:sz w:val="24"/>
              </w:rPr>
              <w:t>3、能源供给、给排水、通风等公用工程</w:t>
            </w:r>
          </w:p>
          <w:p>
            <w:pPr>
              <w:spacing w:line="360" w:lineRule="auto"/>
              <w:ind w:firstLine="480" w:firstLineChars="200"/>
              <w:rPr>
                <w:snapToGrid w:val="0"/>
                <w:kern w:val="0"/>
                <w:sz w:val="24"/>
              </w:rPr>
            </w:pPr>
            <w:r>
              <w:rPr>
                <w:snapToGrid w:val="0"/>
                <w:kern w:val="0"/>
                <w:sz w:val="24"/>
              </w:rPr>
              <w:t>（1）供电系统</w:t>
            </w:r>
          </w:p>
          <w:p>
            <w:pPr>
              <w:spacing w:line="360" w:lineRule="auto"/>
              <w:ind w:firstLine="480" w:firstLineChars="200"/>
              <w:rPr>
                <w:snapToGrid w:val="0"/>
                <w:kern w:val="0"/>
                <w:sz w:val="24"/>
              </w:rPr>
            </w:pPr>
            <w:r>
              <w:rPr>
                <w:snapToGrid w:val="0"/>
                <w:kern w:val="0"/>
                <w:sz w:val="24"/>
              </w:rPr>
              <w:t>项目厂区用电来自市政电网。据业主估算，项目年用电量为200万KW·h，可满足厂区设施用电负荷。</w:t>
            </w:r>
          </w:p>
          <w:p>
            <w:pPr>
              <w:spacing w:line="360" w:lineRule="auto"/>
              <w:ind w:firstLine="480" w:firstLineChars="200"/>
              <w:rPr>
                <w:bCs/>
                <w:sz w:val="24"/>
              </w:rPr>
            </w:pPr>
            <w:r>
              <w:rPr>
                <w:bCs/>
                <w:sz w:val="24"/>
              </w:rPr>
              <w:t>（2）给排水</w:t>
            </w:r>
          </w:p>
          <w:p>
            <w:pPr>
              <w:spacing w:line="360" w:lineRule="auto"/>
              <w:ind w:firstLine="480" w:firstLineChars="200"/>
              <w:rPr>
                <w:bCs/>
                <w:sz w:val="24"/>
              </w:rPr>
            </w:pPr>
            <w:r>
              <w:rPr>
                <w:rFonts w:hint="eastAsia" w:ascii="宋体" w:hAnsi="宋体" w:cs="宋体"/>
                <w:bCs/>
                <w:sz w:val="24"/>
              </w:rPr>
              <w:t>①</w:t>
            </w:r>
            <w:r>
              <w:rPr>
                <w:bCs/>
                <w:sz w:val="24"/>
              </w:rPr>
              <w:t>供水</w:t>
            </w:r>
          </w:p>
          <w:p>
            <w:pPr>
              <w:spacing w:line="360" w:lineRule="auto"/>
              <w:ind w:firstLine="480" w:firstLineChars="200"/>
              <w:rPr>
                <w:bCs/>
                <w:sz w:val="24"/>
              </w:rPr>
            </w:pPr>
            <w:r>
              <w:rPr>
                <w:bCs/>
                <w:sz w:val="24"/>
              </w:rPr>
              <w:t>项目用水主要为员工生活用水及生产用水，用水水源为市政水网，供给项目办公、生产用水。</w:t>
            </w:r>
          </w:p>
          <w:p>
            <w:pPr>
              <w:widowControl/>
              <w:spacing w:line="360" w:lineRule="auto"/>
              <w:ind w:firstLine="480" w:firstLineChars="200"/>
              <w:rPr>
                <w:bCs/>
                <w:sz w:val="24"/>
              </w:rPr>
            </w:pPr>
            <w:r>
              <w:rPr>
                <w:bCs/>
                <w:sz w:val="24"/>
              </w:rPr>
              <w:t>i、生活用水</w:t>
            </w:r>
          </w:p>
          <w:p>
            <w:pPr>
              <w:widowControl/>
              <w:spacing w:line="360" w:lineRule="auto"/>
              <w:ind w:firstLine="480" w:firstLineChars="200"/>
              <w:rPr>
                <w:kern w:val="0"/>
                <w:sz w:val="24"/>
              </w:rPr>
            </w:pPr>
            <w:r>
              <w:rPr>
                <w:kern w:val="0"/>
                <w:sz w:val="24"/>
              </w:rPr>
              <w:t>根据《四川省用水定额》（川府函〔2021〕8号）中及业主提供数据，</w:t>
            </w:r>
            <w:r>
              <w:rPr>
                <w:snapToGrid w:val="0"/>
                <w:kern w:val="0"/>
                <w:sz w:val="24"/>
              </w:rPr>
              <w:t>按照公共管理、社会保障和社会组织用水定额，机关生活用水用量以38m</w:t>
            </w:r>
            <w:r>
              <w:rPr>
                <w:snapToGrid w:val="0"/>
                <w:kern w:val="0"/>
                <w:sz w:val="24"/>
                <w:vertAlign w:val="superscript"/>
              </w:rPr>
              <w:t>3</w:t>
            </w:r>
            <w:r>
              <w:rPr>
                <w:snapToGrid w:val="0"/>
                <w:kern w:val="0"/>
                <w:sz w:val="24"/>
              </w:rPr>
              <w:t>/人•a进行计算，</w:t>
            </w:r>
            <w:r>
              <w:rPr>
                <w:kern w:val="0"/>
                <w:sz w:val="24"/>
              </w:rPr>
              <w:t>则生活办公用水2.88m</w:t>
            </w:r>
            <w:r>
              <w:rPr>
                <w:kern w:val="0"/>
                <w:sz w:val="24"/>
                <w:vertAlign w:val="superscript"/>
              </w:rPr>
              <w:t>3</w:t>
            </w:r>
            <w:r>
              <w:rPr>
                <w:kern w:val="0"/>
                <w:sz w:val="24"/>
              </w:rPr>
              <w:t>/d</w:t>
            </w:r>
            <w:r>
              <w:rPr>
                <w:sz w:val="24"/>
                <w:szCs w:val="22"/>
              </w:rPr>
              <w:t>（950m</w:t>
            </w:r>
            <w:r>
              <w:rPr>
                <w:sz w:val="24"/>
                <w:szCs w:val="22"/>
                <w:vertAlign w:val="superscript"/>
              </w:rPr>
              <w:t>3</w:t>
            </w:r>
            <w:r>
              <w:rPr>
                <w:sz w:val="24"/>
                <w:szCs w:val="22"/>
              </w:rPr>
              <w:t>/a）</w:t>
            </w:r>
            <w:r>
              <w:rPr>
                <w:kern w:val="0"/>
                <w:sz w:val="24"/>
              </w:rPr>
              <w:t>。</w:t>
            </w:r>
          </w:p>
          <w:p>
            <w:pPr>
              <w:widowControl/>
              <w:spacing w:line="360" w:lineRule="auto"/>
              <w:ind w:firstLine="480" w:firstLineChars="200"/>
              <w:rPr>
                <w:bCs/>
                <w:sz w:val="24"/>
              </w:rPr>
            </w:pPr>
            <w:r>
              <w:rPr>
                <w:bCs/>
                <w:sz w:val="24"/>
              </w:rPr>
              <w:t>ii、生产用水</w:t>
            </w:r>
          </w:p>
          <w:p>
            <w:pPr>
              <w:spacing w:before="120" w:beforeLines="50" w:line="360" w:lineRule="auto"/>
              <w:ind w:firstLine="480" w:firstLineChars="200"/>
              <w:rPr>
                <w:bCs/>
                <w:sz w:val="24"/>
              </w:rPr>
            </w:pPr>
            <w:r>
              <w:rPr>
                <w:sz w:val="24"/>
              </w:rPr>
              <w:t>项目生产用水包含：炉渣处理循环工艺用水（湿法作业用水）损耗补加量约11.06</w:t>
            </w:r>
            <w:r>
              <w:rPr>
                <w:sz w:val="24"/>
                <w:szCs w:val="21"/>
              </w:rPr>
              <w:t xml:space="preserve"> m</w:t>
            </w:r>
            <w:r>
              <w:rPr>
                <w:sz w:val="24"/>
                <w:szCs w:val="21"/>
                <w:vertAlign w:val="superscript"/>
              </w:rPr>
              <w:t>3</w:t>
            </w:r>
            <w:r>
              <w:rPr>
                <w:sz w:val="24"/>
                <w:szCs w:val="21"/>
              </w:rPr>
              <w:t>/d</w:t>
            </w:r>
            <w:r>
              <w:rPr>
                <w:sz w:val="24"/>
              </w:rPr>
              <w:t>、防尘洒水用水约4.42</w:t>
            </w:r>
            <w:r>
              <w:rPr>
                <w:sz w:val="24"/>
                <w:szCs w:val="21"/>
              </w:rPr>
              <w:t xml:space="preserve"> m</w:t>
            </w:r>
            <w:r>
              <w:rPr>
                <w:sz w:val="24"/>
                <w:szCs w:val="21"/>
                <w:vertAlign w:val="superscript"/>
              </w:rPr>
              <w:t>3</w:t>
            </w:r>
            <w:r>
              <w:rPr>
                <w:sz w:val="24"/>
                <w:szCs w:val="21"/>
              </w:rPr>
              <w:t>/d</w:t>
            </w:r>
            <w:r>
              <w:rPr>
                <w:sz w:val="24"/>
              </w:rPr>
              <w:t>、地面及设备冲洗用水约1</w:t>
            </w:r>
            <w:r>
              <w:rPr>
                <w:sz w:val="24"/>
                <w:szCs w:val="21"/>
              </w:rPr>
              <w:t xml:space="preserve"> m</w:t>
            </w:r>
            <w:r>
              <w:rPr>
                <w:sz w:val="24"/>
                <w:szCs w:val="21"/>
                <w:vertAlign w:val="superscript"/>
              </w:rPr>
              <w:t>3</w:t>
            </w:r>
            <w:r>
              <w:rPr>
                <w:sz w:val="24"/>
                <w:szCs w:val="21"/>
              </w:rPr>
              <w:t>/d</w:t>
            </w:r>
            <w:r>
              <w:rPr>
                <w:bCs/>
                <w:sz w:val="24"/>
              </w:rPr>
              <w:t>等，所有生产用水均循环使用（循环量约2000m</w:t>
            </w:r>
            <w:r>
              <w:rPr>
                <w:bCs/>
                <w:sz w:val="24"/>
                <w:vertAlign w:val="superscript"/>
              </w:rPr>
              <w:t>3</w:t>
            </w:r>
            <w:r>
              <w:rPr>
                <w:bCs/>
                <w:sz w:val="24"/>
              </w:rPr>
              <w:t>/d）不外排。</w:t>
            </w:r>
          </w:p>
          <w:p>
            <w:pPr>
              <w:spacing w:line="360" w:lineRule="auto"/>
              <w:ind w:firstLine="480" w:firstLineChars="200"/>
              <w:rPr>
                <w:bCs/>
                <w:sz w:val="24"/>
              </w:rPr>
            </w:pPr>
            <w:r>
              <w:rPr>
                <w:rFonts w:hint="eastAsia" w:ascii="宋体" w:hAnsi="宋体" w:cs="宋体"/>
                <w:bCs/>
                <w:sz w:val="24"/>
              </w:rPr>
              <w:t>②</w:t>
            </w:r>
            <w:r>
              <w:rPr>
                <w:bCs/>
                <w:sz w:val="24"/>
              </w:rPr>
              <w:t>排水</w:t>
            </w:r>
          </w:p>
          <w:p>
            <w:pPr>
              <w:widowControl/>
              <w:adjustRightInd w:val="0"/>
              <w:snapToGrid w:val="0"/>
              <w:spacing w:line="360" w:lineRule="auto"/>
              <w:ind w:left="72" w:leftChars="30" w:right="106" w:rightChars="44" w:firstLine="480" w:firstLineChars="200"/>
              <w:rPr>
                <w:snapToGrid w:val="0"/>
                <w:kern w:val="0"/>
                <w:sz w:val="24"/>
              </w:rPr>
            </w:pPr>
            <w:r>
              <w:rPr>
                <w:snapToGrid w:val="0"/>
                <w:kern w:val="0"/>
                <w:sz w:val="24"/>
              </w:rPr>
              <w:t>i、雨水排放：屋面雨水采用雨水斗收集，外墙处雨水斗采用直立落水管排入室外雨水导排沟。</w:t>
            </w:r>
          </w:p>
          <w:p>
            <w:pPr>
              <w:widowControl/>
              <w:adjustRightInd w:val="0"/>
              <w:snapToGrid w:val="0"/>
              <w:spacing w:line="360" w:lineRule="auto"/>
              <w:ind w:left="72" w:leftChars="30" w:right="106" w:rightChars="44" w:firstLine="480" w:firstLineChars="200"/>
              <w:rPr>
                <w:snapToGrid w:val="0"/>
                <w:kern w:val="0"/>
                <w:sz w:val="24"/>
              </w:rPr>
            </w:pPr>
            <w:r>
              <w:rPr>
                <w:snapToGrid w:val="0"/>
                <w:kern w:val="0"/>
                <w:sz w:val="24"/>
              </w:rPr>
              <w:t>ii、生活污水：项目生活污水经一体化污水处理设施处理后回用生产，不外排。</w:t>
            </w:r>
          </w:p>
          <w:p>
            <w:pPr>
              <w:widowControl/>
              <w:adjustRightInd w:val="0"/>
              <w:snapToGrid w:val="0"/>
              <w:spacing w:line="360" w:lineRule="auto"/>
              <w:ind w:left="72" w:leftChars="30" w:right="106" w:rightChars="44" w:firstLine="480" w:firstLineChars="200"/>
              <w:rPr>
                <w:snapToGrid w:val="0"/>
                <w:kern w:val="0"/>
                <w:sz w:val="24"/>
              </w:rPr>
            </w:pPr>
            <w:r>
              <w:rPr>
                <w:snapToGrid w:val="0"/>
                <w:kern w:val="0"/>
                <w:sz w:val="24"/>
              </w:rPr>
              <w:t>iii、生产废水：</w:t>
            </w:r>
            <w:r>
              <w:rPr>
                <w:bCs/>
                <w:sz w:val="24"/>
              </w:rPr>
              <w:t>项目生产废水主要为</w:t>
            </w:r>
            <w:r>
              <w:rPr>
                <w:sz w:val="24"/>
              </w:rPr>
              <w:t>炉渣处理循环工艺用水、防尘洒水、地面及设备冲洗用水</w:t>
            </w:r>
            <w:r>
              <w:rPr>
                <w:bCs/>
                <w:sz w:val="24"/>
              </w:rPr>
              <w:t>等，工艺废水可循环使用不外排。</w:t>
            </w:r>
          </w:p>
          <w:p>
            <w:pPr>
              <w:widowControl/>
              <w:spacing w:line="360" w:lineRule="auto"/>
              <w:ind w:firstLine="480" w:firstLineChars="200"/>
              <w:rPr>
                <w:kern w:val="0"/>
                <w:sz w:val="24"/>
              </w:rPr>
            </w:pPr>
            <w:r>
              <w:rPr>
                <w:kern w:val="0"/>
                <w:sz w:val="24"/>
              </w:rPr>
              <w:t>用水排水情况见下表。</w:t>
            </w:r>
          </w:p>
          <w:p>
            <w:pPr>
              <w:widowControl/>
              <w:spacing w:line="360" w:lineRule="auto"/>
              <w:jc w:val="center"/>
              <w:rPr>
                <w:kern w:val="0"/>
                <w:sz w:val="24"/>
              </w:rPr>
            </w:pPr>
            <w:r>
              <w:rPr>
                <w:snapToGrid w:val="0"/>
                <w:kern w:val="0"/>
                <w:sz w:val="24"/>
              </w:rPr>
              <w:t>表2-5  项目用水排水量估算表</w:t>
            </w:r>
          </w:p>
          <w:tbl>
            <w:tblPr>
              <w:tblStyle w:val="38"/>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940"/>
              <w:gridCol w:w="986"/>
              <w:gridCol w:w="1538"/>
              <w:gridCol w:w="1776"/>
              <w:gridCol w:w="1785"/>
              <w:gridCol w:w="139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shd w:val="clear" w:color="auto" w:fill="auto"/>
                  <w:vAlign w:val="center"/>
                </w:tcPr>
                <w:p>
                  <w:pPr>
                    <w:pStyle w:val="22"/>
                    <w:spacing w:line="240" w:lineRule="auto"/>
                    <w:ind w:left="0" w:leftChars="0"/>
                    <w:jc w:val="center"/>
                    <w:rPr>
                      <w:b/>
                      <w:bCs/>
                      <w:szCs w:val="21"/>
                    </w:rPr>
                  </w:pPr>
                  <w:r>
                    <w:rPr>
                      <w:b/>
                      <w:bCs/>
                      <w:szCs w:val="21"/>
                    </w:rPr>
                    <w:t>序号</w:t>
                  </w:r>
                </w:p>
              </w:tc>
              <w:tc>
                <w:tcPr>
                  <w:tcW w:w="0" w:type="auto"/>
                  <w:shd w:val="clear" w:color="auto" w:fill="auto"/>
                  <w:vAlign w:val="center"/>
                </w:tcPr>
                <w:p>
                  <w:pPr>
                    <w:pStyle w:val="22"/>
                    <w:spacing w:line="240" w:lineRule="auto"/>
                    <w:ind w:left="0" w:leftChars="0"/>
                    <w:jc w:val="center"/>
                    <w:rPr>
                      <w:b/>
                      <w:bCs/>
                      <w:szCs w:val="21"/>
                    </w:rPr>
                  </w:pPr>
                  <w:r>
                    <w:rPr>
                      <w:b/>
                      <w:bCs/>
                      <w:szCs w:val="21"/>
                    </w:rPr>
                    <w:t>用水项目</w:t>
                  </w:r>
                </w:p>
              </w:tc>
              <w:tc>
                <w:tcPr>
                  <w:tcW w:w="0" w:type="auto"/>
                  <w:shd w:val="clear" w:color="auto" w:fill="auto"/>
                  <w:vAlign w:val="center"/>
                </w:tcPr>
                <w:p>
                  <w:pPr>
                    <w:pStyle w:val="22"/>
                    <w:spacing w:line="240" w:lineRule="auto"/>
                    <w:ind w:left="0" w:leftChars="0"/>
                    <w:jc w:val="center"/>
                    <w:rPr>
                      <w:b/>
                      <w:bCs/>
                      <w:szCs w:val="21"/>
                    </w:rPr>
                  </w:pPr>
                  <w:r>
                    <w:rPr>
                      <w:b/>
                      <w:bCs/>
                      <w:szCs w:val="21"/>
                    </w:rPr>
                    <w:t>用水规模</w:t>
                  </w:r>
                </w:p>
              </w:tc>
              <w:tc>
                <w:tcPr>
                  <w:tcW w:w="0" w:type="auto"/>
                  <w:shd w:val="clear" w:color="auto" w:fill="auto"/>
                  <w:vAlign w:val="center"/>
                </w:tcPr>
                <w:p>
                  <w:pPr>
                    <w:pStyle w:val="22"/>
                    <w:spacing w:line="240" w:lineRule="auto"/>
                    <w:ind w:left="0" w:leftChars="0"/>
                    <w:jc w:val="center"/>
                    <w:rPr>
                      <w:b/>
                      <w:bCs/>
                      <w:szCs w:val="21"/>
                    </w:rPr>
                  </w:pPr>
                  <w:r>
                    <w:rPr>
                      <w:b/>
                      <w:bCs/>
                      <w:szCs w:val="21"/>
                    </w:rPr>
                    <w:t>用水定额</w:t>
                  </w:r>
                </w:p>
              </w:tc>
              <w:tc>
                <w:tcPr>
                  <w:tcW w:w="0" w:type="auto"/>
                  <w:shd w:val="clear" w:color="auto" w:fill="auto"/>
                  <w:vAlign w:val="center"/>
                </w:tcPr>
                <w:p>
                  <w:pPr>
                    <w:pStyle w:val="22"/>
                    <w:spacing w:line="240" w:lineRule="auto"/>
                    <w:ind w:left="0" w:leftChars="0"/>
                    <w:jc w:val="center"/>
                    <w:rPr>
                      <w:b/>
                      <w:bCs/>
                      <w:szCs w:val="21"/>
                    </w:rPr>
                  </w:pPr>
                  <w:r>
                    <w:rPr>
                      <w:b/>
                      <w:bCs/>
                      <w:szCs w:val="21"/>
                    </w:rPr>
                    <w:t>用水量</w:t>
                  </w:r>
                </w:p>
              </w:tc>
              <w:tc>
                <w:tcPr>
                  <w:tcW w:w="0" w:type="auto"/>
                  <w:shd w:val="clear" w:color="auto" w:fill="auto"/>
                  <w:vAlign w:val="center"/>
                </w:tcPr>
                <w:p>
                  <w:pPr>
                    <w:pStyle w:val="22"/>
                    <w:spacing w:line="240" w:lineRule="auto"/>
                    <w:ind w:left="0" w:leftChars="0"/>
                    <w:jc w:val="center"/>
                    <w:rPr>
                      <w:b/>
                      <w:bCs/>
                      <w:szCs w:val="21"/>
                    </w:rPr>
                  </w:pPr>
                  <w:r>
                    <w:rPr>
                      <w:b/>
                      <w:bCs/>
                      <w:szCs w:val="21"/>
                    </w:rPr>
                    <w:t>排水量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shd w:val="clear" w:color="auto" w:fill="auto"/>
                  <w:vAlign w:val="center"/>
                </w:tcPr>
                <w:p>
                  <w:pPr>
                    <w:pStyle w:val="22"/>
                    <w:spacing w:line="240" w:lineRule="auto"/>
                    <w:ind w:left="0" w:leftChars="0"/>
                    <w:jc w:val="center"/>
                    <w:rPr>
                      <w:szCs w:val="21"/>
                    </w:rPr>
                  </w:pPr>
                  <w:r>
                    <w:rPr>
                      <w:szCs w:val="21"/>
                    </w:rPr>
                    <w:t>1</w:t>
                  </w:r>
                </w:p>
              </w:tc>
              <w:tc>
                <w:tcPr>
                  <w:tcW w:w="0" w:type="auto"/>
                  <w:shd w:val="clear" w:color="auto" w:fill="auto"/>
                  <w:vAlign w:val="center"/>
                </w:tcPr>
                <w:p>
                  <w:pPr>
                    <w:pStyle w:val="22"/>
                    <w:spacing w:line="240" w:lineRule="auto"/>
                    <w:ind w:left="0" w:leftChars="0"/>
                    <w:jc w:val="center"/>
                    <w:rPr>
                      <w:szCs w:val="21"/>
                    </w:rPr>
                  </w:pPr>
                  <w:r>
                    <w:rPr>
                      <w:szCs w:val="21"/>
                    </w:rPr>
                    <w:t>生活用水</w:t>
                  </w:r>
                </w:p>
              </w:tc>
              <w:tc>
                <w:tcPr>
                  <w:tcW w:w="0" w:type="auto"/>
                  <w:shd w:val="clear" w:color="auto" w:fill="auto"/>
                  <w:vAlign w:val="center"/>
                </w:tcPr>
                <w:p>
                  <w:pPr>
                    <w:pStyle w:val="22"/>
                    <w:spacing w:line="240" w:lineRule="auto"/>
                    <w:ind w:left="0" w:leftChars="0"/>
                    <w:jc w:val="center"/>
                    <w:rPr>
                      <w:szCs w:val="21"/>
                    </w:rPr>
                  </w:pPr>
                  <w:r>
                    <w:rPr>
                      <w:szCs w:val="21"/>
                    </w:rPr>
                    <w:t>25人</w:t>
                  </w:r>
                </w:p>
              </w:tc>
              <w:tc>
                <w:tcPr>
                  <w:tcW w:w="0" w:type="auto"/>
                  <w:shd w:val="clear" w:color="auto" w:fill="auto"/>
                  <w:vAlign w:val="center"/>
                </w:tcPr>
                <w:p>
                  <w:pPr>
                    <w:pStyle w:val="22"/>
                    <w:spacing w:line="240" w:lineRule="auto"/>
                    <w:ind w:left="0" w:leftChars="0"/>
                    <w:jc w:val="center"/>
                    <w:rPr>
                      <w:szCs w:val="21"/>
                    </w:rPr>
                  </w:pPr>
                  <w:r>
                    <w:rPr>
                      <w:szCs w:val="21"/>
                    </w:rPr>
                    <w:t>38m</w:t>
                  </w:r>
                  <w:r>
                    <w:rPr>
                      <w:szCs w:val="21"/>
                      <w:vertAlign w:val="superscript"/>
                    </w:rPr>
                    <w:t>3</w:t>
                  </w:r>
                  <w:r>
                    <w:rPr>
                      <w:szCs w:val="21"/>
                    </w:rPr>
                    <w:t>/人•a</w:t>
                  </w:r>
                </w:p>
              </w:tc>
              <w:tc>
                <w:tcPr>
                  <w:tcW w:w="0" w:type="auto"/>
                  <w:shd w:val="clear" w:color="auto" w:fill="auto"/>
                  <w:vAlign w:val="center"/>
                </w:tcPr>
                <w:p>
                  <w:pPr>
                    <w:pStyle w:val="22"/>
                    <w:spacing w:line="240" w:lineRule="auto"/>
                    <w:ind w:left="0" w:leftChars="0"/>
                    <w:jc w:val="center"/>
                    <w:rPr>
                      <w:szCs w:val="21"/>
                    </w:rPr>
                  </w:pPr>
                  <w:r>
                    <w:rPr>
                      <w:szCs w:val="21"/>
                    </w:rPr>
                    <w:t>2.88m</w:t>
                  </w:r>
                  <w:r>
                    <w:rPr>
                      <w:szCs w:val="21"/>
                      <w:vertAlign w:val="superscript"/>
                    </w:rPr>
                    <w:t>3</w:t>
                  </w:r>
                  <w:r>
                    <w:rPr>
                      <w:szCs w:val="21"/>
                    </w:rPr>
                    <w:t>/d</w:t>
                  </w:r>
                </w:p>
              </w:tc>
              <w:tc>
                <w:tcPr>
                  <w:tcW w:w="0" w:type="auto"/>
                  <w:shd w:val="clear" w:color="auto" w:fill="auto"/>
                  <w:vAlign w:val="center"/>
                </w:tcPr>
                <w:p>
                  <w:pPr>
                    <w:pStyle w:val="22"/>
                    <w:spacing w:line="240" w:lineRule="auto"/>
                    <w:ind w:left="0" w:leftChars="0"/>
                    <w:jc w:val="center"/>
                    <w:rPr>
                      <w:szCs w:val="21"/>
                    </w:rPr>
                  </w:pPr>
                  <w:r>
                    <w:rPr>
                      <w:szCs w:val="21"/>
                    </w:rPr>
                    <w:t>生活污水产生量按用水量的80%计算，产生量为2.3m</w:t>
                  </w:r>
                  <w:r>
                    <w:rPr>
                      <w:szCs w:val="21"/>
                      <w:vertAlign w:val="superscript"/>
                    </w:rPr>
                    <w:t>3</w:t>
                  </w:r>
                  <w:r>
                    <w:rPr>
                      <w:szCs w:val="21"/>
                    </w:rPr>
                    <w:t>/d，生活污水经一体化污水处理设施处理后回用生产，不外排</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shd w:val="clear" w:color="auto" w:fill="auto"/>
                  <w:vAlign w:val="center"/>
                </w:tcPr>
                <w:p>
                  <w:pPr>
                    <w:pStyle w:val="22"/>
                    <w:spacing w:line="240" w:lineRule="auto"/>
                    <w:ind w:left="0" w:leftChars="0"/>
                    <w:jc w:val="center"/>
                    <w:rPr>
                      <w:szCs w:val="21"/>
                    </w:rPr>
                  </w:pPr>
                  <w:r>
                    <w:rPr>
                      <w:szCs w:val="21"/>
                    </w:rPr>
                    <w:t>2</w:t>
                  </w:r>
                </w:p>
              </w:tc>
              <w:tc>
                <w:tcPr>
                  <w:tcW w:w="0" w:type="auto"/>
                  <w:shd w:val="clear" w:color="auto" w:fill="auto"/>
                  <w:vAlign w:val="center"/>
                </w:tcPr>
                <w:p>
                  <w:pPr>
                    <w:pStyle w:val="22"/>
                    <w:spacing w:line="240" w:lineRule="auto"/>
                    <w:ind w:left="0" w:leftChars="0"/>
                    <w:jc w:val="center"/>
                    <w:rPr>
                      <w:szCs w:val="21"/>
                    </w:rPr>
                  </w:pPr>
                  <w:r>
                    <w:rPr>
                      <w:szCs w:val="21"/>
                    </w:rPr>
                    <w:t>炉渣处理循环工艺用水（湿法作业）</w:t>
                  </w:r>
                </w:p>
              </w:tc>
              <w:tc>
                <w:tcPr>
                  <w:tcW w:w="0" w:type="auto"/>
                  <w:shd w:val="clear" w:color="auto" w:fill="auto"/>
                  <w:vAlign w:val="center"/>
                </w:tcPr>
                <w:p>
                  <w:pPr>
                    <w:pStyle w:val="22"/>
                    <w:spacing w:line="240" w:lineRule="auto"/>
                    <w:ind w:left="0" w:leftChars="0"/>
                    <w:jc w:val="center"/>
                    <w:rPr>
                      <w:szCs w:val="21"/>
                    </w:rPr>
                  </w:pPr>
                  <w:r>
                    <w:rPr>
                      <w:szCs w:val="21"/>
                    </w:rPr>
                    <w:t>146000t</w:t>
                  </w:r>
                </w:p>
              </w:tc>
              <w:tc>
                <w:tcPr>
                  <w:tcW w:w="0" w:type="auto"/>
                  <w:shd w:val="clear" w:color="auto" w:fill="auto"/>
                  <w:vAlign w:val="center"/>
                </w:tcPr>
                <w:p>
                  <w:pPr>
                    <w:pStyle w:val="22"/>
                    <w:spacing w:line="240" w:lineRule="auto"/>
                    <w:ind w:left="0" w:leftChars="0"/>
                    <w:jc w:val="center"/>
                    <w:rPr>
                      <w:szCs w:val="21"/>
                    </w:rPr>
                  </w:pPr>
                  <w:r>
                    <w:rPr>
                      <w:szCs w:val="21"/>
                    </w:rPr>
                    <w:t xml:space="preserve">0.025m³/t </w:t>
                  </w:r>
                </w:p>
              </w:tc>
              <w:tc>
                <w:tcPr>
                  <w:tcW w:w="0" w:type="auto"/>
                  <w:shd w:val="clear" w:color="auto" w:fill="auto"/>
                  <w:vAlign w:val="center"/>
                </w:tcPr>
                <w:p>
                  <w:pPr>
                    <w:pStyle w:val="22"/>
                    <w:spacing w:line="240" w:lineRule="auto"/>
                    <w:ind w:left="0" w:leftChars="0"/>
                    <w:jc w:val="center"/>
                    <w:rPr>
                      <w:szCs w:val="21"/>
                    </w:rPr>
                  </w:pPr>
                  <w:r>
                    <w:rPr>
                      <w:szCs w:val="21"/>
                    </w:rPr>
                    <w:t>11.06m</w:t>
                  </w:r>
                  <w:r>
                    <w:rPr>
                      <w:szCs w:val="21"/>
                      <w:vertAlign w:val="superscript"/>
                    </w:rPr>
                    <w:t>3</w:t>
                  </w:r>
                  <w:r>
                    <w:rPr>
                      <w:szCs w:val="21"/>
                    </w:rPr>
                    <w:t>/d（8.76新鲜水补充、2.3处理后生活污水回用）</w:t>
                  </w:r>
                </w:p>
              </w:tc>
              <w:tc>
                <w:tcPr>
                  <w:tcW w:w="0" w:type="auto"/>
                  <w:shd w:val="clear" w:color="auto" w:fill="auto"/>
                  <w:vAlign w:val="center"/>
                </w:tcPr>
                <w:p>
                  <w:pPr>
                    <w:pStyle w:val="22"/>
                    <w:spacing w:line="240" w:lineRule="auto"/>
                    <w:ind w:left="0" w:leftChars="0"/>
                    <w:jc w:val="center"/>
                    <w:rPr>
                      <w:szCs w:val="21"/>
                    </w:rPr>
                  </w:pPr>
                  <w:r>
                    <w:rPr>
                      <w:szCs w:val="21"/>
                    </w:rPr>
                    <w:t>项目循环用水量300m</w:t>
                  </w:r>
                  <w:r>
                    <w:rPr>
                      <w:szCs w:val="21"/>
                      <w:vertAlign w:val="superscript"/>
                    </w:rPr>
                    <w:t>3</w:t>
                  </w:r>
                  <w:r>
                    <w:rPr>
                      <w:szCs w:val="21"/>
                    </w:rPr>
                    <w:t>/h，产品带走及蒸发损耗生活污水回用2.3m</w:t>
                  </w:r>
                  <w:r>
                    <w:rPr>
                      <w:szCs w:val="21"/>
                      <w:vertAlign w:val="superscript"/>
                    </w:rPr>
                    <w:t>3</w:t>
                  </w:r>
                  <w:r>
                    <w:rPr>
                      <w:szCs w:val="21"/>
                    </w:rPr>
                    <w:t>/d，8.76m</w:t>
                  </w:r>
                  <w:r>
                    <w:rPr>
                      <w:szCs w:val="21"/>
                      <w:vertAlign w:val="superscript"/>
                    </w:rPr>
                    <w:t>3</w:t>
                  </w:r>
                  <w:r>
                    <w:rPr>
                      <w:szCs w:val="21"/>
                    </w:rPr>
                    <w:t>/d定期补加</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shd w:val="clear" w:color="auto" w:fill="auto"/>
                  <w:vAlign w:val="center"/>
                </w:tcPr>
                <w:p>
                  <w:pPr>
                    <w:pStyle w:val="22"/>
                    <w:spacing w:line="240" w:lineRule="auto"/>
                    <w:ind w:left="0" w:leftChars="0"/>
                    <w:jc w:val="center"/>
                    <w:rPr>
                      <w:szCs w:val="21"/>
                    </w:rPr>
                  </w:pPr>
                  <w:r>
                    <w:rPr>
                      <w:szCs w:val="21"/>
                    </w:rPr>
                    <w:t>3</w:t>
                  </w:r>
                </w:p>
              </w:tc>
              <w:tc>
                <w:tcPr>
                  <w:tcW w:w="0" w:type="auto"/>
                  <w:shd w:val="clear" w:color="auto" w:fill="auto"/>
                  <w:vAlign w:val="center"/>
                </w:tcPr>
                <w:p>
                  <w:pPr>
                    <w:pStyle w:val="22"/>
                    <w:spacing w:line="240" w:lineRule="auto"/>
                    <w:ind w:left="0" w:leftChars="0"/>
                    <w:jc w:val="center"/>
                    <w:rPr>
                      <w:szCs w:val="21"/>
                    </w:rPr>
                  </w:pPr>
                  <w:r>
                    <w:rPr>
                      <w:szCs w:val="21"/>
                    </w:rPr>
                    <w:t>防尘洒水</w:t>
                  </w:r>
                </w:p>
              </w:tc>
              <w:tc>
                <w:tcPr>
                  <w:tcW w:w="0" w:type="auto"/>
                  <w:shd w:val="clear" w:color="auto" w:fill="auto"/>
                  <w:vAlign w:val="center"/>
                </w:tcPr>
                <w:p>
                  <w:pPr>
                    <w:pStyle w:val="22"/>
                    <w:spacing w:line="240" w:lineRule="auto"/>
                    <w:ind w:left="0" w:leftChars="0"/>
                    <w:jc w:val="center"/>
                    <w:rPr>
                      <w:szCs w:val="21"/>
                    </w:rPr>
                  </w:pPr>
                  <w:r>
                    <w:rPr>
                      <w:szCs w:val="21"/>
                    </w:rPr>
                    <w:t>146000t</w:t>
                  </w:r>
                </w:p>
              </w:tc>
              <w:tc>
                <w:tcPr>
                  <w:tcW w:w="0" w:type="auto"/>
                  <w:shd w:val="clear" w:color="auto" w:fill="auto"/>
                  <w:vAlign w:val="center"/>
                </w:tcPr>
                <w:p>
                  <w:pPr>
                    <w:pStyle w:val="22"/>
                    <w:spacing w:line="240" w:lineRule="auto"/>
                    <w:ind w:left="0" w:leftChars="0"/>
                    <w:jc w:val="center"/>
                    <w:rPr>
                      <w:szCs w:val="21"/>
                    </w:rPr>
                  </w:pPr>
                  <w:r>
                    <w:rPr>
                      <w:szCs w:val="21"/>
                    </w:rPr>
                    <w:t>0.01m³/t</w:t>
                  </w:r>
                </w:p>
              </w:tc>
              <w:tc>
                <w:tcPr>
                  <w:tcW w:w="0" w:type="auto"/>
                  <w:shd w:val="clear" w:color="auto" w:fill="auto"/>
                  <w:vAlign w:val="center"/>
                </w:tcPr>
                <w:p>
                  <w:pPr>
                    <w:pStyle w:val="22"/>
                    <w:spacing w:line="240" w:lineRule="auto"/>
                    <w:ind w:left="0" w:leftChars="0"/>
                    <w:jc w:val="center"/>
                    <w:rPr>
                      <w:szCs w:val="21"/>
                    </w:rPr>
                  </w:pPr>
                  <w:r>
                    <w:rPr>
                      <w:szCs w:val="21"/>
                    </w:rPr>
                    <w:t>4.42m</w:t>
                  </w:r>
                  <w:r>
                    <w:rPr>
                      <w:szCs w:val="21"/>
                      <w:vertAlign w:val="superscript"/>
                    </w:rPr>
                    <w:t>3</w:t>
                  </w:r>
                  <w:r>
                    <w:rPr>
                      <w:szCs w:val="21"/>
                    </w:rPr>
                    <w:t>/d</w:t>
                  </w:r>
                </w:p>
              </w:tc>
              <w:tc>
                <w:tcPr>
                  <w:tcW w:w="0" w:type="auto"/>
                  <w:shd w:val="clear" w:color="auto" w:fill="auto"/>
                  <w:vAlign w:val="center"/>
                </w:tcPr>
                <w:p>
                  <w:pPr>
                    <w:pStyle w:val="22"/>
                    <w:spacing w:line="240" w:lineRule="auto"/>
                    <w:ind w:left="0" w:leftChars="0"/>
                    <w:jc w:val="center"/>
                    <w:rPr>
                      <w:szCs w:val="21"/>
                    </w:rPr>
                  </w:pPr>
                  <w:r>
                    <w:rPr>
                      <w:szCs w:val="21"/>
                    </w:rPr>
                    <w:t>自然蒸发损耗4.42m</w:t>
                  </w:r>
                  <w:r>
                    <w:rPr>
                      <w:szCs w:val="21"/>
                      <w:vertAlign w:val="superscript"/>
                    </w:rPr>
                    <w:t>3</w:t>
                  </w:r>
                  <w:r>
                    <w:rPr>
                      <w:szCs w:val="21"/>
                    </w:rPr>
                    <w:t>/d</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shd w:val="clear" w:color="auto" w:fill="auto"/>
                  <w:vAlign w:val="center"/>
                </w:tcPr>
                <w:p>
                  <w:pPr>
                    <w:pStyle w:val="22"/>
                    <w:spacing w:line="240" w:lineRule="auto"/>
                    <w:ind w:left="0" w:leftChars="0"/>
                    <w:jc w:val="center"/>
                    <w:rPr>
                      <w:szCs w:val="21"/>
                    </w:rPr>
                  </w:pPr>
                  <w:r>
                    <w:rPr>
                      <w:szCs w:val="21"/>
                    </w:rPr>
                    <w:t>4</w:t>
                  </w:r>
                </w:p>
              </w:tc>
              <w:tc>
                <w:tcPr>
                  <w:tcW w:w="0" w:type="auto"/>
                  <w:shd w:val="clear" w:color="auto" w:fill="auto"/>
                  <w:vAlign w:val="center"/>
                </w:tcPr>
                <w:p>
                  <w:pPr>
                    <w:pStyle w:val="22"/>
                    <w:spacing w:line="240" w:lineRule="auto"/>
                    <w:ind w:left="0" w:leftChars="0"/>
                    <w:jc w:val="center"/>
                    <w:rPr>
                      <w:szCs w:val="21"/>
                    </w:rPr>
                  </w:pPr>
                  <w:r>
                    <w:rPr>
                      <w:szCs w:val="21"/>
                    </w:rPr>
                    <w:t>清洁用水</w:t>
                  </w:r>
                </w:p>
              </w:tc>
              <w:tc>
                <w:tcPr>
                  <w:tcW w:w="0" w:type="auto"/>
                  <w:shd w:val="clear" w:color="auto" w:fill="auto"/>
                  <w:vAlign w:val="center"/>
                </w:tcPr>
                <w:p>
                  <w:pPr>
                    <w:pStyle w:val="22"/>
                    <w:spacing w:line="240" w:lineRule="auto"/>
                    <w:ind w:left="0" w:leftChars="0"/>
                    <w:jc w:val="center"/>
                    <w:rPr>
                      <w:szCs w:val="21"/>
                    </w:rPr>
                  </w:pPr>
                  <w:r>
                    <w:rPr>
                      <w:szCs w:val="21"/>
                    </w:rPr>
                    <w:t>/</w:t>
                  </w:r>
                </w:p>
              </w:tc>
              <w:tc>
                <w:tcPr>
                  <w:tcW w:w="0" w:type="auto"/>
                  <w:shd w:val="clear" w:color="auto" w:fill="auto"/>
                  <w:vAlign w:val="center"/>
                </w:tcPr>
                <w:p>
                  <w:pPr>
                    <w:pStyle w:val="22"/>
                    <w:spacing w:line="240" w:lineRule="auto"/>
                    <w:ind w:left="0" w:leftChars="0"/>
                    <w:jc w:val="center"/>
                    <w:rPr>
                      <w:szCs w:val="21"/>
                    </w:rPr>
                  </w:pPr>
                  <w:r>
                    <w:rPr>
                      <w:szCs w:val="21"/>
                    </w:rPr>
                    <w:t>/</w:t>
                  </w:r>
                </w:p>
              </w:tc>
              <w:tc>
                <w:tcPr>
                  <w:tcW w:w="0" w:type="auto"/>
                  <w:shd w:val="clear" w:color="auto" w:fill="auto"/>
                  <w:vAlign w:val="center"/>
                </w:tcPr>
                <w:p>
                  <w:pPr>
                    <w:pStyle w:val="22"/>
                    <w:spacing w:line="240" w:lineRule="auto"/>
                    <w:ind w:left="0" w:leftChars="0"/>
                    <w:jc w:val="center"/>
                    <w:rPr>
                      <w:szCs w:val="21"/>
                    </w:rPr>
                  </w:pPr>
                  <w:r>
                    <w:rPr>
                      <w:szCs w:val="21"/>
                    </w:rPr>
                    <w:t>1m</w:t>
                  </w:r>
                  <w:r>
                    <w:rPr>
                      <w:szCs w:val="21"/>
                      <w:vertAlign w:val="superscript"/>
                    </w:rPr>
                    <w:t>3</w:t>
                  </w:r>
                  <w:r>
                    <w:rPr>
                      <w:szCs w:val="21"/>
                    </w:rPr>
                    <w:t>/d</w:t>
                  </w:r>
                </w:p>
              </w:tc>
              <w:tc>
                <w:tcPr>
                  <w:tcW w:w="0" w:type="auto"/>
                  <w:shd w:val="clear" w:color="auto" w:fill="auto"/>
                  <w:vAlign w:val="center"/>
                </w:tcPr>
                <w:p>
                  <w:pPr>
                    <w:pStyle w:val="22"/>
                    <w:spacing w:line="240" w:lineRule="auto"/>
                    <w:ind w:left="0" w:leftChars="0"/>
                    <w:jc w:val="center"/>
                    <w:rPr>
                      <w:szCs w:val="21"/>
                    </w:rPr>
                  </w:pPr>
                  <w:r>
                    <w:rPr>
                      <w:szCs w:val="21"/>
                    </w:rPr>
                    <w:t>自然蒸发1m</w:t>
                  </w:r>
                  <w:r>
                    <w:rPr>
                      <w:szCs w:val="21"/>
                      <w:vertAlign w:val="superscript"/>
                    </w:rPr>
                    <w:t>3</w:t>
                  </w:r>
                  <w:r>
                    <w:rPr>
                      <w:szCs w:val="21"/>
                    </w:rPr>
                    <w:t>/d</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0" w:type="auto"/>
                  <w:gridSpan w:val="4"/>
                  <w:shd w:val="clear" w:color="auto" w:fill="auto"/>
                  <w:vAlign w:val="center"/>
                </w:tcPr>
                <w:p>
                  <w:pPr>
                    <w:pStyle w:val="22"/>
                    <w:spacing w:line="240" w:lineRule="auto"/>
                    <w:ind w:left="0" w:leftChars="0"/>
                    <w:jc w:val="center"/>
                    <w:rPr>
                      <w:szCs w:val="21"/>
                    </w:rPr>
                  </w:pPr>
                  <w:r>
                    <w:rPr>
                      <w:szCs w:val="21"/>
                    </w:rPr>
                    <w:t>合计</w:t>
                  </w:r>
                </w:p>
              </w:tc>
              <w:tc>
                <w:tcPr>
                  <w:tcW w:w="0" w:type="auto"/>
                  <w:shd w:val="clear" w:color="auto" w:fill="auto"/>
                  <w:vAlign w:val="center"/>
                </w:tcPr>
                <w:p>
                  <w:pPr>
                    <w:pStyle w:val="22"/>
                    <w:spacing w:line="240" w:lineRule="auto"/>
                    <w:ind w:left="0" w:leftChars="0"/>
                    <w:jc w:val="center"/>
                    <w:rPr>
                      <w:szCs w:val="21"/>
                    </w:rPr>
                  </w:pPr>
                  <w:r>
                    <w:rPr>
                      <w:szCs w:val="21"/>
                    </w:rPr>
                    <w:t>17.06m</w:t>
                  </w:r>
                  <w:r>
                    <w:rPr>
                      <w:szCs w:val="21"/>
                      <w:vertAlign w:val="superscript"/>
                    </w:rPr>
                    <w:t>3</w:t>
                  </w:r>
                  <w:r>
                    <w:rPr>
                      <w:szCs w:val="21"/>
                    </w:rPr>
                    <w:t>/d</w:t>
                  </w:r>
                </w:p>
              </w:tc>
              <w:tc>
                <w:tcPr>
                  <w:tcW w:w="0" w:type="auto"/>
                  <w:shd w:val="clear" w:color="auto" w:fill="auto"/>
                  <w:vAlign w:val="center"/>
                </w:tcPr>
                <w:p>
                  <w:pPr>
                    <w:pStyle w:val="22"/>
                    <w:spacing w:line="240" w:lineRule="auto"/>
                    <w:ind w:left="0" w:leftChars="0"/>
                    <w:jc w:val="center"/>
                    <w:rPr>
                      <w:szCs w:val="21"/>
                    </w:rPr>
                  </w:pPr>
                  <w:r>
                    <w:rPr>
                      <w:szCs w:val="21"/>
                    </w:rPr>
                    <w:t>/</w:t>
                  </w:r>
                </w:p>
              </w:tc>
            </w:tr>
            <w:bookmarkEnd w:id="11"/>
          </w:tbl>
          <w:p>
            <w:pPr>
              <w:widowControl/>
              <w:spacing w:line="360" w:lineRule="auto"/>
              <w:jc w:val="center"/>
            </w:pPr>
            <w:r>
              <w:object>
                <v:shape id="_x0000_i1025" o:spt="75" type="#_x0000_t75" style="height:266.4pt;width:359.2pt;" o:ole="t" filled="f" o:preferrelative="t" stroked="f" coordsize="21600,21600">
                  <v:path/>
                  <v:fill on="f" focussize="0,0"/>
                  <v:stroke on="f" joinstyle="miter"/>
                  <v:imagedata r:id="rId49" o:title=""/>
                  <o:lock v:ext="edit" aspectratio="t"/>
                  <w10:wrap type="none"/>
                  <w10:anchorlock/>
                </v:shape>
                <o:OLEObject Type="Embed" ProgID="Visio.Drawing.15" ShapeID="_x0000_i1025" DrawAspect="Content" ObjectID="_1468075725" r:id="rId48">
                  <o:LockedField>false</o:LockedField>
                </o:OLEObject>
              </w:object>
            </w:r>
          </w:p>
          <w:p>
            <w:pPr>
              <w:widowControl/>
              <w:spacing w:line="360" w:lineRule="auto"/>
              <w:jc w:val="center"/>
              <w:rPr>
                <w:bCs/>
                <w:szCs w:val="21"/>
              </w:rPr>
            </w:pPr>
            <w:r>
              <w:rPr>
                <w:bCs/>
                <w:sz w:val="24"/>
                <w:szCs w:val="21"/>
              </w:rPr>
              <w:t>图2-1  项目水平衡图（m</w:t>
            </w:r>
            <w:r>
              <w:rPr>
                <w:bCs/>
                <w:sz w:val="24"/>
                <w:szCs w:val="21"/>
                <w:vertAlign w:val="superscript"/>
              </w:rPr>
              <w:t>3</w:t>
            </w:r>
            <w:r>
              <w:rPr>
                <w:bCs/>
                <w:sz w:val="24"/>
                <w:szCs w:val="21"/>
              </w:rPr>
              <w:t>/d）</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55" w:type="pct"/>
            <w:vAlign w:val="center"/>
          </w:tcPr>
          <w:p>
            <w:pPr>
              <w:pStyle w:val="33"/>
              <w:adjustRightInd w:val="0"/>
              <w:snapToGrid w:val="0"/>
              <w:spacing w:before="0" w:beforeAutospacing="0" w:after="0" w:afterAutospacing="0"/>
              <w:jc w:val="center"/>
              <w:rPr>
                <w:rFonts w:ascii="Times New Roman" w:hAnsi="Times New Roman"/>
                <w:sz w:val="21"/>
                <w:szCs w:val="21"/>
              </w:rPr>
            </w:pPr>
            <w:r>
              <w:rPr>
                <w:rFonts w:ascii="Times New Roman" w:hAnsi="Times New Roman"/>
                <w:sz w:val="21"/>
                <w:szCs w:val="21"/>
              </w:rPr>
              <w:t>工艺流程和产排污环节</w:t>
            </w:r>
          </w:p>
        </w:tc>
        <w:tc>
          <w:tcPr>
            <w:tcW w:w="4845" w:type="pct"/>
          </w:tcPr>
          <w:p>
            <w:pPr>
              <w:spacing w:line="360" w:lineRule="auto"/>
              <w:rPr>
                <w:b/>
                <w:sz w:val="28"/>
                <w:szCs w:val="28"/>
              </w:rPr>
            </w:pPr>
            <w:r>
              <w:rPr>
                <w:b/>
                <w:sz w:val="28"/>
                <w:szCs w:val="28"/>
              </w:rPr>
              <w:t>一、工艺流程简述（图示）</w:t>
            </w:r>
          </w:p>
          <w:p>
            <w:pPr>
              <w:spacing w:line="360" w:lineRule="auto"/>
              <w:ind w:firstLine="482" w:firstLineChars="200"/>
              <w:rPr>
                <w:b/>
                <w:sz w:val="24"/>
              </w:rPr>
            </w:pPr>
            <w:r>
              <w:rPr>
                <w:b/>
                <w:sz w:val="24"/>
              </w:rPr>
              <w:t>（一）施工期</w:t>
            </w:r>
          </w:p>
          <w:p>
            <w:pPr>
              <w:spacing w:line="360" w:lineRule="auto"/>
              <w:ind w:firstLine="480" w:firstLineChars="200"/>
              <w:rPr>
                <w:sz w:val="24"/>
              </w:rPr>
            </w:pPr>
            <w:r>
              <w:rPr>
                <w:sz w:val="24"/>
              </w:rPr>
              <w:t>本项目利用现有平整场地进行新建。施工期主要为厂房的建设、生产设备的安装、环保设施的安装。项目施工基本工艺流程及产污情况详见图2-2。</w:t>
            </w:r>
          </w:p>
          <w:p>
            <w:pPr>
              <w:spacing w:line="360" w:lineRule="auto"/>
              <w:ind w:firstLine="480" w:firstLineChars="200"/>
              <w:jc w:val="center"/>
              <w:rPr>
                <w:sz w:val="24"/>
              </w:rPr>
            </w:pPr>
            <w:r>
              <w:object>
                <v:shape id="_x0000_i1026" o:spt="75" type="#_x0000_t75" style="height:144pt;width:304.8pt;" o:ole="t" filled="f" o:preferrelative="t" stroked="f" coordsize="21600,21600">
                  <v:path/>
                  <v:fill on="f" focussize="0,0"/>
                  <v:stroke on="f" joinstyle="miter"/>
                  <v:imagedata r:id="rId50" o:title=""/>
                  <o:lock v:ext="edit" aspectratio="t"/>
                  <w10:wrap type="none"/>
                  <w10:anchorlock/>
                </v:shape>
                <o:OLEObject Type="Embed" ProgID="Visio.Drawing.11" ShapeID="_x0000_i1026" DrawAspect="Content" ObjectID="_1468075726">
                  <o:LockedField>false</o:LockedField>
                </o:OLEObject>
              </w:object>
            </w:r>
          </w:p>
          <w:p>
            <w:pPr>
              <w:spacing w:line="360" w:lineRule="auto"/>
              <w:ind w:firstLine="482" w:firstLineChars="200"/>
              <w:rPr>
                <w:b/>
                <w:sz w:val="24"/>
              </w:rPr>
            </w:pPr>
            <w:r>
              <w:rPr>
                <w:b/>
                <w:sz w:val="24"/>
              </w:rPr>
              <w:t>（二）运营期</w:t>
            </w:r>
          </w:p>
          <w:p>
            <w:pPr>
              <w:spacing w:line="360" w:lineRule="auto"/>
              <w:ind w:firstLine="480" w:firstLineChars="200"/>
              <w:rPr>
                <w:sz w:val="24"/>
              </w:rPr>
            </w:pPr>
            <w:r>
              <w:rPr>
                <w:sz w:val="24"/>
              </w:rPr>
              <w:t>项目设置炉渣综合利用生产线，其生产工艺流程见图2-3。</w:t>
            </w:r>
          </w:p>
          <w:p>
            <w:pPr>
              <w:spacing w:line="360" w:lineRule="auto"/>
              <w:jc w:val="center"/>
            </w:pPr>
            <w:r>
              <w:object>
                <v:shape id="_x0000_i1027" o:spt="75" type="#_x0000_t75" style="height:390.4pt;width:420.8pt;" o:ole="t" filled="f" o:preferrelative="t" stroked="f" coordsize="21600,21600">
                  <v:path/>
                  <v:fill on="f" focussize="0,0"/>
                  <v:stroke on="f" joinstyle="miter"/>
                  <v:imagedata r:id="rId52" o:title=""/>
                  <o:lock v:ext="edit" aspectratio="t"/>
                  <w10:wrap type="none"/>
                  <w10:anchorlock/>
                </v:shape>
                <o:OLEObject Type="Embed" ProgID="Visio.Drawing.15" ShapeID="_x0000_i1027" DrawAspect="Content" ObjectID="_1468075727" r:id="rId51">
                  <o:LockedField>false</o:LockedField>
                </o:OLEObject>
              </w:object>
            </w:r>
          </w:p>
          <w:p>
            <w:pPr>
              <w:spacing w:line="360" w:lineRule="auto"/>
              <w:jc w:val="center"/>
              <w:rPr>
                <w:b/>
                <w:sz w:val="24"/>
                <w:szCs w:val="22"/>
              </w:rPr>
            </w:pPr>
            <w:r>
              <w:rPr>
                <w:sz w:val="24"/>
                <w:szCs w:val="22"/>
              </w:rPr>
              <w:t>图2-3  炉渣综合利用生产线工艺流程</w:t>
            </w:r>
            <w:r>
              <w:rPr>
                <w:sz w:val="24"/>
              </w:rPr>
              <w:t>及主要产污环节</w:t>
            </w:r>
          </w:p>
          <w:p>
            <w:pPr>
              <w:spacing w:line="360" w:lineRule="auto"/>
              <w:ind w:firstLine="482" w:firstLineChars="200"/>
              <w:rPr>
                <w:b/>
                <w:bCs/>
                <w:sz w:val="24"/>
              </w:rPr>
            </w:pPr>
            <w:r>
              <w:rPr>
                <w:b/>
                <w:bCs/>
                <w:sz w:val="24"/>
              </w:rPr>
              <w:t>主要生产工艺流程简述：</w:t>
            </w:r>
          </w:p>
          <w:p>
            <w:pPr>
              <w:pStyle w:val="14"/>
              <w:spacing w:after="0" w:line="360" w:lineRule="auto"/>
              <w:ind w:firstLine="482" w:firstLineChars="200"/>
              <w:rPr>
                <w:sz w:val="24"/>
              </w:rPr>
            </w:pPr>
            <w:r>
              <w:rPr>
                <w:b/>
                <w:sz w:val="24"/>
              </w:rPr>
              <w:t>筛选及回场破碎：</w:t>
            </w:r>
            <w:r>
              <w:rPr>
                <w:sz w:val="24"/>
              </w:rPr>
              <w:t>发电厂产生的炉渣经汽车运输至炉渣分选生产线，多余炉渣运往在炉渣综合处理车间的原料堆场暂存。经焚烧产生的炉渣，组成成份混杂，为防止流水线设备损坏，需要对炉渣进行一次筛选。炉渣由装载机送入料斗，通过传送带输送进筛选滚笼进料口，此工序不用水。滚笼是可以连续旋转的喇叭状筛网。炉渣由喇叭状滚笼小口端进入，经过旋转的滚笼后，直径小于100mm的炉渣颗粒透过滚笼侧面网孔流出，进入下一道工序；而体积较大的渣块、石块、混凝土块及大块的金属则通过喇叭状滚笼的大口端流出，通过装载机进行碾碎后，由传送带输送回待处理炉渣区；未完全燃烧的垃圾被人工捡出，集中后送回垃圾焚烧炉重新焚烧。</w:t>
            </w:r>
          </w:p>
          <w:p>
            <w:pPr>
              <w:pStyle w:val="14"/>
              <w:spacing w:after="0" w:line="360" w:lineRule="auto"/>
              <w:ind w:firstLine="482" w:firstLineChars="200"/>
              <w:rPr>
                <w:sz w:val="24"/>
              </w:rPr>
            </w:pPr>
            <w:r>
              <w:rPr>
                <w:b/>
                <w:sz w:val="24"/>
              </w:rPr>
              <w:t>一级磁选：</w:t>
            </w:r>
            <w:r>
              <w:rPr>
                <w:sz w:val="24"/>
              </w:rPr>
              <w:t>一级磁选：经过旋转的滚笼后，直径小于100mm的炉渣颗粒透过滚笼侧面网孔，流入料斗，由料口底部均匀流出，均匀分布在传送带上。传送带上方设置悬挂式磁力除铁器，当炉渣随传送带经过悬挂式磁力除铁器下方时，炉渣中的磁性金属被磁选出来，通过输送金属的传送带送去除杂分离及金属分类。</w:t>
            </w:r>
          </w:p>
          <w:p>
            <w:pPr>
              <w:pStyle w:val="14"/>
              <w:spacing w:after="0" w:line="360" w:lineRule="auto"/>
              <w:ind w:firstLine="482" w:firstLineChars="200"/>
              <w:rPr>
                <w:sz w:val="24"/>
              </w:rPr>
            </w:pPr>
            <w:r>
              <w:rPr>
                <w:b/>
                <w:sz w:val="24"/>
              </w:rPr>
              <w:t>一级破碎：</w:t>
            </w:r>
            <w:r>
              <w:rPr>
                <w:sz w:val="24"/>
              </w:rPr>
              <w:t>经过一级磁选后的炉渣，通过传送带送入打砂机，同时打砂机进料口有冲洗水连续注入，约550m</w:t>
            </w:r>
            <w:r>
              <w:rPr>
                <w:sz w:val="24"/>
                <w:vertAlign w:val="superscript"/>
              </w:rPr>
              <w:t>3</w:t>
            </w:r>
            <w:r>
              <w:rPr>
                <w:sz w:val="24"/>
              </w:rPr>
              <w:t>/d。炉渣在湿式打砂机内进行粉碎，粉碎后的渣粒随冲洗水流出打砂机。打砂机能将炉渣中100mm以下的渣块、石块及混凝土块等坚硬的物质充分打碎，根据制砖厂或水泥厂的要求，可以将炉渣粉碎成规定的颗粒大小，目前的技术可以将颗粒细度调整到1～30mm左右。</w:t>
            </w:r>
          </w:p>
          <w:p>
            <w:pPr>
              <w:pStyle w:val="14"/>
              <w:spacing w:after="0" w:line="360" w:lineRule="auto"/>
              <w:ind w:firstLine="482" w:firstLineChars="200"/>
              <w:rPr>
                <w:sz w:val="24"/>
              </w:rPr>
            </w:pPr>
            <w:r>
              <w:rPr>
                <w:b/>
                <w:sz w:val="24"/>
              </w:rPr>
              <w:t>二级磁选：</w:t>
            </w:r>
            <w:r>
              <w:rPr>
                <w:sz w:val="24"/>
              </w:rPr>
              <w:t>湿式打砂机出口设置滚筒式磁力除铁器，由湿式打砂机出口流出的炉渣及冲洗水混和物，流经滚筒式磁力除铁器下方，炉渣中所含有未被一级磁选完全分离的较小的铁被二级磁选出来，通过输送金属的传送带送去除杂分离及金属分类。</w:t>
            </w:r>
          </w:p>
          <w:p>
            <w:pPr>
              <w:pStyle w:val="14"/>
              <w:spacing w:after="0" w:line="360" w:lineRule="auto"/>
              <w:ind w:firstLine="482" w:firstLineChars="200"/>
              <w:rPr>
                <w:sz w:val="24"/>
              </w:rPr>
            </w:pPr>
            <w:r>
              <w:rPr>
                <w:b/>
                <w:sz w:val="24"/>
              </w:rPr>
              <w:t>跳汰分选：</w:t>
            </w:r>
            <w:r>
              <w:rPr>
                <w:sz w:val="24"/>
              </w:rPr>
              <w:t>经二级磁选后的炉渣及冲洗水混和物，流入锯齿波跳汰机。锯齿波跳汰机根据跳汰床层理论分层规律，其跳汰脉动曲线呈锯齿形，上升水流快于下降水流，使炉渣中的重颗粒物质得到充分沉降，因此比重较重的金属颗粒随着下降水流沉降到跳汰机床层底部；而比重较轻的物质（基本上已经去除了所有金属物质）则分布在跳汰机床层的上部，随水流经跳汰机出料口流入直线筛分选机。沉降于跳汰机床层底部比重较重的金属混杂物，被定期清理出来，进行金属分类。</w:t>
            </w:r>
          </w:p>
          <w:p>
            <w:pPr>
              <w:pStyle w:val="14"/>
              <w:spacing w:after="0" w:line="360" w:lineRule="auto"/>
              <w:ind w:firstLine="482" w:firstLineChars="200"/>
              <w:rPr>
                <w:sz w:val="24"/>
              </w:rPr>
            </w:pPr>
            <w:r>
              <w:rPr>
                <w:b/>
                <w:sz w:val="24"/>
              </w:rPr>
              <w:t>粗骨料、细骨料粒径筛选：</w:t>
            </w:r>
            <w:r>
              <w:rPr>
                <w:sz w:val="24"/>
              </w:rPr>
              <w:t>跳汰机上部较轻的物质，随水流经跳汰机出料口流入直线筛分选机筛分出不同粗细粒径的粗骨料。细骨料，粗骨料中含有铝，所有粗骨料进入涡电流分选机，分选出铝后，粗骨料进入粗骨料堆放区，经筛分出的细骨料进入脱水筛进行脱水，脱水后的细骨料进入细骨料堆放区，细骨料脱水后的水经管道进沉淀池沉淀后循环使用。滤水后的粗骨料和细骨料经集中后外售水泥厂、混凝土砌块砖厂、混凝土搅拌站等处。主要粒径：</w:t>
            </w:r>
            <w:r>
              <w:rPr>
                <w:sz w:val="24"/>
                <w:lang w:bidi="ar"/>
              </w:rPr>
              <w:t>粗骨料粒径为4～10mm、10～30mm级，细骨料粒径为0.01～2mm、2～4mm级。</w:t>
            </w:r>
          </w:p>
          <w:p>
            <w:pPr>
              <w:pStyle w:val="14"/>
              <w:spacing w:after="0" w:line="360" w:lineRule="auto"/>
              <w:ind w:firstLine="482" w:firstLineChars="200"/>
              <w:rPr>
                <w:sz w:val="24"/>
              </w:rPr>
            </w:pPr>
            <w:r>
              <w:rPr>
                <w:b/>
                <w:sz w:val="24"/>
              </w:rPr>
              <w:t>回收金属分类：</w:t>
            </w:r>
            <w:r>
              <w:rPr>
                <w:sz w:val="24"/>
              </w:rPr>
              <w:t>从炉渣中回收的金属，区分为强磁性及弱磁性两类，因此需要对回收金属进行分类，同时要去除金属中混杂的泥沙。利用摇床去除金属中混杂的泥沙，同时采用悬吊式磁力除铁器区分强磁性及弱磁性两类金属。摇床是目前较为理想的节能选矿设备之一。摇床具有双曲波床面，床面有一定倾斜度，在电机及皮带轮的带动下，可以作纵向往复运动，同时摇床侧边有横向冲击水流横向流过床面。去除泥沙的过程是在具有双曲波床面上进行的，金属及泥沙混和物从床面上角的给矿槽送入，同时由给水槽提供横向冲洗水，于是金属及泥沙混和物在重力，横向流水冲力，床面作往复不对称运动所产生的惯性和摩擦力的作用下，按比重和粒度分层，并沿床面做纵向运动和沿倾斜床面做横向运动。因此比重和粒度不同的矿粒沿着各自的运动方向逐渐沿对角线呈扇型流下，分别从精矿端和尾矿侧的不同区域排出，金属集中在精矿端，而泥沙则由尾矿侧排至废水处理系统。在摇床的精矿端上方，设置悬挂式磁力除铁器，流经其下方的强磁性金属被磁选出来，而弱磁性金属则由摇床精矿端出口收集。</w:t>
            </w:r>
          </w:p>
          <w:p>
            <w:pPr>
              <w:pStyle w:val="14"/>
              <w:spacing w:after="0" w:line="360" w:lineRule="auto"/>
              <w:ind w:firstLine="482" w:firstLineChars="200"/>
              <w:rPr>
                <w:b/>
                <w:sz w:val="24"/>
              </w:rPr>
            </w:pPr>
            <w:r>
              <w:rPr>
                <w:b/>
                <w:sz w:val="24"/>
              </w:rPr>
              <w:t>工艺水流程：</w:t>
            </w:r>
          </w:p>
          <w:p>
            <w:pPr>
              <w:pStyle w:val="14"/>
              <w:spacing w:after="0" w:line="360" w:lineRule="auto"/>
              <w:ind w:firstLine="480" w:firstLineChars="200"/>
              <w:rPr>
                <w:sz w:val="24"/>
              </w:rPr>
            </w:pPr>
            <w:r>
              <w:rPr>
                <w:sz w:val="24"/>
              </w:rPr>
              <w:t>湿式打砂机冲洗水、跳汰机补给水（脉动分层用）及细骨料脱水机脱水均通过厂内的围堰收集、导流渠和管道输送进入沉淀循环水池，水流从一级破碎、二级磁选、跳汰分选、筛选、脱水、滤水、压滤及摇床分选进入沉淀循环池，形成一个水循环系统；经收集、沉淀、压滤、再沉淀后可以循环利用。</w:t>
            </w:r>
          </w:p>
          <w:p>
            <w:pPr>
              <w:spacing w:line="360" w:lineRule="auto"/>
              <w:ind w:firstLine="480" w:firstLineChars="200"/>
            </w:pPr>
            <w:r>
              <w:object>
                <v:shape id="_x0000_i1028" o:spt="75" type="#_x0000_t75" style="height:296pt;width:400.8pt;" o:ole="t" filled="f" o:preferrelative="t" stroked="f" coordsize="21600,21600">
                  <v:path/>
                  <v:fill on="f" focussize="0,0"/>
                  <v:stroke on="f" joinstyle="miter"/>
                  <v:imagedata r:id="rId54" o:title=""/>
                  <o:lock v:ext="edit" aspectratio="t"/>
                  <w10:wrap type="none"/>
                  <w10:anchorlock/>
                </v:shape>
                <o:OLEObject Type="Embed" ProgID="Visio.Drawing.15" ShapeID="_x0000_i1028" DrawAspect="Content" ObjectID="_1468075728" r:id="rId53">
                  <o:LockedField>false</o:LockedField>
                </o:OLEObject>
              </w:object>
            </w:r>
          </w:p>
          <w:p>
            <w:pPr>
              <w:spacing w:line="360" w:lineRule="auto"/>
              <w:jc w:val="center"/>
              <w:rPr>
                <w:sz w:val="24"/>
              </w:rPr>
            </w:pPr>
            <w:r>
              <w:rPr>
                <w:sz w:val="24"/>
                <w:szCs w:val="22"/>
              </w:rPr>
              <w:t>图2-4  建筑垃圾资源化利用生产线工艺流程</w:t>
            </w:r>
            <w:r>
              <w:rPr>
                <w:sz w:val="24"/>
              </w:rPr>
              <w:t>及主要产污环节</w:t>
            </w:r>
          </w:p>
          <w:p>
            <w:pPr>
              <w:spacing w:line="360" w:lineRule="auto"/>
              <w:ind w:firstLine="482" w:firstLineChars="200"/>
              <w:rPr>
                <w:b/>
                <w:bCs/>
                <w:sz w:val="24"/>
              </w:rPr>
            </w:pPr>
            <w:r>
              <w:rPr>
                <w:b/>
                <w:bCs/>
                <w:sz w:val="24"/>
              </w:rPr>
              <w:t>主要生产工艺流程简述：</w:t>
            </w:r>
          </w:p>
          <w:p>
            <w:pPr>
              <w:spacing w:line="360" w:lineRule="auto"/>
              <w:ind w:firstLine="482" w:firstLineChars="200"/>
              <w:rPr>
                <w:sz w:val="24"/>
              </w:rPr>
            </w:pPr>
            <w:r>
              <w:rPr>
                <w:b/>
                <w:bCs/>
                <w:sz w:val="24"/>
              </w:rPr>
              <w:t>人工分选：</w:t>
            </w:r>
            <w:r>
              <w:rPr>
                <w:sz w:val="24"/>
              </w:rPr>
              <w:t>通过人工清分的方法将建筑垃圾中的木头等杂物清分出来，作为一般工业固废处理。</w:t>
            </w:r>
          </w:p>
          <w:p>
            <w:pPr>
              <w:spacing w:line="360" w:lineRule="auto"/>
              <w:ind w:firstLine="482" w:firstLineChars="200"/>
              <w:rPr>
                <w:sz w:val="24"/>
              </w:rPr>
            </w:pPr>
            <w:r>
              <w:rPr>
                <w:b/>
                <w:bCs/>
                <w:sz w:val="24"/>
              </w:rPr>
              <w:t>给料：</w:t>
            </w:r>
            <w:r>
              <w:rPr>
                <w:sz w:val="24"/>
              </w:rPr>
              <w:t>原料由装载机直接送到料仓，由料仓进入振动给料机，由给料机将物料均匀送入破袋整形机中；过程中喷水降尘。</w:t>
            </w:r>
          </w:p>
          <w:p>
            <w:pPr>
              <w:spacing w:line="360" w:lineRule="auto"/>
              <w:ind w:firstLine="482" w:firstLineChars="200"/>
              <w:rPr>
                <w:sz w:val="24"/>
              </w:rPr>
            </w:pPr>
            <w:r>
              <w:rPr>
                <w:b/>
                <w:bCs/>
                <w:sz w:val="24"/>
              </w:rPr>
              <w:t>破碎：</w:t>
            </w:r>
            <w:r>
              <w:rPr>
                <w:sz w:val="24"/>
              </w:rPr>
              <w:t>物料由给料机送至破袋整形机进行破碎。</w:t>
            </w:r>
          </w:p>
          <w:p>
            <w:pPr>
              <w:spacing w:line="360" w:lineRule="auto"/>
              <w:ind w:firstLine="424" w:firstLineChars="176"/>
              <w:rPr>
                <w:sz w:val="24"/>
              </w:rPr>
            </w:pPr>
            <w:r>
              <w:rPr>
                <w:b/>
                <w:bCs/>
                <w:sz w:val="24"/>
              </w:rPr>
              <w:t>强磁除铁：</w:t>
            </w:r>
            <w:r>
              <w:rPr>
                <w:sz w:val="24"/>
              </w:rPr>
              <w:t>破碎后的物料经输送带输送，在输送过程中使用吸铁石对物料进行磁选，剔除其中的金属废料。</w:t>
            </w:r>
          </w:p>
          <w:p>
            <w:pPr>
              <w:spacing w:line="360" w:lineRule="auto"/>
              <w:ind w:firstLine="424" w:firstLineChars="176"/>
              <w:rPr>
                <w:sz w:val="24"/>
              </w:rPr>
            </w:pPr>
            <w:r>
              <w:rPr>
                <w:b/>
                <w:bCs/>
                <w:sz w:val="24"/>
              </w:rPr>
              <w:t>筛分：</w:t>
            </w:r>
            <w:r>
              <w:rPr>
                <w:sz w:val="24"/>
              </w:rPr>
              <w:t>破碎后的物料经高效振动筛筛分成不同规格。</w:t>
            </w:r>
          </w:p>
          <w:p>
            <w:pPr>
              <w:spacing w:line="360" w:lineRule="auto"/>
              <w:ind w:firstLine="424" w:firstLineChars="176"/>
              <w:rPr>
                <w:sz w:val="24"/>
              </w:rPr>
            </w:pPr>
            <w:r>
              <w:rPr>
                <w:b/>
                <w:bCs/>
                <w:sz w:val="24"/>
              </w:rPr>
              <w:t>二次破碎：</w:t>
            </w:r>
            <w:r>
              <w:rPr>
                <w:sz w:val="24"/>
              </w:rPr>
              <w:t>破碎筛分后的物料经破碎机将碎石物料制成砂石粒料。</w:t>
            </w:r>
          </w:p>
          <w:p>
            <w:pPr>
              <w:spacing w:line="360" w:lineRule="auto"/>
              <w:rPr>
                <w:b/>
                <w:sz w:val="28"/>
                <w:szCs w:val="28"/>
              </w:rPr>
            </w:pPr>
            <w:r>
              <w:rPr>
                <w:b/>
                <w:sz w:val="28"/>
                <w:szCs w:val="28"/>
              </w:rPr>
              <w:t>二、主要污染工序</w:t>
            </w:r>
          </w:p>
          <w:p>
            <w:pPr>
              <w:spacing w:line="360" w:lineRule="auto"/>
              <w:ind w:firstLine="480" w:firstLineChars="200"/>
              <w:rPr>
                <w:sz w:val="24"/>
              </w:rPr>
            </w:pPr>
            <w:r>
              <w:rPr>
                <w:sz w:val="24"/>
              </w:rPr>
              <w:t>本工程建设施工期和营运期主要产污工序分述如下：</w:t>
            </w:r>
          </w:p>
          <w:p>
            <w:pPr>
              <w:spacing w:line="360" w:lineRule="auto"/>
              <w:ind w:firstLine="480" w:firstLineChars="200"/>
              <w:rPr>
                <w:sz w:val="24"/>
              </w:rPr>
            </w:pPr>
            <w:r>
              <w:rPr>
                <w:sz w:val="24"/>
              </w:rPr>
              <w:t>（一）施工期</w:t>
            </w:r>
          </w:p>
          <w:p>
            <w:pPr>
              <w:spacing w:line="360" w:lineRule="auto"/>
              <w:ind w:firstLine="480" w:firstLineChars="200"/>
              <w:rPr>
                <w:sz w:val="24"/>
              </w:rPr>
            </w:pPr>
            <w:r>
              <w:rPr>
                <w:sz w:val="24"/>
              </w:rPr>
              <w:t>施工期污染工序主要为扬尘、施工机械废气、噪声、固废等。施工期主要包括工程施工、装修工程、设备安装、工程验收等，施工期产生的污染物主要为：</w:t>
            </w:r>
          </w:p>
          <w:p>
            <w:pPr>
              <w:spacing w:line="360" w:lineRule="auto"/>
              <w:ind w:firstLine="480" w:firstLineChars="200"/>
              <w:rPr>
                <w:sz w:val="24"/>
              </w:rPr>
            </w:pPr>
            <w:r>
              <w:rPr>
                <w:sz w:val="24"/>
              </w:rPr>
              <w:t>施工废水：主要为施工人员生活污水和生产废水。</w:t>
            </w:r>
          </w:p>
          <w:p>
            <w:pPr>
              <w:spacing w:line="360" w:lineRule="auto"/>
              <w:ind w:firstLine="480" w:firstLineChars="200"/>
              <w:rPr>
                <w:sz w:val="24"/>
              </w:rPr>
            </w:pPr>
            <w:r>
              <w:rPr>
                <w:sz w:val="24"/>
              </w:rPr>
              <w:t>施工废气：主要有施工扬尘、汽车、机械设备尾气等。</w:t>
            </w:r>
          </w:p>
          <w:p>
            <w:pPr>
              <w:spacing w:line="360" w:lineRule="auto"/>
              <w:ind w:firstLine="480" w:firstLineChars="200"/>
              <w:rPr>
                <w:sz w:val="24"/>
              </w:rPr>
            </w:pPr>
            <w:r>
              <w:rPr>
                <w:sz w:val="24"/>
              </w:rPr>
              <w:t>施工噪声：主要来源于施工现场各类机械设备和物料运输车辆的噪声。</w:t>
            </w:r>
          </w:p>
          <w:p>
            <w:pPr>
              <w:spacing w:line="360" w:lineRule="auto"/>
              <w:ind w:firstLine="480" w:firstLineChars="200"/>
              <w:rPr>
                <w:sz w:val="24"/>
              </w:rPr>
            </w:pPr>
            <w:r>
              <w:rPr>
                <w:sz w:val="24"/>
              </w:rPr>
              <w:t>施工固废：施工固废主要为建筑垃圾、生活垃圾等。</w:t>
            </w:r>
          </w:p>
          <w:p>
            <w:pPr>
              <w:spacing w:line="360" w:lineRule="auto"/>
              <w:ind w:firstLine="480" w:firstLineChars="200"/>
              <w:rPr>
                <w:sz w:val="24"/>
              </w:rPr>
            </w:pPr>
            <w:r>
              <w:rPr>
                <w:sz w:val="24"/>
              </w:rPr>
              <w:t>（二）运营期</w:t>
            </w:r>
          </w:p>
          <w:p>
            <w:pPr>
              <w:spacing w:line="360" w:lineRule="auto"/>
              <w:ind w:firstLine="480" w:firstLineChars="200"/>
              <w:rPr>
                <w:sz w:val="24"/>
              </w:rPr>
            </w:pPr>
            <w:r>
              <w:rPr>
                <w:sz w:val="24"/>
              </w:rPr>
              <w:t>结合图2-3、图2-4和项目运行情况，项目运行产生的污染主要为废水、废气、噪声和固体废弃物。本项目“三废”的产生来源主要是：</w:t>
            </w:r>
          </w:p>
          <w:p>
            <w:pPr>
              <w:spacing w:line="360" w:lineRule="auto"/>
              <w:ind w:firstLine="480" w:firstLineChars="200"/>
              <w:rPr>
                <w:sz w:val="24"/>
              </w:rPr>
            </w:pPr>
            <w:r>
              <w:rPr>
                <w:sz w:val="24"/>
              </w:rPr>
              <w:t>生产过程中主要产污包括：</w:t>
            </w:r>
          </w:p>
          <w:p>
            <w:pPr>
              <w:spacing w:line="360" w:lineRule="auto"/>
              <w:ind w:firstLine="480" w:firstLineChars="200"/>
              <w:rPr>
                <w:sz w:val="24"/>
              </w:rPr>
            </w:pPr>
            <w:r>
              <w:rPr>
                <w:sz w:val="24"/>
                <w:szCs w:val="22"/>
              </w:rPr>
              <w:t>炉渣综合利用生产线及建筑垃圾资源化利用生产线产生的装卸粉尘，破碎、筛分粉尘，汽车尾气等；</w:t>
            </w:r>
          </w:p>
          <w:p>
            <w:pPr>
              <w:spacing w:line="360" w:lineRule="auto"/>
              <w:ind w:firstLine="480" w:firstLineChars="200"/>
              <w:rPr>
                <w:sz w:val="24"/>
              </w:rPr>
            </w:pPr>
            <w:r>
              <w:rPr>
                <w:sz w:val="24"/>
              </w:rPr>
              <w:t>生产废水（湿法作业废水、降尘废水、地面及设备冲洗用水等），生活污水等；</w:t>
            </w:r>
          </w:p>
          <w:p>
            <w:pPr>
              <w:spacing w:line="360" w:lineRule="auto"/>
              <w:ind w:firstLine="480" w:firstLineChars="200"/>
              <w:rPr>
                <w:sz w:val="24"/>
              </w:rPr>
            </w:pPr>
            <w:r>
              <w:rPr>
                <w:sz w:val="24"/>
              </w:rPr>
              <w:t>一般工业固废：未燃尽垃圾、循环池污泥、废油类物质、人工分拣杂物、可燃物，生活垃圾等；</w:t>
            </w:r>
          </w:p>
          <w:p>
            <w:pPr>
              <w:spacing w:line="360" w:lineRule="auto"/>
              <w:ind w:firstLine="480" w:firstLineChars="200"/>
              <w:rPr>
                <w:sz w:val="24"/>
              </w:rPr>
            </w:pPr>
            <w:r>
              <w:rPr>
                <w:sz w:val="24"/>
              </w:rPr>
              <w:t>此外，各设备运行产生噪声。详见表2-6。</w:t>
            </w:r>
          </w:p>
          <w:p>
            <w:pPr>
              <w:spacing w:line="360" w:lineRule="auto"/>
              <w:jc w:val="center"/>
              <w:rPr>
                <w:bCs/>
                <w:sz w:val="24"/>
              </w:rPr>
            </w:pPr>
            <w:r>
              <w:rPr>
                <w:bCs/>
                <w:sz w:val="24"/>
              </w:rPr>
              <w:t>表2-6 产污工序及污染物一览表</w:t>
            </w:r>
          </w:p>
          <w:tbl>
            <w:tblPr>
              <w:tblStyle w:val="38"/>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564"/>
              <w:gridCol w:w="928"/>
              <w:gridCol w:w="1636"/>
              <w:gridCol w:w="1912"/>
              <w:gridCol w:w="939"/>
              <w:gridCol w:w="2409"/>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36" w:type="pct"/>
                  <w:tcBorders>
                    <w:top w:val="single" w:color="auto" w:sz="12" w:space="0"/>
                    <w:left w:val="nil"/>
                    <w:bottom w:val="single" w:color="auto" w:sz="12" w:space="0"/>
                  </w:tcBorders>
                  <w:tcMar>
                    <w:left w:w="0" w:type="dxa"/>
                    <w:right w:w="0" w:type="dxa"/>
                  </w:tcMar>
                  <w:vAlign w:val="center"/>
                </w:tcPr>
                <w:p>
                  <w:pPr>
                    <w:jc w:val="center"/>
                    <w:rPr>
                      <w:szCs w:val="21"/>
                    </w:rPr>
                  </w:pPr>
                  <w:r>
                    <w:rPr>
                      <w:szCs w:val="21"/>
                    </w:rPr>
                    <w:t>类别</w:t>
                  </w:r>
                </w:p>
              </w:tc>
              <w:tc>
                <w:tcPr>
                  <w:tcW w:w="553" w:type="pct"/>
                  <w:tcBorders>
                    <w:top w:val="single" w:color="auto" w:sz="12" w:space="0"/>
                    <w:bottom w:val="single" w:color="auto" w:sz="12" w:space="0"/>
                  </w:tcBorders>
                  <w:vAlign w:val="center"/>
                </w:tcPr>
                <w:p>
                  <w:pPr>
                    <w:jc w:val="center"/>
                    <w:rPr>
                      <w:szCs w:val="21"/>
                    </w:rPr>
                  </w:pPr>
                  <w:r>
                    <w:rPr>
                      <w:szCs w:val="21"/>
                    </w:rPr>
                    <w:t>污染因素</w:t>
                  </w:r>
                </w:p>
              </w:tc>
              <w:tc>
                <w:tcPr>
                  <w:tcW w:w="975" w:type="pct"/>
                  <w:tcBorders>
                    <w:top w:val="single" w:color="auto" w:sz="12" w:space="0"/>
                    <w:bottom w:val="single" w:color="auto" w:sz="12" w:space="0"/>
                  </w:tcBorders>
                  <w:vAlign w:val="center"/>
                </w:tcPr>
                <w:p>
                  <w:pPr>
                    <w:jc w:val="center"/>
                    <w:rPr>
                      <w:szCs w:val="21"/>
                    </w:rPr>
                  </w:pPr>
                  <w:r>
                    <w:rPr>
                      <w:szCs w:val="21"/>
                    </w:rPr>
                    <w:t>产生工序</w:t>
                  </w:r>
                </w:p>
              </w:tc>
              <w:tc>
                <w:tcPr>
                  <w:tcW w:w="1140" w:type="pct"/>
                  <w:tcBorders>
                    <w:top w:val="single" w:color="auto" w:sz="12" w:space="0"/>
                    <w:bottom w:val="single" w:color="auto" w:sz="12" w:space="0"/>
                  </w:tcBorders>
                  <w:vAlign w:val="center"/>
                </w:tcPr>
                <w:p>
                  <w:pPr>
                    <w:jc w:val="center"/>
                    <w:rPr>
                      <w:szCs w:val="21"/>
                    </w:rPr>
                  </w:pPr>
                  <w:r>
                    <w:rPr>
                      <w:szCs w:val="21"/>
                    </w:rPr>
                    <w:t>污染环节</w:t>
                  </w:r>
                </w:p>
              </w:tc>
              <w:tc>
                <w:tcPr>
                  <w:tcW w:w="560" w:type="pct"/>
                  <w:tcBorders>
                    <w:top w:val="single" w:color="auto" w:sz="12" w:space="0"/>
                    <w:bottom w:val="single" w:color="auto" w:sz="12" w:space="0"/>
                  </w:tcBorders>
                  <w:vAlign w:val="center"/>
                </w:tcPr>
                <w:p>
                  <w:pPr>
                    <w:jc w:val="center"/>
                    <w:rPr>
                      <w:szCs w:val="21"/>
                    </w:rPr>
                  </w:pPr>
                  <w:r>
                    <w:rPr>
                      <w:szCs w:val="21"/>
                    </w:rPr>
                    <w:t>标识</w:t>
                  </w:r>
                </w:p>
              </w:tc>
              <w:tc>
                <w:tcPr>
                  <w:tcW w:w="1436" w:type="pct"/>
                  <w:tcBorders>
                    <w:top w:val="single" w:color="auto" w:sz="12" w:space="0"/>
                    <w:bottom w:val="single" w:color="auto" w:sz="12" w:space="0"/>
                    <w:right w:val="nil"/>
                  </w:tcBorders>
                  <w:vAlign w:val="center"/>
                </w:tcPr>
                <w:p>
                  <w:pPr>
                    <w:jc w:val="center"/>
                    <w:rPr>
                      <w:szCs w:val="21"/>
                    </w:rPr>
                  </w:pPr>
                  <w:r>
                    <w:rPr>
                      <w:szCs w:val="21"/>
                    </w:rPr>
                    <w:t>污染因子</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36" w:type="pct"/>
                  <w:vMerge w:val="restart"/>
                  <w:tcBorders>
                    <w:top w:val="single" w:color="auto" w:sz="12" w:space="0"/>
                    <w:left w:val="nil"/>
                  </w:tcBorders>
                  <w:vAlign w:val="center"/>
                </w:tcPr>
                <w:p>
                  <w:pPr>
                    <w:jc w:val="center"/>
                    <w:rPr>
                      <w:szCs w:val="21"/>
                    </w:rPr>
                  </w:pPr>
                  <w:r>
                    <w:rPr>
                      <w:szCs w:val="21"/>
                    </w:rPr>
                    <w:t>生产装置</w:t>
                  </w:r>
                </w:p>
              </w:tc>
              <w:tc>
                <w:tcPr>
                  <w:tcW w:w="553" w:type="pct"/>
                  <w:vMerge w:val="restart"/>
                  <w:tcBorders>
                    <w:top w:val="single" w:color="auto" w:sz="12" w:space="0"/>
                  </w:tcBorders>
                  <w:vAlign w:val="center"/>
                </w:tcPr>
                <w:p>
                  <w:pPr>
                    <w:jc w:val="center"/>
                    <w:rPr>
                      <w:szCs w:val="21"/>
                    </w:rPr>
                  </w:pPr>
                  <w:r>
                    <w:rPr>
                      <w:szCs w:val="21"/>
                    </w:rPr>
                    <w:t>废气</w:t>
                  </w:r>
                </w:p>
              </w:tc>
              <w:tc>
                <w:tcPr>
                  <w:tcW w:w="975" w:type="pct"/>
                  <w:tcBorders>
                    <w:top w:val="single" w:color="auto" w:sz="12" w:space="0"/>
                    <w:bottom w:val="single" w:color="auto" w:sz="2" w:space="0"/>
                  </w:tcBorders>
                  <w:tcMar>
                    <w:left w:w="0" w:type="dxa"/>
                    <w:right w:w="0" w:type="dxa"/>
                  </w:tcMar>
                  <w:vAlign w:val="center"/>
                </w:tcPr>
                <w:p>
                  <w:pPr>
                    <w:jc w:val="center"/>
                    <w:rPr>
                      <w:szCs w:val="21"/>
                    </w:rPr>
                  </w:pPr>
                  <w:r>
                    <w:rPr>
                      <w:szCs w:val="21"/>
                    </w:rPr>
                    <w:t>破碎、筛分</w:t>
                  </w:r>
                </w:p>
              </w:tc>
              <w:tc>
                <w:tcPr>
                  <w:tcW w:w="1140" w:type="pct"/>
                  <w:tcBorders>
                    <w:top w:val="single" w:color="auto" w:sz="12" w:space="0"/>
                    <w:bottom w:val="single" w:color="auto" w:sz="2" w:space="0"/>
                  </w:tcBorders>
                  <w:vAlign w:val="center"/>
                </w:tcPr>
                <w:p>
                  <w:pPr>
                    <w:jc w:val="center"/>
                    <w:rPr>
                      <w:szCs w:val="21"/>
                    </w:rPr>
                  </w:pPr>
                  <w:r>
                    <w:rPr>
                      <w:szCs w:val="21"/>
                    </w:rPr>
                    <w:t>无组织粉尘</w:t>
                  </w:r>
                </w:p>
              </w:tc>
              <w:tc>
                <w:tcPr>
                  <w:tcW w:w="560" w:type="pct"/>
                  <w:tcBorders>
                    <w:top w:val="single" w:color="auto" w:sz="12" w:space="0"/>
                    <w:bottom w:val="single" w:color="auto" w:sz="2" w:space="0"/>
                  </w:tcBorders>
                  <w:vAlign w:val="center"/>
                </w:tcPr>
                <w:p>
                  <w:pPr>
                    <w:jc w:val="center"/>
                    <w:rPr>
                      <w:szCs w:val="21"/>
                    </w:rPr>
                  </w:pPr>
                  <w:r>
                    <w:rPr>
                      <w:szCs w:val="21"/>
                    </w:rPr>
                    <w:t>G1</w:t>
                  </w:r>
                </w:p>
              </w:tc>
              <w:tc>
                <w:tcPr>
                  <w:tcW w:w="1436" w:type="pct"/>
                  <w:tcBorders>
                    <w:top w:val="single" w:color="auto" w:sz="12" w:space="0"/>
                    <w:bottom w:val="single" w:color="auto" w:sz="2" w:space="0"/>
                    <w:right w:val="nil"/>
                  </w:tcBorders>
                  <w:vAlign w:val="center"/>
                </w:tcPr>
                <w:p>
                  <w:pPr>
                    <w:jc w:val="center"/>
                    <w:rPr>
                      <w:szCs w:val="21"/>
                    </w:rPr>
                  </w:pPr>
                  <w:r>
                    <w:rPr>
                      <w:szCs w:val="21"/>
                    </w:rPr>
                    <w:t>颗粒物</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36" w:type="pct"/>
                  <w:vMerge w:val="continue"/>
                  <w:tcBorders>
                    <w:top w:val="single" w:color="auto" w:sz="12" w:space="0"/>
                    <w:left w:val="nil"/>
                  </w:tcBorders>
                  <w:vAlign w:val="center"/>
                </w:tcPr>
                <w:p>
                  <w:pPr>
                    <w:jc w:val="center"/>
                    <w:rPr>
                      <w:szCs w:val="21"/>
                    </w:rPr>
                  </w:pPr>
                </w:p>
              </w:tc>
              <w:tc>
                <w:tcPr>
                  <w:tcW w:w="553" w:type="pct"/>
                  <w:vMerge w:val="continue"/>
                  <w:vAlign w:val="center"/>
                </w:tcPr>
                <w:p>
                  <w:pPr>
                    <w:jc w:val="center"/>
                    <w:rPr>
                      <w:szCs w:val="21"/>
                    </w:rPr>
                  </w:pPr>
                </w:p>
              </w:tc>
              <w:tc>
                <w:tcPr>
                  <w:tcW w:w="975" w:type="pct"/>
                  <w:tcBorders>
                    <w:top w:val="single" w:color="auto" w:sz="2" w:space="0"/>
                    <w:bottom w:val="single" w:color="auto" w:sz="4" w:space="0"/>
                  </w:tcBorders>
                  <w:tcMar>
                    <w:left w:w="0" w:type="dxa"/>
                    <w:right w:w="0" w:type="dxa"/>
                  </w:tcMar>
                  <w:vAlign w:val="center"/>
                </w:tcPr>
                <w:p>
                  <w:pPr>
                    <w:jc w:val="center"/>
                    <w:rPr>
                      <w:szCs w:val="21"/>
                    </w:rPr>
                  </w:pPr>
                  <w:r>
                    <w:rPr>
                      <w:szCs w:val="21"/>
                    </w:rPr>
                    <w:t>装卸</w:t>
                  </w:r>
                </w:p>
              </w:tc>
              <w:tc>
                <w:tcPr>
                  <w:tcW w:w="1140" w:type="pct"/>
                  <w:tcBorders>
                    <w:top w:val="single" w:color="auto" w:sz="2" w:space="0"/>
                    <w:bottom w:val="single" w:color="auto" w:sz="4" w:space="0"/>
                  </w:tcBorders>
                  <w:vAlign w:val="center"/>
                </w:tcPr>
                <w:p>
                  <w:pPr>
                    <w:jc w:val="center"/>
                    <w:rPr>
                      <w:szCs w:val="21"/>
                    </w:rPr>
                  </w:pPr>
                  <w:r>
                    <w:rPr>
                      <w:szCs w:val="21"/>
                    </w:rPr>
                    <w:t>装卸物料无组织粉尘</w:t>
                  </w:r>
                </w:p>
              </w:tc>
              <w:tc>
                <w:tcPr>
                  <w:tcW w:w="560" w:type="pct"/>
                  <w:tcBorders>
                    <w:top w:val="single" w:color="auto" w:sz="2" w:space="0"/>
                    <w:bottom w:val="single" w:color="auto" w:sz="4" w:space="0"/>
                  </w:tcBorders>
                  <w:vAlign w:val="center"/>
                </w:tcPr>
                <w:p>
                  <w:pPr>
                    <w:jc w:val="center"/>
                    <w:rPr>
                      <w:szCs w:val="21"/>
                    </w:rPr>
                  </w:pPr>
                  <w:r>
                    <w:rPr>
                      <w:szCs w:val="21"/>
                    </w:rPr>
                    <w:t>G2</w:t>
                  </w:r>
                </w:p>
              </w:tc>
              <w:tc>
                <w:tcPr>
                  <w:tcW w:w="1436" w:type="pct"/>
                  <w:tcBorders>
                    <w:top w:val="single" w:color="auto" w:sz="2" w:space="0"/>
                    <w:bottom w:val="single" w:color="auto" w:sz="4" w:space="0"/>
                    <w:right w:val="nil"/>
                  </w:tcBorders>
                  <w:vAlign w:val="center"/>
                </w:tcPr>
                <w:p>
                  <w:pPr>
                    <w:jc w:val="center"/>
                    <w:rPr>
                      <w:szCs w:val="21"/>
                    </w:rPr>
                  </w:pPr>
                  <w:r>
                    <w:rPr>
                      <w:szCs w:val="21"/>
                    </w:rPr>
                    <w:t>颗粒物</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36" w:type="pct"/>
                  <w:vMerge w:val="continue"/>
                  <w:tcBorders>
                    <w:top w:val="single" w:color="auto" w:sz="12" w:space="0"/>
                    <w:left w:val="nil"/>
                  </w:tcBorders>
                  <w:vAlign w:val="center"/>
                </w:tcPr>
                <w:p>
                  <w:pPr>
                    <w:jc w:val="center"/>
                    <w:rPr>
                      <w:szCs w:val="21"/>
                    </w:rPr>
                  </w:pPr>
                </w:p>
              </w:tc>
              <w:tc>
                <w:tcPr>
                  <w:tcW w:w="553" w:type="pct"/>
                  <w:vMerge w:val="continue"/>
                  <w:vAlign w:val="center"/>
                </w:tcPr>
                <w:p>
                  <w:pPr>
                    <w:jc w:val="center"/>
                    <w:rPr>
                      <w:szCs w:val="21"/>
                    </w:rPr>
                  </w:pPr>
                </w:p>
              </w:tc>
              <w:tc>
                <w:tcPr>
                  <w:tcW w:w="975" w:type="pct"/>
                  <w:tcBorders>
                    <w:top w:val="single" w:color="auto" w:sz="2" w:space="0"/>
                    <w:bottom w:val="single" w:color="auto" w:sz="4" w:space="0"/>
                  </w:tcBorders>
                  <w:tcMar>
                    <w:left w:w="0" w:type="dxa"/>
                    <w:right w:w="0" w:type="dxa"/>
                  </w:tcMar>
                  <w:vAlign w:val="center"/>
                </w:tcPr>
                <w:p>
                  <w:pPr>
                    <w:jc w:val="center"/>
                    <w:rPr>
                      <w:szCs w:val="21"/>
                    </w:rPr>
                  </w:pPr>
                  <w:r>
                    <w:rPr>
                      <w:szCs w:val="21"/>
                    </w:rPr>
                    <w:t>运输</w:t>
                  </w:r>
                </w:p>
              </w:tc>
              <w:tc>
                <w:tcPr>
                  <w:tcW w:w="1140" w:type="pct"/>
                  <w:tcBorders>
                    <w:top w:val="single" w:color="auto" w:sz="2" w:space="0"/>
                    <w:bottom w:val="single" w:color="auto" w:sz="4" w:space="0"/>
                  </w:tcBorders>
                  <w:vAlign w:val="center"/>
                </w:tcPr>
                <w:p>
                  <w:pPr>
                    <w:jc w:val="center"/>
                    <w:rPr>
                      <w:szCs w:val="21"/>
                    </w:rPr>
                  </w:pPr>
                  <w:r>
                    <w:rPr>
                      <w:szCs w:val="21"/>
                    </w:rPr>
                    <w:t>汽车尾气</w:t>
                  </w:r>
                </w:p>
              </w:tc>
              <w:tc>
                <w:tcPr>
                  <w:tcW w:w="560" w:type="pct"/>
                  <w:tcBorders>
                    <w:top w:val="single" w:color="auto" w:sz="2" w:space="0"/>
                    <w:bottom w:val="single" w:color="auto" w:sz="4" w:space="0"/>
                  </w:tcBorders>
                  <w:vAlign w:val="center"/>
                </w:tcPr>
                <w:p>
                  <w:pPr>
                    <w:jc w:val="center"/>
                    <w:rPr>
                      <w:szCs w:val="21"/>
                    </w:rPr>
                  </w:pPr>
                  <w:r>
                    <w:rPr>
                      <w:szCs w:val="21"/>
                    </w:rPr>
                    <w:t>G3</w:t>
                  </w:r>
                </w:p>
              </w:tc>
              <w:tc>
                <w:tcPr>
                  <w:tcW w:w="1436" w:type="pct"/>
                  <w:tcBorders>
                    <w:top w:val="single" w:color="auto" w:sz="2" w:space="0"/>
                    <w:bottom w:val="single" w:color="auto" w:sz="4" w:space="0"/>
                    <w:right w:val="nil"/>
                  </w:tcBorders>
                  <w:vAlign w:val="center"/>
                </w:tcPr>
                <w:p>
                  <w:pPr>
                    <w:jc w:val="center"/>
                    <w:rPr>
                      <w:szCs w:val="21"/>
                    </w:rPr>
                  </w:pPr>
                  <w:r>
                    <w:rPr>
                      <w:szCs w:val="21"/>
                    </w:rPr>
                    <w:t>汽车尾气</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340" w:hRule="atLeast"/>
                <w:jc w:val="center"/>
              </w:trPr>
              <w:tc>
                <w:tcPr>
                  <w:tcW w:w="336" w:type="pct"/>
                  <w:vMerge w:val="continue"/>
                  <w:tcBorders>
                    <w:top w:val="single" w:color="auto" w:sz="12" w:space="0"/>
                    <w:left w:val="nil"/>
                  </w:tcBorders>
                  <w:vAlign w:val="center"/>
                </w:tcPr>
                <w:p>
                  <w:pPr>
                    <w:jc w:val="center"/>
                    <w:rPr>
                      <w:szCs w:val="21"/>
                    </w:rPr>
                  </w:pPr>
                </w:p>
              </w:tc>
              <w:tc>
                <w:tcPr>
                  <w:tcW w:w="553" w:type="pct"/>
                  <w:vMerge w:val="continue"/>
                  <w:vAlign w:val="center"/>
                </w:tcPr>
                <w:p>
                  <w:pPr>
                    <w:jc w:val="center"/>
                    <w:rPr>
                      <w:szCs w:val="21"/>
                    </w:rPr>
                  </w:pPr>
                </w:p>
              </w:tc>
              <w:tc>
                <w:tcPr>
                  <w:tcW w:w="975" w:type="pct"/>
                  <w:tcBorders>
                    <w:top w:val="single" w:color="auto" w:sz="2" w:space="0"/>
                    <w:bottom w:val="single" w:color="auto" w:sz="4" w:space="0"/>
                  </w:tcBorders>
                  <w:tcMar>
                    <w:left w:w="0" w:type="dxa"/>
                    <w:right w:w="0" w:type="dxa"/>
                  </w:tcMar>
                  <w:vAlign w:val="center"/>
                </w:tcPr>
                <w:p>
                  <w:pPr>
                    <w:jc w:val="center"/>
                    <w:rPr>
                      <w:szCs w:val="21"/>
                    </w:rPr>
                  </w:pPr>
                  <w:r>
                    <w:rPr>
                      <w:szCs w:val="21"/>
                    </w:rPr>
                    <w:t>成品堆放</w:t>
                  </w:r>
                </w:p>
              </w:tc>
              <w:tc>
                <w:tcPr>
                  <w:tcW w:w="1140" w:type="pct"/>
                  <w:tcBorders>
                    <w:top w:val="single" w:color="auto" w:sz="2" w:space="0"/>
                    <w:bottom w:val="single" w:color="auto" w:sz="4" w:space="0"/>
                  </w:tcBorders>
                  <w:vAlign w:val="center"/>
                </w:tcPr>
                <w:p>
                  <w:pPr>
                    <w:jc w:val="center"/>
                    <w:rPr>
                      <w:szCs w:val="21"/>
                    </w:rPr>
                  </w:pPr>
                  <w:r>
                    <w:rPr>
                      <w:szCs w:val="21"/>
                    </w:rPr>
                    <w:t>堆场粉尘</w:t>
                  </w:r>
                </w:p>
              </w:tc>
              <w:tc>
                <w:tcPr>
                  <w:tcW w:w="560" w:type="pct"/>
                  <w:tcBorders>
                    <w:top w:val="single" w:color="auto" w:sz="2" w:space="0"/>
                    <w:bottom w:val="single" w:color="auto" w:sz="4" w:space="0"/>
                  </w:tcBorders>
                  <w:vAlign w:val="center"/>
                </w:tcPr>
                <w:p>
                  <w:pPr>
                    <w:jc w:val="center"/>
                    <w:rPr>
                      <w:szCs w:val="21"/>
                    </w:rPr>
                  </w:pPr>
                  <w:r>
                    <w:rPr>
                      <w:szCs w:val="21"/>
                    </w:rPr>
                    <w:t>G4</w:t>
                  </w:r>
                </w:p>
              </w:tc>
              <w:tc>
                <w:tcPr>
                  <w:tcW w:w="1436" w:type="pct"/>
                  <w:tcBorders>
                    <w:top w:val="single" w:color="auto" w:sz="2" w:space="0"/>
                    <w:bottom w:val="single" w:color="auto" w:sz="4" w:space="0"/>
                    <w:right w:val="nil"/>
                  </w:tcBorders>
                  <w:vAlign w:val="center"/>
                </w:tcPr>
                <w:p>
                  <w:pPr>
                    <w:jc w:val="center"/>
                    <w:rPr>
                      <w:szCs w:val="21"/>
                    </w:rPr>
                  </w:pPr>
                  <w:r>
                    <w:rPr>
                      <w:szCs w:val="21"/>
                    </w:rPr>
                    <w:t>颗粒物</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36" w:type="pct"/>
                  <w:vMerge w:val="continue"/>
                  <w:tcBorders>
                    <w:left w:val="nil"/>
                  </w:tcBorders>
                  <w:vAlign w:val="center"/>
                </w:tcPr>
                <w:p>
                  <w:pPr>
                    <w:jc w:val="center"/>
                    <w:rPr>
                      <w:szCs w:val="21"/>
                    </w:rPr>
                  </w:pPr>
                </w:p>
              </w:tc>
              <w:tc>
                <w:tcPr>
                  <w:tcW w:w="553" w:type="pct"/>
                  <w:vMerge w:val="restart"/>
                  <w:vAlign w:val="center"/>
                </w:tcPr>
                <w:p>
                  <w:pPr>
                    <w:jc w:val="center"/>
                    <w:rPr>
                      <w:szCs w:val="21"/>
                    </w:rPr>
                  </w:pPr>
                  <w:r>
                    <w:rPr>
                      <w:szCs w:val="21"/>
                    </w:rPr>
                    <w:t>废水</w:t>
                  </w:r>
                </w:p>
              </w:tc>
              <w:tc>
                <w:tcPr>
                  <w:tcW w:w="975" w:type="pct"/>
                  <w:tcMar>
                    <w:left w:w="0" w:type="dxa"/>
                    <w:right w:w="0" w:type="dxa"/>
                  </w:tcMar>
                  <w:vAlign w:val="center"/>
                </w:tcPr>
                <w:p>
                  <w:pPr>
                    <w:jc w:val="center"/>
                    <w:rPr>
                      <w:szCs w:val="21"/>
                    </w:rPr>
                  </w:pPr>
                  <w:r>
                    <w:rPr>
                      <w:szCs w:val="21"/>
                    </w:rPr>
                    <w:t>湿法作业</w:t>
                  </w:r>
                </w:p>
              </w:tc>
              <w:tc>
                <w:tcPr>
                  <w:tcW w:w="1140" w:type="pct"/>
                  <w:vAlign w:val="center"/>
                </w:tcPr>
                <w:p>
                  <w:pPr>
                    <w:jc w:val="center"/>
                    <w:rPr>
                      <w:szCs w:val="21"/>
                    </w:rPr>
                  </w:pPr>
                  <w:r>
                    <w:rPr>
                      <w:szCs w:val="21"/>
                    </w:rPr>
                    <w:t>炉渣处理循环工艺废水</w:t>
                  </w:r>
                </w:p>
              </w:tc>
              <w:tc>
                <w:tcPr>
                  <w:tcW w:w="560" w:type="pct"/>
                  <w:vAlign w:val="center"/>
                </w:tcPr>
                <w:p>
                  <w:pPr>
                    <w:jc w:val="center"/>
                    <w:rPr>
                      <w:szCs w:val="21"/>
                    </w:rPr>
                  </w:pPr>
                  <w:r>
                    <w:rPr>
                      <w:szCs w:val="21"/>
                    </w:rPr>
                    <w:t>W1</w:t>
                  </w:r>
                </w:p>
              </w:tc>
              <w:tc>
                <w:tcPr>
                  <w:tcW w:w="1436" w:type="pct"/>
                  <w:tcBorders>
                    <w:right w:val="nil"/>
                  </w:tcBorders>
                  <w:vAlign w:val="center"/>
                </w:tcPr>
                <w:p>
                  <w:pPr>
                    <w:jc w:val="center"/>
                    <w:rPr>
                      <w:szCs w:val="21"/>
                    </w:rPr>
                  </w:pPr>
                  <w:r>
                    <w:rPr>
                      <w:szCs w:val="21"/>
                    </w:rPr>
                    <w:t>COD、BOD</w:t>
                  </w:r>
                  <w:r>
                    <w:rPr>
                      <w:szCs w:val="21"/>
                      <w:vertAlign w:val="subscript"/>
                    </w:rPr>
                    <w:t>5</w:t>
                  </w:r>
                  <w:r>
                    <w:rPr>
                      <w:szCs w:val="21"/>
                    </w:rPr>
                    <w:t>、氨氮、总磷、总氮、SS等</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36" w:type="pct"/>
                  <w:vMerge w:val="continue"/>
                  <w:tcBorders>
                    <w:left w:val="nil"/>
                  </w:tcBorders>
                  <w:vAlign w:val="center"/>
                </w:tcPr>
                <w:p>
                  <w:pPr>
                    <w:jc w:val="center"/>
                    <w:rPr>
                      <w:szCs w:val="21"/>
                    </w:rPr>
                  </w:pPr>
                </w:p>
              </w:tc>
              <w:tc>
                <w:tcPr>
                  <w:tcW w:w="553" w:type="pct"/>
                  <w:vMerge w:val="continue"/>
                  <w:vAlign w:val="center"/>
                </w:tcPr>
                <w:p>
                  <w:pPr>
                    <w:jc w:val="center"/>
                    <w:rPr>
                      <w:szCs w:val="21"/>
                    </w:rPr>
                  </w:pPr>
                </w:p>
              </w:tc>
              <w:tc>
                <w:tcPr>
                  <w:tcW w:w="975" w:type="pct"/>
                  <w:tcMar>
                    <w:left w:w="0" w:type="dxa"/>
                    <w:right w:w="0" w:type="dxa"/>
                  </w:tcMar>
                  <w:vAlign w:val="center"/>
                </w:tcPr>
                <w:p>
                  <w:pPr>
                    <w:jc w:val="center"/>
                    <w:rPr>
                      <w:szCs w:val="21"/>
                    </w:rPr>
                  </w:pPr>
                  <w:r>
                    <w:rPr>
                      <w:szCs w:val="21"/>
                    </w:rPr>
                    <w:t>降尘</w:t>
                  </w:r>
                </w:p>
              </w:tc>
              <w:tc>
                <w:tcPr>
                  <w:tcW w:w="1140" w:type="pct"/>
                  <w:vAlign w:val="center"/>
                </w:tcPr>
                <w:p>
                  <w:pPr>
                    <w:jc w:val="center"/>
                    <w:rPr>
                      <w:szCs w:val="21"/>
                    </w:rPr>
                  </w:pPr>
                  <w:r>
                    <w:rPr>
                      <w:szCs w:val="21"/>
                    </w:rPr>
                    <w:t>降尘废水</w:t>
                  </w:r>
                </w:p>
              </w:tc>
              <w:tc>
                <w:tcPr>
                  <w:tcW w:w="560" w:type="pct"/>
                  <w:vAlign w:val="center"/>
                </w:tcPr>
                <w:p>
                  <w:pPr>
                    <w:jc w:val="center"/>
                    <w:rPr>
                      <w:szCs w:val="21"/>
                    </w:rPr>
                  </w:pPr>
                  <w:r>
                    <w:rPr>
                      <w:szCs w:val="21"/>
                    </w:rPr>
                    <w:t>W2</w:t>
                  </w:r>
                </w:p>
              </w:tc>
              <w:tc>
                <w:tcPr>
                  <w:tcW w:w="1436" w:type="pct"/>
                  <w:tcBorders>
                    <w:right w:val="nil"/>
                  </w:tcBorders>
                  <w:vAlign w:val="center"/>
                </w:tcPr>
                <w:p>
                  <w:pPr>
                    <w:jc w:val="center"/>
                    <w:rPr>
                      <w:szCs w:val="21"/>
                    </w:rPr>
                  </w:pPr>
                  <w:r>
                    <w:rPr>
                      <w:szCs w:val="21"/>
                    </w:rPr>
                    <w:t>SS</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36" w:type="pct"/>
                  <w:vMerge w:val="continue"/>
                  <w:tcBorders>
                    <w:left w:val="nil"/>
                  </w:tcBorders>
                  <w:vAlign w:val="center"/>
                </w:tcPr>
                <w:p>
                  <w:pPr>
                    <w:jc w:val="center"/>
                    <w:rPr>
                      <w:szCs w:val="21"/>
                    </w:rPr>
                  </w:pPr>
                </w:p>
              </w:tc>
              <w:tc>
                <w:tcPr>
                  <w:tcW w:w="553" w:type="pct"/>
                  <w:vMerge w:val="restart"/>
                  <w:vAlign w:val="center"/>
                </w:tcPr>
                <w:p>
                  <w:pPr>
                    <w:jc w:val="center"/>
                    <w:rPr>
                      <w:szCs w:val="21"/>
                    </w:rPr>
                  </w:pPr>
                  <w:r>
                    <w:rPr>
                      <w:szCs w:val="21"/>
                    </w:rPr>
                    <w:t>固废</w:t>
                  </w:r>
                </w:p>
              </w:tc>
              <w:tc>
                <w:tcPr>
                  <w:tcW w:w="975" w:type="pct"/>
                  <w:vAlign w:val="center"/>
                </w:tcPr>
                <w:p>
                  <w:pPr>
                    <w:jc w:val="center"/>
                    <w:rPr>
                      <w:szCs w:val="21"/>
                    </w:rPr>
                  </w:pPr>
                  <w:r>
                    <w:rPr>
                      <w:szCs w:val="21"/>
                    </w:rPr>
                    <w:t>筛分</w:t>
                  </w:r>
                </w:p>
              </w:tc>
              <w:tc>
                <w:tcPr>
                  <w:tcW w:w="1140" w:type="pct"/>
                  <w:vAlign w:val="center"/>
                </w:tcPr>
                <w:p>
                  <w:pPr>
                    <w:jc w:val="center"/>
                    <w:rPr>
                      <w:szCs w:val="21"/>
                    </w:rPr>
                  </w:pPr>
                  <w:r>
                    <w:rPr>
                      <w:szCs w:val="21"/>
                    </w:rPr>
                    <w:t>分选垃圾</w:t>
                  </w:r>
                </w:p>
              </w:tc>
              <w:tc>
                <w:tcPr>
                  <w:tcW w:w="560" w:type="pct"/>
                  <w:vAlign w:val="center"/>
                </w:tcPr>
                <w:p>
                  <w:pPr>
                    <w:jc w:val="center"/>
                    <w:rPr>
                      <w:szCs w:val="21"/>
                    </w:rPr>
                  </w:pPr>
                  <w:r>
                    <w:rPr>
                      <w:szCs w:val="21"/>
                    </w:rPr>
                    <w:t>S1</w:t>
                  </w:r>
                </w:p>
              </w:tc>
              <w:tc>
                <w:tcPr>
                  <w:tcW w:w="1436" w:type="pct"/>
                  <w:tcBorders>
                    <w:right w:val="nil"/>
                  </w:tcBorders>
                  <w:vAlign w:val="center"/>
                </w:tcPr>
                <w:p>
                  <w:pPr>
                    <w:jc w:val="center"/>
                    <w:rPr>
                      <w:szCs w:val="21"/>
                    </w:rPr>
                  </w:pPr>
                  <w:r>
                    <w:rPr>
                      <w:szCs w:val="21"/>
                    </w:rPr>
                    <w:t>未燃尽生活垃圾</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36" w:type="pct"/>
                  <w:vMerge w:val="continue"/>
                  <w:tcBorders>
                    <w:left w:val="nil"/>
                  </w:tcBorders>
                  <w:vAlign w:val="center"/>
                </w:tcPr>
                <w:p>
                  <w:pPr>
                    <w:jc w:val="center"/>
                    <w:rPr>
                      <w:szCs w:val="21"/>
                    </w:rPr>
                  </w:pPr>
                </w:p>
              </w:tc>
              <w:tc>
                <w:tcPr>
                  <w:tcW w:w="553" w:type="pct"/>
                  <w:vMerge w:val="continue"/>
                  <w:vAlign w:val="center"/>
                </w:tcPr>
                <w:p>
                  <w:pPr>
                    <w:jc w:val="center"/>
                    <w:rPr>
                      <w:szCs w:val="21"/>
                    </w:rPr>
                  </w:pPr>
                </w:p>
              </w:tc>
              <w:tc>
                <w:tcPr>
                  <w:tcW w:w="975" w:type="pct"/>
                  <w:vAlign w:val="center"/>
                </w:tcPr>
                <w:p>
                  <w:pPr>
                    <w:jc w:val="center"/>
                    <w:rPr>
                      <w:szCs w:val="21"/>
                    </w:rPr>
                  </w:pPr>
                  <w:r>
                    <w:rPr>
                      <w:szCs w:val="21"/>
                    </w:rPr>
                    <w:t>废水处理</w:t>
                  </w:r>
                </w:p>
              </w:tc>
              <w:tc>
                <w:tcPr>
                  <w:tcW w:w="1140" w:type="pct"/>
                  <w:vAlign w:val="center"/>
                </w:tcPr>
                <w:p>
                  <w:pPr>
                    <w:jc w:val="center"/>
                    <w:rPr>
                      <w:szCs w:val="21"/>
                    </w:rPr>
                  </w:pPr>
                  <w:r>
                    <w:rPr>
                      <w:szCs w:val="21"/>
                    </w:rPr>
                    <w:t>清理污泥</w:t>
                  </w:r>
                </w:p>
              </w:tc>
              <w:tc>
                <w:tcPr>
                  <w:tcW w:w="560" w:type="pct"/>
                  <w:vAlign w:val="center"/>
                </w:tcPr>
                <w:p>
                  <w:pPr>
                    <w:jc w:val="center"/>
                    <w:rPr>
                      <w:szCs w:val="21"/>
                    </w:rPr>
                  </w:pPr>
                  <w:r>
                    <w:rPr>
                      <w:szCs w:val="21"/>
                    </w:rPr>
                    <w:t>S2</w:t>
                  </w:r>
                </w:p>
              </w:tc>
              <w:tc>
                <w:tcPr>
                  <w:tcW w:w="1436" w:type="pct"/>
                  <w:tcBorders>
                    <w:right w:val="nil"/>
                  </w:tcBorders>
                  <w:vAlign w:val="center"/>
                </w:tcPr>
                <w:p>
                  <w:pPr>
                    <w:jc w:val="center"/>
                    <w:rPr>
                      <w:szCs w:val="21"/>
                    </w:rPr>
                  </w:pPr>
                  <w:r>
                    <w:rPr>
                      <w:szCs w:val="21"/>
                    </w:rPr>
                    <w:t>循环池污泥</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340" w:hRule="atLeast"/>
                <w:jc w:val="center"/>
              </w:trPr>
              <w:tc>
                <w:tcPr>
                  <w:tcW w:w="336" w:type="pct"/>
                  <w:vMerge w:val="continue"/>
                  <w:tcBorders>
                    <w:left w:val="nil"/>
                  </w:tcBorders>
                  <w:vAlign w:val="center"/>
                </w:tcPr>
                <w:p>
                  <w:pPr>
                    <w:jc w:val="center"/>
                    <w:rPr>
                      <w:szCs w:val="21"/>
                    </w:rPr>
                  </w:pPr>
                </w:p>
              </w:tc>
              <w:tc>
                <w:tcPr>
                  <w:tcW w:w="553" w:type="pct"/>
                  <w:vMerge w:val="continue"/>
                  <w:vAlign w:val="center"/>
                </w:tcPr>
                <w:p>
                  <w:pPr>
                    <w:jc w:val="center"/>
                    <w:rPr>
                      <w:szCs w:val="21"/>
                    </w:rPr>
                  </w:pPr>
                </w:p>
              </w:tc>
              <w:tc>
                <w:tcPr>
                  <w:tcW w:w="975" w:type="pct"/>
                  <w:vAlign w:val="center"/>
                </w:tcPr>
                <w:p>
                  <w:pPr>
                    <w:jc w:val="center"/>
                    <w:rPr>
                      <w:szCs w:val="21"/>
                    </w:rPr>
                  </w:pPr>
                  <w:r>
                    <w:rPr>
                      <w:szCs w:val="21"/>
                    </w:rPr>
                    <w:t>人工分拣</w:t>
                  </w:r>
                </w:p>
              </w:tc>
              <w:tc>
                <w:tcPr>
                  <w:tcW w:w="1140" w:type="pct"/>
                  <w:vAlign w:val="center"/>
                </w:tcPr>
                <w:p>
                  <w:pPr>
                    <w:jc w:val="center"/>
                    <w:rPr>
                      <w:szCs w:val="21"/>
                    </w:rPr>
                  </w:pPr>
                  <w:r>
                    <w:rPr>
                      <w:szCs w:val="21"/>
                    </w:rPr>
                    <w:t>分拣杂物</w:t>
                  </w:r>
                </w:p>
              </w:tc>
              <w:tc>
                <w:tcPr>
                  <w:tcW w:w="560" w:type="pct"/>
                  <w:vAlign w:val="center"/>
                </w:tcPr>
                <w:p>
                  <w:pPr>
                    <w:jc w:val="center"/>
                    <w:rPr>
                      <w:szCs w:val="21"/>
                    </w:rPr>
                  </w:pPr>
                  <w:r>
                    <w:rPr>
                      <w:szCs w:val="21"/>
                    </w:rPr>
                    <w:t>S4</w:t>
                  </w:r>
                </w:p>
              </w:tc>
              <w:tc>
                <w:tcPr>
                  <w:tcW w:w="1436" w:type="pct"/>
                  <w:tcBorders>
                    <w:right w:val="nil"/>
                  </w:tcBorders>
                  <w:vAlign w:val="center"/>
                </w:tcPr>
                <w:p>
                  <w:pPr>
                    <w:jc w:val="center"/>
                    <w:rPr>
                      <w:szCs w:val="21"/>
                    </w:rPr>
                  </w:pPr>
                  <w:r>
                    <w:rPr>
                      <w:szCs w:val="21"/>
                    </w:rPr>
                    <w:t>人工分拣杂物</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36" w:type="pct"/>
                  <w:vMerge w:val="continue"/>
                  <w:tcBorders>
                    <w:left w:val="nil"/>
                  </w:tcBorders>
                  <w:vAlign w:val="center"/>
                </w:tcPr>
                <w:p>
                  <w:pPr>
                    <w:jc w:val="center"/>
                    <w:rPr>
                      <w:szCs w:val="21"/>
                    </w:rPr>
                  </w:pPr>
                </w:p>
              </w:tc>
              <w:tc>
                <w:tcPr>
                  <w:tcW w:w="553" w:type="pct"/>
                  <w:vMerge w:val="continue"/>
                  <w:vAlign w:val="center"/>
                </w:tcPr>
                <w:p>
                  <w:pPr>
                    <w:jc w:val="center"/>
                    <w:rPr>
                      <w:szCs w:val="21"/>
                    </w:rPr>
                  </w:pPr>
                </w:p>
              </w:tc>
              <w:tc>
                <w:tcPr>
                  <w:tcW w:w="975" w:type="pct"/>
                  <w:vAlign w:val="center"/>
                </w:tcPr>
                <w:p>
                  <w:pPr>
                    <w:jc w:val="center"/>
                    <w:rPr>
                      <w:szCs w:val="21"/>
                    </w:rPr>
                  </w:pPr>
                  <w:r>
                    <w:rPr>
                      <w:szCs w:val="21"/>
                    </w:rPr>
                    <w:t>人工分拣/风选</w:t>
                  </w:r>
                </w:p>
              </w:tc>
              <w:tc>
                <w:tcPr>
                  <w:tcW w:w="1140" w:type="pct"/>
                  <w:vAlign w:val="center"/>
                </w:tcPr>
                <w:p>
                  <w:pPr>
                    <w:jc w:val="center"/>
                    <w:rPr>
                      <w:szCs w:val="21"/>
                    </w:rPr>
                  </w:pPr>
                  <w:r>
                    <w:rPr>
                      <w:szCs w:val="21"/>
                    </w:rPr>
                    <w:t>分拣杂物</w:t>
                  </w:r>
                </w:p>
              </w:tc>
              <w:tc>
                <w:tcPr>
                  <w:tcW w:w="560" w:type="pct"/>
                  <w:vAlign w:val="center"/>
                </w:tcPr>
                <w:p>
                  <w:pPr>
                    <w:jc w:val="center"/>
                    <w:rPr>
                      <w:szCs w:val="21"/>
                    </w:rPr>
                  </w:pPr>
                  <w:r>
                    <w:rPr>
                      <w:szCs w:val="21"/>
                    </w:rPr>
                    <w:t>S5</w:t>
                  </w:r>
                </w:p>
              </w:tc>
              <w:tc>
                <w:tcPr>
                  <w:tcW w:w="1436" w:type="pct"/>
                  <w:tcBorders>
                    <w:right w:val="nil"/>
                  </w:tcBorders>
                  <w:vAlign w:val="center"/>
                </w:tcPr>
                <w:p>
                  <w:pPr>
                    <w:jc w:val="center"/>
                    <w:rPr>
                      <w:szCs w:val="21"/>
                    </w:rPr>
                  </w:pPr>
                  <w:r>
                    <w:rPr>
                      <w:szCs w:val="21"/>
                    </w:rPr>
                    <w:t>可燃物</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36" w:type="pct"/>
                  <w:vMerge w:val="continue"/>
                  <w:tcBorders>
                    <w:left w:val="nil"/>
                  </w:tcBorders>
                  <w:vAlign w:val="center"/>
                </w:tcPr>
                <w:p>
                  <w:pPr>
                    <w:jc w:val="center"/>
                    <w:rPr>
                      <w:szCs w:val="21"/>
                    </w:rPr>
                  </w:pPr>
                </w:p>
              </w:tc>
              <w:tc>
                <w:tcPr>
                  <w:tcW w:w="553" w:type="pct"/>
                  <w:vAlign w:val="center"/>
                </w:tcPr>
                <w:p>
                  <w:pPr>
                    <w:jc w:val="center"/>
                    <w:rPr>
                      <w:szCs w:val="21"/>
                    </w:rPr>
                  </w:pPr>
                  <w:r>
                    <w:rPr>
                      <w:szCs w:val="21"/>
                    </w:rPr>
                    <w:t>噪声</w:t>
                  </w:r>
                </w:p>
              </w:tc>
              <w:tc>
                <w:tcPr>
                  <w:tcW w:w="975" w:type="pct"/>
                  <w:vAlign w:val="center"/>
                </w:tcPr>
                <w:p>
                  <w:pPr>
                    <w:jc w:val="center"/>
                    <w:rPr>
                      <w:szCs w:val="21"/>
                    </w:rPr>
                  </w:pPr>
                  <w:r>
                    <w:rPr>
                      <w:szCs w:val="21"/>
                    </w:rPr>
                    <w:t>生产过程</w:t>
                  </w:r>
                </w:p>
              </w:tc>
              <w:tc>
                <w:tcPr>
                  <w:tcW w:w="1140" w:type="pct"/>
                  <w:vAlign w:val="center"/>
                </w:tcPr>
                <w:p>
                  <w:pPr>
                    <w:jc w:val="center"/>
                    <w:rPr>
                      <w:szCs w:val="21"/>
                    </w:rPr>
                  </w:pPr>
                  <w:r>
                    <w:rPr>
                      <w:szCs w:val="21"/>
                    </w:rPr>
                    <w:t>生产设备</w:t>
                  </w:r>
                </w:p>
              </w:tc>
              <w:tc>
                <w:tcPr>
                  <w:tcW w:w="560" w:type="pct"/>
                  <w:vAlign w:val="center"/>
                </w:tcPr>
                <w:p>
                  <w:pPr>
                    <w:jc w:val="center"/>
                    <w:rPr>
                      <w:szCs w:val="21"/>
                    </w:rPr>
                  </w:pPr>
                  <w:r>
                    <w:rPr>
                      <w:szCs w:val="21"/>
                    </w:rPr>
                    <w:t>N</w:t>
                  </w:r>
                </w:p>
              </w:tc>
              <w:tc>
                <w:tcPr>
                  <w:tcW w:w="1436" w:type="pct"/>
                  <w:tcBorders>
                    <w:right w:val="nil"/>
                  </w:tcBorders>
                  <w:vAlign w:val="center"/>
                </w:tcPr>
                <w:p>
                  <w:pPr>
                    <w:jc w:val="center"/>
                    <w:rPr>
                      <w:szCs w:val="21"/>
                    </w:rPr>
                  </w:pPr>
                  <w:r>
                    <w:rPr>
                      <w:szCs w:val="21"/>
                    </w:rPr>
                    <w:t>设备及人员活动噪声</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36" w:type="pct"/>
                  <w:vMerge w:val="restart"/>
                  <w:tcBorders>
                    <w:left w:val="nil"/>
                  </w:tcBorders>
                  <w:vAlign w:val="center"/>
                </w:tcPr>
                <w:p>
                  <w:pPr>
                    <w:jc w:val="center"/>
                    <w:rPr>
                      <w:szCs w:val="21"/>
                    </w:rPr>
                  </w:pPr>
                  <w:r>
                    <w:rPr>
                      <w:szCs w:val="21"/>
                    </w:rPr>
                    <w:t>公辅工程</w:t>
                  </w:r>
                </w:p>
              </w:tc>
              <w:tc>
                <w:tcPr>
                  <w:tcW w:w="553" w:type="pct"/>
                  <w:vAlign w:val="center"/>
                </w:tcPr>
                <w:p>
                  <w:pPr>
                    <w:jc w:val="center"/>
                    <w:rPr>
                      <w:szCs w:val="21"/>
                    </w:rPr>
                  </w:pPr>
                  <w:r>
                    <w:rPr>
                      <w:szCs w:val="21"/>
                    </w:rPr>
                    <w:t>废水</w:t>
                  </w:r>
                </w:p>
              </w:tc>
              <w:tc>
                <w:tcPr>
                  <w:tcW w:w="975" w:type="pct"/>
                  <w:vAlign w:val="center"/>
                </w:tcPr>
                <w:p>
                  <w:pPr>
                    <w:jc w:val="center"/>
                    <w:rPr>
                      <w:szCs w:val="21"/>
                    </w:rPr>
                  </w:pPr>
                  <w:r>
                    <w:rPr>
                      <w:szCs w:val="21"/>
                    </w:rPr>
                    <w:t>办公生活</w:t>
                  </w:r>
                </w:p>
              </w:tc>
              <w:tc>
                <w:tcPr>
                  <w:tcW w:w="1140" w:type="pct"/>
                  <w:vAlign w:val="center"/>
                </w:tcPr>
                <w:p>
                  <w:pPr>
                    <w:jc w:val="center"/>
                    <w:rPr>
                      <w:szCs w:val="21"/>
                    </w:rPr>
                  </w:pPr>
                  <w:r>
                    <w:rPr>
                      <w:szCs w:val="21"/>
                    </w:rPr>
                    <w:t>职工</w:t>
                  </w:r>
                </w:p>
              </w:tc>
              <w:tc>
                <w:tcPr>
                  <w:tcW w:w="560" w:type="pct"/>
                  <w:vAlign w:val="center"/>
                </w:tcPr>
                <w:p>
                  <w:pPr>
                    <w:jc w:val="center"/>
                    <w:rPr>
                      <w:szCs w:val="21"/>
                    </w:rPr>
                  </w:pPr>
                  <w:r>
                    <w:rPr>
                      <w:szCs w:val="21"/>
                    </w:rPr>
                    <w:t>W3</w:t>
                  </w:r>
                </w:p>
              </w:tc>
              <w:tc>
                <w:tcPr>
                  <w:tcW w:w="1436" w:type="pct"/>
                  <w:tcBorders>
                    <w:right w:val="nil"/>
                  </w:tcBorders>
                  <w:vAlign w:val="center"/>
                </w:tcPr>
                <w:p>
                  <w:pPr>
                    <w:jc w:val="center"/>
                    <w:rPr>
                      <w:szCs w:val="21"/>
                    </w:rPr>
                  </w:pPr>
                  <w:r>
                    <w:rPr>
                      <w:szCs w:val="21"/>
                    </w:rPr>
                    <w:t>COD、NH</w:t>
                  </w:r>
                  <w:r>
                    <w:rPr>
                      <w:szCs w:val="21"/>
                      <w:vertAlign w:val="subscript"/>
                    </w:rPr>
                    <w:t>3</w:t>
                  </w:r>
                  <w:r>
                    <w:rPr>
                      <w:szCs w:val="21"/>
                    </w:rPr>
                    <w:t>-N</w:t>
                  </w:r>
                  <w:r>
                    <w:rPr>
                      <w:szCs w:val="21"/>
                      <w:lang w:val="pt-BR"/>
                    </w:rPr>
                    <w:t>、</w:t>
                  </w:r>
                  <w:r>
                    <w:rPr>
                      <w:szCs w:val="21"/>
                    </w:rPr>
                    <w:t>SS</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36" w:type="pct"/>
                  <w:vMerge w:val="continue"/>
                  <w:tcBorders>
                    <w:left w:val="nil"/>
                  </w:tcBorders>
                  <w:vAlign w:val="center"/>
                </w:tcPr>
                <w:p>
                  <w:pPr>
                    <w:jc w:val="center"/>
                    <w:rPr>
                      <w:szCs w:val="21"/>
                    </w:rPr>
                  </w:pPr>
                </w:p>
              </w:tc>
              <w:tc>
                <w:tcPr>
                  <w:tcW w:w="553" w:type="pct"/>
                  <w:vMerge w:val="restart"/>
                  <w:vAlign w:val="center"/>
                </w:tcPr>
                <w:p>
                  <w:pPr>
                    <w:jc w:val="center"/>
                    <w:rPr>
                      <w:szCs w:val="21"/>
                    </w:rPr>
                  </w:pPr>
                  <w:r>
                    <w:rPr>
                      <w:szCs w:val="21"/>
                    </w:rPr>
                    <w:t>固废</w:t>
                  </w:r>
                </w:p>
              </w:tc>
              <w:tc>
                <w:tcPr>
                  <w:tcW w:w="975" w:type="pct"/>
                  <w:vAlign w:val="center"/>
                </w:tcPr>
                <w:p>
                  <w:pPr>
                    <w:jc w:val="center"/>
                    <w:rPr>
                      <w:szCs w:val="21"/>
                    </w:rPr>
                  </w:pPr>
                  <w:r>
                    <w:rPr>
                      <w:szCs w:val="21"/>
                    </w:rPr>
                    <w:t>办公生活</w:t>
                  </w:r>
                </w:p>
              </w:tc>
              <w:tc>
                <w:tcPr>
                  <w:tcW w:w="1140" w:type="pct"/>
                  <w:vAlign w:val="center"/>
                </w:tcPr>
                <w:p>
                  <w:pPr>
                    <w:jc w:val="center"/>
                    <w:rPr>
                      <w:szCs w:val="21"/>
                    </w:rPr>
                  </w:pPr>
                  <w:r>
                    <w:rPr>
                      <w:szCs w:val="21"/>
                    </w:rPr>
                    <w:t>职工</w:t>
                  </w:r>
                </w:p>
              </w:tc>
              <w:tc>
                <w:tcPr>
                  <w:tcW w:w="560" w:type="pct"/>
                  <w:vAlign w:val="center"/>
                </w:tcPr>
                <w:p>
                  <w:pPr>
                    <w:jc w:val="center"/>
                    <w:rPr>
                      <w:szCs w:val="21"/>
                    </w:rPr>
                  </w:pPr>
                  <w:r>
                    <w:rPr>
                      <w:szCs w:val="21"/>
                    </w:rPr>
                    <w:t>S6</w:t>
                  </w:r>
                </w:p>
              </w:tc>
              <w:tc>
                <w:tcPr>
                  <w:tcW w:w="1436" w:type="pct"/>
                  <w:tcBorders>
                    <w:right w:val="nil"/>
                  </w:tcBorders>
                  <w:vAlign w:val="center"/>
                </w:tcPr>
                <w:p>
                  <w:pPr>
                    <w:jc w:val="center"/>
                    <w:rPr>
                      <w:szCs w:val="21"/>
                    </w:rPr>
                  </w:pPr>
                  <w:r>
                    <w:rPr>
                      <w:szCs w:val="21"/>
                    </w:rPr>
                    <w:t>生活垃圾</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36" w:type="pct"/>
                  <w:vMerge w:val="continue"/>
                  <w:tcBorders>
                    <w:left w:val="nil"/>
                    <w:bottom w:val="single" w:color="auto" w:sz="12" w:space="0"/>
                  </w:tcBorders>
                  <w:vAlign w:val="center"/>
                </w:tcPr>
                <w:p>
                  <w:pPr>
                    <w:jc w:val="center"/>
                    <w:rPr>
                      <w:szCs w:val="21"/>
                    </w:rPr>
                  </w:pPr>
                </w:p>
              </w:tc>
              <w:tc>
                <w:tcPr>
                  <w:tcW w:w="553" w:type="pct"/>
                  <w:vMerge w:val="continue"/>
                  <w:tcBorders>
                    <w:bottom w:val="single" w:color="auto" w:sz="12" w:space="0"/>
                  </w:tcBorders>
                  <w:vAlign w:val="center"/>
                </w:tcPr>
                <w:p>
                  <w:pPr>
                    <w:jc w:val="center"/>
                    <w:rPr>
                      <w:szCs w:val="21"/>
                    </w:rPr>
                  </w:pPr>
                </w:p>
              </w:tc>
              <w:tc>
                <w:tcPr>
                  <w:tcW w:w="975" w:type="pct"/>
                  <w:tcBorders>
                    <w:bottom w:val="single" w:color="auto" w:sz="12" w:space="0"/>
                  </w:tcBorders>
                  <w:vAlign w:val="center"/>
                </w:tcPr>
                <w:p>
                  <w:pPr>
                    <w:jc w:val="center"/>
                    <w:rPr>
                      <w:szCs w:val="21"/>
                    </w:rPr>
                  </w:pPr>
                  <w:r>
                    <w:rPr>
                      <w:szCs w:val="21"/>
                    </w:rPr>
                    <w:t>机械维修</w:t>
                  </w:r>
                </w:p>
              </w:tc>
              <w:tc>
                <w:tcPr>
                  <w:tcW w:w="1140" w:type="pct"/>
                  <w:tcBorders>
                    <w:bottom w:val="single" w:color="auto" w:sz="12" w:space="0"/>
                  </w:tcBorders>
                  <w:vAlign w:val="center"/>
                </w:tcPr>
                <w:p>
                  <w:pPr>
                    <w:jc w:val="center"/>
                    <w:rPr>
                      <w:szCs w:val="21"/>
                    </w:rPr>
                  </w:pPr>
                  <w:r>
                    <w:rPr>
                      <w:szCs w:val="21"/>
                    </w:rPr>
                    <w:t>维修保养</w:t>
                  </w:r>
                </w:p>
              </w:tc>
              <w:tc>
                <w:tcPr>
                  <w:tcW w:w="560" w:type="pct"/>
                  <w:tcBorders>
                    <w:bottom w:val="single" w:color="auto" w:sz="12" w:space="0"/>
                  </w:tcBorders>
                  <w:vAlign w:val="center"/>
                </w:tcPr>
                <w:p>
                  <w:pPr>
                    <w:jc w:val="center"/>
                    <w:rPr>
                      <w:szCs w:val="21"/>
                    </w:rPr>
                  </w:pPr>
                  <w:r>
                    <w:rPr>
                      <w:szCs w:val="21"/>
                    </w:rPr>
                    <w:t>S3</w:t>
                  </w:r>
                </w:p>
              </w:tc>
              <w:tc>
                <w:tcPr>
                  <w:tcW w:w="1436" w:type="pct"/>
                  <w:tcBorders>
                    <w:bottom w:val="single" w:color="auto" w:sz="12" w:space="0"/>
                    <w:right w:val="nil"/>
                  </w:tcBorders>
                  <w:vAlign w:val="center"/>
                </w:tcPr>
                <w:p>
                  <w:pPr>
                    <w:jc w:val="center"/>
                    <w:rPr>
                      <w:szCs w:val="21"/>
                    </w:rPr>
                  </w:pPr>
                  <w:r>
                    <w:rPr>
                      <w:szCs w:val="21"/>
                    </w:rPr>
                    <w:t>废油类</w:t>
                  </w:r>
                </w:p>
              </w:tc>
            </w:tr>
          </w:tbl>
          <w:p>
            <w:pPr>
              <w:spacing w:line="360" w:lineRule="auto"/>
              <w:ind w:firstLine="480" w:firstLineChars="200"/>
              <w:rPr>
                <w:bCs/>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55" w:type="pct"/>
            <w:vAlign w:val="center"/>
          </w:tcPr>
          <w:p>
            <w:pPr>
              <w:pStyle w:val="33"/>
              <w:adjustRightInd w:val="0"/>
              <w:snapToGrid w:val="0"/>
              <w:spacing w:before="0" w:beforeAutospacing="0" w:after="0" w:afterAutospacing="0"/>
              <w:jc w:val="center"/>
              <w:rPr>
                <w:rFonts w:ascii="Times New Roman" w:hAnsi="Times New Roman"/>
                <w:sz w:val="21"/>
                <w:szCs w:val="21"/>
              </w:rPr>
            </w:pPr>
            <w:r>
              <w:rPr>
                <w:rFonts w:ascii="Times New Roman" w:hAnsi="Times New Roman"/>
                <w:bCs/>
                <w:kern w:val="2"/>
                <w:sz w:val="21"/>
                <w:szCs w:val="21"/>
              </w:rPr>
              <w:t>与项目有关的原有环境污染问题</w:t>
            </w:r>
          </w:p>
        </w:tc>
        <w:tc>
          <w:tcPr>
            <w:tcW w:w="4845" w:type="pct"/>
          </w:tcPr>
          <w:p>
            <w:pPr>
              <w:widowControl/>
              <w:spacing w:line="360" w:lineRule="auto"/>
              <w:ind w:firstLine="480" w:firstLineChars="200"/>
              <w:rPr>
                <w:sz w:val="24"/>
              </w:rPr>
            </w:pPr>
            <w:r>
              <w:rPr>
                <w:sz w:val="24"/>
              </w:rPr>
              <w:t>无。</w:t>
            </w:r>
          </w:p>
          <w:p>
            <w:pPr>
              <w:adjustRightInd w:val="0"/>
              <w:snapToGrid w:val="0"/>
              <w:spacing w:line="360" w:lineRule="auto"/>
              <w:ind w:firstLine="480" w:firstLineChars="200"/>
              <w:rPr>
                <w:bCs/>
                <w:szCs w:val="21"/>
              </w:rPr>
            </w:pPr>
            <w:r>
              <w:rPr>
                <w:bCs/>
                <w:sz w:val="24"/>
              </w:rPr>
              <w:t>本项目为新建项目，所在地块为已平整空地，因此不存在原有污染问题。</w:t>
            </w:r>
          </w:p>
          <w:tbl>
            <w:tblPr>
              <w:tblStyle w:val="3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2"/>
              <w:gridCol w:w="41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312" w:type="pct"/>
                  <w:vAlign w:val="center"/>
                </w:tcPr>
                <w:p>
                  <w:r>
                    <w:drawing>
                      <wp:inline distT="0" distB="0" distL="0" distR="0">
                        <wp:extent cx="2514600" cy="1887220"/>
                        <wp:effectExtent l="0" t="0" r="0" b="17780"/>
                        <wp:docPr id="9" name="图片 9" descr="E:\2022年\环评报告\7恒一能\照片\16528415939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E:\2022年\环评报告\7恒一能\照片\1652841593909.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2527900" cy="1897020"/>
                                </a:xfrm>
                                <a:prstGeom prst="rect">
                                  <a:avLst/>
                                </a:prstGeom>
                                <a:noFill/>
                                <a:ln>
                                  <a:noFill/>
                                </a:ln>
                              </pic:spPr>
                            </pic:pic>
                          </a:graphicData>
                        </a:graphic>
                      </wp:inline>
                    </w:drawing>
                  </w:r>
                </w:p>
              </w:tc>
              <w:tc>
                <w:tcPr>
                  <w:tcW w:w="1688" w:type="pct"/>
                  <w:vAlign w:val="center"/>
                </w:tcPr>
                <w:p>
                  <w:pPr>
                    <w:jc w:val="center"/>
                  </w:pPr>
                  <w:r>
                    <w:drawing>
                      <wp:inline distT="0" distB="0" distL="0" distR="0">
                        <wp:extent cx="2489200" cy="1924050"/>
                        <wp:effectExtent l="0" t="0" r="635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56"/>
                                <a:stretch>
                                  <a:fillRect/>
                                </a:stretch>
                              </pic:blipFill>
                              <pic:spPr>
                                <a:xfrm>
                                  <a:off x="0" y="0"/>
                                  <a:ext cx="2507345" cy="1938184"/>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12" w:type="pct"/>
                </w:tcPr>
                <w:p>
                  <w:pPr>
                    <w:jc w:val="center"/>
                    <w:rPr>
                      <w:bCs/>
                    </w:rPr>
                  </w:pPr>
                  <w:r>
                    <w:rPr>
                      <w:bCs/>
                    </w:rPr>
                    <w:t>项目厂址现状</w:t>
                  </w:r>
                </w:p>
              </w:tc>
              <w:tc>
                <w:tcPr>
                  <w:tcW w:w="1688" w:type="pct"/>
                  <w:vAlign w:val="center"/>
                </w:tcPr>
                <w:p>
                  <w:pPr>
                    <w:jc w:val="center"/>
                    <w:rPr>
                      <w:bCs/>
                    </w:rPr>
                  </w:pPr>
                  <w:r>
                    <w:rPr>
                      <w:bCs/>
                    </w:rPr>
                    <w:t>项目所在地俯瞰图</w:t>
                  </w:r>
                </w:p>
              </w:tc>
            </w:tr>
          </w:tbl>
          <w:p>
            <w:pPr>
              <w:adjustRightInd w:val="0"/>
              <w:snapToGrid w:val="0"/>
              <w:spacing w:line="360" w:lineRule="auto"/>
              <w:ind w:firstLine="480" w:firstLineChars="200"/>
              <w:rPr>
                <w:bCs/>
                <w:szCs w:val="21"/>
              </w:rPr>
            </w:pPr>
          </w:p>
          <w:p>
            <w:pPr>
              <w:adjustRightInd w:val="0"/>
              <w:snapToGrid w:val="0"/>
              <w:spacing w:line="360" w:lineRule="auto"/>
              <w:ind w:firstLine="480" w:firstLineChars="200"/>
              <w:rPr>
                <w:bCs/>
                <w:szCs w:val="21"/>
              </w:rPr>
            </w:pPr>
          </w:p>
          <w:p>
            <w:pPr>
              <w:adjustRightInd w:val="0"/>
              <w:snapToGrid w:val="0"/>
              <w:spacing w:line="360" w:lineRule="auto"/>
              <w:ind w:firstLine="480" w:firstLineChars="200"/>
              <w:rPr>
                <w:bCs/>
                <w:szCs w:val="21"/>
              </w:rPr>
            </w:pPr>
          </w:p>
          <w:p>
            <w:pPr>
              <w:adjustRightInd w:val="0"/>
              <w:snapToGrid w:val="0"/>
              <w:spacing w:line="360" w:lineRule="auto"/>
              <w:ind w:firstLine="480" w:firstLineChars="200"/>
              <w:rPr>
                <w:bCs/>
                <w:szCs w:val="21"/>
              </w:rPr>
            </w:pPr>
          </w:p>
          <w:p>
            <w:pPr>
              <w:adjustRightInd w:val="0"/>
              <w:snapToGrid w:val="0"/>
              <w:spacing w:line="360" w:lineRule="auto"/>
              <w:ind w:firstLine="480" w:firstLineChars="200"/>
              <w:rPr>
                <w:bCs/>
                <w:szCs w:val="21"/>
              </w:rPr>
            </w:pPr>
          </w:p>
          <w:p>
            <w:pPr>
              <w:adjustRightInd w:val="0"/>
              <w:snapToGrid w:val="0"/>
              <w:spacing w:line="360" w:lineRule="auto"/>
              <w:ind w:firstLine="480" w:firstLineChars="200"/>
              <w:rPr>
                <w:bCs/>
                <w:szCs w:val="21"/>
              </w:rPr>
            </w:pPr>
          </w:p>
          <w:p>
            <w:pPr>
              <w:adjustRightInd w:val="0"/>
              <w:snapToGrid w:val="0"/>
              <w:spacing w:line="360" w:lineRule="auto"/>
              <w:ind w:firstLine="480" w:firstLineChars="200"/>
              <w:rPr>
                <w:bCs/>
                <w:szCs w:val="21"/>
              </w:rPr>
            </w:pPr>
          </w:p>
          <w:p>
            <w:pPr>
              <w:adjustRightInd w:val="0"/>
              <w:snapToGrid w:val="0"/>
              <w:spacing w:line="360" w:lineRule="auto"/>
              <w:ind w:firstLine="480" w:firstLineChars="200"/>
              <w:rPr>
                <w:bCs/>
                <w:szCs w:val="21"/>
              </w:rPr>
            </w:pPr>
          </w:p>
          <w:p>
            <w:pPr>
              <w:adjustRightInd w:val="0"/>
              <w:snapToGrid w:val="0"/>
              <w:spacing w:line="360" w:lineRule="auto"/>
              <w:ind w:firstLine="480" w:firstLineChars="200"/>
              <w:rPr>
                <w:bCs/>
                <w:szCs w:val="21"/>
              </w:rPr>
            </w:pPr>
          </w:p>
          <w:p>
            <w:pPr>
              <w:adjustRightInd w:val="0"/>
              <w:snapToGrid w:val="0"/>
              <w:spacing w:line="360" w:lineRule="auto"/>
              <w:ind w:firstLine="480" w:firstLineChars="200"/>
              <w:rPr>
                <w:bCs/>
                <w:szCs w:val="21"/>
              </w:rPr>
            </w:pPr>
          </w:p>
          <w:p>
            <w:pPr>
              <w:adjustRightInd w:val="0"/>
              <w:snapToGrid w:val="0"/>
              <w:spacing w:line="360" w:lineRule="auto"/>
              <w:ind w:firstLine="480" w:firstLineChars="200"/>
              <w:rPr>
                <w:bCs/>
                <w:szCs w:val="21"/>
              </w:rPr>
            </w:pPr>
          </w:p>
          <w:p>
            <w:pPr>
              <w:adjustRightInd w:val="0"/>
              <w:snapToGrid w:val="0"/>
              <w:spacing w:line="360" w:lineRule="auto"/>
              <w:ind w:firstLine="480" w:firstLineChars="200"/>
              <w:rPr>
                <w:bCs/>
                <w:szCs w:val="21"/>
              </w:rPr>
            </w:pPr>
          </w:p>
          <w:p>
            <w:pPr>
              <w:adjustRightInd w:val="0"/>
              <w:snapToGrid w:val="0"/>
              <w:spacing w:line="360" w:lineRule="auto"/>
              <w:ind w:firstLine="480" w:firstLineChars="200"/>
              <w:rPr>
                <w:bCs/>
                <w:szCs w:val="21"/>
              </w:rPr>
            </w:pPr>
          </w:p>
          <w:p>
            <w:pPr>
              <w:adjustRightInd w:val="0"/>
              <w:snapToGrid w:val="0"/>
              <w:spacing w:line="360" w:lineRule="auto"/>
              <w:ind w:firstLine="480" w:firstLineChars="200"/>
              <w:rPr>
                <w:bCs/>
                <w:szCs w:val="21"/>
              </w:rPr>
            </w:pPr>
          </w:p>
          <w:p>
            <w:pPr>
              <w:adjustRightInd w:val="0"/>
              <w:snapToGrid w:val="0"/>
              <w:spacing w:line="360" w:lineRule="auto"/>
              <w:ind w:firstLine="480" w:firstLineChars="200"/>
              <w:rPr>
                <w:bCs/>
                <w:szCs w:val="21"/>
              </w:rPr>
            </w:pPr>
          </w:p>
          <w:p>
            <w:pPr>
              <w:adjustRightInd w:val="0"/>
              <w:snapToGrid w:val="0"/>
              <w:spacing w:line="360" w:lineRule="auto"/>
              <w:rPr>
                <w:bCs/>
                <w:szCs w:val="21"/>
              </w:rPr>
            </w:pPr>
          </w:p>
        </w:tc>
      </w:tr>
    </w:tbl>
    <w:p>
      <w:pPr>
        <w:pStyle w:val="33"/>
        <w:jc w:val="center"/>
        <w:rPr>
          <w:rFonts w:ascii="Times New Roman" w:hAnsi="Times New Roman" w:eastAsia="黑体"/>
          <w:snapToGrid w:val="0"/>
          <w:sz w:val="36"/>
          <w:szCs w:val="36"/>
        </w:rPr>
        <w:sectPr>
          <w:pgSz w:w="11906" w:h="16838"/>
          <w:pgMar w:top="1701" w:right="1531" w:bottom="1701" w:left="1531" w:header="851" w:footer="851" w:gutter="0"/>
          <w:cols w:space="720" w:num="1"/>
          <w:docGrid w:linePitch="312" w:charSpace="0"/>
        </w:sectPr>
      </w:pPr>
    </w:p>
    <w:p>
      <w:pPr>
        <w:pStyle w:val="33"/>
        <w:adjustRightInd w:val="0"/>
        <w:snapToGrid w:val="0"/>
        <w:spacing w:before="0" w:beforeAutospacing="0" w:after="0" w:afterAutospacing="0" w:line="14" w:lineRule="auto"/>
        <w:jc w:val="center"/>
        <w:rPr>
          <w:rFonts w:ascii="Times New Roman" w:hAnsi="Times New Roman" w:eastAsia="黑体"/>
          <w:snapToGrid w:val="0"/>
          <w:sz w:val="30"/>
          <w:szCs w:val="30"/>
        </w:rPr>
      </w:pPr>
    </w:p>
    <w:p>
      <w:pPr>
        <w:pStyle w:val="33"/>
        <w:outlineLvl w:val="0"/>
        <w:rPr>
          <w:rFonts w:ascii="Times New Roman" w:hAnsi="Times New Roman" w:eastAsia="黑体"/>
          <w:snapToGrid w:val="0"/>
          <w:sz w:val="30"/>
          <w:szCs w:val="30"/>
        </w:rPr>
      </w:pPr>
      <w:bookmarkStart w:id="12" w:name="_Toc99010601"/>
      <w:r>
        <w:rPr>
          <w:rFonts w:ascii="Times New Roman" w:hAnsi="Times New Roman" w:eastAsia="黑体"/>
          <w:snapToGrid w:val="0"/>
          <w:sz w:val="30"/>
          <w:szCs w:val="30"/>
        </w:rPr>
        <w:t>三、区域环境质量现状、环境保护目标及评价标准</w:t>
      </w:r>
      <w:bookmarkEnd w:id="12"/>
    </w:p>
    <w:tbl>
      <w:tblPr>
        <w:tblStyle w:val="3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561"/>
        <w:gridCol w:w="8500"/>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78" w:hRule="atLeast"/>
          <w:jc w:val="center"/>
        </w:trPr>
        <w:tc>
          <w:tcPr>
            <w:tcW w:w="800" w:type="dxa"/>
            <w:vAlign w:val="center"/>
          </w:tcPr>
          <w:p>
            <w:pPr>
              <w:adjustRightInd w:val="0"/>
              <w:snapToGrid w:val="0"/>
              <w:jc w:val="center"/>
              <w:rPr>
                <w:kern w:val="0"/>
                <w:szCs w:val="21"/>
              </w:rPr>
            </w:pPr>
            <w:r>
              <w:rPr>
                <w:kern w:val="0"/>
                <w:szCs w:val="21"/>
              </w:rPr>
              <w:t>区域</w:t>
            </w:r>
          </w:p>
          <w:p>
            <w:pPr>
              <w:adjustRightInd w:val="0"/>
              <w:snapToGrid w:val="0"/>
              <w:jc w:val="center"/>
              <w:rPr>
                <w:kern w:val="0"/>
                <w:szCs w:val="21"/>
              </w:rPr>
            </w:pPr>
            <w:r>
              <w:rPr>
                <w:kern w:val="0"/>
                <w:szCs w:val="21"/>
              </w:rPr>
              <w:t>环境</w:t>
            </w:r>
          </w:p>
          <w:p>
            <w:pPr>
              <w:adjustRightInd w:val="0"/>
              <w:snapToGrid w:val="0"/>
              <w:jc w:val="center"/>
              <w:rPr>
                <w:kern w:val="0"/>
                <w:szCs w:val="21"/>
              </w:rPr>
            </w:pPr>
            <w:r>
              <w:rPr>
                <w:kern w:val="0"/>
                <w:szCs w:val="21"/>
              </w:rPr>
              <w:t>质量</w:t>
            </w:r>
          </w:p>
          <w:p>
            <w:pPr>
              <w:adjustRightInd w:val="0"/>
              <w:snapToGrid w:val="0"/>
              <w:jc w:val="center"/>
              <w:rPr>
                <w:kern w:val="0"/>
                <w:szCs w:val="21"/>
              </w:rPr>
            </w:pPr>
            <w:r>
              <w:rPr>
                <w:kern w:val="0"/>
                <w:szCs w:val="21"/>
              </w:rPr>
              <w:t>现状</w:t>
            </w:r>
          </w:p>
        </w:tc>
        <w:tc>
          <w:tcPr>
            <w:tcW w:w="8190" w:type="dxa"/>
            <w:vAlign w:val="center"/>
          </w:tcPr>
          <w:p>
            <w:pPr>
              <w:spacing w:before="120" w:after="120" w:line="360" w:lineRule="auto"/>
              <w:rPr>
                <w:b/>
                <w:sz w:val="24"/>
              </w:rPr>
            </w:pPr>
            <w:r>
              <w:rPr>
                <w:b/>
                <w:sz w:val="24"/>
              </w:rPr>
              <w:t>一、环境空气质量</w:t>
            </w:r>
          </w:p>
          <w:p>
            <w:pPr>
              <w:adjustRightInd w:val="0"/>
              <w:snapToGrid w:val="0"/>
              <w:spacing w:line="360" w:lineRule="auto"/>
              <w:ind w:right="89" w:rightChars="37" w:firstLine="480" w:firstLineChars="200"/>
              <w:jc w:val="left"/>
              <w:rPr>
                <w:sz w:val="24"/>
              </w:rPr>
            </w:pPr>
            <w:bookmarkStart w:id="13" w:name="_Hlk99457382"/>
            <w:r>
              <w:rPr>
                <w:sz w:val="24"/>
              </w:rPr>
              <w:fldChar w:fldCharType="begin"/>
            </w:r>
            <w:r>
              <w:rPr>
                <w:sz w:val="24"/>
              </w:rPr>
              <w:instrText xml:space="preserve"> = 1 \* GB3 </w:instrText>
            </w:r>
            <w:r>
              <w:rPr>
                <w:sz w:val="24"/>
              </w:rPr>
              <w:fldChar w:fldCharType="separate"/>
            </w:r>
            <w:r>
              <w:rPr>
                <w:rFonts w:hint="eastAsia" w:ascii="宋体" w:hAnsi="宋体" w:cs="宋体"/>
                <w:sz w:val="24"/>
              </w:rPr>
              <w:t>①</w:t>
            </w:r>
            <w:r>
              <w:rPr>
                <w:sz w:val="24"/>
              </w:rPr>
              <w:fldChar w:fldCharType="end"/>
            </w:r>
            <w:r>
              <w:rPr>
                <w:sz w:val="24"/>
              </w:rPr>
              <w:t>环境空气数据来源</w:t>
            </w:r>
          </w:p>
          <w:p>
            <w:pPr>
              <w:adjustRightInd w:val="0"/>
              <w:snapToGrid w:val="0"/>
              <w:spacing w:line="480" w:lineRule="exact"/>
              <w:ind w:right="89" w:rightChars="37" w:firstLine="480" w:firstLineChars="200"/>
              <w:rPr>
                <w:sz w:val="24"/>
              </w:rPr>
            </w:pPr>
            <w:bookmarkStart w:id="14" w:name="_Hlk99454146"/>
            <w:r>
              <w:rPr>
                <w:kern w:val="0"/>
                <w:sz w:val="24"/>
              </w:rPr>
              <w:t>根据《建设项目环境影响报告表编制技术指南》（污染影响类）（试行），常规污染物可引用国家、地方环境空气质量监测网数据或生态环境主管部门公开发布的质量数据。本项目位于乐山市井研县，</w:t>
            </w:r>
            <w:r>
              <w:rPr>
                <w:sz w:val="24"/>
              </w:rPr>
              <w:t>本次环境空气质量引用乐山市生态环境局公布的《乐山市2021年环境质量公报》中的统计数据进行评价，符合《环境影响评价技术导则 大气环境》（HJ2.2-2018）中“6.2数据来源”的要求。</w:t>
            </w:r>
          </w:p>
          <w:p>
            <w:pPr>
              <w:adjustRightInd w:val="0"/>
              <w:snapToGrid w:val="0"/>
              <w:spacing w:line="480" w:lineRule="exact"/>
              <w:ind w:right="89" w:rightChars="37" w:firstLine="480" w:firstLineChars="200"/>
              <w:jc w:val="left"/>
              <w:rPr>
                <w:sz w:val="24"/>
              </w:rPr>
            </w:pPr>
            <w:r>
              <w:rPr>
                <w:sz w:val="24"/>
              </w:rPr>
              <w:t>根据《乐山市2021年环境质量公报》，本项目所在区域大气环境质量现状情况如下：</w:t>
            </w:r>
          </w:p>
          <w:p>
            <w:pPr>
              <w:adjustRightInd w:val="0"/>
              <w:snapToGrid w:val="0"/>
              <w:spacing w:line="480" w:lineRule="exact"/>
              <w:ind w:right="89" w:rightChars="37" w:firstLine="480" w:firstLineChars="200"/>
              <w:jc w:val="left"/>
              <w:rPr>
                <w:sz w:val="24"/>
              </w:rPr>
            </w:pPr>
            <w:r>
              <w:drawing>
                <wp:anchor distT="0" distB="0" distL="114300" distR="114300" simplePos="0" relativeHeight="251662336" behindDoc="0" locked="0" layoutInCell="1" allowOverlap="1">
                  <wp:simplePos x="0" y="0"/>
                  <wp:positionH relativeFrom="column">
                    <wp:posOffset>865505</wp:posOffset>
                  </wp:positionH>
                  <wp:positionV relativeFrom="paragraph">
                    <wp:posOffset>1529715</wp:posOffset>
                  </wp:positionV>
                  <wp:extent cx="3799840" cy="2291080"/>
                  <wp:effectExtent l="0" t="0" r="10160" b="13970"/>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3799840" cy="2291080"/>
                          </a:xfrm>
                          <a:prstGeom prst="rect">
                            <a:avLst/>
                          </a:prstGeom>
                        </pic:spPr>
                      </pic:pic>
                    </a:graphicData>
                  </a:graphic>
                </wp:anchor>
              </w:drawing>
            </w:r>
            <w:r>
              <w:rPr>
                <w:sz w:val="24"/>
              </w:rPr>
              <w:t>乐山市11个县（市、区）环境空气中二氧化硫、二氧化氮、臭氧、一氧化碳、可吸入颗粒物和细颗粒物浓度分别为9μg/m3、23μg/m3、118μg/m3、1.0mg/m3、54μg/m3和35μg/m3，均达到国家环境空气二级标准，其中除二氧化氮浓度持平，细颗粒物浓度同比上升了1.9％外，其余4项污染物同比下降了16.2％、6.7％、8.9％和1.2％。</w:t>
            </w:r>
          </w:p>
          <w:p>
            <w:pPr>
              <w:adjustRightInd w:val="0"/>
              <w:snapToGrid w:val="0"/>
              <w:spacing w:line="480" w:lineRule="exact"/>
              <w:ind w:right="89" w:rightChars="37" w:firstLine="480" w:firstLineChars="200"/>
              <w:jc w:val="center"/>
              <w:rPr>
                <w:sz w:val="24"/>
              </w:rPr>
            </w:pPr>
            <w:r>
              <w:rPr>
                <w:sz w:val="24"/>
              </w:rPr>
              <w:t>图3-1  2021年乐山市各县（市、区）环境空气质量综合指数情况</w:t>
            </w:r>
          </w:p>
          <w:p>
            <w:pPr>
              <w:adjustRightInd w:val="0"/>
              <w:snapToGrid w:val="0"/>
              <w:spacing w:line="360" w:lineRule="auto"/>
              <w:ind w:right="89" w:rightChars="37" w:firstLine="480" w:firstLineChars="200"/>
              <w:jc w:val="left"/>
              <w:rPr>
                <w:sz w:val="24"/>
              </w:rPr>
            </w:pPr>
            <w:r>
              <w:rPr>
                <w:sz w:val="24"/>
              </w:rPr>
              <w:t>乐山市11个县（市、区）的环境空气质量综合指数在2.64～3.88之间，最高为沙湾区，最低为沐川县。同比2020年，峨眉山市、马边彝族自治县、市中区和井研县环境空气质量综合指数均有上升，其余7个县（区）环境空气质量综合指数均不同程度下降。如图所示。</w:t>
            </w:r>
          </w:p>
          <w:bookmarkEnd w:id="14"/>
          <w:p>
            <w:pPr>
              <w:adjustRightInd w:val="0"/>
              <w:snapToGrid w:val="0"/>
              <w:spacing w:line="360" w:lineRule="auto"/>
              <w:ind w:right="89" w:rightChars="37" w:firstLine="480" w:firstLineChars="200"/>
              <w:jc w:val="left"/>
              <w:rPr>
                <w:sz w:val="24"/>
              </w:rPr>
            </w:pPr>
            <w:r>
              <w:rPr>
                <w:sz w:val="24"/>
              </w:rPr>
              <w:fldChar w:fldCharType="begin"/>
            </w:r>
            <w:r>
              <w:rPr>
                <w:sz w:val="24"/>
              </w:rPr>
              <w:instrText xml:space="preserve"> = 1 \* GB3 </w:instrText>
            </w:r>
            <w:r>
              <w:rPr>
                <w:sz w:val="24"/>
              </w:rPr>
              <w:fldChar w:fldCharType="separate"/>
            </w:r>
            <w:r>
              <w:rPr>
                <w:rFonts w:hint="eastAsia" w:ascii="宋体" w:hAnsi="宋体" w:cs="宋体"/>
                <w:sz w:val="24"/>
              </w:rPr>
              <w:t>①</w:t>
            </w:r>
            <w:r>
              <w:rPr>
                <w:sz w:val="24"/>
              </w:rPr>
              <w:fldChar w:fldCharType="end"/>
            </w:r>
            <w:r>
              <w:rPr>
                <w:sz w:val="24"/>
              </w:rPr>
              <w:t>补充监测</w:t>
            </w:r>
          </w:p>
          <w:p>
            <w:pPr>
              <w:widowControl/>
              <w:adjustRightInd w:val="0"/>
              <w:spacing w:line="360" w:lineRule="auto"/>
              <w:ind w:firstLine="480" w:firstLineChars="200"/>
              <w:jc w:val="left"/>
              <w:rPr>
                <w:kern w:val="0"/>
                <w:sz w:val="24"/>
              </w:rPr>
            </w:pPr>
            <w:r>
              <w:rPr>
                <w:kern w:val="0"/>
                <w:sz w:val="24"/>
              </w:rPr>
              <w:t>i、补充监测项目</w:t>
            </w:r>
          </w:p>
          <w:p>
            <w:pPr>
              <w:spacing w:line="24" w:lineRule="atLeast"/>
              <w:jc w:val="center"/>
              <w:rPr>
                <w:bCs/>
                <w:sz w:val="24"/>
              </w:rPr>
            </w:pPr>
            <w:r>
              <w:rPr>
                <w:bCs/>
                <w:sz w:val="24"/>
              </w:rPr>
              <w:t>表3-1  环境空气检测项目</w:t>
            </w:r>
          </w:p>
          <w:tbl>
            <w:tblPr>
              <w:tblStyle w:val="38"/>
              <w:tblW w:w="4874" w:type="pct"/>
              <w:tblInd w:w="10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2"/>
              <w:gridCol w:w="1697"/>
              <w:gridCol w:w="2449"/>
              <w:gridCol w:w="27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745" w:type="pct"/>
                  <w:tcBorders>
                    <w:top w:val="single" w:color="auto" w:sz="12" w:space="0"/>
                    <w:left w:val="nil"/>
                    <w:bottom w:val="single" w:color="auto" w:sz="12" w:space="0"/>
                  </w:tcBorders>
                  <w:vAlign w:val="center"/>
                </w:tcPr>
                <w:p>
                  <w:pPr>
                    <w:jc w:val="center"/>
                    <w:rPr>
                      <w:b/>
                      <w:bCs/>
                      <w:szCs w:val="21"/>
                    </w:rPr>
                  </w:pPr>
                  <w:r>
                    <w:rPr>
                      <w:b/>
                      <w:bCs/>
                      <w:szCs w:val="21"/>
                    </w:rPr>
                    <w:t>检测类别</w:t>
                  </w:r>
                </w:p>
              </w:tc>
              <w:tc>
                <w:tcPr>
                  <w:tcW w:w="1052" w:type="pct"/>
                  <w:tcBorders>
                    <w:top w:val="single" w:color="auto" w:sz="12" w:space="0"/>
                    <w:bottom w:val="single" w:color="auto" w:sz="12" w:space="0"/>
                  </w:tcBorders>
                  <w:vAlign w:val="center"/>
                </w:tcPr>
                <w:p>
                  <w:pPr>
                    <w:jc w:val="center"/>
                    <w:rPr>
                      <w:b/>
                      <w:bCs/>
                      <w:szCs w:val="21"/>
                    </w:rPr>
                  </w:pPr>
                  <w:r>
                    <w:rPr>
                      <w:b/>
                      <w:bCs/>
                      <w:szCs w:val="21"/>
                    </w:rPr>
                    <w:t>检测点位</w:t>
                  </w:r>
                </w:p>
              </w:tc>
              <w:tc>
                <w:tcPr>
                  <w:tcW w:w="1518" w:type="pct"/>
                  <w:tcBorders>
                    <w:top w:val="single" w:color="auto" w:sz="12" w:space="0"/>
                    <w:bottom w:val="single" w:color="auto" w:sz="12" w:space="0"/>
                  </w:tcBorders>
                  <w:vAlign w:val="center"/>
                </w:tcPr>
                <w:p>
                  <w:pPr>
                    <w:jc w:val="center"/>
                    <w:rPr>
                      <w:b/>
                      <w:bCs/>
                      <w:szCs w:val="21"/>
                    </w:rPr>
                  </w:pPr>
                  <w:r>
                    <w:rPr>
                      <w:b/>
                      <w:bCs/>
                      <w:szCs w:val="21"/>
                    </w:rPr>
                    <w:t>检测项目</w:t>
                  </w:r>
                </w:p>
              </w:tc>
              <w:tc>
                <w:tcPr>
                  <w:tcW w:w="1684" w:type="pct"/>
                  <w:tcBorders>
                    <w:top w:val="single" w:color="auto" w:sz="12" w:space="0"/>
                    <w:bottom w:val="single" w:color="auto" w:sz="12" w:space="0"/>
                    <w:right w:val="nil"/>
                  </w:tcBorders>
                  <w:vAlign w:val="center"/>
                </w:tcPr>
                <w:p>
                  <w:pPr>
                    <w:jc w:val="center"/>
                    <w:rPr>
                      <w:b/>
                      <w:bCs/>
                      <w:szCs w:val="21"/>
                    </w:rPr>
                  </w:pPr>
                  <w:r>
                    <w:rPr>
                      <w:b/>
                      <w:bCs/>
                      <w:szCs w:val="21"/>
                    </w:rPr>
                    <w:t>检测频次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45" w:type="pct"/>
                  <w:tcBorders>
                    <w:top w:val="single" w:color="auto" w:sz="12" w:space="0"/>
                    <w:left w:val="nil"/>
                    <w:bottom w:val="single" w:color="auto" w:sz="12" w:space="0"/>
                  </w:tcBorders>
                  <w:vAlign w:val="center"/>
                </w:tcPr>
                <w:p>
                  <w:pPr>
                    <w:jc w:val="center"/>
                    <w:rPr>
                      <w:szCs w:val="21"/>
                    </w:rPr>
                  </w:pPr>
                  <w:r>
                    <w:rPr>
                      <w:szCs w:val="21"/>
                    </w:rPr>
                    <w:t>环境空气</w:t>
                  </w:r>
                </w:p>
              </w:tc>
              <w:tc>
                <w:tcPr>
                  <w:tcW w:w="1052" w:type="pct"/>
                  <w:tcBorders>
                    <w:top w:val="single" w:color="auto" w:sz="12" w:space="0"/>
                    <w:bottom w:val="single" w:color="auto" w:sz="12" w:space="0"/>
                  </w:tcBorders>
                  <w:vAlign w:val="center"/>
                </w:tcPr>
                <w:p>
                  <w:pPr>
                    <w:jc w:val="center"/>
                    <w:rPr>
                      <w:szCs w:val="21"/>
                    </w:rPr>
                  </w:pPr>
                  <w:r>
                    <w:rPr>
                      <w:szCs w:val="21"/>
                    </w:rPr>
                    <w:t>1#：项目西南侧下风向</w:t>
                  </w:r>
                </w:p>
              </w:tc>
              <w:tc>
                <w:tcPr>
                  <w:tcW w:w="1518" w:type="pct"/>
                  <w:tcBorders>
                    <w:top w:val="single" w:color="auto" w:sz="12" w:space="0"/>
                    <w:bottom w:val="single" w:color="auto" w:sz="12" w:space="0"/>
                  </w:tcBorders>
                  <w:vAlign w:val="center"/>
                </w:tcPr>
                <w:p>
                  <w:pPr>
                    <w:jc w:val="center"/>
                    <w:rPr>
                      <w:szCs w:val="21"/>
                    </w:rPr>
                  </w:pPr>
                  <w:r>
                    <w:rPr>
                      <w:szCs w:val="21"/>
                    </w:rPr>
                    <w:t>总悬浮颗粒物（TSP）</w:t>
                  </w:r>
                </w:p>
              </w:tc>
              <w:tc>
                <w:tcPr>
                  <w:tcW w:w="1684" w:type="pct"/>
                  <w:tcBorders>
                    <w:top w:val="single" w:color="auto" w:sz="12" w:space="0"/>
                    <w:bottom w:val="single" w:color="auto" w:sz="12" w:space="0"/>
                    <w:right w:val="nil"/>
                  </w:tcBorders>
                  <w:vAlign w:val="center"/>
                </w:tcPr>
                <w:p>
                  <w:pPr>
                    <w:jc w:val="center"/>
                    <w:rPr>
                      <w:szCs w:val="21"/>
                    </w:rPr>
                  </w:pPr>
                  <w:r>
                    <w:rPr>
                      <w:szCs w:val="21"/>
                    </w:rPr>
                    <w:t>连续检测3天，每天1次，连续检测24小时</w:t>
                  </w:r>
                </w:p>
              </w:tc>
            </w:tr>
          </w:tbl>
          <w:p>
            <w:pPr>
              <w:widowControl/>
              <w:adjustRightInd w:val="0"/>
              <w:spacing w:line="480" w:lineRule="exact"/>
              <w:ind w:firstLine="480" w:firstLineChars="200"/>
              <w:jc w:val="left"/>
              <w:rPr>
                <w:kern w:val="0"/>
                <w:sz w:val="24"/>
              </w:rPr>
            </w:pPr>
            <w:r>
              <w:rPr>
                <w:kern w:val="0"/>
                <w:sz w:val="24"/>
              </w:rPr>
              <w:t>ii、检测结果</w:t>
            </w:r>
          </w:p>
          <w:p>
            <w:pPr>
              <w:spacing w:line="240" w:lineRule="atLeast"/>
              <w:jc w:val="center"/>
              <w:rPr>
                <w:bCs/>
                <w:sz w:val="24"/>
              </w:rPr>
            </w:pPr>
            <w:r>
              <w:rPr>
                <w:bCs/>
                <w:sz w:val="24"/>
                <w:lang w:bidi="ar"/>
              </w:rPr>
              <w:t>表3-2  环境空气中总悬浮颗粒物检测结果</w:t>
            </w:r>
          </w:p>
          <w:tbl>
            <w:tblPr>
              <w:tblStyle w:val="38"/>
              <w:tblW w:w="5000" w:type="pct"/>
              <w:jc w:val="center"/>
              <w:tblBorders>
                <w:top w:val="single" w:color="auto" w:sz="12" w:space="0"/>
                <w:left w:val="none" w:color="auto" w:sz="6" w:space="0"/>
                <w:bottom w:val="single" w:color="auto" w:sz="12" w:space="0"/>
                <w:right w:val="none" w:color="auto" w:sz="6" w:space="0"/>
                <w:insideH w:val="single" w:color="auto" w:sz="4" w:space="0"/>
                <w:insideV w:val="single" w:color="auto" w:sz="4" w:space="0"/>
              </w:tblBorders>
              <w:tblLayout w:type="autofit"/>
              <w:tblCellMar>
                <w:top w:w="0" w:type="dxa"/>
                <w:left w:w="108" w:type="dxa"/>
                <w:bottom w:w="0" w:type="dxa"/>
                <w:right w:w="108" w:type="dxa"/>
              </w:tblCellMar>
            </w:tblPr>
            <w:tblGrid>
              <w:gridCol w:w="1746"/>
              <w:gridCol w:w="988"/>
              <w:gridCol w:w="1758"/>
              <w:gridCol w:w="1707"/>
              <w:gridCol w:w="1296"/>
              <w:gridCol w:w="789"/>
            </w:tblGrid>
            <w:tr>
              <w:tblPrEx>
                <w:tblBorders>
                  <w:top w:val="single" w:color="auto" w:sz="12" w:space="0"/>
                  <w:left w:val="none" w:color="auto" w:sz="6" w:space="0"/>
                  <w:bottom w:val="single" w:color="auto" w:sz="12" w:space="0"/>
                  <w:right w:val="none" w:color="auto" w:sz="6" w:space="0"/>
                  <w:insideH w:val="single" w:color="auto" w:sz="4" w:space="0"/>
                  <w:insideV w:val="single" w:color="auto" w:sz="4" w:space="0"/>
                </w:tblBorders>
                <w:tblCellMar>
                  <w:top w:w="0" w:type="dxa"/>
                  <w:left w:w="108" w:type="dxa"/>
                  <w:bottom w:w="0" w:type="dxa"/>
                  <w:right w:w="108" w:type="dxa"/>
                </w:tblCellMar>
              </w:tblPrEx>
              <w:trPr>
                <w:trHeight w:val="426" w:hRule="atLeast"/>
                <w:jc w:val="center"/>
              </w:trPr>
              <w:tc>
                <w:tcPr>
                  <w:tcW w:w="850" w:type="pct"/>
                  <w:tcBorders>
                    <w:top w:val="single" w:color="auto" w:sz="12" w:space="0"/>
                    <w:left w:val="nil"/>
                    <w:bottom w:val="single" w:color="auto" w:sz="12" w:space="0"/>
                    <w:right w:val="single" w:color="auto" w:sz="4" w:space="0"/>
                  </w:tcBorders>
                  <w:vAlign w:val="center"/>
                </w:tcPr>
                <w:p>
                  <w:pPr>
                    <w:jc w:val="center"/>
                    <w:rPr>
                      <w:b/>
                      <w:szCs w:val="21"/>
                    </w:rPr>
                  </w:pPr>
                  <w:r>
                    <w:rPr>
                      <w:b/>
                      <w:szCs w:val="21"/>
                      <w:lang w:bidi="ar"/>
                    </w:rPr>
                    <w:t>采样日期</w:t>
                  </w:r>
                </w:p>
              </w:tc>
              <w:tc>
                <w:tcPr>
                  <w:tcW w:w="687" w:type="pct"/>
                  <w:tcBorders>
                    <w:top w:val="single" w:color="auto" w:sz="12" w:space="0"/>
                    <w:left w:val="single" w:color="auto" w:sz="4" w:space="0"/>
                    <w:bottom w:val="single" w:color="auto" w:sz="12" w:space="0"/>
                    <w:right w:val="single" w:color="auto" w:sz="4" w:space="0"/>
                  </w:tcBorders>
                  <w:vAlign w:val="center"/>
                </w:tcPr>
                <w:p>
                  <w:pPr>
                    <w:jc w:val="center"/>
                    <w:rPr>
                      <w:b/>
                      <w:szCs w:val="21"/>
                    </w:rPr>
                  </w:pPr>
                  <w:r>
                    <w:rPr>
                      <w:b/>
                      <w:szCs w:val="21"/>
                      <w:lang w:bidi="ar"/>
                    </w:rPr>
                    <w:t>采样点位</w:t>
                  </w:r>
                </w:p>
              </w:tc>
              <w:tc>
                <w:tcPr>
                  <w:tcW w:w="1151" w:type="pct"/>
                  <w:tcBorders>
                    <w:top w:val="single" w:color="auto" w:sz="12" w:space="0"/>
                    <w:left w:val="single" w:color="auto" w:sz="4" w:space="0"/>
                    <w:bottom w:val="single" w:color="auto" w:sz="12" w:space="0"/>
                    <w:right w:val="single" w:color="auto" w:sz="4" w:space="0"/>
                  </w:tcBorders>
                  <w:vAlign w:val="center"/>
                </w:tcPr>
                <w:p>
                  <w:pPr>
                    <w:jc w:val="center"/>
                    <w:rPr>
                      <w:b/>
                      <w:szCs w:val="21"/>
                    </w:rPr>
                  </w:pPr>
                  <w:r>
                    <w:rPr>
                      <w:b/>
                      <w:szCs w:val="21"/>
                      <w:lang w:bidi="ar"/>
                    </w:rPr>
                    <w:t>检测项目</w:t>
                  </w:r>
                </w:p>
              </w:tc>
              <w:tc>
                <w:tcPr>
                  <w:tcW w:w="1120" w:type="pct"/>
                  <w:tcBorders>
                    <w:top w:val="single" w:color="auto" w:sz="12" w:space="0"/>
                    <w:left w:val="single" w:color="auto" w:sz="4" w:space="0"/>
                    <w:bottom w:val="single" w:color="auto" w:sz="12" w:space="0"/>
                    <w:right w:val="single" w:color="auto" w:sz="4" w:space="0"/>
                  </w:tcBorders>
                  <w:vAlign w:val="center"/>
                </w:tcPr>
                <w:p>
                  <w:pPr>
                    <w:jc w:val="center"/>
                    <w:rPr>
                      <w:b/>
                      <w:szCs w:val="21"/>
                      <w:lang w:bidi="ar"/>
                    </w:rPr>
                  </w:pPr>
                  <w:r>
                    <w:rPr>
                      <w:b/>
                      <w:szCs w:val="21"/>
                      <w:lang w:bidi="ar"/>
                    </w:rPr>
                    <w:t>检测结果（ug/m</w:t>
                  </w:r>
                  <w:r>
                    <w:rPr>
                      <w:b/>
                      <w:szCs w:val="21"/>
                      <w:vertAlign w:val="superscript"/>
                      <w:lang w:bidi="ar"/>
                    </w:rPr>
                    <w:t>3</w:t>
                  </w:r>
                  <w:r>
                    <w:rPr>
                      <w:b/>
                      <w:szCs w:val="21"/>
                      <w:lang w:bidi="ar"/>
                    </w:rPr>
                    <w:t>）</w:t>
                  </w:r>
                </w:p>
                <w:p>
                  <w:pPr>
                    <w:jc w:val="center"/>
                    <w:rPr>
                      <w:b/>
                      <w:szCs w:val="21"/>
                    </w:rPr>
                  </w:pPr>
                  <w:r>
                    <w:rPr>
                      <w:b/>
                      <w:szCs w:val="21"/>
                      <w:lang w:bidi="ar"/>
                    </w:rPr>
                    <w:t>（24h均值）</w:t>
                  </w:r>
                </w:p>
              </w:tc>
              <w:tc>
                <w:tcPr>
                  <w:tcW w:w="626" w:type="pct"/>
                  <w:tcBorders>
                    <w:top w:val="single" w:color="auto" w:sz="12" w:space="0"/>
                    <w:left w:val="single" w:color="auto" w:sz="4" w:space="0"/>
                    <w:bottom w:val="single" w:color="000000" w:sz="12" w:space="0"/>
                    <w:right w:val="single" w:color="auto" w:sz="4" w:space="0"/>
                  </w:tcBorders>
                  <w:vAlign w:val="center"/>
                </w:tcPr>
                <w:p>
                  <w:pPr>
                    <w:jc w:val="center"/>
                    <w:rPr>
                      <w:b/>
                      <w:szCs w:val="21"/>
                    </w:rPr>
                  </w:pPr>
                  <w:r>
                    <w:rPr>
                      <w:b/>
                      <w:szCs w:val="21"/>
                      <w:lang w:bidi="ar"/>
                    </w:rPr>
                    <w:t>标准限值（ug/m</w:t>
                  </w:r>
                  <w:r>
                    <w:rPr>
                      <w:b/>
                      <w:szCs w:val="21"/>
                      <w:vertAlign w:val="superscript"/>
                      <w:lang w:bidi="ar"/>
                    </w:rPr>
                    <w:t>3</w:t>
                  </w:r>
                  <w:r>
                    <w:rPr>
                      <w:b/>
                      <w:szCs w:val="21"/>
                      <w:lang w:bidi="ar"/>
                    </w:rPr>
                    <w:t>）</w:t>
                  </w:r>
                </w:p>
              </w:tc>
              <w:tc>
                <w:tcPr>
                  <w:tcW w:w="567" w:type="pct"/>
                  <w:tcBorders>
                    <w:top w:val="single" w:color="auto" w:sz="12" w:space="0"/>
                    <w:left w:val="single" w:color="auto" w:sz="4" w:space="0"/>
                    <w:bottom w:val="single" w:color="000000" w:sz="12" w:space="0"/>
                    <w:right w:val="nil"/>
                  </w:tcBorders>
                  <w:vAlign w:val="center"/>
                </w:tcPr>
                <w:p>
                  <w:pPr>
                    <w:jc w:val="center"/>
                    <w:rPr>
                      <w:b/>
                      <w:szCs w:val="21"/>
                    </w:rPr>
                  </w:pPr>
                  <w:r>
                    <w:rPr>
                      <w:b/>
                      <w:szCs w:val="21"/>
                      <w:lang w:bidi="ar"/>
                    </w:rPr>
                    <w:t>结果评价</w:t>
                  </w:r>
                </w:p>
              </w:tc>
            </w:tr>
            <w:tr>
              <w:tblPrEx>
                <w:tblBorders>
                  <w:top w:val="single" w:color="auto" w:sz="12" w:space="0"/>
                  <w:left w:val="none" w:color="auto" w:sz="6" w:space="0"/>
                  <w:bottom w:val="single" w:color="auto" w:sz="12" w:space="0"/>
                  <w:right w:val="none" w:color="auto" w:sz="6" w:space="0"/>
                  <w:insideH w:val="single" w:color="auto" w:sz="4" w:space="0"/>
                  <w:insideV w:val="single" w:color="auto" w:sz="4" w:space="0"/>
                </w:tblBorders>
                <w:tblCellMar>
                  <w:top w:w="0" w:type="dxa"/>
                  <w:left w:w="108" w:type="dxa"/>
                  <w:bottom w:w="0" w:type="dxa"/>
                  <w:right w:w="108" w:type="dxa"/>
                </w:tblCellMar>
              </w:tblPrEx>
              <w:trPr>
                <w:trHeight w:val="214" w:hRule="atLeast"/>
                <w:jc w:val="center"/>
              </w:trPr>
              <w:tc>
                <w:tcPr>
                  <w:tcW w:w="850" w:type="pct"/>
                  <w:tcBorders>
                    <w:top w:val="single" w:color="auto" w:sz="12" w:space="0"/>
                    <w:left w:val="nil"/>
                    <w:right w:val="single" w:color="auto" w:sz="4" w:space="0"/>
                  </w:tcBorders>
                  <w:vAlign w:val="center"/>
                </w:tcPr>
                <w:p>
                  <w:pPr>
                    <w:snapToGrid w:val="0"/>
                    <w:jc w:val="center"/>
                    <w:rPr>
                      <w:szCs w:val="21"/>
                    </w:rPr>
                  </w:pPr>
                  <w:r>
                    <w:rPr>
                      <w:kern w:val="0"/>
                      <w:szCs w:val="21"/>
                    </w:rPr>
                    <w:t>2022/5/30~5/31</w:t>
                  </w:r>
                </w:p>
              </w:tc>
              <w:tc>
                <w:tcPr>
                  <w:tcW w:w="687" w:type="pct"/>
                  <w:vMerge w:val="restart"/>
                  <w:tcBorders>
                    <w:top w:val="single" w:color="auto" w:sz="12" w:space="0"/>
                    <w:left w:val="single" w:color="auto" w:sz="4" w:space="0"/>
                    <w:bottom w:val="single" w:color="auto" w:sz="12" w:space="0"/>
                    <w:right w:val="single" w:color="auto" w:sz="4" w:space="0"/>
                  </w:tcBorders>
                  <w:vAlign w:val="center"/>
                </w:tcPr>
                <w:p>
                  <w:pPr>
                    <w:jc w:val="center"/>
                    <w:rPr>
                      <w:szCs w:val="21"/>
                    </w:rPr>
                  </w:pPr>
                  <w:r>
                    <w:rPr>
                      <w:szCs w:val="21"/>
                    </w:rPr>
                    <w:t>1#：项目西南侧下风向</w:t>
                  </w:r>
                </w:p>
              </w:tc>
              <w:tc>
                <w:tcPr>
                  <w:tcW w:w="1151" w:type="pct"/>
                  <w:vMerge w:val="restart"/>
                  <w:tcBorders>
                    <w:top w:val="single" w:color="auto" w:sz="12" w:space="0"/>
                    <w:left w:val="single" w:color="auto" w:sz="4" w:space="0"/>
                    <w:right w:val="single" w:color="auto" w:sz="4" w:space="0"/>
                  </w:tcBorders>
                  <w:vAlign w:val="center"/>
                </w:tcPr>
                <w:p>
                  <w:pPr>
                    <w:jc w:val="center"/>
                    <w:rPr>
                      <w:szCs w:val="21"/>
                    </w:rPr>
                  </w:pPr>
                  <w:r>
                    <w:rPr>
                      <w:szCs w:val="21"/>
                    </w:rPr>
                    <w:t>总悬浮颗粒物（TSP）</w:t>
                  </w:r>
                </w:p>
              </w:tc>
              <w:tc>
                <w:tcPr>
                  <w:tcW w:w="1120" w:type="pct"/>
                  <w:tcBorders>
                    <w:top w:val="single" w:color="auto" w:sz="12" w:space="0"/>
                    <w:left w:val="single" w:color="auto" w:sz="4" w:space="0"/>
                    <w:bottom w:val="single" w:color="auto" w:sz="4" w:space="0"/>
                    <w:right w:val="single" w:color="auto" w:sz="4" w:space="0"/>
                  </w:tcBorders>
                  <w:vAlign w:val="center"/>
                </w:tcPr>
                <w:p>
                  <w:pPr>
                    <w:jc w:val="center"/>
                    <w:rPr>
                      <w:szCs w:val="21"/>
                    </w:rPr>
                  </w:pPr>
                  <w:r>
                    <w:rPr>
                      <w:szCs w:val="21"/>
                    </w:rPr>
                    <w:t>180</w:t>
                  </w:r>
                </w:p>
              </w:tc>
              <w:tc>
                <w:tcPr>
                  <w:tcW w:w="626" w:type="pct"/>
                  <w:tcBorders>
                    <w:top w:val="single" w:color="000000" w:sz="12" w:space="0"/>
                    <w:left w:val="single" w:color="auto" w:sz="4" w:space="0"/>
                    <w:right w:val="single" w:color="auto" w:sz="4" w:space="0"/>
                  </w:tcBorders>
                  <w:vAlign w:val="center"/>
                </w:tcPr>
                <w:p>
                  <w:pPr>
                    <w:jc w:val="center"/>
                    <w:rPr>
                      <w:szCs w:val="21"/>
                    </w:rPr>
                  </w:pPr>
                  <w:r>
                    <w:rPr>
                      <w:szCs w:val="21"/>
                    </w:rPr>
                    <w:t>300</w:t>
                  </w:r>
                </w:p>
              </w:tc>
              <w:tc>
                <w:tcPr>
                  <w:tcW w:w="567" w:type="pct"/>
                  <w:tcBorders>
                    <w:top w:val="single" w:color="000000" w:sz="12" w:space="0"/>
                    <w:left w:val="single" w:color="auto" w:sz="4" w:space="0"/>
                    <w:right w:val="nil"/>
                  </w:tcBorders>
                  <w:vAlign w:val="center"/>
                </w:tcPr>
                <w:p>
                  <w:pPr>
                    <w:jc w:val="center"/>
                    <w:rPr>
                      <w:szCs w:val="21"/>
                    </w:rPr>
                  </w:pPr>
                  <w:r>
                    <w:rPr>
                      <w:szCs w:val="21"/>
                      <w:lang w:bidi="ar"/>
                    </w:rPr>
                    <w:t>达标</w:t>
                  </w:r>
                </w:p>
              </w:tc>
            </w:tr>
            <w:tr>
              <w:tblPrEx>
                <w:tblBorders>
                  <w:top w:val="single" w:color="auto" w:sz="12" w:space="0"/>
                  <w:left w:val="none" w:color="auto" w:sz="6" w:space="0"/>
                  <w:bottom w:val="single" w:color="auto" w:sz="12" w:space="0"/>
                  <w:right w:val="none" w:color="auto" w:sz="6" w:space="0"/>
                  <w:insideH w:val="single" w:color="auto" w:sz="4" w:space="0"/>
                  <w:insideV w:val="single" w:color="auto" w:sz="4" w:space="0"/>
                </w:tblBorders>
                <w:tblCellMar>
                  <w:top w:w="0" w:type="dxa"/>
                  <w:left w:w="108" w:type="dxa"/>
                  <w:bottom w:w="0" w:type="dxa"/>
                  <w:right w:w="108" w:type="dxa"/>
                </w:tblCellMar>
              </w:tblPrEx>
              <w:trPr>
                <w:trHeight w:val="124" w:hRule="atLeast"/>
                <w:jc w:val="center"/>
              </w:trPr>
              <w:tc>
                <w:tcPr>
                  <w:tcW w:w="850" w:type="pct"/>
                  <w:tcBorders>
                    <w:left w:val="nil"/>
                    <w:right w:val="single" w:color="auto" w:sz="4" w:space="0"/>
                  </w:tcBorders>
                  <w:vAlign w:val="center"/>
                </w:tcPr>
                <w:p>
                  <w:pPr>
                    <w:snapToGrid w:val="0"/>
                    <w:jc w:val="center"/>
                    <w:rPr>
                      <w:sz w:val="20"/>
                      <w:szCs w:val="20"/>
                    </w:rPr>
                  </w:pPr>
                  <w:r>
                    <w:rPr>
                      <w:kern w:val="0"/>
                      <w:szCs w:val="21"/>
                    </w:rPr>
                    <w:t>2022/5/31~6/1</w:t>
                  </w:r>
                </w:p>
              </w:tc>
              <w:tc>
                <w:tcPr>
                  <w:tcW w:w="687" w:type="pct"/>
                  <w:vMerge w:val="continue"/>
                  <w:tcBorders>
                    <w:top w:val="single" w:color="auto" w:sz="12" w:space="0"/>
                    <w:left w:val="single" w:color="auto" w:sz="4" w:space="0"/>
                    <w:bottom w:val="single" w:color="auto" w:sz="12" w:space="0"/>
                    <w:right w:val="single" w:color="auto" w:sz="4" w:space="0"/>
                  </w:tcBorders>
                  <w:vAlign w:val="center"/>
                </w:tcPr>
                <w:p>
                  <w:pPr>
                    <w:jc w:val="center"/>
                    <w:rPr>
                      <w:szCs w:val="21"/>
                    </w:rPr>
                  </w:pPr>
                </w:p>
              </w:tc>
              <w:tc>
                <w:tcPr>
                  <w:tcW w:w="1151" w:type="pct"/>
                  <w:vMerge w:val="continue"/>
                  <w:tcBorders>
                    <w:left w:val="single" w:color="auto" w:sz="4" w:space="0"/>
                    <w:right w:val="single" w:color="auto" w:sz="4" w:space="0"/>
                  </w:tcBorders>
                  <w:vAlign w:val="center"/>
                </w:tcPr>
                <w:p>
                  <w:pPr>
                    <w:rPr>
                      <w:sz w:val="20"/>
                      <w:szCs w:val="20"/>
                    </w:rPr>
                  </w:pPr>
                </w:p>
              </w:tc>
              <w:tc>
                <w:tcPr>
                  <w:tcW w:w="1120" w:type="pct"/>
                  <w:tcBorders>
                    <w:top w:val="single" w:color="auto" w:sz="4" w:space="0"/>
                    <w:left w:val="single" w:color="auto" w:sz="4" w:space="0"/>
                    <w:bottom w:val="single" w:color="auto" w:sz="4" w:space="0"/>
                    <w:right w:val="single" w:color="auto" w:sz="4" w:space="0"/>
                  </w:tcBorders>
                  <w:vAlign w:val="center"/>
                </w:tcPr>
                <w:p>
                  <w:pPr>
                    <w:jc w:val="center"/>
                    <w:rPr>
                      <w:szCs w:val="21"/>
                    </w:rPr>
                  </w:pPr>
                  <w:r>
                    <w:rPr>
                      <w:szCs w:val="21"/>
                    </w:rPr>
                    <w:t>192</w:t>
                  </w:r>
                </w:p>
              </w:tc>
              <w:tc>
                <w:tcPr>
                  <w:tcW w:w="626" w:type="pct"/>
                  <w:tcBorders>
                    <w:left w:val="single" w:color="auto" w:sz="4" w:space="0"/>
                    <w:right w:val="single" w:color="auto" w:sz="4" w:space="0"/>
                  </w:tcBorders>
                  <w:vAlign w:val="center"/>
                </w:tcPr>
                <w:p>
                  <w:pPr>
                    <w:jc w:val="center"/>
                    <w:rPr>
                      <w:szCs w:val="21"/>
                    </w:rPr>
                  </w:pPr>
                  <w:r>
                    <w:rPr>
                      <w:szCs w:val="21"/>
                    </w:rPr>
                    <w:t>300</w:t>
                  </w:r>
                </w:p>
              </w:tc>
              <w:tc>
                <w:tcPr>
                  <w:tcW w:w="567" w:type="pct"/>
                  <w:tcBorders>
                    <w:left w:val="single" w:color="auto" w:sz="4" w:space="0"/>
                    <w:right w:val="nil"/>
                  </w:tcBorders>
                  <w:vAlign w:val="center"/>
                </w:tcPr>
                <w:p>
                  <w:pPr>
                    <w:jc w:val="center"/>
                    <w:rPr>
                      <w:szCs w:val="21"/>
                    </w:rPr>
                  </w:pPr>
                  <w:r>
                    <w:rPr>
                      <w:szCs w:val="21"/>
                    </w:rPr>
                    <w:t>达标</w:t>
                  </w:r>
                </w:p>
              </w:tc>
            </w:tr>
            <w:tr>
              <w:tblPrEx>
                <w:tblBorders>
                  <w:top w:val="single" w:color="auto" w:sz="12" w:space="0"/>
                  <w:left w:val="none" w:color="auto" w:sz="6" w:space="0"/>
                  <w:bottom w:val="single" w:color="auto" w:sz="12" w:space="0"/>
                  <w:right w:val="none" w:color="auto" w:sz="6"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50" w:type="pct"/>
                  <w:tcBorders>
                    <w:left w:val="nil"/>
                    <w:right w:val="single" w:color="auto" w:sz="4" w:space="0"/>
                  </w:tcBorders>
                  <w:vAlign w:val="center"/>
                </w:tcPr>
                <w:p>
                  <w:pPr>
                    <w:snapToGrid w:val="0"/>
                    <w:jc w:val="center"/>
                    <w:rPr>
                      <w:sz w:val="20"/>
                      <w:szCs w:val="20"/>
                    </w:rPr>
                  </w:pPr>
                  <w:r>
                    <w:rPr>
                      <w:kern w:val="0"/>
                      <w:szCs w:val="21"/>
                    </w:rPr>
                    <w:t>2022/6/1~6/2</w:t>
                  </w:r>
                </w:p>
              </w:tc>
              <w:tc>
                <w:tcPr>
                  <w:tcW w:w="687" w:type="pct"/>
                  <w:vMerge w:val="continue"/>
                  <w:tcBorders>
                    <w:top w:val="single" w:color="auto" w:sz="12" w:space="0"/>
                    <w:left w:val="single" w:color="auto" w:sz="4" w:space="0"/>
                    <w:bottom w:val="single" w:color="auto" w:sz="12" w:space="0"/>
                    <w:right w:val="single" w:color="auto" w:sz="4" w:space="0"/>
                  </w:tcBorders>
                  <w:vAlign w:val="center"/>
                </w:tcPr>
                <w:p>
                  <w:pPr>
                    <w:jc w:val="center"/>
                    <w:rPr>
                      <w:szCs w:val="21"/>
                    </w:rPr>
                  </w:pPr>
                </w:p>
              </w:tc>
              <w:tc>
                <w:tcPr>
                  <w:tcW w:w="1151" w:type="pct"/>
                  <w:vMerge w:val="continue"/>
                  <w:tcBorders>
                    <w:left w:val="single" w:color="auto" w:sz="4" w:space="0"/>
                    <w:right w:val="single" w:color="auto" w:sz="4" w:space="0"/>
                  </w:tcBorders>
                  <w:vAlign w:val="center"/>
                </w:tcPr>
                <w:p>
                  <w:pPr>
                    <w:jc w:val="center"/>
                    <w:rPr>
                      <w:szCs w:val="21"/>
                    </w:rPr>
                  </w:pPr>
                </w:p>
              </w:tc>
              <w:tc>
                <w:tcPr>
                  <w:tcW w:w="1120" w:type="pct"/>
                  <w:tcBorders>
                    <w:top w:val="single" w:color="auto" w:sz="4" w:space="0"/>
                    <w:left w:val="single" w:color="auto" w:sz="4" w:space="0"/>
                    <w:bottom w:val="single" w:color="000000" w:sz="12" w:space="0"/>
                    <w:right w:val="single" w:color="auto" w:sz="4" w:space="0"/>
                  </w:tcBorders>
                  <w:vAlign w:val="center"/>
                </w:tcPr>
                <w:p>
                  <w:pPr>
                    <w:jc w:val="center"/>
                    <w:rPr>
                      <w:szCs w:val="21"/>
                    </w:rPr>
                  </w:pPr>
                  <w:r>
                    <w:rPr>
                      <w:szCs w:val="21"/>
                    </w:rPr>
                    <w:t>186</w:t>
                  </w:r>
                </w:p>
              </w:tc>
              <w:tc>
                <w:tcPr>
                  <w:tcW w:w="626" w:type="pct"/>
                  <w:tcBorders>
                    <w:top w:val="single" w:color="auto" w:sz="4" w:space="0"/>
                    <w:left w:val="single" w:color="auto" w:sz="4" w:space="0"/>
                    <w:right w:val="single" w:color="auto" w:sz="4" w:space="0"/>
                  </w:tcBorders>
                  <w:vAlign w:val="center"/>
                </w:tcPr>
                <w:p>
                  <w:pPr>
                    <w:jc w:val="center"/>
                    <w:rPr>
                      <w:szCs w:val="21"/>
                    </w:rPr>
                  </w:pPr>
                  <w:r>
                    <w:rPr>
                      <w:szCs w:val="21"/>
                    </w:rPr>
                    <w:t>300</w:t>
                  </w:r>
                </w:p>
              </w:tc>
              <w:tc>
                <w:tcPr>
                  <w:tcW w:w="567" w:type="pct"/>
                  <w:tcBorders>
                    <w:top w:val="single" w:color="auto" w:sz="4" w:space="0"/>
                    <w:left w:val="single" w:color="auto" w:sz="4" w:space="0"/>
                    <w:right w:val="nil"/>
                  </w:tcBorders>
                  <w:vAlign w:val="center"/>
                </w:tcPr>
                <w:p>
                  <w:pPr>
                    <w:jc w:val="center"/>
                    <w:rPr>
                      <w:szCs w:val="21"/>
                    </w:rPr>
                  </w:pPr>
                  <w:r>
                    <w:rPr>
                      <w:szCs w:val="21"/>
                      <w:lang w:bidi="ar"/>
                    </w:rPr>
                    <w:t>达标</w:t>
                  </w:r>
                </w:p>
              </w:tc>
            </w:tr>
          </w:tbl>
          <w:p>
            <w:pPr>
              <w:widowControl/>
              <w:adjustRightInd w:val="0"/>
              <w:spacing w:line="480" w:lineRule="exact"/>
              <w:ind w:firstLine="480" w:firstLineChars="200"/>
              <w:jc w:val="left"/>
              <w:rPr>
                <w:kern w:val="0"/>
                <w:sz w:val="24"/>
              </w:rPr>
            </w:pPr>
            <w:r>
              <w:rPr>
                <w:kern w:val="0"/>
                <w:sz w:val="24"/>
              </w:rPr>
              <w:t>iii、结果评价</w:t>
            </w:r>
          </w:p>
          <w:p>
            <w:pPr>
              <w:widowControl/>
              <w:adjustRightInd w:val="0"/>
              <w:spacing w:line="480" w:lineRule="exact"/>
              <w:ind w:firstLine="480" w:firstLineChars="200"/>
              <w:jc w:val="left"/>
              <w:rPr>
                <w:kern w:val="0"/>
                <w:sz w:val="24"/>
              </w:rPr>
            </w:pPr>
            <w:r>
              <w:rPr>
                <w:kern w:val="0"/>
                <w:sz w:val="24"/>
              </w:rPr>
              <w:t>本次所检项目检测结果表明：</w:t>
            </w:r>
          </w:p>
          <w:p>
            <w:pPr>
              <w:widowControl/>
              <w:adjustRightInd w:val="0"/>
              <w:spacing w:line="480" w:lineRule="exact"/>
              <w:ind w:firstLine="480" w:firstLineChars="200"/>
              <w:jc w:val="left"/>
              <w:rPr>
                <w:kern w:val="0"/>
                <w:sz w:val="24"/>
              </w:rPr>
            </w:pPr>
            <w:r>
              <w:rPr>
                <w:kern w:val="0"/>
                <w:sz w:val="24"/>
              </w:rPr>
              <w:t>环境空气中总悬浮颗粒物（TSP）检测结果符合《环境空气质量标准》（GB3095-2012）表2二级限值要求，所在地区域环境空气质量良好。</w:t>
            </w:r>
          </w:p>
          <w:bookmarkEnd w:id="13"/>
          <w:p>
            <w:pPr>
              <w:spacing w:before="120" w:after="120" w:line="360" w:lineRule="auto"/>
              <w:rPr>
                <w:b/>
                <w:sz w:val="24"/>
              </w:rPr>
            </w:pPr>
            <w:r>
              <w:rPr>
                <w:b/>
                <w:sz w:val="24"/>
              </w:rPr>
              <w:t>二、地表水环境质量</w:t>
            </w:r>
          </w:p>
          <w:p>
            <w:pPr>
              <w:spacing w:line="360" w:lineRule="auto"/>
              <w:ind w:firstLine="480" w:firstLineChars="200"/>
              <w:rPr>
                <w:bCs/>
                <w:sz w:val="24"/>
              </w:rPr>
            </w:pPr>
            <w:r>
              <w:rPr>
                <w:bCs/>
                <w:sz w:val="24"/>
              </w:rPr>
              <w:t>本次水环境质量引用</w:t>
            </w:r>
            <w:r>
              <w:rPr>
                <w:sz w:val="24"/>
              </w:rPr>
              <w:t>乐山市生态环境局公布的《乐山市2021年环境质量公报》中的统计数据进行评价</w:t>
            </w:r>
            <w:r>
              <w:rPr>
                <w:bCs/>
                <w:sz w:val="24"/>
              </w:rPr>
              <w:t>，符合《环境影响评价技术导则 地表水环境》（HJ2.3-2018）中“6.6调查要求”的要求。</w:t>
            </w:r>
          </w:p>
          <w:p>
            <w:pPr>
              <w:widowControl/>
              <w:spacing w:line="360" w:lineRule="auto"/>
              <w:ind w:firstLine="480"/>
              <w:rPr>
                <w:bCs/>
                <w:sz w:val="24"/>
              </w:rPr>
            </w:pPr>
            <w:r>
              <w:rPr>
                <w:bCs/>
                <w:sz w:val="24"/>
              </w:rPr>
              <w:t>根据</w:t>
            </w:r>
            <w:r>
              <w:rPr>
                <w:sz w:val="24"/>
              </w:rPr>
              <w:t>《乐山市2021年环境质量公报》</w:t>
            </w:r>
            <w:r>
              <w:rPr>
                <w:bCs/>
                <w:sz w:val="24"/>
              </w:rPr>
              <w:t>：（一）岷江干流及主要支流水质状况：乐山市岷江干流及主要支流共设置国考断面6个、省考断面8个。6个国考监测断面水质达标率为100％，Ⅱ类水质断面为4个，占66．7％；Ⅲ类水质断面为2个，占33．3％。8个省考监测断面水质达标率为87．5％。Ⅱ类水质断面为5个，占62．5％；Ⅲ类水质断面为2个，占25．0％；Ⅳ类水质断面为1个，占12．5％。（二）市考断面水质状况：乐山市30个市考监测断面水质达标率为83．3％。Ⅱ类水质断面为18个，占60．0％；Ⅲ类水质断面为7个，占23．3％；Ⅳ类及以下水质断面为5个，占16．7％。</w:t>
            </w:r>
          </w:p>
          <w:p>
            <w:pPr>
              <w:spacing w:line="360" w:lineRule="auto"/>
              <w:ind w:firstLine="480" w:firstLineChars="200"/>
              <w:rPr>
                <w:bCs/>
                <w:sz w:val="24"/>
                <w:szCs w:val="20"/>
              </w:rPr>
            </w:pPr>
            <w:r>
              <w:rPr>
                <w:bCs/>
                <w:sz w:val="24"/>
                <w:szCs w:val="20"/>
              </w:rPr>
              <w:t>项目所在</w:t>
            </w:r>
            <w:r>
              <w:rPr>
                <w:kern w:val="0"/>
                <w:sz w:val="24"/>
              </w:rPr>
              <w:t>岷江乐山段干流及其支流断面水质类别为Ⅱ～Ⅴ类</w:t>
            </w:r>
            <w:r>
              <w:rPr>
                <w:bCs/>
                <w:sz w:val="24"/>
                <w:szCs w:val="20"/>
              </w:rPr>
              <w:t>，周边临近地表水环境主要为溪沟，根据项目实际情况项目废水不外排。</w:t>
            </w:r>
          </w:p>
          <w:p>
            <w:pPr>
              <w:spacing w:before="120" w:after="120" w:line="360" w:lineRule="auto"/>
              <w:rPr>
                <w:sz w:val="24"/>
              </w:rPr>
            </w:pPr>
            <w:r>
              <w:rPr>
                <w:b/>
                <w:sz w:val="24"/>
              </w:rPr>
              <w:t>三、声环境质量</w:t>
            </w:r>
          </w:p>
          <w:p>
            <w:pPr>
              <w:spacing w:line="360" w:lineRule="auto"/>
              <w:ind w:firstLine="470" w:firstLineChars="196"/>
              <w:rPr>
                <w:sz w:val="24"/>
              </w:rPr>
            </w:pPr>
            <w:r>
              <w:rPr>
                <w:sz w:val="24"/>
              </w:rPr>
              <w:t>本项目属于</w:t>
            </w:r>
            <w:r>
              <w:rPr>
                <w:kern w:val="0"/>
                <w:sz w:val="24"/>
              </w:rPr>
              <w:t>乐山市资源循环利用基地规划范围内</w:t>
            </w:r>
            <w:r>
              <w:rPr>
                <w:sz w:val="24"/>
              </w:rPr>
              <w:t>，周边皆为</w:t>
            </w:r>
            <w:r>
              <w:rPr>
                <w:kern w:val="0"/>
                <w:sz w:val="24"/>
              </w:rPr>
              <w:t>资源循环利用项目工业企业</w:t>
            </w:r>
            <w:r>
              <w:rPr>
                <w:sz w:val="24"/>
              </w:rPr>
              <w:t>，周边50m范围内无特殊敏感点，根据建设项目环境影响报告表编制技术指南（污染类）（试行），本项目建设区厂界外周边50米范围内皆已搬迁，无噪声敏感点，故未对周边环境噪声进行监测。</w:t>
            </w:r>
          </w:p>
          <w:p>
            <w:pPr>
              <w:spacing w:before="120" w:after="120" w:line="360" w:lineRule="auto"/>
              <w:rPr>
                <w:b/>
                <w:sz w:val="24"/>
              </w:rPr>
            </w:pPr>
            <w:r>
              <w:rPr>
                <w:b/>
                <w:sz w:val="24"/>
              </w:rPr>
              <w:t>四、地下水环境质量</w:t>
            </w:r>
          </w:p>
          <w:p>
            <w:pPr>
              <w:adjustRightInd w:val="0"/>
              <w:snapToGrid w:val="0"/>
              <w:spacing w:line="480" w:lineRule="exact"/>
              <w:ind w:right="89" w:rightChars="37" w:firstLine="480" w:firstLineChars="200"/>
              <w:rPr>
                <w:sz w:val="24"/>
              </w:rPr>
            </w:pPr>
            <w:r>
              <w:rPr>
                <w:sz w:val="24"/>
              </w:rPr>
              <w:t>根据</w:t>
            </w:r>
            <w:r>
              <w:rPr>
                <w:kern w:val="0"/>
                <w:sz w:val="24"/>
              </w:rPr>
              <w:t>《建设项目环境影响报告表编制技术指南》（污染影响类）（试行）地下水原则上不开展环境质量现状调查。建设项目存在地下水污染途径的，应结合污染源、保护目标分布情况开展现状调查以留作背景值。本项目循环水池、危险废物等存在泄露风险，存在污染途径，</w:t>
            </w:r>
            <w:r>
              <w:rPr>
                <w:sz w:val="24"/>
              </w:rPr>
              <w:t>根据项目实际情况，引用项目周边紧邻建设项目——光大环保能源（乐山）有限公司地下水监测数据对项目周边地下水环境情况进行评价（报告编号：A2210156434151001Ca）。本项目所在区域地下水环境质量现状情况见表3-3。</w:t>
            </w:r>
          </w:p>
          <w:p>
            <w:pPr>
              <w:adjustRightInd w:val="0"/>
              <w:snapToGrid w:val="0"/>
              <w:spacing w:line="480" w:lineRule="exact"/>
              <w:ind w:right="89" w:rightChars="37" w:firstLine="480" w:firstLineChars="200"/>
              <w:jc w:val="center"/>
              <w:rPr>
                <w:sz w:val="24"/>
              </w:rPr>
            </w:pPr>
            <w:r>
              <w:rPr>
                <w:sz w:val="24"/>
              </w:rPr>
              <w:t>表3-3 引用地下水监测结果（单位：mg/L）</w:t>
            </w:r>
          </w:p>
          <w:tbl>
            <w:tblPr>
              <w:tblStyle w:val="3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0"/>
              <w:gridCol w:w="1666"/>
              <w:gridCol w:w="1622"/>
              <w:gridCol w:w="1622"/>
              <w:gridCol w:w="19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82" w:type="dxa"/>
                  <w:vMerge w:val="restart"/>
                  <w:vAlign w:val="center"/>
                </w:tcPr>
                <w:p>
                  <w:pPr>
                    <w:spacing w:before="120" w:after="120"/>
                    <w:jc w:val="center"/>
                  </w:pPr>
                  <w:r>
                    <w:t>检测项目</w:t>
                  </w:r>
                </w:p>
              </w:tc>
              <w:tc>
                <w:tcPr>
                  <w:tcW w:w="4958" w:type="dxa"/>
                  <w:gridSpan w:val="3"/>
                  <w:vAlign w:val="center"/>
                </w:tcPr>
                <w:p>
                  <w:pPr>
                    <w:spacing w:before="120" w:after="120"/>
                    <w:jc w:val="center"/>
                  </w:pPr>
                  <w:r>
                    <w:t>结果</w:t>
                  </w:r>
                </w:p>
              </w:tc>
              <w:tc>
                <w:tcPr>
                  <w:tcW w:w="1636" w:type="dxa"/>
                  <w:vMerge w:val="restart"/>
                  <w:vAlign w:val="center"/>
                </w:tcPr>
                <w:p>
                  <w:pPr>
                    <w:spacing w:before="120" w:after="120"/>
                    <w:jc w:val="center"/>
                  </w:pPr>
                  <w:r>
                    <w:t>地下水质量标准GB/T14848-2017表1Ⅲ类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82" w:type="dxa"/>
                  <w:vMerge w:val="continue"/>
                  <w:vAlign w:val="center"/>
                </w:tcPr>
                <w:p>
                  <w:pPr>
                    <w:spacing w:before="120" w:after="120"/>
                    <w:jc w:val="center"/>
                  </w:pPr>
                </w:p>
              </w:tc>
              <w:tc>
                <w:tcPr>
                  <w:tcW w:w="1688" w:type="dxa"/>
                  <w:vAlign w:val="center"/>
                </w:tcPr>
                <w:p>
                  <w:pPr>
                    <w:spacing w:before="120" w:after="120"/>
                    <w:jc w:val="center"/>
                  </w:pPr>
                  <w:r>
                    <w:t>3#地下水监测井</w:t>
                  </w:r>
                </w:p>
              </w:tc>
              <w:tc>
                <w:tcPr>
                  <w:tcW w:w="1635" w:type="dxa"/>
                  <w:vAlign w:val="center"/>
                </w:tcPr>
                <w:p>
                  <w:pPr>
                    <w:spacing w:before="120" w:after="120"/>
                    <w:jc w:val="center"/>
                  </w:pPr>
                  <w:r>
                    <w:t>1#地下水监测井</w:t>
                  </w:r>
                </w:p>
              </w:tc>
              <w:tc>
                <w:tcPr>
                  <w:tcW w:w="1635" w:type="dxa"/>
                  <w:vAlign w:val="center"/>
                </w:tcPr>
                <w:p>
                  <w:pPr>
                    <w:spacing w:before="120" w:after="120"/>
                    <w:jc w:val="center"/>
                  </w:pPr>
                  <w:r>
                    <w:t>2#地下水监测井</w:t>
                  </w:r>
                </w:p>
              </w:tc>
              <w:tc>
                <w:tcPr>
                  <w:tcW w:w="1636" w:type="dxa"/>
                  <w:vMerge w:val="continue"/>
                  <w:vAlign w:val="center"/>
                </w:tcPr>
                <w:p>
                  <w:pPr>
                    <w:spacing w:before="120" w:after="120"/>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82" w:type="dxa"/>
                  <w:vMerge w:val="continue"/>
                  <w:vAlign w:val="center"/>
                </w:tcPr>
                <w:p>
                  <w:pPr>
                    <w:spacing w:before="120" w:after="120"/>
                    <w:jc w:val="center"/>
                  </w:pPr>
                </w:p>
              </w:tc>
              <w:tc>
                <w:tcPr>
                  <w:tcW w:w="1688" w:type="dxa"/>
                  <w:vAlign w:val="center"/>
                </w:tcPr>
                <w:p>
                  <w:pPr>
                    <w:spacing w:before="120" w:after="120"/>
                    <w:jc w:val="center"/>
                  </w:pPr>
                  <w:r>
                    <w:t>103.870835°E</w:t>
                  </w:r>
                </w:p>
                <w:p>
                  <w:pPr>
                    <w:spacing w:before="120" w:after="120"/>
                    <w:jc w:val="center"/>
                  </w:pPr>
                  <w:r>
                    <w:t>29.5779260°N</w:t>
                  </w:r>
                </w:p>
              </w:tc>
              <w:tc>
                <w:tcPr>
                  <w:tcW w:w="1635" w:type="dxa"/>
                  <w:vAlign w:val="center"/>
                </w:tcPr>
                <w:p>
                  <w:pPr>
                    <w:spacing w:before="120" w:after="120"/>
                    <w:jc w:val="center"/>
                  </w:pPr>
                  <w:r>
                    <w:t>103.867759°E</w:t>
                  </w:r>
                </w:p>
                <w:p>
                  <w:pPr>
                    <w:spacing w:before="120" w:after="120"/>
                    <w:jc w:val="center"/>
                  </w:pPr>
                  <w:r>
                    <w:t>29.578387°N</w:t>
                  </w:r>
                </w:p>
              </w:tc>
              <w:tc>
                <w:tcPr>
                  <w:tcW w:w="1635" w:type="dxa"/>
                  <w:vAlign w:val="center"/>
                </w:tcPr>
                <w:p>
                  <w:pPr>
                    <w:spacing w:before="120" w:after="120"/>
                    <w:jc w:val="center"/>
                  </w:pPr>
                  <w:r>
                    <w:t>103.869553°E</w:t>
                  </w:r>
                </w:p>
                <w:p>
                  <w:pPr>
                    <w:spacing w:before="120" w:after="120"/>
                    <w:jc w:val="center"/>
                  </w:pPr>
                  <w:r>
                    <w:t>29.578457°N</w:t>
                  </w:r>
                </w:p>
              </w:tc>
              <w:tc>
                <w:tcPr>
                  <w:tcW w:w="1636" w:type="dxa"/>
                  <w:vMerge w:val="continue"/>
                  <w:vAlign w:val="center"/>
                </w:tcPr>
                <w:p>
                  <w:pPr>
                    <w:spacing w:before="120" w:after="120"/>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82" w:type="dxa"/>
                  <w:vMerge w:val="continue"/>
                  <w:vAlign w:val="center"/>
                </w:tcPr>
                <w:p>
                  <w:pPr>
                    <w:spacing w:before="120" w:after="120"/>
                    <w:jc w:val="center"/>
                  </w:pPr>
                </w:p>
              </w:tc>
              <w:tc>
                <w:tcPr>
                  <w:tcW w:w="1688" w:type="dxa"/>
                  <w:vAlign w:val="center"/>
                </w:tcPr>
                <w:p>
                  <w:pPr>
                    <w:spacing w:before="120" w:after="120"/>
                    <w:jc w:val="center"/>
                  </w:pPr>
                  <w:r>
                    <w:t>2021.11.18 09:12</w:t>
                  </w:r>
                </w:p>
              </w:tc>
              <w:tc>
                <w:tcPr>
                  <w:tcW w:w="1635" w:type="dxa"/>
                  <w:vAlign w:val="center"/>
                </w:tcPr>
                <w:p>
                  <w:pPr>
                    <w:spacing w:before="120" w:after="120"/>
                    <w:jc w:val="center"/>
                  </w:pPr>
                  <w:r>
                    <w:t>2021.11.18 11:11</w:t>
                  </w:r>
                </w:p>
              </w:tc>
              <w:tc>
                <w:tcPr>
                  <w:tcW w:w="1635" w:type="dxa"/>
                  <w:vAlign w:val="center"/>
                </w:tcPr>
                <w:p>
                  <w:pPr>
                    <w:spacing w:before="120" w:after="120"/>
                    <w:jc w:val="center"/>
                  </w:pPr>
                  <w:r>
                    <w:t>2021.11.18 12:28</w:t>
                  </w:r>
                </w:p>
              </w:tc>
              <w:tc>
                <w:tcPr>
                  <w:tcW w:w="1636" w:type="dxa"/>
                  <w:vMerge w:val="continue"/>
                  <w:vAlign w:val="center"/>
                </w:tcPr>
                <w:p>
                  <w:pPr>
                    <w:spacing w:before="120" w:after="120"/>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82" w:type="dxa"/>
                  <w:vMerge w:val="continue"/>
                  <w:vAlign w:val="center"/>
                </w:tcPr>
                <w:p>
                  <w:pPr>
                    <w:spacing w:before="120" w:after="120"/>
                    <w:jc w:val="center"/>
                  </w:pPr>
                </w:p>
              </w:tc>
              <w:tc>
                <w:tcPr>
                  <w:tcW w:w="1688" w:type="dxa"/>
                  <w:vAlign w:val="center"/>
                </w:tcPr>
                <w:p>
                  <w:pPr>
                    <w:spacing w:before="120" w:after="120"/>
                    <w:jc w:val="center"/>
                  </w:pPr>
                  <w:r>
                    <w:t>无色、透明、无异味</w:t>
                  </w:r>
                </w:p>
              </w:tc>
              <w:tc>
                <w:tcPr>
                  <w:tcW w:w="1635" w:type="dxa"/>
                  <w:vAlign w:val="center"/>
                </w:tcPr>
                <w:p>
                  <w:pPr>
                    <w:spacing w:before="120" w:after="120"/>
                    <w:jc w:val="center"/>
                  </w:pPr>
                  <w:r>
                    <w:t>无色、透明、无异味</w:t>
                  </w:r>
                </w:p>
              </w:tc>
              <w:tc>
                <w:tcPr>
                  <w:tcW w:w="1635" w:type="dxa"/>
                  <w:vAlign w:val="center"/>
                </w:tcPr>
                <w:p>
                  <w:pPr>
                    <w:spacing w:before="120" w:after="120"/>
                    <w:jc w:val="center"/>
                  </w:pPr>
                  <w:r>
                    <w:t>无色、透明、无异味</w:t>
                  </w:r>
                </w:p>
              </w:tc>
              <w:tc>
                <w:tcPr>
                  <w:tcW w:w="1636" w:type="dxa"/>
                  <w:vMerge w:val="continue"/>
                  <w:vAlign w:val="center"/>
                </w:tcPr>
                <w:p>
                  <w:pPr>
                    <w:spacing w:before="120" w:after="120"/>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82" w:type="dxa"/>
                  <w:vAlign w:val="center"/>
                </w:tcPr>
                <w:p>
                  <w:pPr>
                    <w:spacing w:before="120" w:after="120"/>
                    <w:jc w:val="center"/>
                  </w:pPr>
                  <w:r>
                    <w:t>pH（无量纲）</w:t>
                  </w:r>
                </w:p>
              </w:tc>
              <w:tc>
                <w:tcPr>
                  <w:tcW w:w="1688" w:type="dxa"/>
                  <w:vAlign w:val="center"/>
                </w:tcPr>
                <w:p>
                  <w:pPr>
                    <w:spacing w:before="120" w:after="120"/>
                    <w:jc w:val="center"/>
                  </w:pPr>
                  <w:r>
                    <w:t>7.1</w:t>
                  </w:r>
                </w:p>
              </w:tc>
              <w:tc>
                <w:tcPr>
                  <w:tcW w:w="1635" w:type="dxa"/>
                  <w:vAlign w:val="center"/>
                </w:tcPr>
                <w:p>
                  <w:pPr>
                    <w:spacing w:before="120" w:after="120"/>
                    <w:jc w:val="center"/>
                  </w:pPr>
                  <w:r>
                    <w:t>7.2</w:t>
                  </w:r>
                </w:p>
              </w:tc>
              <w:tc>
                <w:tcPr>
                  <w:tcW w:w="1635" w:type="dxa"/>
                  <w:vAlign w:val="center"/>
                </w:tcPr>
                <w:p>
                  <w:pPr>
                    <w:spacing w:before="120" w:after="120"/>
                    <w:jc w:val="center"/>
                  </w:pPr>
                  <w:r>
                    <w:t>7.2</w:t>
                  </w:r>
                </w:p>
              </w:tc>
              <w:tc>
                <w:tcPr>
                  <w:tcW w:w="1636" w:type="dxa"/>
                  <w:vAlign w:val="center"/>
                </w:tcPr>
                <w:p>
                  <w:pPr>
                    <w:spacing w:before="120" w:after="120"/>
                    <w:jc w:val="center"/>
                  </w:pPr>
                  <w:r>
                    <w:t>6.5≤pH≤8.5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82" w:type="dxa"/>
                  <w:vAlign w:val="center"/>
                </w:tcPr>
                <w:p>
                  <w:pPr>
                    <w:spacing w:before="120" w:after="120"/>
                    <w:jc w:val="center"/>
                  </w:pPr>
                  <w:r>
                    <w:t>色度（度）</w:t>
                  </w:r>
                </w:p>
              </w:tc>
              <w:tc>
                <w:tcPr>
                  <w:tcW w:w="1688"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82" w:type="dxa"/>
                  <w:vAlign w:val="center"/>
                </w:tcPr>
                <w:p>
                  <w:pPr>
                    <w:spacing w:before="120" w:after="120"/>
                    <w:jc w:val="center"/>
                  </w:pPr>
                  <w:r>
                    <w:t>总硬度(以CaCO</w:t>
                  </w:r>
                  <w:r>
                    <w:rPr>
                      <w:vertAlign w:val="subscript"/>
                    </w:rPr>
                    <w:t>3</w:t>
                  </w:r>
                  <w:r>
                    <w:t>计)</w:t>
                  </w:r>
                </w:p>
              </w:tc>
              <w:tc>
                <w:tcPr>
                  <w:tcW w:w="1688" w:type="dxa"/>
                  <w:vAlign w:val="center"/>
                </w:tcPr>
                <w:p>
                  <w:pPr>
                    <w:spacing w:before="120" w:after="120"/>
                    <w:jc w:val="center"/>
                  </w:pPr>
                  <w:r>
                    <w:t>359</w:t>
                  </w:r>
                </w:p>
              </w:tc>
              <w:tc>
                <w:tcPr>
                  <w:tcW w:w="1635" w:type="dxa"/>
                  <w:vAlign w:val="center"/>
                </w:tcPr>
                <w:p>
                  <w:pPr>
                    <w:spacing w:before="120" w:after="120"/>
                    <w:jc w:val="center"/>
                  </w:pPr>
                  <w:r>
                    <w:t>315</w:t>
                  </w:r>
                </w:p>
              </w:tc>
              <w:tc>
                <w:tcPr>
                  <w:tcW w:w="1635" w:type="dxa"/>
                  <w:vAlign w:val="center"/>
                </w:tcPr>
                <w:p>
                  <w:pPr>
                    <w:spacing w:before="120" w:after="120"/>
                    <w:jc w:val="center"/>
                  </w:pPr>
                  <w:r>
                    <w:t>275</w:t>
                  </w:r>
                </w:p>
              </w:tc>
              <w:tc>
                <w:tcPr>
                  <w:tcW w:w="1636" w:type="dxa"/>
                  <w:vAlign w:val="center"/>
                </w:tcPr>
                <w:p>
                  <w:pPr>
                    <w:spacing w:before="120" w:after="120"/>
                    <w:jc w:val="center"/>
                  </w:pPr>
                  <w:r>
                    <w:t>≤450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82" w:type="dxa"/>
                  <w:vAlign w:val="center"/>
                </w:tcPr>
                <w:p>
                  <w:pPr>
                    <w:spacing w:before="120" w:after="120"/>
                    <w:jc w:val="center"/>
                  </w:pPr>
                  <w:r>
                    <w:t>溶解性总固体</w:t>
                  </w:r>
                </w:p>
              </w:tc>
              <w:tc>
                <w:tcPr>
                  <w:tcW w:w="1688" w:type="dxa"/>
                  <w:vAlign w:val="center"/>
                </w:tcPr>
                <w:p>
                  <w:pPr>
                    <w:spacing w:before="120" w:after="120"/>
                    <w:jc w:val="center"/>
                  </w:pPr>
                  <w:r>
                    <w:t>511</w:t>
                  </w:r>
                </w:p>
              </w:tc>
              <w:tc>
                <w:tcPr>
                  <w:tcW w:w="1635" w:type="dxa"/>
                  <w:vAlign w:val="center"/>
                </w:tcPr>
                <w:p>
                  <w:pPr>
                    <w:spacing w:before="120" w:after="120"/>
                    <w:jc w:val="center"/>
                  </w:pPr>
                  <w:r>
                    <w:t>437</w:t>
                  </w:r>
                </w:p>
              </w:tc>
              <w:tc>
                <w:tcPr>
                  <w:tcW w:w="1635" w:type="dxa"/>
                  <w:vAlign w:val="center"/>
                </w:tcPr>
                <w:p>
                  <w:pPr>
                    <w:spacing w:before="120" w:after="120"/>
                    <w:jc w:val="center"/>
                  </w:pPr>
                  <w:r>
                    <w:t>252</w:t>
                  </w:r>
                </w:p>
              </w:tc>
              <w:tc>
                <w:tcPr>
                  <w:tcW w:w="1636" w:type="dxa"/>
                  <w:vAlign w:val="center"/>
                </w:tcPr>
                <w:p>
                  <w:pPr>
                    <w:spacing w:before="120" w:after="120"/>
                    <w:jc w:val="center"/>
                  </w:pPr>
                  <w:r>
                    <w:t>≤1000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82" w:type="dxa"/>
                  <w:vAlign w:val="center"/>
                </w:tcPr>
                <w:p>
                  <w:pPr>
                    <w:spacing w:before="120" w:after="120"/>
                    <w:jc w:val="center"/>
                  </w:pPr>
                  <w:r>
                    <w:t>氨氮</w:t>
                  </w:r>
                </w:p>
              </w:tc>
              <w:tc>
                <w:tcPr>
                  <w:tcW w:w="1688" w:type="dxa"/>
                  <w:vAlign w:val="center"/>
                </w:tcPr>
                <w:p>
                  <w:pPr>
                    <w:spacing w:before="120" w:after="120"/>
                    <w:jc w:val="center"/>
                  </w:pPr>
                  <w:r>
                    <w:t>0.064</w:t>
                  </w:r>
                </w:p>
              </w:tc>
              <w:tc>
                <w:tcPr>
                  <w:tcW w:w="1635" w:type="dxa"/>
                  <w:vAlign w:val="center"/>
                </w:tcPr>
                <w:p>
                  <w:pPr>
                    <w:spacing w:before="120" w:after="120"/>
                    <w:jc w:val="center"/>
                  </w:pPr>
                  <w:r>
                    <w:t>0.060</w:t>
                  </w:r>
                </w:p>
              </w:tc>
              <w:tc>
                <w:tcPr>
                  <w:tcW w:w="1635" w:type="dxa"/>
                  <w:vAlign w:val="center"/>
                </w:tcPr>
                <w:p>
                  <w:pPr>
                    <w:spacing w:before="120" w:after="120"/>
                    <w:jc w:val="center"/>
                  </w:pPr>
                  <w:r>
                    <w:t>0.060</w:t>
                  </w:r>
                </w:p>
              </w:tc>
              <w:tc>
                <w:tcPr>
                  <w:tcW w:w="1636" w:type="dxa"/>
                  <w:vAlign w:val="center"/>
                </w:tcPr>
                <w:p>
                  <w:pPr>
                    <w:spacing w:before="120" w:after="120"/>
                    <w:jc w:val="center"/>
                  </w:pPr>
                  <w:r>
                    <w:t>≤0.50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82" w:type="dxa"/>
                  <w:vAlign w:val="center"/>
                </w:tcPr>
                <w:p>
                  <w:pPr>
                    <w:spacing w:before="120" w:after="120"/>
                    <w:jc w:val="center"/>
                  </w:pPr>
                  <w:r>
                    <w:t>亚硝酸盐(以N计）</w:t>
                  </w:r>
                </w:p>
              </w:tc>
              <w:tc>
                <w:tcPr>
                  <w:tcW w:w="1688"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82" w:type="dxa"/>
                  <w:vAlign w:val="center"/>
                </w:tcPr>
                <w:p>
                  <w:pPr>
                    <w:spacing w:before="120" w:after="120"/>
                    <w:jc w:val="center"/>
                  </w:pPr>
                  <w:r>
                    <w:t>耗氧量(COD</w:t>
                  </w:r>
                  <w:r>
                    <w:rPr>
                      <w:vertAlign w:val="subscript"/>
                    </w:rPr>
                    <w:t>Mn</w:t>
                  </w:r>
                  <w:r>
                    <w:t>法，以O</w:t>
                  </w:r>
                  <w:r>
                    <w:rPr>
                      <w:vertAlign w:val="subscript"/>
                    </w:rPr>
                    <w:t>2</w:t>
                  </w:r>
                  <w:r>
                    <w:t>计)</w:t>
                  </w:r>
                </w:p>
              </w:tc>
              <w:tc>
                <w:tcPr>
                  <w:tcW w:w="1688" w:type="dxa"/>
                  <w:vAlign w:val="center"/>
                </w:tcPr>
                <w:p>
                  <w:pPr>
                    <w:spacing w:before="120" w:after="120"/>
                    <w:jc w:val="center"/>
                  </w:pPr>
                  <w:r>
                    <w:t>0.6</w:t>
                  </w:r>
                </w:p>
              </w:tc>
              <w:tc>
                <w:tcPr>
                  <w:tcW w:w="1635" w:type="dxa"/>
                  <w:vAlign w:val="center"/>
                </w:tcPr>
                <w:p>
                  <w:pPr>
                    <w:spacing w:before="120" w:after="120"/>
                    <w:jc w:val="center"/>
                  </w:pPr>
                  <w:r>
                    <w:t>0.7</w:t>
                  </w:r>
                </w:p>
              </w:tc>
              <w:tc>
                <w:tcPr>
                  <w:tcW w:w="1635" w:type="dxa"/>
                  <w:vAlign w:val="center"/>
                </w:tcPr>
                <w:p>
                  <w:pPr>
                    <w:spacing w:before="120" w:after="120"/>
                    <w:jc w:val="center"/>
                  </w:pPr>
                  <w:r>
                    <w:t>ND</w:t>
                  </w:r>
                </w:p>
              </w:tc>
              <w:tc>
                <w:tcPr>
                  <w:tcW w:w="1636" w:type="dxa"/>
                  <w:vAlign w:val="center"/>
                </w:tcPr>
                <w:p>
                  <w:pPr>
                    <w:spacing w:before="120" w:after="120"/>
                    <w:jc w:val="center"/>
                  </w:pPr>
                  <w: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82" w:type="dxa"/>
                  <w:vAlign w:val="center"/>
                </w:tcPr>
                <w:p>
                  <w:pPr>
                    <w:spacing w:before="120" w:after="120"/>
                    <w:jc w:val="center"/>
                  </w:pPr>
                  <w:r>
                    <w:t>氟化物</w:t>
                  </w:r>
                </w:p>
              </w:tc>
              <w:tc>
                <w:tcPr>
                  <w:tcW w:w="1688" w:type="dxa"/>
                  <w:vAlign w:val="center"/>
                </w:tcPr>
                <w:p>
                  <w:pPr>
                    <w:spacing w:before="120" w:after="120"/>
                    <w:jc w:val="center"/>
                  </w:pPr>
                  <w:r>
                    <w:t>0.129</w:t>
                  </w:r>
                </w:p>
              </w:tc>
              <w:tc>
                <w:tcPr>
                  <w:tcW w:w="1635" w:type="dxa"/>
                  <w:vAlign w:val="center"/>
                </w:tcPr>
                <w:p>
                  <w:pPr>
                    <w:spacing w:before="120" w:after="120"/>
                    <w:jc w:val="center"/>
                  </w:pPr>
                  <w:r>
                    <w:t>0.068</w:t>
                  </w:r>
                </w:p>
              </w:tc>
              <w:tc>
                <w:tcPr>
                  <w:tcW w:w="1635" w:type="dxa"/>
                  <w:vAlign w:val="center"/>
                </w:tcPr>
                <w:p>
                  <w:pPr>
                    <w:spacing w:before="120" w:after="120"/>
                    <w:jc w:val="center"/>
                  </w:pPr>
                  <w:r>
                    <w:t>0.042</w:t>
                  </w:r>
                </w:p>
              </w:tc>
              <w:tc>
                <w:tcPr>
                  <w:tcW w:w="1636" w:type="dxa"/>
                  <w:vAlign w:val="center"/>
                </w:tcPr>
                <w:p>
                  <w:pPr>
                    <w:spacing w:before="120" w:after="120"/>
                    <w:jc w:val="center"/>
                  </w:pPr>
                  <w: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82" w:type="dxa"/>
                  <w:vAlign w:val="center"/>
                </w:tcPr>
                <w:p>
                  <w:pPr>
                    <w:spacing w:before="120" w:after="120"/>
                    <w:jc w:val="center"/>
                  </w:pPr>
                  <w:r>
                    <w:t xml:space="preserve">硝酸盐(以N计) </w:t>
                  </w:r>
                </w:p>
              </w:tc>
              <w:tc>
                <w:tcPr>
                  <w:tcW w:w="1688" w:type="dxa"/>
                  <w:vAlign w:val="center"/>
                </w:tcPr>
                <w:p>
                  <w:pPr>
                    <w:spacing w:before="120" w:after="120"/>
                    <w:jc w:val="center"/>
                  </w:pPr>
                  <w:r>
                    <w:t>4.27</w:t>
                  </w:r>
                </w:p>
              </w:tc>
              <w:tc>
                <w:tcPr>
                  <w:tcW w:w="1635" w:type="dxa"/>
                  <w:vAlign w:val="center"/>
                </w:tcPr>
                <w:p>
                  <w:pPr>
                    <w:spacing w:before="120" w:after="120"/>
                    <w:jc w:val="center"/>
                  </w:pPr>
                  <w:r>
                    <w:t>2.13</w:t>
                  </w:r>
                </w:p>
              </w:tc>
              <w:tc>
                <w:tcPr>
                  <w:tcW w:w="1635" w:type="dxa"/>
                  <w:vAlign w:val="center"/>
                </w:tcPr>
                <w:p>
                  <w:pPr>
                    <w:spacing w:before="120" w:after="120"/>
                    <w:jc w:val="center"/>
                  </w:pPr>
                  <w:r>
                    <w:t>1.94</w:t>
                  </w:r>
                </w:p>
              </w:tc>
              <w:tc>
                <w:tcPr>
                  <w:tcW w:w="1636" w:type="dxa"/>
                  <w:vAlign w:val="center"/>
                </w:tcPr>
                <w:p>
                  <w:pPr>
                    <w:spacing w:before="120" w:after="120"/>
                    <w:jc w:val="center"/>
                  </w:pPr>
                  <w: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82" w:type="dxa"/>
                  <w:vAlign w:val="center"/>
                </w:tcPr>
                <w:p>
                  <w:pPr>
                    <w:spacing w:before="120" w:after="120"/>
                    <w:jc w:val="center"/>
                  </w:pPr>
                  <w:r>
                    <w:t>挥发酚</w:t>
                  </w:r>
                </w:p>
              </w:tc>
              <w:tc>
                <w:tcPr>
                  <w:tcW w:w="1688"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≤0.002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82" w:type="dxa"/>
                  <w:vAlign w:val="center"/>
                </w:tcPr>
                <w:p>
                  <w:pPr>
                    <w:spacing w:before="120" w:after="120"/>
                    <w:jc w:val="center"/>
                  </w:pPr>
                  <w:r>
                    <w:t>氰化物</w:t>
                  </w:r>
                </w:p>
              </w:tc>
              <w:tc>
                <w:tcPr>
                  <w:tcW w:w="1688"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82" w:type="dxa"/>
                  <w:vAlign w:val="center"/>
                </w:tcPr>
                <w:p>
                  <w:pPr>
                    <w:spacing w:before="120" w:after="120"/>
                    <w:jc w:val="center"/>
                  </w:pPr>
                  <w:r>
                    <w:t>砷</w:t>
                  </w:r>
                </w:p>
              </w:tc>
              <w:tc>
                <w:tcPr>
                  <w:tcW w:w="1688" w:type="dxa"/>
                  <w:vAlign w:val="center"/>
                </w:tcPr>
                <w:p>
                  <w:pPr>
                    <w:spacing w:before="120" w:after="120"/>
                    <w:jc w:val="center"/>
                  </w:pPr>
                  <w:r>
                    <w:t>0.00034</w:t>
                  </w:r>
                </w:p>
              </w:tc>
              <w:tc>
                <w:tcPr>
                  <w:tcW w:w="1635" w:type="dxa"/>
                  <w:vAlign w:val="center"/>
                </w:tcPr>
                <w:p>
                  <w:pPr>
                    <w:spacing w:before="120" w:after="120"/>
                    <w:jc w:val="center"/>
                  </w:pPr>
                  <w:r>
                    <w:t>0.00042</w:t>
                  </w:r>
                </w:p>
              </w:tc>
              <w:tc>
                <w:tcPr>
                  <w:tcW w:w="1635" w:type="dxa"/>
                  <w:vAlign w:val="center"/>
                </w:tcPr>
                <w:p>
                  <w:pPr>
                    <w:spacing w:before="120" w:after="120"/>
                    <w:jc w:val="center"/>
                  </w:pPr>
                  <w:r>
                    <w:t>0.00041</w:t>
                  </w:r>
                </w:p>
              </w:tc>
              <w:tc>
                <w:tcPr>
                  <w:tcW w:w="1636" w:type="dxa"/>
                  <w:vAlign w:val="center"/>
                </w:tcPr>
                <w:p>
                  <w:pPr>
                    <w:spacing w:before="120" w:after="120"/>
                    <w:jc w:val="center"/>
                  </w:pPr>
                  <w: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82" w:type="dxa"/>
                  <w:vAlign w:val="center"/>
                </w:tcPr>
                <w:p>
                  <w:pPr>
                    <w:spacing w:before="120" w:after="120"/>
                    <w:jc w:val="center"/>
                  </w:pPr>
                  <w:r>
                    <w:t>镉</w:t>
                  </w:r>
                </w:p>
              </w:tc>
              <w:tc>
                <w:tcPr>
                  <w:tcW w:w="1688"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≤0.005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82" w:type="dxa"/>
                  <w:vAlign w:val="center"/>
                </w:tcPr>
                <w:p>
                  <w:pPr>
                    <w:spacing w:before="120" w:after="120"/>
                    <w:jc w:val="center"/>
                  </w:pPr>
                  <w:r>
                    <w:t>铁</w:t>
                  </w:r>
                </w:p>
              </w:tc>
              <w:tc>
                <w:tcPr>
                  <w:tcW w:w="1688" w:type="dxa"/>
                  <w:vAlign w:val="center"/>
                </w:tcPr>
                <w:p>
                  <w:pPr>
                    <w:spacing w:before="120" w:after="120"/>
                    <w:jc w:val="center"/>
                  </w:pPr>
                  <w:r>
                    <w:t>0.0363</w:t>
                  </w:r>
                </w:p>
              </w:tc>
              <w:tc>
                <w:tcPr>
                  <w:tcW w:w="1635" w:type="dxa"/>
                  <w:vAlign w:val="center"/>
                </w:tcPr>
                <w:p>
                  <w:pPr>
                    <w:spacing w:before="120" w:after="120"/>
                    <w:jc w:val="center"/>
                  </w:pPr>
                  <w:r>
                    <w:t>0.0402</w:t>
                  </w:r>
                </w:p>
              </w:tc>
              <w:tc>
                <w:tcPr>
                  <w:tcW w:w="1635" w:type="dxa"/>
                  <w:vAlign w:val="center"/>
                </w:tcPr>
                <w:p>
                  <w:pPr>
                    <w:spacing w:before="120" w:after="120"/>
                    <w:jc w:val="center"/>
                  </w:pPr>
                  <w:r>
                    <w:t>0.0290</w:t>
                  </w:r>
                </w:p>
              </w:tc>
              <w:tc>
                <w:tcPr>
                  <w:tcW w:w="1636" w:type="dxa"/>
                  <w:vAlign w:val="center"/>
                </w:tcPr>
                <w:p>
                  <w:pPr>
                    <w:spacing w:before="120" w:after="120"/>
                    <w:jc w:val="center"/>
                  </w:pPr>
                  <w: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82" w:type="dxa"/>
                  <w:vAlign w:val="center"/>
                </w:tcPr>
                <w:p>
                  <w:pPr>
                    <w:spacing w:before="120" w:after="120"/>
                    <w:jc w:val="center"/>
                  </w:pPr>
                  <w:r>
                    <w:t>锰</w:t>
                  </w:r>
                </w:p>
              </w:tc>
              <w:tc>
                <w:tcPr>
                  <w:tcW w:w="1688"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≤0.10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82" w:type="dxa"/>
                  <w:vAlign w:val="center"/>
                </w:tcPr>
                <w:p>
                  <w:pPr>
                    <w:spacing w:before="120" w:after="120"/>
                    <w:jc w:val="center"/>
                  </w:pPr>
                  <w:r>
                    <w:t>汞</w:t>
                  </w:r>
                </w:p>
              </w:tc>
              <w:tc>
                <w:tcPr>
                  <w:tcW w:w="1688"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82" w:type="dxa"/>
                  <w:vAlign w:val="center"/>
                </w:tcPr>
                <w:p>
                  <w:pPr>
                    <w:spacing w:before="120" w:after="120"/>
                    <w:jc w:val="center"/>
                  </w:pPr>
                  <w:r>
                    <w:t>阴离子表面活性剂</w:t>
                  </w:r>
                </w:p>
              </w:tc>
              <w:tc>
                <w:tcPr>
                  <w:tcW w:w="1688"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82" w:type="dxa"/>
                  <w:vAlign w:val="center"/>
                </w:tcPr>
                <w:p>
                  <w:pPr>
                    <w:spacing w:before="120" w:after="120"/>
                    <w:jc w:val="center"/>
                  </w:pPr>
                  <w:r>
                    <w:t xml:space="preserve">化学需氧量( CODcr) </w:t>
                  </w:r>
                </w:p>
              </w:tc>
              <w:tc>
                <w:tcPr>
                  <w:tcW w:w="1688" w:type="dxa"/>
                  <w:vAlign w:val="center"/>
                </w:tcPr>
                <w:p>
                  <w:pPr>
                    <w:spacing w:before="120" w:after="120"/>
                    <w:jc w:val="center"/>
                  </w:pPr>
                  <w:r>
                    <w:t>ND</w:t>
                  </w:r>
                </w:p>
              </w:tc>
              <w:tc>
                <w:tcPr>
                  <w:tcW w:w="1635" w:type="dxa"/>
                  <w:vAlign w:val="center"/>
                </w:tcPr>
                <w:p>
                  <w:pPr>
                    <w:spacing w:before="120" w:after="120"/>
                    <w:jc w:val="center"/>
                  </w:pPr>
                  <w:r>
                    <w:t>6</w:t>
                  </w:r>
                </w:p>
              </w:tc>
              <w:tc>
                <w:tcPr>
                  <w:tcW w:w="1635" w:type="dxa"/>
                  <w:vAlign w:val="center"/>
                </w:tcPr>
                <w:p>
                  <w:pPr>
                    <w:spacing w:before="120" w:after="120"/>
                    <w:jc w:val="center"/>
                  </w:pPr>
                  <w:r>
                    <w:t>ND</w:t>
                  </w:r>
                </w:p>
              </w:tc>
              <w:tc>
                <w:tcPr>
                  <w:tcW w:w="1636" w:type="dxa"/>
                  <w:vAlign w:val="center"/>
                </w:tcPr>
                <w:p>
                  <w:pPr>
                    <w:spacing w:before="120" w:after="120"/>
                    <w:jc w:val="center"/>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82" w:type="dxa"/>
                  <w:vAlign w:val="center"/>
                </w:tcPr>
                <w:p>
                  <w:pPr>
                    <w:spacing w:before="120" w:after="120"/>
                    <w:jc w:val="center"/>
                  </w:pPr>
                  <w:r>
                    <w:t>五日生化需氧量（BOD</w:t>
                  </w:r>
                  <w:r>
                    <w:rPr>
                      <w:vertAlign w:val="subscript"/>
                    </w:rPr>
                    <w:t>5</w:t>
                  </w:r>
                  <w:r>
                    <w:t xml:space="preserve"> )</w:t>
                  </w:r>
                </w:p>
              </w:tc>
              <w:tc>
                <w:tcPr>
                  <w:tcW w:w="1688" w:type="dxa"/>
                  <w:vAlign w:val="center"/>
                </w:tcPr>
                <w:p>
                  <w:pPr>
                    <w:spacing w:before="120" w:after="120"/>
                    <w:jc w:val="center"/>
                  </w:pPr>
                  <w:r>
                    <w:t>1.0</w:t>
                  </w:r>
                </w:p>
              </w:tc>
              <w:tc>
                <w:tcPr>
                  <w:tcW w:w="1635" w:type="dxa"/>
                  <w:vAlign w:val="center"/>
                </w:tcPr>
                <w:p>
                  <w:pPr>
                    <w:spacing w:before="120" w:after="120"/>
                    <w:jc w:val="center"/>
                  </w:pPr>
                  <w:r>
                    <w:t>1.1</w:t>
                  </w:r>
                </w:p>
              </w:tc>
              <w:tc>
                <w:tcPr>
                  <w:tcW w:w="1635" w:type="dxa"/>
                  <w:vAlign w:val="center"/>
                </w:tcPr>
                <w:p>
                  <w:pPr>
                    <w:spacing w:before="120" w:after="120"/>
                    <w:jc w:val="center"/>
                  </w:pPr>
                  <w:r>
                    <w:t>0.9</w:t>
                  </w:r>
                </w:p>
              </w:tc>
              <w:tc>
                <w:tcPr>
                  <w:tcW w:w="1636" w:type="dxa"/>
                  <w:vAlign w:val="center"/>
                </w:tcPr>
                <w:p>
                  <w:pPr>
                    <w:spacing w:before="120" w:after="120"/>
                    <w:jc w:val="center"/>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82" w:type="dxa"/>
                  <w:vAlign w:val="center"/>
                </w:tcPr>
                <w:p>
                  <w:pPr>
                    <w:spacing w:before="120" w:after="120"/>
                    <w:jc w:val="center"/>
                  </w:pPr>
                  <w:r>
                    <w:t>六价铬</w:t>
                  </w:r>
                </w:p>
              </w:tc>
              <w:tc>
                <w:tcPr>
                  <w:tcW w:w="1688"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≤0.05</w:t>
                  </w:r>
                </w:p>
              </w:tc>
            </w:tr>
          </w:tbl>
          <w:p>
            <w:pPr>
              <w:spacing w:before="120" w:after="120" w:line="360" w:lineRule="auto"/>
              <w:ind w:firstLine="480" w:firstLineChars="200"/>
              <w:rPr>
                <w:sz w:val="24"/>
                <w:highlight w:val="yellow"/>
              </w:rPr>
            </w:pPr>
            <w:r>
              <w:rPr>
                <w:sz w:val="24"/>
              </w:rPr>
              <w:t>根据引用地下水监测结果显示，项目所在区域地下水所测因子均满足地下水质量标准GB/T14848-2017表1Ⅲ类标准限值，项目所在区域现状地下水质量良好。</w:t>
            </w:r>
          </w:p>
          <w:p>
            <w:pPr>
              <w:spacing w:before="120" w:after="120" w:line="360" w:lineRule="auto"/>
              <w:rPr>
                <w:b/>
                <w:sz w:val="24"/>
              </w:rPr>
            </w:pPr>
            <w:r>
              <w:rPr>
                <w:b/>
                <w:sz w:val="24"/>
              </w:rPr>
              <w:t>五、土壤环境质量</w:t>
            </w:r>
          </w:p>
          <w:p>
            <w:pPr>
              <w:adjustRightInd w:val="0"/>
              <w:snapToGrid w:val="0"/>
              <w:spacing w:line="360" w:lineRule="auto"/>
              <w:ind w:right="89" w:rightChars="37" w:firstLine="480" w:firstLineChars="200"/>
              <w:rPr>
                <w:sz w:val="24"/>
              </w:rPr>
            </w:pPr>
            <w:r>
              <w:rPr>
                <w:sz w:val="24"/>
              </w:rPr>
              <w:t>根据</w:t>
            </w:r>
            <w:r>
              <w:rPr>
                <w:kern w:val="0"/>
                <w:sz w:val="24"/>
              </w:rPr>
              <w:t>《建设项目环境影响报告表编制技术指南》（污染影响类）（试行）</w:t>
            </w:r>
            <w:r>
              <w:rPr>
                <w:sz w:val="24"/>
              </w:rPr>
              <w:t>土壤</w:t>
            </w:r>
            <w:r>
              <w:rPr>
                <w:kern w:val="0"/>
                <w:sz w:val="24"/>
              </w:rPr>
              <w:t>原则上不开展环境质量现状调查。建设项目存在</w:t>
            </w:r>
            <w:r>
              <w:rPr>
                <w:sz w:val="24"/>
              </w:rPr>
              <w:t>土壤</w:t>
            </w:r>
            <w:r>
              <w:rPr>
                <w:kern w:val="0"/>
                <w:sz w:val="24"/>
              </w:rPr>
              <w:t>污染途径的，应结合污染源、保护目标分布情况开展现状调查以留作背景值。本项目循环水池、危险废物等存在泄露风险，存在污染途径，</w:t>
            </w:r>
            <w:r>
              <w:rPr>
                <w:sz w:val="24"/>
              </w:rPr>
              <w:t>根据项目实际情况，引用项目紧邻的周边建设项目——光大环保能源（乐山）有限公司土壤监测数据对项目周边土壤环境情况进行评价（报告编号：A2210156434151003C）。本项目所在区域土壤环境质量现状情况见表3-4。</w:t>
            </w:r>
          </w:p>
          <w:p>
            <w:pPr>
              <w:adjustRightInd w:val="0"/>
              <w:snapToGrid w:val="0"/>
              <w:spacing w:line="480" w:lineRule="exact"/>
              <w:ind w:right="89" w:rightChars="37" w:firstLine="480" w:firstLineChars="200"/>
              <w:jc w:val="center"/>
              <w:rPr>
                <w:sz w:val="24"/>
              </w:rPr>
            </w:pPr>
            <w:r>
              <w:rPr>
                <w:sz w:val="24"/>
              </w:rPr>
              <w:t>表3-4 引用土壤现状监测报告（单位：mg/kg）</w:t>
            </w:r>
          </w:p>
          <w:tbl>
            <w:tblPr>
              <w:tblStyle w:val="3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3"/>
              <w:gridCol w:w="1599"/>
              <w:gridCol w:w="1635"/>
              <w:gridCol w:w="1635"/>
              <w:gridCol w:w="1636"/>
            </w:tblGrid>
            <w:tr>
              <w:tblPrEx>
                <w:tblCellMar>
                  <w:top w:w="0" w:type="dxa"/>
                  <w:left w:w="108" w:type="dxa"/>
                  <w:bottom w:w="0" w:type="dxa"/>
                  <w:right w:w="108" w:type="dxa"/>
                </w:tblCellMar>
              </w:tblPrEx>
              <w:tc>
                <w:tcPr>
                  <w:tcW w:w="1723" w:type="dxa"/>
                  <w:vMerge w:val="restart"/>
                  <w:vAlign w:val="center"/>
                </w:tcPr>
                <w:p>
                  <w:pPr>
                    <w:spacing w:before="120" w:after="120"/>
                    <w:jc w:val="center"/>
                  </w:pPr>
                  <w:r>
                    <w:t>检测项目</w:t>
                  </w:r>
                </w:p>
              </w:tc>
              <w:tc>
                <w:tcPr>
                  <w:tcW w:w="4817" w:type="dxa"/>
                  <w:gridSpan w:val="3"/>
                  <w:vAlign w:val="center"/>
                </w:tcPr>
                <w:p>
                  <w:pPr>
                    <w:spacing w:before="120" w:after="120"/>
                    <w:jc w:val="center"/>
                  </w:pPr>
                  <w:r>
                    <w:t>结果</w:t>
                  </w:r>
                </w:p>
              </w:tc>
              <w:tc>
                <w:tcPr>
                  <w:tcW w:w="1636" w:type="dxa"/>
                  <w:vMerge w:val="restart"/>
                  <w:vAlign w:val="center"/>
                </w:tcPr>
                <w:p>
                  <w:pPr>
                    <w:spacing w:before="120" w:after="120"/>
                    <w:jc w:val="center"/>
                  </w:pPr>
                  <w:r>
                    <w:t>土壤环境质量建设用地土壤污染风险管控标准（试行)GB 36600-2018表1筛选值第二类用地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vAlign w:val="center"/>
                </w:tcPr>
                <w:p>
                  <w:pPr>
                    <w:spacing w:before="120" w:after="120"/>
                    <w:jc w:val="center"/>
                  </w:pPr>
                </w:p>
              </w:tc>
              <w:tc>
                <w:tcPr>
                  <w:tcW w:w="1547" w:type="dxa"/>
                  <w:vAlign w:val="center"/>
                </w:tcPr>
                <w:p>
                  <w:pPr>
                    <w:spacing w:before="120" w:after="120"/>
                    <w:jc w:val="center"/>
                  </w:pPr>
                  <w:r>
                    <w:t>土壤监测取样点A</w:t>
                  </w:r>
                </w:p>
              </w:tc>
              <w:tc>
                <w:tcPr>
                  <w:tcW w:w="1635" w:type="dxa"/>
                  <w:vAlign w:val="center"/>
                </w:tcPr>
                <w:p>
                  <w:pPr>
                    <w:spacing w:before="120" w:after="120"/>
                    <w:jc w:val="center"/>
                  </w:pPr>
                  <w:r>
                    <w:t>土壤监测取样点B</w:t>
                  </w:r>
                </w:p>
              </w:tc>
              <w:tc>
                <w:tcPr>
                  <w:tcW w:w="1635" w:type="dxa"/>
                  <w:vAlign w:val="center"/>
                </w:tcPr>
                <w:p>
                  <w:pPr>
                    <w:spacing w:before="120" w:after="120"/>
                    <w:jc w:val="center"/>
                  </w:pPr>
                  <w:r>
                    <w:t>土壤监测取样点C</w:t>
                  </w:r>
                </w:p>
              </w:tc>
              <w:tc>
                <w:tcPr>
                  <w:tcW w:w="1636" w:type="dxa"/>
                  <w:vMerge w:val="continue"/>
                  <w:vAlign w:val="center"/>
                </w:tcPr>
                <w:p>
                  <w:pPr>
                    <w:spacing w:before="120" w:after="120"/>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vAlign w:val="center"/>
                </w:tcPr>
                <w:p>
                  <w:pPr>
                    <w:spacing w:before="120" w:after="120"/>
                    <w:jc w:val="center"/>
                  </w:pPr>
                </w:p>
              </w:tc>
              <w:tc>
                <w:tcPr>
                  <w:tcW w:w="1547" w:type="dxa"/>
                  <w:vAlign w:val="center"/>
                </w:tcPr>
                <w:p>
                  <w:pPr>
                    <w:spacing w:before="120" w:after="120"/>
                    <w:jc w:val="center"/>
                  </w:pPr>
                  <w:r>
                    <w:t>103.867310°E</w:t>
                  </w:r>
                </w:p>
                <w:p>
                  <w:pPr>
                    <w:spacing w:before="120" w:after="120"/>
                    <w:jc w:val="center"/>
                  </w:pPr>
                  <w:r>
                    <w:t>29.578157°N</w:t>
                  </w:r>
                </w:p>
              </w:tc>
              <w:tc>
                <w:tcPr>
                  <w:tcW w:w="1635" w:type="dxa"/>
                  <w:vAlign w:val="center"/>
                </w:tcPr>
                <w:p>
                  <w:pPr>
                    <w:spacing w:before="120" w:after="120"/>
                    <w:jc w:val="center"/>
                  </w:pPr>
                  <w:r>
                    <w:t>103.868376°E</w:t>
                  </w:r>
                </w:p>
                <w:p>
                  <w:pPr>
                    <w:spacing w:before="120" w:after="120"/>
                    <w:jc w:val="center"/>
                  </w:pPr>
                  <w:r>
                    <w:t>29.577574°N</w:t>
                  </w:r>
                </w:p>
              </w:tc>
              <w:tc>
                <w:tcPr>
                  <w:tcW w:w="1635" w:type="dxa"/>
                  <w:vAlign w:val="center"/>
                </w:tcPr>
                <w:p>
                  <w:pPr>
                    <w:spacing w:before="120" w:after="120"/>
                    <w:jc w:val="center"/>
                  </w:pPr>
                  <w:r>
                    <w:t>103.870527°E</w:t>
                  </w:r>
                </w:p>
                <w:p>
                  <w:pPr>
                    <w:spacing w:before="120" w:after="120"/>
                    <w:jc w:val="center"/>
                  </w:pPr>
                  <w:r>
                    <w:t>29.578316°N</w:t>
                  </w:r>
                </w:p>
              </w:tc>
              <w:tc>
                <w:tcPr>
                  <w:tcW w:w="1636" w:type="dxa"/>
                  <w:vMerge w:val="continue"/>
                  <w:vAlign w:val="center"/>
                </w:tcPr>
                <w:p>
                  <w:pPr>
                    <w:spacing w:before="120" w:after="120"/>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vAlign w:val="center"/>
                </w:tcPr>
                <w:p>
                  <w:pPr>
                    <w:spacing w:before="120" w:after="120"/>
                    <w:jc w:val="center"/>
                  </w:pPr>
                </w:p>
              </w:tc>
              <w:tc>
                <w:tcPr>
                  <w:tcW w:w="1547" w:type="dxa"/>
                  <w:vAlign w:val="center"/>
                </w:tcPr>
                <w:p>
                  <w:pPr>
                    <w:spacing w:before="120" w:after="120"/>
                    <w:jc w:val="center"/>
                  </w:pPr>
                  <w:r>
                    <w:t>0~0.2m</w:t>
                  </w:r>
                </w:p>
              </w:tc>
              <w:tc>
                <w:tcPr>
                  <w:tcW w:w="1635" w:type="dxa"/>
                  <w:vAlign w:val="center"/>
                </w:tcPr>
                <w:p>
                  <w:pPr>
                    <w:spacing w:before="120" w:after="120"/>
                    <w:jc w:val="center"/>
                  </w:pPr>
                  <w:r>
                    <w:t>0~0.2m</w:t>
                  </w:r>
                </w:p>
              </w:tc>
              <w:tc>
                <w:tcPr>
                  <w:tcW w:w="1635" w:type="dxa"/>
                  <w:vAlign w:val="center"/>
                </w:tcPr>
                <w:p>
                  <w:pPr>
                    <w:spacing w:before="120" w:after="120"/>
                    <w:jc w:val="center"/>
                  </w:pPr>
                  <w:r>
                    <w:t>0~0.2m</w:t>
                  </w:r>
                </w:p>
              </w:tc>
              <w:tc>
                <w:tcPr>
                  <w:tcW w:w="1636" w:type="dxa"/>
                  <w:vMerge w:val="continue"/>
                  <w:vAlign w:val="center"/>
                </w:tcPr>
                <w:p>
                  <w:pPr>
                    <w:spacing w:before="120" w:after="120"/>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Merge w:val="continue"/>
                  <w:vAlign w:val="center"/>
                </w:tcPr>
                <w:p>
                  <w:pPr>
                    <w:spacing w:before="120" w:after="120"/>
                    <w:jc w:val="center"/>
                  </w:pPr>
                </w:p>
              </w:tc>
              <w:tc>
                <w:tcPr>
                  <w:tcW w:w="1547" w:type="dxa"/>
                  <w:vAlign w:val="center"/>
                </w:tcPr>
                <w:p>
                  <w:pPr>
                    <w:spacing w:before="120" w:after="120"/>
                    <w:jc w:val="center"/>
                  </w:pPr>
                  <w:r>
                    <w:t>红棕色、潮、中量根系、砂壤土</w:t>
                  </w:r>
                </w:p>
              </w:tc>
              <w:tc>
                <w:tcPr>
                  <w:tcW w:w="1635" w:type="dxa"/>
                  <w:vAlign w:val="center"/>
                </w:tcPr>
                <w:p>
                  <w:pPr>
                    <w:spacing w:before="120" w:after="120"/>
                    <w:jc w:val="center"/>
                  </w:pPr>
                  <w:r>
                    <w:t>红棕色、潮、中量根系、砂壤土</w:t>
                  </w:r>
                </w:p>
              </w:tc>
              <w:tc>
                <w:tcPr>
                  <w:tcW w:w="1635" w:type="dxa"/>
                  <w:vAlign w:val="center"/>
                </w:tcPr>
                <w:p>
                  <w:pPr>
                    <w:spacing w:before="120" w:after="120"/>
                    <w:jc w:val="center"/>
                  </w:pPr>
                  <w:r>
                    <w:t>红棕色、潮、中量根系、砂壤土</w:t>
                  </w:r>
                </w:p>
              </w:tc>
              <w:tc>
                <w:tcPr>
                  <w:tcW w:w="1636" w:type="dxa"/>
                  <w:vMerge w:val="continue"/>
                  <w:vAlign w:val="center"/>
                </w:tcPr>
                <w:p>
                  <w:pPr>
                    <w:spacing w:before="120" w:after="120"/>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汞</w:t>
                  </w:r>
                </w:p>
              </w:tc>
              <w:tc>
                <w:tcPr>
                  <w:tcW w:w="1547" w:type="dxa"/>
                  <w:vAlign w:val="center"/>
                </w:tcPr>
                <w:p>
                  <w:pPr>
                    <w:spacing w:before="120" w:after="120"/>
                    <w:jc w:val="center"/>
                  </w:pPr>
                  <w:r>
                    <w:t>0.0390</w:t>
                  </w:r>
                </w:p>
              </w:tc>
              <w:tc>
                <w:tcPr>
                  <w:tcW w:w="1635" w:type="dxa"/>
                  <w:vAlign w:val="center"/>
                </w:tcPr>
                <w:p>
                  <w:pPr>
                    <w:spacing w:before="120" w:after="120"/>
                    <w:jc w:val="center"/>
                  </w:pPr>
                  <w:r>
                    <w:t>0.0589</w:t>
                  </w:r>
                </w:p>
              </w:tc>
              <w:tc>
                <w:tcPr>
                  <w:tcW w:w="1635" w:type="dxa"/>
                  <w:vAlign w:val="center"/>
                </w:tcPr>
                <w:p>
                  <w:pPr>
                    <w:spacing w:before="120" w:after="120"/>
                    <w:jc w:val="center"/>
                  </w:pPr>
                  <w:r>
                    <w:t>0.0062</w:t>
                  </w:r>
                </w:p>
              </w:tc>
              <w:tc>
                <w:tcPr>
                  <w:tcW w:w="1636" w:type="dxa"/>
                  <w:vAlign w:val="center"/>
                </w:tcPr>
                <w:p>
                  <w:pPr>
                    <w:spacing w:before="120" w:after="120"/>
                    <w:jc w:val="center"/>
                  </w:pPr>
                  <w:r>
                    <w:t>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砷</w:t>
                  </w:r>
                </w:p>
              </w:tc>
              <w:tc>
                <w:tcPr>
                  <w:tcW w:w="1547" w:type="dxa"/>
                  <w:vAlign w:val="center"/>
                </w:tcPr>
                <w:p>
                  <w:pPr>
                    <w:spacing w:before="120" w:after="120"/>
                    <w:jc w:val="center"/>
                  </w:pPr>
                  <w:r>
                    <w:t>5.50</w:t>
                  </w:r>
                </w:p>
              </w:tc>
              <w:tc>
                <w:tcPr>
                  <w:tcW w:w="1635" w:type="dxa"/>
                  <w:vAlign w:val="center"/>
                </w:tcPr>
                <w:p>
                  <w:pPr>
                    <w:spacing w:before="120" w:after="120"/>
                    <w:jc w:val="center"/>
                  </w:pPr>
                  <w:r>
                    <w:t>5.19</w:t>
                  </w:r>
                </w:p>
              </w:tc>
              <w:tc>
                <w:tcPr>
                  <w:tcW w:w="1635" w:type="dxa"/>
                  <w:vAlign w:val="center"/>
                </w:tcPr>
                <w:p>
                  <w:pPr>
                    <w:spacing w:before="120" w:after="120"/>
                    <w:jc w:val="center"/>
                  </w:pPr>
                  <w:r>
                    <w:t>5.38</w:t>
                  </w:r>
                </w:p>
              </w:tc>
              <w:tc>
                <w:tcPr>
                  <w:tcW w:w="1636" w:type="dxa"/>
                  <w:vAlign w:val="center"/>
                </w:tcPr>
                <w:p>
                  <w:pPr>
                    <w:spacing w:before="120" w:after="120"/>
                    <w:jc w:val="center"/>
                  </w:pPr>
                  <w:r>
                    <w:t>60</w:t>
                  </w:r>
                  <w:r>
                    <w:rPr>
                      <w:vertAlign w:val="superscript"/>
                    </w:rP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镉</w:t>
                  </w:r>
                </w:p>
              </w:tc>
              <w:tc>
                <w:tcPr>
                  <w:tcW w:w="1547" w:type="dxa"/>
                  <w:vAlign w:val="center"/>
                </w:tcPr>
                <w:p>
                  <w:pPr>
                    <w:spacing w:before="120" w:after="120"/>
                    <w:jc w:val="center"/>
                  </w:pPr>
                  <w:r>
                    <w:t>0.06</w:t>
                  </w:r>
                </w:p>
              </w:tc>
              <w:tc>
                <w:tcPr>
                  <w:tcW w:w="1635" w:type="dxa"/>
                  <w:vAlign w:val="center"/>
                </w:tcPr>
                <w:p>
                  <w:pPr>
                    <w:spacing w:before="120" w:after="120"/>
                    <w:jc w:val="center"/>
                  </w:pPr>
                  <w:r>
                    <w:t>0.11</w:t>
                  </w:r>
                </w:p>
              </w:tc>
              <w:tc>
                <w:tcPr>
                  <w:tcW w:w="1635" w:type="dxa"/>
                  <w:vAlign w:val="center"/>
                </w:tcPr>
                <w:p>
                  <w:pPr>
                    <w:spacing w:before="120" w:after="120"/>
                    <w:jc w:val="center"/>
                  </w:pPr>
                  <w:r>
                    <w:t>0.14</w:t>
                  </w:r>
                </w:p>
              </w:tc>
              <w:tc>
                <w:tcPr>
                  <w:tcW w:w="1636" w:type="dxa"/>
                  <w:vAlign w:val="center"/>
                </w:tcPr>
                <w:p>
                  <w:pPr>
                    <w:spacing w:before="120" w:after="120"/>
                    <w:jc w:val="center"/>
                  </w:pPr>
                  <w:r>
                    <w:t>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六价铬</w:t>
                  </w:r>
                </w:p>
              </w:tc>
              <w:tc>
                <w:tcPr>
                  <w:tcW w:w="1547"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铜</w:t>
                  </w:r>
                </w:p>
              </w:tc>
              <w:tc>
                <w:tcPr>
                  <w:tcW w:w="1547" w:type="dxa"/>
                  <w:vAlign w:val="center"/>
                </w:tcPr>
                <w:p>
                  <w:pPr>
                    <w:spacing w:before="120" w:after="120"/>
                    <w:jc w:val="center"/>
                  </w:pPr>
                  <w:r>
                    <w:t>4</w:t>
                  </w:r>
                </w:p>
              </w:tc>
              <w:tc>
                <w:tcPr>
                  <w:tcW w:w="1635" w:type="dxa"/>
                  <w:vAlign w:val="center"/>
                </w:tcPr>
                <w:p>
                  <w:pPr>
                    <w:spacing w:before="120" w:after="120"/>
                    <w:jc w:val="center"/>
                  </w:pPr>
                  <w:r>
                    <w:t>6</w:t>
                  </w:r>
                </w:p>
              </w:tc>
              <w:tc>
                <w:tcPr>
                  <w:tcW w:w="1635" w:type="dxa"/>
                  <w:vAlign w:val="center"/>
                </w:tcPr>
                <w:p>
                  <w:pPr>
                    <w:spacing w:before="120" w:after="120"/>
                    <w:jc w:val="center"/>
                  </w:pPr>
                  <w:r>
                    <w:t>3</w:t>
                  </w:r>
                </w:p>
              </w:tc>
              <w:tc>
                <w:tcPr>
                  <w:tcW w:w="1636" w:type="dxa"/>
                  <w:vAlign w:val="center"/>
                </w:tcPr>
                <w:p>
                  <w:pPr>
                    <w:spacing w:before="120" w:after="120"/>
                    <w:jc w:val="center"/>
                  </w:pPr>
                  <w:r>
                    <w:t>18000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铅</w:t>
                  </w:r>
                </w:p>
              </w:tc>
              <w:tc>
                <w:tcPr>
                  <w:tcW w:w="1547" w:type="dxa"/>
                  <w:vAlign w:val="center"/>
                </w:tcPr>
                <w:p>
                  <w:pPr>
                    <w:spacing w:before="120" w:after="120"/>
                    <w:jc w:val="center"/>
                  </w:pPr>
                  <w:r>
                    <w:t>21.7</w:t>
                  </w:r>
                </w:p>
              </w:tc>
              <w:tc>
                <w:tcPr>
                  <w:tcW w:w="1635" w:type="dxa"/>
                  <w:vAlign w:val="center"/>
                </w:tcPr>
                <w:p>
                  <w:pPr>
                    <w:spacing w:before="120" w:after="120"/>
                    <w:jc w:val="center"/>
                  </w:pPr>
                  <w:r>
                    <w:t>22.2</w:t>
                  </w:r>
                </w:p>
              </w:tc>
              <w:tc>
                <w:tcPr>
                  <w:tcW w:w="1635" w:type="dxa"/>
                  <w:vAlign w:val="center"/>
                </w:tcPr>
                <w:p>
                  <w:pPr>
                    <w:spacing w:before="120" w:after="120"/>
                    <w:jc w:val="center"/>
                  </w:pPr>
                  <w:r>
                    <w:t>14.4</w:t>
                  </w:r>
                </w:p>
              </w:tc>
              <w:tc>
                <w:tcPr>
                  <w:tcW w:w="1636" w:type="dxa"/>
                  <w:vAlign w:val="center"/>
                </w:tcPr>
                <w:p>
                  <w:pPr>
                    <w:spacing w:before="120" w:after="120"/>
                    <w:jc w:val="center"/>
                  </w:pPr>
                  <w:r>
                    <w:t>800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镍</w:t>
                  </w:r>
                </w:p>
              </w:tc>
              <w:tc>
                <w:tcPr>
                  <w:tcW w:w="1547" w:type="dxa"/>
                  <w:vAlign w:val="center"/>
                </w:tcPr>
                <w:p>
                  <w:pPr>
                    <w:spacing w:before="120" w:after="120"/>
                    <w:jc w:val="center"/>
                  </w:pPr>
                  <w:r>
                    <w:t>8</w:t>
                  </w:r>
                </w:p>
              </w:tc>
              <w:tc>
                <w:tcPr>
                  <w:tcW w:w="1635" w:type="dxa"/>
                  <w:vAlign w:val="center"/>
                </w:tcPr>
                <w:p>
                  <w:pPr>
                    <w:spacing w:before="120" w:after="120"/>
                    <w:jc w:val="center"/>
                  </w:pPr>
                  <w:r>
                    <w:t>9</w:t>
                  </w:r>
                </w:p>
              </w:tc>
              <w:tc>
                <w:tcPr>
                  <w:tcW w:w="1635" w:type="dxa"/>
                  <w:vAlign w:val="center"/>
                </w:tcPr>
                <w:p>
                  <w:pPr>
                    <w:spacing w:before="120" w:after="120"/>
                    <w:jc w:val="center"/>
                  </w:pPr>
                  <w:r>
                    <w:t>6</w:t>
                  </w:r>
                </w:p>
              </w:tc>
              <w:tc>
                <w:tcPr>
                  <w:tcW w:w="1636" w:type="dxa"/>
                  <w:vAlign w:val="center"/>
                </w:tcPr>
                <w:p>
                  <w:pPr>
                    <w:spacing w:before="120" w:after="120"/>
                    <w:jc w:val="center"/>
                  </w:pPr>
                  <w:r>
                    <w:t>900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氯甲烷</w:t>
                  </w:r>
                </w:p>
              </w:tc>
              <w:tc>
                <w:tcPr>
                  <w:tcW w:w="1547"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氯乙烯</w:t>
                  </w:r>
                </w:p>
              </w:tc>
              <w:tc>
                <w:tcPr>
                  <w:tcW w:w="1547"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0.43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1,1-二氯乙烯</w:t>
                  </w:r>
                </w:p>
              </w:tc>
              <w:tc>
                <w:tcPr>
                  <w:tcW w:w="1547"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二氯甲烷</w:t>
                  </w:r>
                </w:p>
              </w:tc>
              <w:tc>
                <w:tcPr>
                  <w:tcW w:w="1547"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616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(反)1,2-二氯乙烯</w:t>
                  </w:r>
                </w:p>
              </w:tc>
              <w:tc>
                <w:tcPr>
                  <w:tcW w:w="1547"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1,1-二氯乙烷</w:t>
                  </w:r>
                </w:p>
              </w:tc>
              <w:tc>
                <w:tcPr>
                  <w:tcW w:w="1547"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(顺）1,2-二氯乙烯</w:t>
                  </w:r>
                </w:p>
              </w:tc>
              <w:tc>
                <w:tcPr>
                  <w:tcW w:w="1547"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596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三氯甲烷</w:t>
                  </w:r>
                </w:p>
              </w:tc>
              <w:tc>
                <w:tcPr>
                  <w:tcW w:w="1547"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0.9</w:t>
                  </w:r>
                </w:p>
              </w:tc>
            </w:tr>
            <w:tr>
              <w:tblPrEx>
                <w:tblCellMar>
                  <w:top w:w="0" w:type="dxa"/>
                  <w:left w:w="108" w:type="dxa"/>
                  <w:bottom w:w="0" w:type="dxa"/>
                  <w:right w:w="108" w:type="dxa"/>
                </w:tblCellMar>
              </w:tblPrEx>
              <w:tc>
                <w:tcPr>
                  <w:tcW w:w="1723" w:type="dxa"/>
                  <w:vAlign w:val="center"/>
                </w:tcPr>
                <w:p>
                  <w:pPr>
                    <w:spacing w:before="120" w:after="120"/>
                    <w:jc w:val="center"/>
                  </w:pPr>
                  <w:r>
                    <w:t>1,1,1-三氯乙烷</w:t>
                  </w:r>
                </w:p>
              </w:tc>
              <w:tc>
                <w:tcPr>
                  <w:tcW w:w="1547"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840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四氯化碳</w:t>
                  </w:r>
                </w:p>
              </w:tc>
              <w:tc>
                <w:tcPr>
                  <w:tcW w:w="1547"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1.2-二氯乙烷</w:t>
                  </w:r>
                </w:p>
              </w:tc>
              <w:tc>
                <w:tcPr>
                  <w:tcW w:w="1547"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苯</w:t>
                  </w:r>
                </w:p>
              </w:tc>
              <w:tc>
                <w:tcPr>
                  <w:tcW w:w="1547"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三氯乙烯</w:t>
                  </w:r>
                </w:p>
              </w:tc>
              <w:tc>
                <w:tcPr>
                  <w:tcW w:w="1547"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1,2-二氯丙烷</w:t>
                  </w:r>
                </w:p>
              </w:tc>
              <w:tc>
                <w:tcPr>
                  <w:tcW w:w="1547"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甲苯</w:t>
                  </w:r>
                </w:p>
              </w:tc>
              <w:tc>
                <w:tcPr>
                  <w:tcW w:w="1547" w:type="dxa"/>
                  <w:vAlign w:val="center"/>
                </w:tcPr>
                <w:p>
                  <w:pPr>
                    <w:spacing w:before="120" w:after="120"/>
                    <w:jc w:val="center"/>
                  </w:pPr>
                  <w:r>
                    <w:t>ND</w:t>
                  </w:r>
                </w:p>
              </w:tc>
              <w:tc>
                <w:tcPr>
                  <w:tcW w:w="1635" w:type="dxa"/>
                  <w:vAlign w:val="center"/>
                </w:tcPr>
                <w:p>
                  <w:pPr>
                    <w:spacing w:before="120" w:after="120"/>
                    <w:jc w:val="center"/>
                  </w:pPr>
                  <w:r>
                    <w:t>0.0020</w:t>
                  </w:r>
                </w:p>
              </w:tc>
              <w:tc>
                <w:tcPr>
                  <w:tcW w:w="1635" w:type="dxa"/>
                  <w:vAlign w:val="center"/>
                </w:tcPr>
                <w:p>
                  <w:pPr>
                    <w:spacing w:before="120" w:after="120"/>
                    <w:jc w:val="center"/>
                  </w:pPr>
                  <w:r>
                    <w:t>0.0011</w:t>
                  </w:r>
                </w:p>
              </w:tc>
              <w:tc>
                <w:tcPr>
                  <w:tcW w:w="1636" w:type="dxa"/>
                  <w:vAlign w:val="center"/>
                </w:tcPr>
                <w:p>
                  <w:pPr>
                    <w:spacing w:before="120" w:after="120"/>
                    <w:jc w:val="center"/>
                  </w:pPr>
                  <w:r>
                    <w:t>1200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1.1,2-三氯乙烷</w:t>
                  </w:r>
                </w:p>
              </w:tc>
              <w:tc>
                <w:tcPr>
                  <w:tcW w:w="1547"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四氯乙烯</w:t>
                  </w:r>
                </w:p>
              </w:tc>
              <w:tc>
                <w:tcPr>
                  <w:tcW w:w="1547"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氯苯</w:t>
                  </w:r>
                </w:p>
              </w:tc>
              <w:tc>
                <w:tcPr>
                  <w:tcW w:w="1547"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270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1,1.1,2-四氯乙烷</w:t>
                  </w:r>
                </w:p>
              </w:tc>
              <w:tc>
                <w:tcPr>
                  <w:tcW w:w="1547"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乙苯</w:t>
                  </w:r>
                </w:p>
              </w:tc>
              <w:tc>
                <w:tcPr>
                  <w:tcW w:w="1547"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对（间)二甲苯</w:t>
                  </w:r>
                </w:p>
              </w:tc>
              <w:tc>
                <w:tcPr>
                  <w:tcW w:w="1547"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570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邻二甲苯</w:t>
                  </w:r>
                </w:p>
              </w:tc>
              <w:tc>
                <w:tcPr>
                  <w:tcW w:w="1547"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640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苯乙烯</w:t>
                  </w:r>
                </w:p>
              </w:tc>
              <w:tc>
                <w:tcPr>
                  <w:tcW w:w="1547"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1290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1,1,2,2-四氯乙烷</w:t>
                  </w:r>
                </w:p>
              </w:tc>
              <w:tc>
                <w:tcPr>
                  <w:tcW w:w="1547"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1.2,3-三氯丙烷</w:t>
                  </w:r>
                </w:p>
              </w:tc>
              <w:tc>
                <w:tcPr>
                  <w:tcW w:w="1547"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1,4-二氯苯</w:t>
                  </w:r>
                </w:p>
              </w:tc>
              <w:tc>
                <w:tcPr>
                  <w:tcW w:w="1547"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1,2-二氯苯</w:t>
                  </w:r>
                </w:p>
              </w:tc>
              <w:tc>
                <w:tcPr>
                  <w:tcW w:w="1547"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560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萘</w:t>
                  </w:r>
                </w:p>
              </w:tc>
              <w:tc>
                <w:tcPr>
                  <w:tcW w:w="1547"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苯胺</w:t>
                  </w:r>
                </w:p>
              </w:tc>
              <w:tc>
                <w:tcPr>
                  <w:tcW w:w="1547"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260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硝基苯</w:t>
                  </w:r>
                </w:p>
              </w:tc>
              <w:tc>
                <w:tcPr>
                  <w:tcW w:w="1547"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2-氯酚</w:t>
                  </w:r>
                </w:p>
              </w:tc>
              <w:tc>
                <w:tcPr>
                  <w:tcW w:w="1547"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2256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苯并[a]蒽</w:t>
                  </w:r>
                </w:p>
              </w:tc>
              <w:tc>
                <w:tcPr>
                  <w:tcW w:w="1547"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䓛</w:t>
                  </w:r>
                </w:p>
              </w:tc>
              <w:tc>
                <w:tcPr>
                  <w:tcW w:w="1547"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1293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苯并[b]荧蒽</w:t>
                  </w:r>
                </w:p>
              </w:tc>
              <w:tc>
                <w:tcPr>
                  <w:tcW w:w="1547"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苯并[k]荧蒽</w:t>
                  </w:r>
                </w:p>
              </w:tc>
              <w:tc>
                <w:tcPr>
                  <w:tcW w:w="1547"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151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苯并[a]芘</w:t>
                  </w:r>
                </w:p>
              </w:tc>
              <w:tc>
                <w:tcPr>
                  <w:tcW w:w="1547"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茆并[1,2,3-c,d]芘</w:t>
                  </w:r>
                </w:p>
              </w:tc>
              <w:tc>
                <w:tcPr>
                  <w:tcW w:w="1547"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3" w:type="dxa"/>
                  <w:vAlign w:val="center"/>
                </w:tcPr>
                <w:p>
                  <w:pPr>
                    <w:spacing w:before="120" w:after="120"/>
                    <w:jc w:val="center"/>
                  </w:pPr>
                  <w:r>
                    <w:t>二苯并[a,h]蒽</w:t>
                  </w:r>
                </w:p>
              </w:tc>
              <w:tc>
                <w:tcPr>
                  <w:tcW w:w="1547" w:type="dxa"/>
                  <w:vAlign w:val="center"/>
                </w:tcPr>
                <w:p>
                  <w:pPr>
                    <w:spacing w:before="120" w:after="120"/>
                    <w:jc w:val="center"/>
                  </w:pPr>
                  <w:r>
                    <w:t>ND</w:t>
                  </w:r>
                </w:p>
              </w:tc>
              <w:tc>
                <w:tcPr>
                  <w:tcW w:w="1635" w:type="dxa"/>
                  <w:vAlign w:val="center"/>
                </w:tcPr>
                <w:p>
                  <w:pPr>
                    <w:spacing w:before="120" w:after="120"/>
                    <w:jc w:val="center"/>
                  </w:pPr>
                  <w:r>
                    <w:t>ND</w:t>
                  </w:r>
                </w:p>
              </w:tc>
              <w:tc>
                <w:tcPr>
                  <w:tcW w:w="1635" w:type="dxa"/>
                  <w:vAlign w:val="center"/>
                </w:tcPr>
                <w:p>
                  <w:pPr>
                    <w:spacing w:before="120" w:after="120"/>
                    <w:jc w:val="center"/>
                  </w:pPr>
                  <w:r>
                    <w:t>ND</w:t>
                  </w:r>
                </w:p>
              </w:tc>
              <w:tc>
                <w:tcPr>
                  <w:tcW w:w="1636" w:type="dxa"/>
                  <w:vAlign w:val="center"/>
                </w:tcPr>
                <w:p>
                  <w:pPr>
                    <w:spacing w:before="120" w:after="120"/>
                    <w:jc w:val="center"/>
                  </w:pPr>
                  <w:r>
                    <w:t>1.5</w:t>
                  </w:r>
                </w:p>
              </w:tc>
            </w:tr>
          </w:tbl>
          <w:p>
            <w:pPr>
              <w:spacing w:before="120" w:after="120" w:line="360" w:lineRule="auto"/>
              <w:ind w:firstLine="480" w:firstLineChars="200"/>
              <w:rPr>
                <w:sz w:val="24"/>
              </w:rPr>
            </w:pPr>
            <w:r>
              <w:rPr>
                <w:sz w:val="24"/>
              </w:rPr>
              <w:t>根据引用土壤监测结果显示，项目所在区域土壤所测因子均满足土壤环境质量建设用地土壤污染风险管控标准（试行)GB 36600-2018表1筛选值第二类用地标准限值，项目所在区域现状土壤质量良好。</w:t>
            </w:r>
          </w:p>
          <w:p>
            <w:pPr>
              <w:spacing w:before="120" w:after="120" w:line="360" w:lineRule="auto"/>
              <w:rPr>
                <w:b/>
                <w:sz w:val="24"/>
              </w:rPr>
            </w:pPr>
            <w:r>
              <w:rPr>
                <w:b/>
                <w:sz w:val="24"/>
              </w:rPr>
              <w:t>六、区域生态环境现状调查</w:t>
            </w:r>
          </w:p>
          <w:p>
            <w:pPr>
              <w:adjustRightInd w:val="0"/>
              <w:snapToGrid w:val="0"/>
              <w:spacing w:line="360" w:lineRule="auto"/>
              <w:ind w:right="89" w:rightChars="37" w:firstLine="480" w:firstLineChars="200"/>
              <w:jc w:val="left"/>
              <w:rPr>
                <w:kern w:val="0"/>
                <w:szCs w:val="21"/>
              </w:rPr>
            </w:pPr>
            <w:r>
              <w:rPr>
                <w:sz w:val="24"/>
              </w:rPr>
              <w:t>项目所在地为已建闲置厂房，项目所在地周围目前分布有道路、农田、林地等。陆域动物主要是常见的家禽家畜，如：鸡、鸭、鹅等；河道自然鱼类、鱼塘养殖的均为当地常见的水产品种，如：青、草、鳊、鲫、鲤等常见鱼种；植被主要为蔬菜等农作物及少量的苗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400" w:hRule="atLeast"/>
          <w:jc w:val="center"/>
        </w:trPr>
        <w:tc>
          <w:tcPr>
            <w:tcW w:w="800" w:type="dxa"/>
            <w:vAlign w:val="center"/>
          </w:tcPr>
          <w:p>
            <w:pPr>
              <w:adjustRightInd w:val="0"/>
              <w:snapToGrid w:val="0"/>
              <w:jc w:val="center"/>
              <w:rPr>
                <w:kern w:val="0"/>
                <w:szCs w:val="21"/>
              </w:rPr>
            </w:pPr>
            <w:r>
              <w:rPr>
                <w:kern w:val="0"/>
                <w:szCs w:val="21"/>
              </w:rPr>
              <w:t>环境</w:t>
            </w:r>
          </w:p>
          <w:p>
            <w:pPr>
              <w:adjustRightInd w:val="0"/>
              <w:snapToGrid w:val="0"/>
              <w:jc w:val="center"/>
              <w:rPr>
                <w:kern w:val="0"/>
                <w:szCs w:val="21"/>
              </w:rPr>
            </w:pPr>
            <w:r>
              <w:rPr>
                <w:kern w:val="0"/>
                <w:szCs w:val="21"/>
              </w:rPr>
              <w:t>保护</w:t>
            </w:r>
          </w:p>
          <w:p>
            <w:pPr>
              <w:adjustRightInd w:val="0"/>
              <w:snapToGrid w:val="0"/>
              <w:jc w:val="center"/>
              <w:rPr>
                <w:kern w:val="0"/>
                <w:szCs w:val="21"/>
              </w:rPr>
            </w:pPr>
            <w:r>
              <w:rPr>
                <w:kern w:val="0"/>
                <w:szCs w:val="21"/>
              </w:rPr>
              <w:t>目标</w:t>
            </w:r>
          </w:p>
        </w:tc>
        <w:tc>
          <w:tcPr>
            <w:tcW w:w="8190" w:type="dxa"/>
            <w:vAlign w:val="center"/>
          </w:tcPr>
          <w:p>
            <w:pPr>
              <w:spacing w:line="360" w:lineRule="auto"/>
              <w:ind w:firstLine="470" w:firstLineChars="196"/>
              <w:rPr>
                <w:bCs/>
                <w:sz w:val="24"/>
              </w:rPr>
            </w:pPr>
            <w:r>
              <w:rPr>
                <w:sz w:val="24"/>
              </w:rPr>
              <w:t>根据现场勘查项目，</w:t>
            </w:r>
            <w:r>
              <w:rPr>
                <w:bCs/>
                <w:sz w:val="24"/>
              </w:rPr>
              <w:t>项目主要环境保护目标见下。</w:t>
            </w:r>
          </w:p>
          <w:p>
            <w:pPr>
              <w:spacing w:line="360" w:lineRule="auto"/>
              <w:ind w:firstLine="480"/>
              <w:rPr>
                <w:sz w:val="24"/>
              </w:rPr>
            </w:pPr>
            <w:r>
              <w:rPr>
                <w:sz w:val="24"/>
              </w:rPr>
              <w:t>（1）地表水保护目标</w:t>
            </w:r>
          </w:p>
          <w:p>
            <w:pPr>
              <w:spacing w:line="360" w:lineRule="auto"/>
              <w:ind w:firstLine="480"/>
              <w:rPr>
                <w:sz w:val="24"/>
              </w:rPr>
            </w:pPr>
            <w:r>
              <w:rPr>
                <w:sz w:val="24"/>
              </w:rPr>
              <w:t>本项目所在周边区域的河流主要为岷江、泥溪河、山珍水库、高中水库、磨池河，因此，地表水环境保护目标为周边地表水，属于《地表水环境质量标准》（GB3838-2002）的</w:t>
            </w:r>
            <w:r>
              <w:rPr>
                <w:kern w:val="0"/>
                <w:sz w:val="24"/>
              </w:rPr>
              <w:t>Ⅲ类</w:t>
            </w:r>
            <w:r>
              <w:rPr>
                <w:sz w:val="24"/>
              </w:rPr>
              <w:t>水域，保护其水体水质和水域功能不因本项目的建设而改变。</w:t>
            </w:r>
          </w:p>
          <w:p>
            <w:pPr>
              <w:spacing w:line="360" w:lineRule="auto"/>
              <w:ind w:firstLine="480"/>
              <w:rPr>
                <w:sz w:val="24"/>
              </w:rPr>
            </w:pPr>
            <w:r>
              <w:rPr>
                <w:sz w:val="24"/>
              </w:rPr>
              <w:t>（2）大气保护目标</w:t>
            </w:r>
          </w:p>
          <w:p>
            <w:pPr>
              <w:spacing w:line="360" w:lineRule="auto"/>
              <w:ind w:firstLine="480"/>
              <w:rPr>
                <w:sz w:val="24"/>
              </w:rPr>
            </w:pPr>
            <w:r>
              <w:rPr>
                <w:sz w:val="24"/>
              </w:rPr>
              <w:t>评价范围：厂界外500米范围</w:t>
            </w:r>
          </w:p>
          <w:p>
            <w:pPr>
              <w:spacing w:line="360" w:lineRule="auto"/>
              <w:ind w:firstLine="480"/>
              <w:rPr>
                <w:sz w:val="24"/>
              </w:rPr>
            </w:pPr>
            <w:r>
              <w:rPr>
                <w:sz w:val="24"/>
              </w:rPr>
              <w:t>以评价范围内的住户等人群集中居住为主的建筑为保护目标。其环境功能为《环境空气质量标准》（GB3095-2012）中二类区，其环境空气质量不因项目建设而使其功能发生改变。</w:t>
            </w:r>
          </w:p>
          <w:p>
            <w:pPr>
              <w:spacing w:line="360" w:lineRule="auto"/>
              <w:ind w:firstLine="480"/>
              <w:rPr>
                <w:sz w:val="24"/>
              </w:rPr>
            </w:pPr>
            <w:r>
              <w:rPr>
                <w:sz w:val="24"/>
              </w:rPr>
              <w:t>（3）噪声保护目标</w:t>
            </w:r>
          </w:p>
          <w:p>
            <w:pPr>
              <w:spacing w:line="360" w:lineRule="auto"/>
              <w:ind w:firstLine="480"/>
              <w:rPr>
                <w:sz w:val="24"/>
              </w:rPr>
            </w:pPr>
            <w:r>
              <w:rPr>
                <w:sz w:val="24"/>
              </w:rPr>
              <w:t>评价范围：厂界外50米范围</w:t>
            </w:r>
          </w:p>
          <w:p>
            <w:pPr>
              <w:spacing w:line="360" w:lineRule="auto"/>
              <w:ind w:firstLine="480"/>
              <w:rPr>
                <w:sz w:val="24"/>
              </w:rPr>
            </w:pPr>
            <w:r>
              <w:rPr>
                <w:sz w:val="24"/>
              </w:rPr>
              <w:t>项目所在地声环境保护目标为项目评价范围内的噪声敏感点，应满足《声环境质量标准》（GB3096-2008）3类标准的要求，使其声环境质量不因本项目的建设而改变。</w:t>
            </w:r>
          </w:p>
          <w:p>
            <w:pPr>
              <w:autoSpaceDE w:val="0"/>
              <w:autoSpaceDN w:val="0"/>
              <w:adjustRightInd w:val="0"/>
              <w:snapToGrid w:val="0"/>
              <w:spacing w:line="360" w:lineRule="auto"/>
              <w:ind w:firstLine="480" w:firstLineChars="200"/>
              <w:rPr>
                <w:kern w:val="0"/>
                <w:sz w:val="24"/>
              </w:rPr>
            </w:pPr>
            <w:r>
              <w:rPr>
                <w:kern w:val="0"/>
                <w:sz w:val="24"/>
              </w:rPr>
              <w:t>（4）固体废弃物</w:t>
            </w:r>
          </w:p>
          <w:p>
            <w:pPr>
              <w:autoSpaceDE w:val="0"/>
              <w:autoSpaceDN w:val="0"/>
              <w:adjustRightInd w:val="0"/>
              <w:snapToGrid w:val="0"/>
              <w:spacing w:line="360" w:lineRule="auto"/>
              <w:ind w:firstLine="480" w:firstLineChars="200"/>
              <w:rPr>
                <w:kern w:val="0"/>
                <w:sz w:val="24"/>
              </w:rPr>
            </w:pPr>
            <w:r>
              <w:rPr>
                <w:kern w:val="0"/>
                <w:sz w:val="24"/>
              </w:rPr>
              <w:t>项目运营期产生的固体废物得到妥善处置，不产生二次污染。</w:t>
            </w:r>
          </w:p>
          <w:p>
            <w:pPr>
              <w:spacing w:line="360" w:lineRule="auto"/>
              <w:ind w:firstLine="480"/>
              <w:rPr>
                <w:sz w:val="24"/>
              </w:rPr>
            </w:pPr>
            <w:r>
              <w:rPr>
                <w:sz w:val="24"/>
              </w:rPr>
              <w:t>本项目主要环境保护目标是确保项目所在区域环境空气、地表水环境、声环境质量达到相应的环境功能区划要求，尽最大可能降低项目建设期和营运期对项目居民及周围人群造成的不利影响。</w:t>
            </w:r>
          </w:p>
          <w:p>
            <w:pPr>
              <w:spacing w:line="360" w:lineRule="auto"/>
              <w:ind w:firstLine="470" w:firstLineChars="196"/>
              <w:rPr>
                <w:bCs/>
                <w:sz w:val="24"/>
              </w:rPr>
            </w:pPr>
            <w:r>
              <w:rPr>
                <w:bCs/>
                <w:sz w:val="24"/>
              </w:rPr>
              <w:t>项目主要外环境关系见附图3。</w:t>
            </w:r>
            <w:bookmarkStart w:id="15" w:name="_Hlk99457296"/>
            <w:r>
              <w:rPr>
                <w:sz w:val="24"/>
                <w:lang w:val="zh-CN"/>
              </w:rPr>
              <w:t>根据相关要求，本项目评价范围内主要环境保护目标情况见表3-5。</w:t>
            </w:r>
          </w:p>
          <w:bookmarkEnd w:id="15"/>
          <w:p>
            <w:pPr>
              <w:spacing w:line="540" w:lineRule="exact"/>
              <w:jc w:val="center"/>
              <w:rPr>
                <w:bCs/>
                <w:sz w:val="24"/>
              </w:rPr>
            </w:pPr>
            <w:r>
              <w:rPr>
                <w:bCs/>
                <w:sz w:val="24"/>
              </w:rPr>
              <w:t>表3-5 大气、声、地表水、地下水、土壤保护目标</w:t>
            </w:r>
          </w:p>
          <w:tbl>
            <w:tblPr>
              <w:tblStyle w:val="38"/>
              <w:tblW w:w="5000"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853"/>
              <w:gridCol w:w="1385"/>
              <w:gridCol w:w="678"/>
              <w:gridCol w:w="850"/>
              <w:gridCol w:w="1590"/>
              <w:gridCol w:w="2898"/>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517" w:type="pct"/>
                  <w:tcBorders>
                    <w:top w:val="single" w:color="auto" w:sz="12" w:space="0"/>
                    <w:left w:val="nil"/>
                    <w:bottom w:val="single" w:color="auto" w:sz="12" w:space="0"/>
                  </w:tcBorders>
                  <w:vAlign w:val="center"/>
                </w:tcPr>
                <w:p>
                  <w:pPr>
                    <w:snapToGrid w:val="0"/>
                    <w:jc w:val="center"/>
                    <w:rPr>
                      <w:b/>
                      <w:bCs/>
                    </w:rPr>
                  </w:pPr>
                  <w:r>
                    <w:rPr>
                      <w:b/>
                      <w:bCs/>
                    </w:rPr>
                    <w:t>类别</w:t>
                  </w:r>
                </w:p>
              </w:tc>
              <w:tc>
                <w:tcPr>
                  <w:tcW w:w="839" w:type="pct"/>
                  <w:tcBorders>
                    <w:top w:val="single" w:color="auto" w:sz="12" w:space="0"/>
                    <w:bottom w:val="single" w:color="auto" w:sz="12" w:space="0"/>
                  </w:tcBorders>
                  <w:vAlign w:val="center"/>
                </w:tcPr>
                <w:p>
                  <w:pPr>
                    <w:snapToGrid w:val="0"/>
                    <w:jc w:val="center"/>
                    <w:rPr>
                      <w:b/>
                      <w:bCs/>
                    </w:rPr>
                  </w:pPr>
                  <w:r>
                    <w:rPr>
                      <w:b/>
                      <w:bCs/>
                    </w:rPr>
                    <w:t>环境保护目标</w:t>
                  </w:r>
                </w:p>
              </w:tc>
              <w:tc>
                <w:tcPr>
                  <w:tcW w:w="411" w:type="pct"/>
                  <w:tcBorders>
                    <w:top w:val="single" w:color="auto" w:sz="12" w:space="0"/>
                    <w:bottom w:val="single" w:color="auto" w:sz="12" w:space="0"/>
                  </w:tcBorders>
                  <w:vAlign w:val="center"/>
                </w:tcPr>
                <w:p>
                  <w:pPr>
                    <w:snapToGrid w:val="0"/>
                    <w:jc w:val="center"/>
                    <w:rPr>
                      <w:b/>
                      <w:bCs/>
                    </w:rPr>
                  </w:pPr>
                  <w:r>
                    <w:rPr>
                      <w:b/>
                      <w:bCs/>
                    </w:rPr>
                    <w:t>方位</w:t>
                  </w:r>
                </w:p>
              </w:tc>
              <w:tc>
                <w:tcPr>
                  <w:tcW w:w="515" w:type="pct"/>
                  <w:tcBorders>
                    <w:top w:val="single" w:color="auto" w:sz="12" w:space="0"/>
                    <w:bottom w:val="single" w:color="auto" w:sz="12" w:space="0"/>
                  </w:tcBorders>
                  <w:vAlign w:val="center"/>
                </w:tcPr>
                <w:p>
                  <w:pPr>
                    <w:snapToGrid w:val="0"/>
                    <w:jc w:val="center"/>
                    <w:rPr>
                      <w:b/>
                      <w:bCs/>
                    </w:rPr>
                  </w:pPr>
                  <w:r>
                    <w:rPr>
                      <w:b/>
                      <w:bCs/>
                    </w:rPr>
                    <w:t>距离</w:t>
                  </w:r>
                </w:p>
              </w:tc>
              <w:tc>
                <w:tcPr>
                  <w:tcW w:w="963" w:type="pct"/>
                  <w:tcBorders>
                    <w:top w:val="single" w:color="auto" w:sz="12" w:space="0"/>
                    <w:bottom w:val="single" w:color="auto" w:sz="12" w:space="0"/>
                  </w:tcBorders>
                  <w:vAlign w:val="center"/>
                </w:tcPr>
                <w:p>
                  <w:pPr>
                    <w:snapToGrid w:val="0"/>
                    <w:jc w:val="center"/>
                    <w:rPr>
                      <w:b/>
                      <w:bCs/>
                    </w:rPr>
                  </w:pPr>
                  <w:r>
                    <w:rPr>
                      <w:b/>
                      <w:bCs/>
                    </w:rPr>
                    <w:t>影响规模</w:t>
                  </w:r>
                </w:p>
              </w:tc>
              <w:tc>
                <w:tcPr>
                  <w:tcW w:w="1755" w:type="pct"/>
                  <w:tcBorders>
                    <w:top w:val="single" w:color="auto" w:sz="12" w:space="0"/>
                    <w:bottom w:val="single" w:color="auto" w:sz="12" w:space="0"/>
                    <w:right w:val="nil"/>
                  </w:tcBorders>
                  <w:vAlign w:val="center"/>
                </w:tcPr>
                <w:p>
                  <w:pPr>
                    <w:snapToGrid w:val="0"/>
                    <w:jc w:val="center"/>
                    <w:rPr>
                      <w:b/>
                      <w:bCs/>
                    </w:rPr>
                  </w:pPr>
                  <w:r>
                    <w:rPr>
                      <w:b/>
                      <w:bCs/>
                    </w:rPr>
                    <w:t>污染控制目标</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517" w:type="pct"/>
                  <w:tcBorders>
                    <w:top w:val="single" w:color="auto" w:sz="12" w:space="0"/>
                    <w:left w:val="nil"/>
                    <w:bottom w:val="single" w:color="auto" w:sz="4" w:space="0"/>
                  </w:tcBorders>
                  <w:vAlign w:val="center"/>
                </w:tcPr>
                <w:p>
                  <w:pPr>
                    <w:snapToGrid w:val="0"/>
                    <w:jc w:val="center"/>
                    <w:rPr>
                      <w:bCs/>
                    </w:rPr>
                  </w:pPr>
                  <w:r>
                    <w:rPr>
                      <w:bCs/>
                    </w:rPr>
                    <w:t>大气</w:t>
                  </w:r>
                </w:p>
              </w:tc>
              <w:tc>
                <w:tcPr>
                  <w:tcW w:w="839" w:type="pct"/>
                  <w:tcBorders>
                    <w:top w:val="single" w:color="auto" w:sz="12" w:space="0"/>
                    <w:bottom w:val="single" w:color="auto" w:sz="4" w:space="0"/>
                  </w:tcBorders>
                  <w:vAlign w:val="center"/>
                </w:tcPr>
                <w:p>
                  <w:pPr>
                    <w:snapToGrid w:val="0"/>
                    <w:jc w:val="center"/>
                    <w:rPr>
                      <w:bCs/>
                    </w:rPr>
                  </w:pPr>
                  <w:r>
                    <w:rPr>
                      <w:bCs/>
                    </w:rPr>
                    <w:t>厂界外500米范围</w:t>
                  </w:r>
                </w:p>
              </w:tc>
              <w:tc>
                <w:tcPr>
                  <w:tcW w:w="411" w:type="pct"/>
                  <w:tcBorders>
                    <w:top w:val="single" w:color="auto" w:sz="12" w:space="0"/>
                    <w:bottom w:val="single" w:color="auto" w:sz="4" w:space="0"/>
                  </w:tcBorders>
                  <w:vAlign w:val="center"/>
                </w:tcPr>
                <w:p>
                  <w:pPr>
                    <w:snapToGrid w:val="0"/>
                    <w:jc w:val="center"/>
                    <w:rPr>
                      <w:bCs/>
                    </w:rPr>
                  </w:pPr>
                  <w:r>
                    <w:rPr>
                      <w:bCs/>
                    </w:rPr>
                    <w:t>四周</w:t>
                  </w:r>
                </w:p>
              </w:tc>
              <w:tc>
                <w:tcPr>
                  <w:tcW w:w="515" w:type="pct"/>
                  <w:tcBorders>
                    <w:top w:val="single" w:color="auto" w:sz="12" w:space="0"/>
                    <w:bottom w:val="single" w:color="auto" w:sz="4" w:space="0"/>
                  </w:tcBorders>
                  <w:vAlign w:val="center"/>
                </w:tcPr>
                <w:p>
                  <w:pPr>
                    <w:snapToGrid w:val="0"/>
                    <w:jc w:val="center"/>
                    <w:rPr>
                      <w:bCs/>
                    </w:rPr>
                  </w:pPr>
                  <w:r>
                    <w:rPr>
                      <w:bCs/>
                    </w:rPr>
                    <w:t>/</w:t>
                  </w:r>
                </w:p>
              </w:tc>
              <w:tc>
                <w:tcPr>
                  <w:tcW w:w="963" w:type="pct"/>
                  <w:tcBorders>
                    <w:top w:val="single" w:color="auto" w:sz="12" w:space="0"/>
                    <w:bottom w:val="single" w:color="auto" w:sz="4" w:space="0"/>
                  </w:tcBorders>
                  <w:vAlign w:val="center"/>
                </w:tcPr>
                <w:p>
                  <w:pPr>
                    <w:snapToGrid w:val="0"/>
                    <w:jc w:val="center"/>
                    <w:rPr>
                      <w:bCs/>
                    </w:rPr>
                  </w:pPr>
                  <w:r>
                    <w:rPr>
                      <w:bCs/>
                    </w:rPr>
                    <w:t>/</w:t>
                  </w:r>
                </w:p>
              </w:tc>
              <w:tc>
                <w:tcPr>
                  <w:tcW w:w="1755" w:type="pct"/>
                  <w:tcBorders>
                    <w:top w:val="single" w:color="auto" w:sz="12" w:space="0"/>
                    <w:bottom w:val="single" w:color="auto" w:sz="4" w:space="0"/>
                    <w:right w:val="nil"/>
                  </w:tcBorders>
                  <w:vAlign w:val="center"/>
                </w:tcPr>
                <w:p>
                  <w:pPr>
                    <w:snapToGrid w:val="0"/>
                    <w:jc w:val="center"/>
                    <w:rPr>
                      <w:bCs/>
                    </w:rPr>
                  </w:pPr>
                  <w:r>
                    <w:rPr>
                      <w:bCs/>
                    </w:rPr>
                    <w:t>《环境空气质量标准》（GB3095-2012）中二类区</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517" w:type="pct"/>
                  <w:tcBorders>
                    <w:top w:val="single" w:color="auto" w:sz="4" w:space="0"/>
                    <w:left w:val="nil"/>
                  </w:tcBorders>
                  <w:vAlign w:val="center"/>
                </w:tcPr>
                <w:p>
                  <w:pPr>
                    <w:snapToGrid w:val="0"/>
                    <w:jc w:val="center"/>
                  </w:pPr>
                  <w:r>
                    <w:t>声环境</w:t>
                  </w:r>
                </w:p>
              </w:tc>
              <w:tc>
                <w:tcPr>
                  <w:tcW w:w="839" w:type="pct"/>
                  <w:tcBorders>
                    <w:top w:val="single" w:color="auto" w:sz="4" w:space="0"/>
                  </w:tcBorders>
                  <w:vAlign w:val="center"/>
                </w:tcPr>
                <w:p>
                  <w:pPr>
                    <w:snapToGrid w:val="0"/>
                    <w:ind w:left="-108" w:leftChars="-45" w:right="-139" w:rightChars="-58"/>
                    <w:jc w:val="center"/>
                  </w:pPr>
                  <w:r>
                    <w:t>厂界外50m范围内声环境保护目标</w:t>
                  </w:r>
                </w:p>
              </w:tc>
              <w:tc>
                <w:tcPr>
                  <w:tcW w:w="411" w:type="pct"/>
                  <w:tcBorders>
                    <w:top w:val="single" w:color="auto" w:sz="4" w:space="0"/>
                  </w:tcBorders>
                  <w:vAlign w:val="center"/>
                </w:tcPr>
                <w:p>
                  <w:pPr>
                    <w:snapToGrid w:val="0"/>
                    <w:jc w:val="center"/>
                  </w:pPr>
                  <w:r>
                    <w:t>四周</w:t>
                  </w:r>
                </w:p>
              </w:tc>
              <w:tc>
                <w:tcPr>
                  <w:tcW w:w="515" w:type="pct"/>
                  <w:tcBorders>
                    <w:top w:val="single" w:color="auto" w:sz="4" w:space="0"/>
                  </w:tcBorders>
                  <w:vAlign w:val="center"/>
                </w:tcPr>
                <w:p>
                  <w:pPr>
                    <w:snapToGrid w:val="0"/>
                    <w:jc w:val="center"/>
                  </w:pPr>
                  <w:r>
                    <w:t>/</w:t>
                  </w:r>
                </w:p>
              </w:tc>
              <w:tc>
                <w:tcPr>
                  <w:tcW w:w="963" w:type="pct"/>
                  <w:tcBorders>
                    <w:top w:val="single" w:color="auto" w:sz="4" w:space="0"/>
                  </w:tcBorders>
                  <w:vAlign w:val="center"/>
                </w:tcPr>
                <w:p>
                  <w:pPr>
                    <w:snapToGrid w:val="0"/>
                    <w:jc w:val="center"/>
                  </w:pPr>
                  <w:r>
                    <w:rPr>
                      <w:kern w:val="0"/>
                      <w:lang w:bidi="ar"/>
                    </w:rPr>
                    <w:t>/</w:t>
                  </w:r>
                </w:p>
              </w:tc>
              <w:tc>
                <w:tcPr>
                  <w:tcW w:w="1755" w:type="pct"/>
                  <w:tcBorders>
                    <w:top w:val="single" w:color="auto" w:sz="4" w:space="0"/>
                    <w:right w:val="nil"/>
                  </w:tcBorders>
                  <w:vAlign w:val="center"/>
                </w:tcPr>
                <w:p>
                  <w:pPr>
                    <w:snapToGrid w:val="0"/>
                    <w:jc w:val="center"/>
                  </w:pPr>
                  <w:r>
                    <w:rPr>
                      <w:szCs w:val="21"/>
                    </w:rPr>
                    <w:t>《声环境质量标准》（GB3096-2008）3类标准</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517" w:type="pct"/>
                  <w:vMerge w:val="restart"/>
                  <w:tcBorders>
                    <w:left w:val="nil"/>
                  </w:tcBorders>
                  <w:vAlign w:val="center"/>
                </w:tcPr>
                <w:p>
                  <w:pPr>
                    <w:snapToGrid w:val="0"/>
                    <w:jc w:val="center"/>
                  </w:pPr>
                  <w:r>
                    <w:t>地表水</w:t>
                  </w:r>
                </w:p>
              </w:tc>
              <w:tc>
                <w:tcPr>
                  <w:tcW w:w="839" w:type="pct"/>
                  <w:vAlign w:val="center"/>
                </w:tcPr>
                <w:p>
                  <w:pPr>
                    <w:snapToGrid w:val="0"/>
                    <w:ind w:left="-108" w:leftChars="-45" w:right="-139" w:rightChars="-58"/>
                    <w:jc w:val="center"/>
                  </w:pPr>
                  <w:r>
                    <w:t>泥溪河</w:t>
                  </w:r>
                </w:p>
              </w:tc>
              <w:tc>
                <w:tcPr>
                  <w:tcW w:w="411" w:type="pct"/>
                  <w:vAlign w:val="center"/>
                </w:tcPr>
                <w:p>
                  <w:pPr>
                    <w:snapToGrid w:val="0"/>
                    <w:jc w:val="center"/>
                    <w:rPr>
                      <w:szCs w:val="21"/>
                    </w:rPr>
                  </w:pPr>
                  <w:r>
                    <w:rPr>
                      <w:szCs w:val="21"/>
                    </w:rPr>
                    <w:t>西北</w:t>
                  </w:r>
                </w:p>
              </w:tc>
              <w:tc>
                <w:tcPr>
                  <w:tcW w:w="515" w:type="pct"/>
                  <w:vAlign w:val="center"/>
                </w:tcPr>
                <w:p>
                  <w:pPr>
                    <w:snapToGrid w:val="0"/>
                    <w:jc w:val="center"/>
                  </w:pPr>
                  <w:r>
                    <w:t>约2.4km</w:t>
                  </w:r>
                </w:p>
              </w:tc>
              <w:tc>
                <w:tcPr>
                  <w:tcW w:w="963" w:type="pct"/>
                  <w:vMerge w:val="restart"/>
                  <w:vAlign w:val="center"/>
                </w:tcPr>
                <w:p>
                  <w:pPr>
                    <w:snapToGrid w:val="0"/>
                    <w:jc w:val="center"/>
                    <w:rPr>
                      <w:lang w:bidi="ar"/>
                    </w:rPr>
                  </w:pPr>
                  <w:r>
                    <w:rPr>
                      <w:lang w:bidi="ar"/>
                    </w:rPr>
                    <w:t>周边水体</w:t>
                  </w:r>
                </w:p>
              </w:tc>
              <w:tc>
                <w:tcPr>
                  <w:tcW w:w="1755" w:type="pct"/>
                  <w:vMerge w:val="restart"/>
                  <w:tcBorders>
                    <w:right w:val="nil"/>
                  </w:tcBorders>
                  <w:vAlign w:val="center"/>
                </w:tcPr>
                <w:p>
                  <w:pPr>
                    <w:snapToGrid w:val="0"/>
                    <w:jc w:val="center"/>
                  </w:pPr>
                  <w:r>
                    <w:t>《地表水环境质量标准》（GB3838-2002）中的Ⅲ类水域标准</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517" w:type="pct"/>
                  <w:vMerge w:val="continue"/>
                  <w:tcBorders>
                    <w:left w:val="nil"/>
                  </w:tcBorders>
                  <w:vAlign w:val="center"/>
                </w:tcPr>
                <w:p>
                  <w:pPr>
                    <w:snapToGrid w:val="0"/>
                    <w:jc w:val="center"/>
                  </w:pPr>
                </w:p>
              </w:tc>
              <w:tc>
                <w:tcPr>
                  <w:tcW w:w="839" w:type="pct"/>
                  <w:vAlign w:val="center"/>
                </w:tcPr>
                <w:p>
                  <w:pPr>
                    <w:snapToGrid w:val="0"/>
                    <w:ind w:left="-108" w:leftChars="-45" w:right="-139" w:rightChars="-58"/>
                    <w:jc w:val="center"/>
                  </w:pPr>
                  <w:r>
                    <w:t>山珍水库</w:t>
                  </w:r>
                </w:p>
              </w:tc>
              <w:tc>
                <w:tcPr>
                  <w:tcW w:w="411" w:type="pct"/>
                  <w:vAlign w:val="center"/>
                </w:tcPr>
                <w:p>
                  <w:pPr>
                    <w:snapToGrid w:val="0"/>
                    <w:jc w:val="center"/>
                    <w:rPr>
                      <w:szCs w:val="21"/>
                    </w:rPr>
                  </w:pPr>
                  <w:r>
                    <w:rPr>
                      <w:szCs w:val="21"/>
                    </w:rPr>
                    <w:t>西</w:t>
                  </w:r>
                </w:p>
              </w:tc>
              <w:tc>
                <w:tcPr>
                  <w:tcW w:w="515" w:type="pct"/>
                  <w:vAlign w:val="center"/>
                </w:tcPr>
                <w:p>
                  <w:pPr>
                    <w:snapToGrid w:val="0"/>
                    <w:jc w:val="center"/>
                  </w:pPr>
                  <w:r>
                    <w:t>约1km</w:t>
                  </w:r>
                </w:p>
              </w:tc>
              <w:tc>
                <w:tcPr>
                  <w:tcW w:w="963" w:type="pct"/>
                  <w:vMerge w:val="continue"/>
                  <w:vAlign w:val="center"/>
                </w:tcPr>
                <w:p>
                  <w:pPr>
                    <w:snapToGrid w:val="0"/>
                    <w:jc w:val="center"/>
                    <w:rPr>
                      <w:lang w:bidi="ar"/>
                    </w:rPr>
                  </w:pPr>
                </w:p>
              </w:tc>
              <w:tc>
                <w:tcPr>
                  <w:tcW w:w="1755" w:type="pct"/>
                  <w:vMerge w:val="continue"/>
                  <w:tcBorders>
                    <w:right w:val="nil"/>
                  </w:tcBorders>
                  <w:vAlign w:val="center"/>
                </w:tcPr>
                <w:p>
                  <w:pPr>
                    <w:snapToGrid w:val="0"/>
                    <w:jc w:val="cente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517" w:type="pct"/>
                  <w:vMerge w:val="continue"/>
                  <w:tcBorders>
                    <w:left w:val="nil"/>
                  </w:tcBorders>
                  <w:vAlign w:val="center"/>
                </w:tcPr>
                <w:p>
                  <w:pPr>
                    <w:snapToGrid w:val="0"/>
                    <w:jc w:val="center"/>
                  </w:pPr>
                </w:p>
              </w:tc>
              <w:tc>
                <w:tcPr>
                  <w:tcW w:w="839" w:type="pct"/>
                  <w:vAlign w:val="center"/>
                </w:tcPr>
                <w:p>
                  <w:pPr>
                    <w:snapToGrid w:val="0"/>
                    <w:ind w:left="-108" w:leftChars="-45" w:right="-139" w:rightChars="-58"/>
                    <w:jc w:val="center"/>
                  </w:pPr>
                  <w:r>
                    <w:t>高中水库</w:t>
                  </w:r>
                </w:p>
              </w:tc>
              <w:tc>
                <w:tcPr>
                  <w:tcW w:w="411" w:type="pct"/>
                  <w:vAlign w:val="center"/>
                </w:tcPr>
                <w:p>
                  <w:pPr>
                    <w:snapToGrid w:val="0"/>
                    <w:jc w:val="center"/>
                    <w:rPr>
                      <w:szCs w:val="21"/>
                    </w:rPr>
                  </w:pPr>
                  <w:r>
                    <w:rPr>
                      <w:szCs w:val="21"/>
                    </w:rPr>
                    <w:t>东北</w:t>
                  </w:r>
                </w:p>
              </w:tc>
              <w:tc>
                <w:tcPr>
                  <w:tcW w:w="515" w:type="pct"/>
                  <w:vAlign w:val="center"/>
                </w:tcPr>
                <w:p>
                  <w:pPr>
                    <w:snapToGrid w:val="0"/>
                    <w:jc w:val="center"/>
                  </w:pPr>
                  <w:r>
                    <w:t>约2.6km</w:t>
                  </w:r>
                </w:p>
              </w:tc>
              <w:tc>
                <w:tcPr>
                  <w:tcW w:w="963" w:type="pct"/>
                  <w:vMerge w:val="continue"/>
                  <w:vAlign w:val="center"/>
                </w:tcPr>
                <w:p>
                  <w:pPr>
                    <w:snapToGrid w:val="0"/>
                    <w:jc w:val="center"/>
                    <w:rPr>
                      <w:lang w:bidi="ar"/>
                    </w:rPr>
                  </w:pPr>
                </w:p>
              </w:tc>
              <w:tc>
                <w:tcPr>
                  <w:tcW w:w="1755" w:type="pct"/>
                  <w:vMerge w:val="continue"/>
                  <w:tcBorders>
                    <w:right w:val="nil"/>
                  </w:tcBorders>
                  <w:vAlign w:val="center"/>
                </w:tcPr>
                <w:p>
                  <w:pPr>
                    <w:snapToGrid w:val="0"/>
                    <w:jc w:val="cente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517" w:type="pct"/>
                  <w:vMerge w:val="continue"/>
                  <w:tcBorders>
                    <w:left w:val="nil"/>
                  </w:tcBorders>
                  <w:vAlign w:val="center"/>
                </w:tcPr>
                <w:p>
                  <w:pPr>
                    <w:snapToGrid w:val="0"/>
                    <w:jc w:val="center"/>
                  </w:pPr>
                </w:p>
              </w:tc>
              <w:tc>
                <w:tcPr>
                  <w:tcW w:w="839" w:type="pct"/>
                  <w:vAlign w:val="center"/>
                </w:tcPr>
                <w:p>
                  <w:pPr>
                    <w:snapToGrid w:val="0"/>
                    <w:ind w:left="-108" w:leftChars="-45" w:right="-139" w:rightChars="-58"/>
                    <w:jc w:val="center"/>
                  </w:pPr>
                  <w:r>
                    <w:t>磨池河</w:t>
                  </w:r>
                </w:p>
              </w:tc>
              <w:tc>
                <w:tcPr>
                  <w:tcW w:w="411" w:type="pct"/>
                  <w:vAlign w:val="center"/>
                </w:tcPr>
                <w:p>
                  <w:pPr>
                    <w:snapToGrid w:val="0"/>
                    <w:jc w:val="center"/>
                    <w:rPr>
                      <w:szCs w:val="21"/>
                    </w:rPr>
                  </w:pPr>
                  <w:r>
                    <w:rPr>
                      <w:szCs w:val="21"/>
                    </w:rPr>
                    <w:t>东北</w:t>
                  </w:r>
                </w:p>
              </w:tc>
              <w:tc>
                <w:tcPr>
                  <w:tcW w:w="515" w:type="pct"/>
                  <w:vAlign w:val="center"/>
                </w:tcPr>
                <w:p>
                  <w:pPr>
                    <w:snapToGrid w:val="0"/>
                    <w:jc w:val="center"/>
                  </w:pPr>
                  <w:r>
                    <w:t>约1.8km</w:t>
                  </w:r>
                </w:p>
              </w:tc>
              <w:tc>
                <w:tcPr>
                  <w:tcW w:w="963" w:type="pct"/>
                  <w:vMerge w:val="continue"/>
                  <w:vAlign w:val="center"/>
                </w:tcPr>
                <w:p>
                  <w:pPr>
                    <w:snapToGrid w:val="0"/>
                    <w:jc w:val="center"/>
                    <w:rPr>
                      <w:lang w:bidi="ar"/>
                    </w:rPr>
                  </w:pPr>
                </w:p>
              </w:tc>
              <w:tc>
                <w:tcPr>
                  <w:tcW w:w="1755" w:type="pct"/>
                  <w:vMerge w:val="continue"/>
                  <w:tcBorders>
                    <w:right w:val="nil"/>
                  </w:tcBorders>
                  <w:vAlign w:val="center"/>
                </w:tcPr>
                <w:p>
                  <w:pPr>
                    <w:snapToGrid w:val="0"/>
                    <w:jc w:val="cente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517" w:type="pct"/>
                  <w:vMerge w:val="continue"/>
                  <w:tcBorders>
                    <w:left w:val="nil"/>
                  </w:tcBorders>
                  <w:vAlign w:val="center"/>
                </w:tcPr>
                <w:p>
                  <w:pPr>
                    <w:snapToGrid w:val="0"/>
                    <w:jc w:val="center"/>
                  </w:pPr>
                </w:p>
              </w:tc>
              <w:tc>
                <w:tcPr>
                  <w:tcW w:w="839" w:type="pct"/>
                  <w:vAlign w:val="center"/>
                </w:tcPr>
                <w:p>
                  <w:pPr>
                    <w:snapToGrid w:val="0"/>
                    <w:ind w:left="-108" w:leftChars="-45" w:right="-139" w:rightChars="-58"/>
                    <w:jc w:val="center"/>
                  </w:pPr>
                  <w:r>
                    <w:t>岷江</w:t>
                  </w:r>
                </w:p>
              </w:tc>
              <w:tc>
                <w:tcPr>
                  <w:tcW w:w="411" w:type="pct"/>
                  <w:vAlign w:val="center"/>
                </w:tcPr>
                <w:p>
                  <w:pPr>
                    <w:snapToGrid w:val="0"/>
                    <w:jc w:val="center"/>
                    <w:rPr>
                      <w:szCs w:val="21"/>
                    </w:rPr>
                  </w:pPr>
                  <w:r>
                    <w:rPr>
                      <w:szCs w:val="21"/>
                    </w:rPr>
                    <w:t>西</w:t>
                  </w:r>
                </w:p>
              </w:tc>
              <w:tc>
                <w:tcPr>
                  <w:tcW w:w="515" w:type="pct"/>
                  <w:vAlign w:val="center"/>
                </w:tcPr>
                <w:p>
                  <w:pPr>
                    <w:snapToGrid w:val="0"/>
                    <w:jc w:val="center"/>
                  </w:pPr>
                  <w:r>
                    <w:t>约9km</w:t>
                  </w:r>
                </w:p>
              </w:tc>
              <w:tc>
                <w:tcPr>
                  <w:tcW w:w="963" w:type="pct"/>
                  <w:vAlign w:val="center"/>
                </w:tcPr>
                <w:p>
                  <w:pPr>
                    <w:snapToGrid w:val="0"/>
                    <w:jc w:val="center"/>
                    <w:rPr>
                      <w:lang w:bidi="ar"/>
                    </w:rPr>
                  </w:pPr>
                  <w:r>
                    <w:rPr>
                      <w:lang w:bidi="ar"/>
                    </w:rPr>
                    <w:t>地表水</w:t>
                  </w:r>
                </w:p>
              </w:tc>
              <w:tc>
                <w:tcPr>
                  <w:tcW w:w="1755" w:type="pct"/>
                  <w:vMerge w:val="continue"/>
                  <w:tcBorders>
                    <w:right w:val="nil"/>
                  </w:tcBorders>
                  <w:vAlign w:val="center"/>
                </w:tcPr>
                <w:p>
                  <w:pPr>
                    <w:snapToGrid w:val="0"/>
                    <w:jc w:val="cente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517" w:type="pct"/>
                  <w:tcBorders>
                    <w:left w:val="nil"/>
                  </w:tcBorders>
                  <w:vAlign w:val="center"/>
                </w:tcPr>
                <w:p>
                  <w:pPr>
                    <w:snapToGrid w:val="0"/>
                    <w:jc w:val="center"/>
                  </w:pPr>
                  <w:r>
                    <w:t>地下水</w:t>
                  </w:r>
                </w:p>
              </w:tc>
              <w:tc>
                <w:tcPr>
                  <w:tcW w:w="1765" w:type="pct"/>
                  <w:gridSpan w:val="3"/>
                  <w:vAlign w:val="center"/>
                </w:tcPr>
                <w:p>
                  <w:pPr>
                    <w:snapToGrid w:val="0"/>
                    <w:jc w:val="left"/>
                  </w:pPr>
                  <w:r>
                    <w:t>厂界外500米范围内的地下水分散式饮用水水源等特殊地下水资源</w:t>
                  </w:r>
                </w:p>
              </w:tc>
              <w:tc>
                <w:tcPr>
                  <w:tcW w:w="963" w:type="pct"/>
                  <w:vAlign w:val="center"/>
                </w:tcPr>
                <w:p>
                  <w:pPr>
                    <w:snapToGrid w:val="0"/>
                    <w:jc w:val="center"/>
                  </w:pPr>
                  <w:r>
                    <w:t>评价区域的地下水潜水含水层</w:t>
                  </w:r>
                </w:p>
              </w:tc>
              <w:tc>
                <w:tcPr>
                  <w:tcW w:w="1755" w:type="pct"/>
                  <w:tcBorders>
                    <w:right w:val="nil"/>
                  </w:tcBorders>
                  <w:vAlign w:val="center"/>
                </w:tcPr>
                <w:p>
                  <w:pPr>
                    <w:snapToGrid w:val="0"/>
                    <w:jc w:val="center"/>
                  </w:pPr>
                  <w:r>
                    <w:t>《地下水质量标准》（GB/T14848-2017）Ⅲ类</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517" w:type="pct"/>
                  <w:tcBorders>
                    <w:left w:val="nil"/>
                    <w:bottom w:val="single" w:color="auto" w:sz="12" w:space="0"/>
                  </w:tcBorders>
                  <w:vAlign w:val="center"/>
                </w:tcPr>
                <w:p>
                  <w:pPr>
                    <w:snapToGrid w:val="0"/>
                    <w:jc w:val="center"/>
                  </w:pPr>
                  <w:r>
                    <w:t>土壤</w:t>
                  </w:r>
                </w:p>
              </w:tc>
              <w:tc>
                <w:tcPr>
                  <w:tcW w:w="1765" w:type="pct"/>
                  <w:gridSpan w:val="3"/>
                  <w:tcBorders>
                    <w:bottom w:val="single" w:color="auto" w:sz="12" w:space="0"/>
                  </w:tcBorders>
                  <w:vAlign w:val="center"/>
                </w:tcPr>
                <w:p>
                  <w:pPr>
                    <w:snapToGrid w:val="0"/>
                    <w:jc w:val="center"/>
                  </w:pPr>
                  <w:r>
                    <w:t>项目厂界外延0.05km范围内</w:t>
                  </w:r>
                </w:p>
              </w:tc>
              <w:tc>
                <w:tcPr>
                  <w:tcW w:w="963" w:type="pct"/>
                  <w:tcBorders>
                    <w:bottom w:val="single" w:color="auto" w:sz="12" w:space="0"/>
                  </w:tcBorders>
                  <w:vAlign w:val="center"/>
                </w:tcPr>
                <w:p>
                  <w:pPr>
                    <w:snapToGrid w:val="0"/>
                    <w:jc w:val="center"/>
                  </w:pPr>
                  <w:r>
                    <w:t>周边灌木林地、耕地</w:t>
                  </w:r>
                </w:p>
              </w:tc>
              <w:tc>
                <w:tcPr>
                  <w:tcW w:w="1755" w:type="pct"/>
                  <w:tcBorders>
                    <w:bottom w:val="single" w:color="auto" w:sz="12" w:space="0"/>
                    <w:right w:val="nil"/>
                  </w:tcBorders>
                  <w:vAlign w:val="center"/>
                </w:tcPr>
                <w:p>
                  <w:pPr>
                    <w:snapToGrid w:val="0"/>
                    <w:jc w:val="center"/>
                  </w:pPr>
                  <w:r>
                    <w:t>《土壤环境质量 建设用地土壤污染风险管控标准》（GB36600-2018）中筛选值限值</w:t>
                  </w:r>
                </w:p>
              </w:tc>
            </w:tr>
          </w:tbl>
          <w:p>
            <w:pPr>
              <w:adjustRightInd w:val="0"/>
              <w:snapToGrid w:val="0"/>
              <w:jc w:val="center"/>
              <w:rPr>
                <w:kern w:val="0"/>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87" w:hRule="atLeast"/>
          <w:jc w:val="center"/>
        </w:trPr>
        <w:tc>
          <w:tcPr>
            <w:tcW w:w="800" w:type="dxa"/>
            <w:tcMar>
              <w:left w:w="28" w:type="dxa"/>
              <w:right w:w="28" w:type="dxa"/>
            </w:tcMar>
            <w:vAlign w:val="center"/>
          </w:tcPr>
          <w:p>
            <w:pPr>
              <w:adjustRightInd w:val="0"/>
              <w:snapToGrid w:val="0"/>
              <w:jc w:val="center"/>
              <w:rPr>
                <w:kern w:val="0"/>
                <w:szCs w:val="21"/>
              </w:rPr>
            </w:pPr>
            <w:r>
              <w:rPr>
                <w:kern w:val="0"/>
                <w:szCs w:val="21"/>
              </w:rPr>
              <w:t>污染</w:t>
            </w:r>
          </w:p>
          <w:p>
            <w:pPr>
              <w:adjustRightInd w:val="0"/>
              <w:snapToGrid w:val="0"/>
              <w:jc w:val="center"/>
              <w:rPr>
                <w:kern w:val="0"/>
                <w:szCs w:val="21"/>
              </w:rPr>
            </w:pPr>
            <w:r>
              <w:rPr>
                <w:kern w:val="0"/>
                <w:szCs w:val="21"/>
              </w:rPr>
              <w:t>物排</w:t>
            </w:r>
          </w:p>
          <w:p>
            <w:pPr>
              <w:adjustRightInd w:val="0"/>
              <w:snapToGrid w:val="0"/>
              <w:jc w:val="center"/>
              <w:rPr>
                <w:kern w:val="0"/>
                <w:szCs w:val="21"/>
              </w:rPr>
            </w:pPr>
            <w:r>
              <w:rPr>
                <w:kern w:val="0"/>
                <w:szCs w:val="21"/>
              </w:rPr>
              <w:t>放控</w:t>
            </w:r>
          </w:p>
          <w:p>
            <w:pPr>
              <w:adjustRightInd w:val="0"/>
              <w:snapToGrid w:val="0"/>
              <w:jc w:val="center"/>
              <w:rPr>
                <w:kern w:val="0"/>
                <w:szCs w:val="21"/>
              </w:rPr>
            </w:pPr>
            <w:r>
              <w:rPr>
                <w:kern w:val="0"/>
                <w:szCs w:val="21"/>
              </w:rPr>
              <w:t>制标</w:t>
            </w:r>
          </w:p>
          <w:p>
            <w:pPr>
              <w:adjustRightInd w:val="0"/>
              <w:snapToGrid w:val="0"/>
              <w:jc w:val="center"/>
              <w:rPr>
                <w:kern w:val="0"/>
                <w:szCs w:val="21"/>
              </w:rPr>
            </w:pPr>
            <w:r>
              <w:rPr>
                <w:kern w:val="0"/>
                <w:szCs w:val="21"/>
              </w:rPr>
              <w:t>准</w:t>
            </w:r>
          </w:p>
        </w:tc>
        <w:tc>
          <w:tcPr>
            <w:tcW w:w="8190" w:type="dxa"/>
            <w:vAlign w:val="center"/>
          </w:tcPr>
          <w:p>
            <w:pPr>
              <w:spacing w:line="360" w:lineRule="auto"/>
              <w:rPr>
                <w:b/>
                <w:sz w:val="24"/>
              </w:rPr>
            </w:pPr>
            <w:r>
              <w:rPr>
                <w:b/>
                <w:sz w:val="24"/>
              </w:rPr>
              <w:t>一、废气排放标准</w:t>
            </w:r>
          </w:p>
          <w:p>
            <w:pPr>
              <w:spacing w:line="360" w:lineRule="auto"/>
              <w:ind w:firstLine="480" w:firstLineChars="200"/>
              <w:rPr>
                <w:sz w:val="24"/>
              </w:rPr>
            </w:pPr>
            <w:r>
              <w:rPr>
                <w:sz w:val="24"/>
              </w:rPr>
              <w:t>项目大气污染物中颗粒物排放执行《大气污染物综合排放标准》（GB16297-1996）中表2相关标准。</w:t>
            </w:r>
          </w:p>
          <w:p>
            <w:pPr>
              <w:spacing w:line="360" w:lineRule="auto"/>
              <w:jc w:val="center"/>
              <w:rPr>
                <w:snapToGrid w:val="0"/>
                <w:kern w:val="0"/>
                <w:sz w:val="24"/>
                <w:vertAlign w:val="superscript"/>
              </w:rPr>
            </w:pPr>
            <w:r>
              <w:rPr>
                <w:bCs/>
                <w:sz w:val="24"/>
              </w:rPr>
              <w:t>表3-6 《大气污染物综合排放标准》（GB16297-1996）</w:t>
            </w:r>
            <w:r>
              <w:rPr>
                <w:snapToGrid w:val="0"/>
                <w:kern w:val="0"/>
                <w:sz w:val="24"/>
              </w:rPr>
              <w:t>单位：mg/m</w:t>
            </w:r>
            <w:r>
              <w:rPr>
                <w:snapToGrid w:val="0"/>
                <w:kern w:val="0"/>
                <w:sz w:val="24"/>
                <w:vertAlign w:val="superscript"/>
              </w:rPr>
              <w:t>3</w:t>
            </w:r>
          </w:p>
          <w:tbl>
            <w:tblPr>
              <w:tblStyle w:val="38"/>
              <w:tblW w:w="5000"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2694"/>
              <w:gridCol w:w="976"/>
              <w:gridCol w:w="2533"/>
              <w:gridCol w:w="938"/>
              <w:gridCol w:w="1143"/>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626" w:type="pct"/>
                  <w:vAlign w:val="center"/>
                </w:tcPr>
                <w:p>
                  <w:pPr>
                    <w:kinsoku w:val="0"/>
                    <w:overflowPunct w:val="0"/>
                    <w:autoSpaceDE w:val="0"/>
                    <w:autoSpaceDN w:val="0"/>
                    <w:jc w:val="center"/>
                    <w:rPr>
                      <w:b/>
                      <w:kern w:val="0"/>
                      <w:szCs w:val="21"/>
                    </w:rPr>
                  </w:pPr>
                  <w:r>
                    <w:rPr>
                      <w:b/>
                      <w:kern w:val="0"/>
                      <w:szCs w:val="21"/>
                    </w:rPr>
                    <w:t>标准</w:t>
                  </w:r>
                </w:p>
              </w:tc>
              <w:tc>
                <w:tcPr>
                  <w:tcW w:w="589" w:type="pct"/>
                  <w:vAlign w:val="center"/>
                </w:tcPr>
                <w:p>
                  <w:pPr>
                    <w:kinsoku w:val="0"/>
                    <w:overflowPunct w:val="0"/>
                    <w:autoSpaceDE w:val="0"/>
                    <w:autoSpaceDN w:val="0"/>
                    <w:jc w:val="center"/>
                    <w:rPr>
                      <w:b/>
                      <w:kern w:val="0"/>
                      <w:szCs w:val="21"/>
                    </w:rPr>
                  </w:pPr>
                  <w:r>
                    <w:rPr>
                      <w:b/>
                      <w:kern w:val="0"/>
                      <w:szCs w:val="21"/>
                    </w:rPr>
                    <w:t>项目</w:t>
                  </w:r>
                </w:p>
              </w:tc>
              <w:tc>
                <w:tcPr>
                  <w:tcW w:w="1529" w:type="pct"/>
                  <w:vAlign w:val="center"/>
                </w:tcPr>
                <w:p>
                  <w:pPr>
                    <w:kinsoku w:val="0"/>
                    <w:overflowPunct w:val="0"/>
                    <w:autoSpaceDE w:val="0"/>
                    <w:autoSpaceDN w:val="0"/>
                    <w:jc w:val="center"/>
                    <w:rPr>
                      <w:b/>
                      <w:kern w:val="0"/>
                      <w:szCs w:val="21"/>
                    </w:rPr>
                  </w:pPr>
                  <w:r>
                    <w:rPr>
                      <w:b/>
                      <w:kern w:val="0"/>
                      <w:szCs w:val="21"/>
                    </w:rPr>
                    <w:t>类别</w:t>
                  </w:r>
                </w:p>
              </w:tc>
              <w:tc>
                <w:tcPr>
                  <w:tcW w:w="566" w:type="pct"/>
                  <w:vAlign w:val="center"/>
                </w:tcPr>
                <w:p>
                  <w:pPr>
                    <w:kinsoku w:val="0"/>
                    <w:overflowPunct w:val="0"/>
                    <w:autoSpaceDE w:val="0"/>
                    <w:autoSpaceDN w:val="0"/>
                    <w:jc w:val="center"/>
                    <w:rPr>
                      <w:b/>
                      <w:kern w:val="0"/>
                      <w:szCs w:val="21"/>
                    </w:rPr>
                  </w:pPr>
                  <w:r>
                    <w:rPr>
                      <w:b/>
                      <w:kern w:val="0"/>
                      <w:szCs w:val="21"/>
                    </w:rPr>
                    <w:t>限值</w:t>
                  </w:r>
                </w:p>
              </w:tc>
              <w:tc>
                <w:tcPr>
                  <w:tcW w:w="690" w:type="pct"/>
                  <w:vAlign w:val="center"/>
                </w:tcPr>
                <w:p>
                  <w:pPr>
                    <w:kinsoku w:val="0"/>
                    <w:overflowPunct w:val="0"/>
                    <w:autoSpaceDE w:val="0"/>
                    <w:autoSpaceDN w:val="0"/>
                    <w:jc w:val="center"/>
                    <w:rPr>
                      <w:b/>
                      <w:kern w:val="0"/>
                      <w:szCs w:val="21"/>
                    </w:rPr>
                  </w:pPr>
                  <w:r>
                    <w:rPr>
                      <w:b/>
                      <w:kern w:val="0"/>
                      <w:szCs w:val="21"/>
                    </w:rPr>
                    <w:t>单位</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626" w:type="pct"/>
                  <w:vAlign w:val="center"/>
                </w:tcPr>
                <w:p>
                  <w:pPr>
                    <w:kinsoku w:val="0"/>
                    <w:overflowPunct w:val="0"/>
                    <w:autoSpaceDE w:val="0"/>
                    <w:autoSpaceDN w:val="0"/>
                    <w:jc w:val="center"/>
                    <w:rPr>
                      <w:kern w:val="0"/>
                      <w:szCs w:val="21"/>
                    </w:rPr>
                  </w:pPr>
                  <w:r>
                    <w:t>《大气污染物综合排放标准》（GB16297-1996）</w:t>
                  </w:r>
                </w:p>
              </w:tc>
              <w:tc>
                <w:tcPr>
                  <w:tcW w:w="589" w:type="pct"/>
                  <w:vAlign w:val="center"/>
                </w:tcPr>
                <w:p>
                  <w:pPr>
                    <w:kinsoku w:val="0"/>
                    <w:overflowPunct w:val="0"/>
                    <w:autoSpaceDE w:val="0"/>
                    <w:autoSpaceDN w:val="0"/>
                    <w:jc w:val="center"/>
                    <w:rPr>
                      <w:kern w:val="0"/>
                      <w:szCs w:val="21"/>
                    </w:rPr>
                  </w:pPr>
                  <w:r>
                    <w:rPr>
                      <w:kern w:val="0"/>
                      <w:szCs w:val="21"/>
                    </w:rPr>
                    <w:t>颗粒物</w:t>
                  </w:r>
                </w:p>
              </w:tc>
              <w:tc>
                <w:tcPr>
                  <w:tcW w:w="1529" w:type="pct"/>
                  <w:vAlign w:val="center"/>
                </w:tcPr>
                <w:p>
                  <w:pPr>
                    <w:kinsoku w:val="0"/>
                    <w:overflowPunct w:val="0"/>
                    <w:autoSpaceDE w:val="0"/>
                    <w:autoSpaceDN w:val="0"/>
                    <w:jc w:val="center"/>
                    <w:rPr>
                      <w:kern w:val="0"/>
                      <w:szCs w:val="21"/>
                    </w:rPr>
                  </w:pPr>
                  <w:r>
                    <w:rPr>
                      <w:kern w:val="0"/>
                      <w:szCs w:val="21"/>
                    </w:rPr>
                    <w:t>无组织排放监控浓度限值（周界外浓度最高点）</w:t>
                  </w:r>
                </w:p>
              </w:tc>
              <w:tc>
                <w:tcPr>
                  <w:tcW w:w="566" w:type="pct"/>
                  <w:vAlign w:val="center"/>
                </w:tcPr>
                <w:p>
                  <w:pPr>
                    <w:kinsoku w:val="0"/>
                    <w:overflowPunct w:val="0"/>
                    <w:autoSpaceDE w:val="0"/>
                    <w:autoSpaceDN w:val="0"/>
                    <w:jc w:val="center"/>
                    <w:rPr>
                      <w:kern w:val="0"/>
                      <w:szCs w:val="21"/>
                    </w:rPr>
                  </w:pPr>
                  <w:r>
                    <w:rPr>
                      <w:kern w:val="0"/>
                      <w:szCs w:val="21"/>
                    </w:rPr>
                    <w:t>1.0</w:t>
                  </w:r>
                </w:p>
              </w:tc>
              <w:tc>
                <w:tcPr>
                  <w:tcW w:w="690" w:type="pct"/>
                  <w:vAlign w:val="center"/>
                </w:tcPr>
                <w:p>
                  <w:pPr>
                    <w:kinsoku w:val="0"/>
                    <w:overflowPunct w:val="0"/>
                    <w:autoSpaceDE w:val="0"/>
                    <w:autoSpaceDN w:val="0"/>
                    <w:jc w:val="center"/>
                    <w:rPr>
                      <w:kern w:val="0"/>
                      <w:szCs w:val="21"/>
                    </w:rPr>
                  </w:pPr>
                  <w:r>
                    <w:rPr>
                      <w:szCs w:val="21"/>
                    </w:rPr>
                    <w:t>mg/m</w:t>
                  </w:r>
                  <w:r>
                    <w:rPr>
                      <w:szCs w:val="21"/>
                      <w:vertAlign w:val="superscript"/>
                    </w:rPr>
                    <w:t>3</w:t>
                  </w:r>
                </w:p>
              </w:tc>
            </w:tr>
          </w:tbl>
          <w:p>
            <w:pPr>
              <w:spacing w:line="360" w:lineRule="auto"/>
              <w:rPr>
                <w:b/>
                <w:sz w:val="24"/>
              </w:rPr>
            </w:pPr>
            <w:r>
              <w:rPr>
                <w:b/>
                <w:sz w:val="24"/>
              </w:rPr>
              <w:t>二、废水排放标准</w:t>
            </w:r>
          </w:p>
          <w:p>
            <w:pPr>
              <w:spacing w:line="360" w:lineRule="auto"/>
              <w:ind w:firstLine="424" w:firstLineChars="177"/>
              <w:rPr>
                <w:sz w:val="24"/>
              </w:rPr>
            </w:pPr>
            <w:r>
              <w:rPr>
                <w:sz w:val="24"/>
              </w:rPr>
              <w:t>本项目营运期废水主要为生产废水（炉渣处理循环工艺用水、降尘废水、地面及设备冲洗用水等）、生活废水（职工生活废水），绿化用水等。生产废水经围挡、管道及导流渠收集后，进入循环水池沉淀后循环使用，不外排。生活污水经一体化污水处理设施处理后回用生产，不外排。无废水排放。</w:t>
            </w:r>
          </w:p>
          <w:p>
            <w:pPr>
              <w:spacing w:line="360" w:lineRule="auto"/>
              <w:rPr>
                <w:b/>
                <w:sz w:val="24"/>
              </w:rPr>
            </w:pPr>
            <w:r>
              <w:rPr>
                <w:b/>
                <w:sz w:val="24"/>
              </w:rPr>
              <w:t>三、噪声执行标准</w:t>
            </w:r>
          </w:p>
          <w:p>
            <w:pPr>
              <w:spacing w:line="360" w:lineRule="auto"/>
              <w:ind w:firstLine="480" w:firstLineChars="200"/>
              <w:rPr>
                <w:sz w:val="24"/>
              </w:rPr>
            </w:pPr>
            <w:r>
              <w:rPr>
                <w:sz w:val="24"/>
              </w:rPr>
              <w:t>施工期：执行《建筑施工场界环境噪声排放标准》(GB12523-2011)中相关标准；营运期：执行国家《工业企业厂界环境噪声排放标准》(GB12348-2008)中的3类标准；</w:t>
            </w:r>
            <w:r>
              <w:rPr>
                <w:bCs/>
                <w:sz w:val="24"/>
              </w:rPr>
              <w:t>标准限值见表3-7。</w:t>
            </w:r>
          </w:p>
          <w:p>
            <w:pPr>
              <w:widowControl/>
              <w:adjustRightInd w:val="0"/>
              <w:snapToGrid w:val="0"/>
              <w:spacing w:line="360" w:lineRule="auto"/>
              <w:ind w:right="106" w:rightChars="44"/>
              <w:jc w:val="center"/>
              <w:rPr>
                <w:snapToGrid w:val="0"/>
                <w:kern w:val="0"/>
                <w:sz w:val="24"/>
              </w:rPr>
            </w:pPr>
            <w:r>
              <w:rPr>
                <w:snapToGrid w:val="0"/>
                <w:kern w:val="0"/>
                <w:sz w:val="24"/>
              </w:rPr>
              <w:t>表3-7  项目噪声执行标准单位：dB(A)</w:t>
            </w:r>
          </w:p>
          <w:tbl>
            <w:tblPr>
              <w:tblStyle w:val="38"/>
              <w:tblW w:w="8284" w:type="dxa"/>
              <w:jc w:val="center"/>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Layout w:type="autofit"/>
              <w:tblCellMar>
                <w:top w:w="0" w:type="dxa"/>
                <w:left w:w="108" w:type="dxa"/>
                <w:bottom w:w="0" w:type="dxa"/>
                <w:right w:w="108" w:type="dxa"/>
              </w:tblCellMar>
            </w:tblPr>
            <w:tblGrid>
              <w:gridCol w:w="3095"/>
              <w:gridCol w:w="2008"/>
              <w:gridCol w:w="3181"/>
            </w:tblGrid>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exact"/>
                <w:jc w:val="center"/>
              </w:trPr>
              <w:tc>
                <w:tcPr>
                  <w:tcW w:w="3095" w:type="dxa"/>
                  <w:vAlign w:val="center"/>
                </w:tcPr>
                <w:p>
                  <w:pPr>
                    <w:spacing w:line="276" w:lineRule="auto"/>
                    <w:ind w:left="-59"/>
                    <w:jc w:val="center"/>
                    <w:rPr>
                      <w:b/>
                      <w:bCs/>
                      <w:caps/>
                      <w:szCs w:val="21"/>
                    </w:rPr>
                  </w:pPr>
                  <w:r>
                    <w:rPr>
                      <w:b/>
                      <w:bCs/>
                      <w:caps/>
                      <w:szCs w:val="21"/>
                    </w:rPr>
                    <w:t>类别</w:t>
                  </w:r>
                </w:p>
              </w:tc>
              <w:tc>
                <w:tcPr>
                  <w:tcW w:w="2008" w:type="dxa"/>
                  <w:vAlign w:val="center"/>
                </w:tcPr>
                <w:p>
                  <w:pPr>
                    <w:spacing w:line="276" w:lineRule="auto"/>
                    <w:ind w:left="43"/>
                    <w:jc w:val="center"/>
                    <w:rPr>
                      <w:b/>
                      <w:bCs/>
                      <w:caps/>
                      <w:szCs w:val="21"/>
                    </w:rPr>
                  </w:pPr>
                  <w:r>
                    <w:rPr>
                      <w:b/>
                      <w:bCs/>
                      <w:caps/>
                      <w:szCs w:val="21"/>
                    </w:rPr>
                    <w:t>昼间</w:t>
                  </w:r>
                </w:p>
              </w:tc>
              <w:tc>
                <w:tcPr>
                  <w:tcW w:w="3181" w:type="dxa"/>
                  <w:vAlign w:val="center"/>
                </w:tcPr>
                <w:p>
                  <w:pPr>
                    <w:spacing w:line="276" w:lineRule="auto"/>
                    <w:jc w:val="center"/>
                    <w:rPr>
                      <w:b/>
                      <w:bCs/>
                      <w:caps/>
                      <w:szCs w:val="21"/>
                    </w:rPr>
                  </w:pPr>
                  <w:r>
                    <w:rPr>
                      <w:b/>
                      <w:bCs/>
                      <w:caps/>
                      <w:szCs w:val="21"/>
                    </w:rPr>
                    <w:t>夜间</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exact"/>
                <w:jc w:val="center"/>
              </w:trPr>
              <w:tc>
                <w:tcPr>
                  <w:tcW w:w="3095" w:type="dxa"/>
                  <w:vAlign w:val="center"/>
                </w:tcPr>
                <w:p>
                  <w:pPr>
                    <w:spacing w:line="276" w:lineRule="auto"/>
                    <w:ind w:left="-59"/>
                    <w:jc w:val="center"/>
                    <w:rPr>
                      <w:caps/>
                      <w:szCs w:val="21"/>
                    </w:rPr>
                  </w:pPr>
                  <w:r>
                    <w:rPr>
                      <w:caps/>
                      <w:szCs w:val="21"/>
                    </w:rPr>
                    <w:t>3类标准</w:t>
                  </w:r>
                </w:p>
              </w:tc>
              <w:tc>
                <w:tcPr>
                  <w:tcW w:w="2008" w:type="dxa"/>
                  <w:vAlign w:val="center"/>
                </w:tcPr>
                <w:p>
                  <w:pPr>
                    <w:spacing w:line="276" w:lineRule="auto"/>
                    <w:ind w:left="43"/>
                    <w:jc w:val="center"/>
                    <w:rPr>
                      <w:caps/>
                      <w:szCs w:val="21"/>
                    </w:rPr>
                  </w:pPr>
                  <w:r>
                    <w:rPr>
                      <w:caps/>
                      <w:szCs w:val="21"/>
                    </w:rPr>
                    <w:t>65</w:t>
                  </w:r>
                </w:p>
              </w:tc>
              <w:tc>
                <w:tcPr>
                  <w:tcW w:w="3181" w:type="dxa"/>
                  <w:vAlign w:val="center"/>
                </w:tcPr>
                <w:p>
                  <w:pPr>
                    <w:spacing w:line="276" w:lineRule="auto"/>
                    <w:jc w:val="center"/>
                    <w:rPr>
                      <w:caps/>
                      <w:szCs w:val="21"/>
                    </w:rPr>
                  </w:pPr>
                  <w:r>
                    <w:rPr>
                      <w:caps/>
                      <w:szCs w:val="21"/>
                    </w:rPr>
                    <w:t>55</w:t>
                  </w:r>
                </w:p>
              </w:tc>
            </w:tr>
            <w:tr>
              <w:tblPrEx>
                <w:tblBorders>
                  <w:top w:val="single" w:color="auto" w:sz="12" w:space="0"/>
                  <w:left w:val="none" w:color="auto" w:sz="0" w:space="0"/>
                  <w:bottom w:val="single" w:color="auto" w:sz="12"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340" w:hRule="exact"/>
                <w:jc w:val="center"/>
              </w:trPr>
              <w:tc>
                <w:tcPr>
                  <w:tcW w:w="3095" w:type="dxa"/>
                  <w:vAlign w:val="center"/>
                </w:tcPr>
                <w:p>
                  <w:pPr>
                    <w:spacing w:line="276" w:lineRule="auto"/>
                    <w:ind w:left="-59"/>
                    <w:jc w:val="center"/>
                    <w:rPr>
                      <w:caps/>
                      <w:szCs w:val="21"/>
                    </w:rPr>
                  </w:pPr>
                  <w:r>
                    <w:rPr>
                      <w:szCs w:val="21"/>
                    </w:rPr>
                    <w:t>建筑施工场界环境噪声限值</w:t>
                  </w:r>
                </w:p>
              </w:tc>
              <w:tc>
                <w:tcPr>
                  <w:tcW w:w="2008" w:type="dxa"/>
                  <w:vAlign w:val="center"/>
                </w:tcPr>
                <w:p>
                  <w:pPr>
                    <w:spacing w:line="276" w:lineRule="auto"/>
                    <w:ind w:left="43"/>
                    <w:jc w:val="center"/>
                    <w:rPr>
                      <w:caps/>
                      <w:szCs w:val="21"/>
                    </w:rPr>
                  </w:pPr>
                  <w:r>
                    <w:rPr>
                      <w:caps/>
                      <w:szCs w:val="21"/>
                    </w:rPr>
                    <w:t>70</w:t>
                  </w:r>
                </w:p>
              </w:tc>
              <w:tc>
                <w:tcPr>
                  <w:tcW w:w="3181" w:type="dxa"/>
                  <w:vAlign w:val="center"/>
                </w:tcPr>
                <w:p>
                  <w:pPr>
                    <w:spacing w:line="276" w:lineRule="auto"/>
                    <w:jc w:val="center"/>
                    <w:rPr>
                      <w:caps/>
                      <w:szCs w:val="21"/>
                    </w:rPr>
                  </w:pPr>
                  <w:r>
                    <w:rPr>
                      <w:caps/>
                      <w:szCs w:val="21"/>
                    </w:rPr>
                    <w:t>55</w:t>
                  </w:r>
                </w:p>
              </w:tc>
            </w:tr>
          </w:tbl>
          <w:p>
            <w:pPr>
              <w:spacing w:line="480" w:lineRule="exact"/>
              <w:rPr>
                <w:b/>
                <w:sz w:val="24"/>
              </w:rPr>
            </w:pPr>
            <w:r>
              <w:rPr>
                <w:b/>
                <w:sz w:val="24"/>
              </w:rPr>
              <w:t>三、固体废弃物排放标准</w:t>
            </w:r>
          </w:p>
          <w:p>
            <w:pPr>
              <w:adjustRightInd w:val="0"/>
              <w:snapToGrid w:val="0"/>
              <w:spacing w:line="360" w:lineRule="auto"/>
              <w:ind w:firstLine="480" w:firstLineChars="200"/>
              <w:rPr>
                <w:kern w:val="0"/>
                <w:szCs w:val="21"/>
              </w:rPr>
            </w:pPr>
            <w:r>
              <w:rPr>
                <w:sz w:val="24"/>
              </w:rPr>
              <w:t>项目一般固废执行《一般工业固体废物贮存和填埋污染控制标准》（GB18599-2020）；危险固体废物储存、处置按《危险废物贮存污染物控制标准》（GB 18597-2001）及2013年修改清单标准执行。</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330" w:hRule="atLeast"/>
          <w:jc w:val="center"/>
        </w:trPr>
        <w:tc>
          <w:tcPr>
            <w:tcW w:w="800" w:type="dxa"/>
            <w:vAlign w:val="center"/>
          </w:tcPr>
          <w:p>
            <w:pPr>
              <w:adjustRightInd w:val="0"/>
              <w:snapToGrid w:val="0"/>
              <w:jc w:val="center"/>
              <w:rPr>
                <w:kern w:val="0"/>
                <w:szCs w:val="21"/>
              </w:rPr>
            </w:pPr>
            <w:r>
              <w:rPr>
                <w:kern w:val="0"/>
                <w:szCs w:val="21"/>
              </w:rPr>
              <w:t>总量</w:t>
            </w:r>
          </w:p>
          <w:p>
            <w:pPr>
              <w:adjustRightInd w:val="0"/>
              <w:snapToGrid w:val="0"/>
              <w:jc w:val="center"/>
              <w:rPr>
                <w:kern w:val="0"/>
                <w:szCs w:val="21"/>
              </w:rPr>
            </w:pPr>
            <w:r>
              <w:rPr>
                <w:kern w:val="0"/>
                <w:szCs w:val="21"/>
              </w:rPr>
              <w:t>控制</w:t>
            </w:r>
          </w:p>
          <w:p>
            <w:pPr>
              <w:adjustRightInd w:val="0"/>
              <w:snapToGrid w:val="0"/>
              <w:jc w:val="center"/>
              <w:rPr>
                <w:kern w:val="0"/>
                <w:szCs w:val="21"/>
              </w:rPr>
            </w:pPr>
            <w:r>
              <w:rPr>
                <w:kern w:val="0"/>
                <w:szCs w:val="21"/>
              </w:rPr>
              <w:t>指标</w:t>
            </w:r>
          </w:p>
        </w:tc>
        <w:tc>
          <w:tcPr>
            <w:tcW w:w="8190" w:type="dxa"/>
            <w:vAlign w:val="center"/>
          </w:tcPr>
          <w:p>
            <w:pPr>
              <w:spacing w:line="360" w:lineRule="auto"/>
              <w:ind w:firstLine="480" w:firstLineChars="200"/>
              <w:rPr>
                <w:bCs/>
                <w:sz w:val="24"/>
              </w:rPr>
            </w:pPr>
            <w:r>
              <w:rPr>
                <w:bCs/>
                <w:sz w:val="24"/>
              </w:rPr>
              <w:t>根据本项目的具体情况，结合国家污染物排放总量控制原则，总量控制指标见下：</w:t>
            </w:r>
          </w:p>
          <w:p>
            <w:pPr>
              <w:spacing w:line="360" w:lineRule="auto"/>
              <w:ind w:firstLine="482" w:firstLineChars="200"/>
              <w:rPr>
                <w:b/>
                <w:sz w:val="24"/>
              </w:rPr>
            </w:pPr>
            <w:r>
              <w:rPr>
                <w:b/>
                <w:sz w:val="24"/>
              </w:rPr>
              <w:t>废水新增污染物总量控制指标：</w:t>
            </w:r>
          </w:p>
          <w:p>
            <w:pPr>
              <w:spacing w:line="360" w:lineRule="auto"/>
              <w:ind w:firstLine="480" w:firstLineChars="200"/>
              <w:rPr>
                <w:bCs/>
                <w:sz w:val="24"/>
              </w:rPr>
            </w:pPr>
            <w:r>
              <w:rPr>
                <w:bCs/>
                <w:sz w:val="24"/>
              </w:rPr>
              <w:t>无废水总量控制指标。</w:t>
            </w:r>
          </w:p>
          <w:p>
            <w:pPr>
              <w:spacing w:line="360" w:lineRule="auto"/>
              <w:ind w:firstLine="482" w:firstLineChars="200"/>
              <w:rPr>
                <w:b/>
                <w:sz w:val="24"/>
              </w:rPr>
            </w:pPr>
            <w:bookmarkStart w:id="16" w:name="_Hlk60317182"/>
            <w:r>
              <w:rPr>
                <w:b/>
                <w:sz w:val="24"/>
              </w:rPr>
              <w:t>大气新增污染物总量控制指标：</w:t>
            </w:r>
          </w:p>
          <w:p>
            <w:pPr>
              <w:spacing w:line="360" w:lineRule="auto"/>
              <w:ind w:firstLine="480" w:firstLineChars="200"/>
              <w:rPr>
                <w:bCs/>
                <w:sz w:val="24"/>
              </w:rPr>
            </w:pPr>
            <w:r>
              <w:rPr>
                <w:bCs/>
                <w:sz w:val="24"/>
              </w:rPr>
              <w:t>无大气总量控制指标。</w:t>
            </w:r>
          </w:p>
          <w:bookmarkEnd w:id="16"/>
          <w:p>
            <w:pPr>
              <w:spacing w:line="360" w:lineRule="auto"/>
              <w:ind w:firstLine="480" w:firstLineChars="200"/>
              <w:rPr>
                <w:bCs/>
                <w:sz w:val="24"/>
              </w:rPr>
            </w:pPr>
            <w:r>
              <w:rPr>
                <w:bCs/>
                <w:sz w:val="24"/>
              </w:rPr>
              <w:t>上述指标仅供环保管理部门在制定区域总量控制计划时参考。</w:t>
            </w:r>
          </w:p>
          <w:p>
            <w:pPr>
              <w:adjustRightInd w:val="0"/>
              <w:snapToGrid w:val="0"/>
              <w:jc w:val="center"/>
              <w:rPr>
                <w:kern w:val="0"/>
                <w:szCs w:val="21"/>
              </w:rPr>
            </w:pPr>
          </w:p>
          <w:p>
            <w:pPr>
              <w:adjustRightInd w:val="0"/>
              <w:snapToGrid w:val="0"/>
              <w:jc w:val="center"/>
              <w:rPr>
                <w:kern w:val="0"/>
                <w:szCs w:val="21"/>
              </w:rPr>
            </w:pPr>
          </w:p>
          <w:p>
            <w:pPr>
              <w:adjustRightInd w:val="0"/>
              <w:snapToGrid w:val="0"/>
              <w:jc w:val="center"/>
              <w:rPr>
                <w:kern w:val="0"/>
                <w:szCs w:val="21"/>
              </w:rPr>
            </w:pPr>
          </w:p>
          <w:p>
            <w:pPr>
              <w:adjustRightInd w:val="0"/>
              <w:snapToGrid w:val="0"/>
              <w:jc w:val="center"/>
              <w:rPr>
                <w:kern w:val="0"/>
                <w:szCs w:val="21"/>
              </w:rPr>
            </w:pPr>
          </w:p>
          <w:p>
            <w:pPr>
              <w:adjustRightInd w:val="0"/>
              <w:snapToGrid w:val="0"/>
              <w:jc w:val="center"/>
              <w:rPr>
                <w:kern w:val="0"/>
                <w:szCs w:val="21"/>
              </w:rPr>
            </w:pPr>
          </w:p>
          <w:p>
            <w:pPr>
              <w:adjustRightInd w:val="0"/>
              <w:snapToGrid w:val="0"/>
              <w:jc w:val="center"/>
              <w:rPr>
                <w:kern w:val="0"/>
                <w:szCs w:val="21"/>
              </w:rPr>
            </w:pPr>
          </w:p>
          <w:p>
            <w:pPr>
              <w:adjustRightInd w:val="0"/>
              <w:snapToGrid w:val="0"/>
              <w:jc w:val="center"/>
              <w:rPr>
                <w:kern w:val="0"/>
                <w:szCs w:val="21"/>
              </w:rPr>
            </w:pPr>
          </w:p>
          <w:p>
            <w:pPr>
              <w:adjustRightInd w:val="0"/>
              <w:snapToGrid w:val="0"/>
              <w:jc w:val="center"/>
              <w:rPr>
                <w:kern w:val="0"/>
                <w:szCs w:val="21"/>
              </w:rPr>
            </w:pPr>
          </w:p>
          <w:p>
            <w:pPr>
              <w:adjustRightInd w:val="0"/>
              <w:snapToGrid w:val="0"/>
              <w:jc w:val="center"/>
              <w:rPr>
                <w:kern w:val="0"/>
                <w:szCs w:val="21"/>
              </w:rPr>
            </w:pPr>
          </w:p>
          <w:p>
            <w:pPr>
              <w:adjustRightInd w:val="0"/>
              <w:snapToGrid w:val="0"/>
              <w:jc w:val="center"/>
              <w:rPr>
                <w:kern w:val="0"/>
                <w:szCs w:val="21"/>
              </w:rPr>
            </w:pPr>
          </w:p>
          <w:p>
            <w:pPr>
              <w:adjustRightInd w:val="0"/>
              <w:snapToGrid w:val="0"/>
              <w:jc w:val="center"/>
              <w:rPr>
                <w:kern w:val="0"/>
                <w:szCs w:val="21"/>
              </w:rPr>
            </w:pPr>
          </w:p>
          <w:p>
            <w:pPr>
              <w:adjustRightInd w:val="0"/>
              <w:snapToGrid w:val="0"/>
              <w:jc w:val="center"/>
              <w:rPr>
                <w:kern w:val="0"/>
                <w:szCs w:val="21"/>
              </w:rPr>
            </w:pPr>
          </w:p>
          <w:p>
            <w:pPr>
              <w:adjustRightInd w:val="0"/>
              <w:snapToGrid w:val="0"/>
              <w:jc w:val="center"/>
              <w:rPr>
                <w:kern w:val="0"/>
                <w:szCs w:val="21"/>
              </w:rPr>
            </w:pPr>
          </w:p>
          <w:p>
            <w:pPr>
              <w:adjustRightInd w:val="0"/>
              <w:snapToGrid w:val="0"/>
              <w:jc w:val="center"/>
              <w:rPr>
                <w:kern w:val="0"/>
                <w:szCs w:val="21"/>
              </w:rPr>
            </w:pPr>
          </w:p>
          <w:p>
            <w:pPr>
              <w:adjustRightInd w:val="0"/>
              <w:snapToGrid w:val="0"/>
              <w:jc w:val="center"/>
              <w:rPr>
                <w:kern w:val="0"/>
                <w:szCs w:val="21"/>
              </w:rPr>
            </w:pPr>
          </w:p>
          <w:p>
            <w:pPr>
              <w:adjustRightInd w:val="0"/>
              <w:snapToGrid w:val="0"/>
              <w:jc w:val="center"/>
              <w:rPr>
                <w:kern w:val="0"/>
                <w:szCs w:val="21"/>
              </w:rPr>
            </w:pPr>
          </w:p>
          <w:p>
            <w:pPr>
              <w:adjustRightInd w:val="0"/>
              <w:snapToGrid w:val="0"/>
              <w:jc w:val="center"/>
              <w:rPr>
                <w:kern w:val="0"/>
                <w:szCs w:val="21"/>
              </w:rPr>
            </w:pPr>
          </w:p>
          <w:p>
            <w:pPr>
              <w:adjustRightInd w:val="0"/>
              <w:snapToGrid w:val="0"/>
              <w:jc w:val="center"/>
              <w:rPr>
                <w:kern w:val="0"/>
                <w:szCs w:val="21"/>
              </w:rPr>
            </w:pPr>
          </w:p>
          <w:p>
            <w:pPr>
              <w:adjustRightInd w:val="0"/>
              <w:snapToGrid w:val="0"/>
              <w:jc w:val="center"/>
              <w:rPr>
                <w:kern w:val="0"/>
                <w:szCs w:val="21"/>
              </w:rPr>
            </w:pPr>
          </w:p>
          <w:p>
            <w:pPr>
              <w:adjustRightInd w:val="0"/>
              <w:snapToGrid w:val="0"/>
              <w:jc w:val="center"/>
              <w:rPr>
                <w:kern w:val="0"/>
                <w:szCs w:val="21"/>
              </w:rPr>
            </w:pPr>
          </w:p>
        </w:tc>
      </w:tr>
    </w:tbl>
    <w:p>
      <w:pPr>
        <w:pStyle w:val="33"/>
        <w:outlineLvl w:val="0"/>
        <w:rPr>
          <w:rFonts w:ascii="Times New Roman" w:hAnsi="Times New Roman" w:eastAsia="黑体"/>
          <w:snapToGrid w:val="0"/>
          <w:sz w:val="30"/>
          <w:szCs w:val="30"/>
        </w:rPr>
      </w:pPr>
      <w:r>
        <w:rPr>
          <w:rFonts w:ascii="Times New Roman" w:hAnsi="Times New Roman" w:eastAsia="黑体"/>
          <w:snapToGrid w:val="0"/>
          <w:sz w:val="36"/>
          <w:szCs w:val="36"/>
        </w:rPr>
        <w:br w:type="page"/>
      </w:r>
      <w:bookmarkStart w:id="17" w:name="_Toc99010602"/>
      <w:r>
        <w:rPr>
          <w:rFonts w:ascii="Times New Roman" w:hAnsi="Times New Roman" w:eastAsia="黑体"/>
          <w:snapToGrid w:val="0"/>
          <w:sz w:val="30"/>
          <w:szCs w:val="30"/>
        </w:rPr>
        <w:t>四、主要环境影响和保护措施</w:t>
      </w:r>
      <w:bookmarkEnd w:id="17"/>
    </w:p>
    <w:tbl>
      <w:tblPr>
        <w:tblStyle w:val="3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416"/>
        <w:gridCol w:w="8409"/>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jc w:val="center"/>
        </w:trPr>
        <w:tc>
          <w:tcPr>
            <w:tcW w:w="416" w:type="dxa"/>
            <w:tcMar>
              <w:left w:w="28" w:type="dxa"/>
              <w:right w:w="28" w:type="dxa"/>
            </w:tcMar>
            <w:vAlign w:val="center"/>
          </w:tcPr>
          <w:p>
            <w:pPr>
              <w:pStyle w:val="33"/>
              <w:adjustRightInd w:val="0"/>
              <w:snapToGrid w:val="0"/>
              <w:spacing w:before="0" w:beforeAutospacing="0" w:after="0" w:afterAutospacing="0"/>
              <w:jc w:val="center"/>
              <w:rPr>
                <w:rFonts w:ascii="Times New Roman" w:hAnsi="Times New Roman"/>
                <w:kern w:val="2"/>
                <w:sz w:val="21"/>
                <w:szCs w:val="21"/>
              </w:rPr>
            </w:pPr>
            <w:r>
              <w:rPr>
                <w:rFonts w:ascii="Times New Roman" w:hAnsi="Times New Roman"/>
                <w:kern w:val="2"/>
                <w:sz w:val="21"/>
                <w:szCs w:val="21"/>
              </w:rPr>
              <w:t>施工期环境保护措施</w:t>
            </w:r>
          </w:p>
        </w:tc>
        <w:tc>
          <w:tcPr>
            <w:tcW w:w="8409" w:type="dxa"/>
            <w:vAlign w:val="center"/>
          </w:tcPr>
          <w:p>
            <w:pPr>
              <w:spacing w:line="360" w:lineRule="auto"/>
              <w:ind w:firstLine="482" w:firstLineChars="200"/>
              <w:rPr>
                <w:b/>
                <w:sz w:val="24"/>
                <w:szCs w:val="20"/>
              </w:rPr>
            </w:pPr>
            <w:r>
              <w:rPr>
                <w:b/>
                <w:sz w:val="24"/>
              </w:rPr>
              <w:t>（一）施工期污染物排放及保护措施</w:t>
            </w:r>
          </w:p>
          <w:p>
            <w:pPr>
              <w:spacing w:line="360" w:lineRule="auto"/>
              <w:ind w:firstLine="482" w:firstLineChars="200"/>
              <w:rPr>
                <w:b/>
                <w:sz w:val="24"/>
              </w:rPr>
            </w:pPr>
            <w:r>
              <w:rPr>
                <w:b/>
                <w:sz w:val="24"/>
              </w:rPr>
              <w:t>1、施工废气</w:t>
            </w:r>
          </w:p>
          <w:p>
            <w:pPr>
              <w:pStyle w:val="14"/>
              <w:tabs>
                <w:tab w:val="left" w:pos="3780"/>
              </w:tabs>
              <w:spacing w:line="360" w:lineRule="auto"/>
              <w:ind w:firstLine="480" w:firstLineChars="200"/>
              <w:jc w:val="left"/>
              <w:rPr>
                <w:sz w:val="24"/>
              </w:rPr>
            </w:pPr>
            <w:r>
              <w:rPr>
                <w:sz w:val="24"/>
                <w:szCs w:val="24"/>
              </w:rPr>
              <w:t>施工阶段大气污染物主要有施工扬尘、汽车尾气以及室内装修工程产生的粉尘等</w:t>
            </w:r>
            <w:r>
              <w:rPr>
                <w:sz w:val="24"/>
              </w:rPr>
              <w:t>，其中以施工扬尘对空气环境质量影响最大。</w:t>
            </w:r>
          </w:p>
          <w:p>
            <w:pPr>
              <w:adjustRightInd w:val="0"/>
              <w:snapToGrid w:val="0"/>
              <w:spacing w:line="360" w:lineRule="auto"/>
              <w:ind w:firstLine="426" w:firstLineChars="177"/>
              <w:rPr>
                <w:b/>
                <w:sz w:val="24"/>
              </w:rPr>
            </w:pPr>
            <w:r>
              <w:rPr>
                <w:b/>
                <w:sz w:val="24"/>
              </w:rPr>
              <w:t>（1）施工扬尘</w:t>
            </w:r>
          </w:p>
          <w:p>
            <w:pPr>
              <w:adjustRightInd w:val="0"/>
              <w:snapToGrid w:val="0"/>
              <w:spacing w:line="360" w:lineRule="auto"/>
              <w:ind w:firstLine="424" w:firstLineChars="177"/>
              <w:rPr>
                <w:sz w:val="24"/>
              </w:rPr>
            </w:pPr>
            <w:r>
              <w:rPr>
                <w:sz w:val="24"/>
              </w:rPr>
              <w:t>由于本项目施工期不涉及基础工程，因此产尘量很小，且施工范围在现有车间内，扬尘扩散范围很有限。主要采取的措施包括：</w:t>
            </w:r>
          </w:p>
          <w:p>
            <w:pPr>
              <w:spacing w:line="360" w:lineRule="auto"/>
              <w:ind w:firstLine="480" w:firstLineChars="200"/>
              <w:rPr>
                <w:sz w:val="24"/>
              </w:rPr>
            </w:pPr>
            <w:r>
              <w:rPr>
                <w:sz w:val="24"/>
              </w:rPr>
              <w:fldChar w:fldCharType="begin"/>
            </w:r>
            <w:r>
              <w:rPr>
                <w:sz w:val="24"/>
              </w:rPr>
              <w:instrText xml:space="preserve"> = 1 \* GB3 </w:instrText>
            </w:r>
            <w:r>
              <w:rPr>
                <w:sz w:val="24"/>
              </w:rPr>
              <w:fldChar w:fldCharType="separate"/>
            </w:r>
            <w:r>
              <w:rPr>
                <w:rFonts w:hint="eastAsia" w:ascii="宋体" w:hAnsi="宋体" w:cs="宋体"/>
                <w:sz w:val="24"/>
              </w:rPr>
              <w:t>①</w:t>
            </w:r>
            <w:r>
              <w:rPr>
                <w:sz w:val="24"/>
              </w:rPr>
              <w:fldChar w:fldCharType="end"/>
            </w:r>
            <w:r>
              <w:rPr>
                <w:sz w:val="24"/>
              </w:rPr>
              <w:t>施工区域临时封闭；</w:t>
            </w:r>
          </w:p>
          <w:p>
            <w:pPr>
              <w:spacing w:line="360" w:lineRule="auto"/>
              <w:ind w:firstLine="480" w:firstLineChars="200"/>
              <w:rPr>
                <w:sz w:val="24"/>
              </w:rPr>
            </w:pPr>
            <w:r>
              <w:rPr>
                <w:sz w:val="24"/>
              </w:rPr>
              <w:fldChar w:fldCharType="begin"/>
            </w:r>
            <w:r>
              <w:rPr>
                <w:sz w:val="24"/>
              </w:rPr>
              <w:instrText xml:space="preserve"> = 2 \* GB3 </w:instrText>
            </w:r>
            <w:r>
              <w:rPr>
                <w:sz w:val="24"/>
              </w:rPr>
              <w:fldChar w:fldCharType="separate"/>
            </w:r>
            <w:r>
              <w:rPr>
                <w:rFonts w:hint="eastAsia" w:ascii="宋体" w:hAnsi="宋体" w:cs="宋体"/>
                <w:sz w:val="24"/>
              </w:rPr>
              <w:t>②</w:t>
            </w:r>
            <w:r>
              <w:rPr>
                <w:sz w:val="24"/>
              </w:rPr>
              <w:fldChar w:fldCharType="end"/>
            </w:r>
            <w:r>
              <w:rPr>
                <w:sz w:val="24"/>
              </w:rPr>
              <w:t>设置单独的施工出入口，在出入口设置洒水降尘设施；</w:t>
            </w:r>
          </w:p>
          <w:p>
            <w:pPr>
              <w:spacing w:line="360" w:lineRule="auto"/>
              <w:ind w:firstLine="480" w:firstLineChars="200"/>
              <w:rPr>
                <w:sz w:val="24"/>
              </w:rPr>
            </w:pPr>
            <w:r>
              <w:rPr>
                <w:sz w:val="24"/>
              </w:rPr>
              <w:fldChar w:fldCharType="begin"/>
            </w:r>
            <w:r>
              <w:rPr>
                <w:sz w:val="24"/>
              </w:rPr>
              <w:instrText xml:space="preserve"> = 3 \* GB3 </w:instrText>
            </w:r>
            <w:r>
              <w:rPr>
                <w:sz w:val="24"/>
              </w:rPr>
              <w:fldChar w:fldCharType="separate"/>
            </w:r>
            <w:r>
              <w:rPr>
                <w:rFonts w:hint="eastAsia" w:ascii="宋体" w:hAnsi="宋体" w:cs="宋体"/>
                <w:sz w:val="24"/>
              </w:rPr>
              <w:t>③</w:t>
            </w:r>
            <w:r>
              <w:rPr>
                <w:sz w:val="24"/>
              </w:rPr>
              <w:fldChar w:fldCharType="end"/>
            </w:r>
            <w:r>
              <w:rPr>
                <w:sz w:val="24"/>
              </w:rPr>
              <w:t>运输可能产生扬尘污染的建筑材料应当在封闭库房内存放或严密遮盖；</w:t>
            </w:r>
          </w:p>
          <w:p>
            <w:pPr>
              <w:spacing w:line="360" w:lineRule="auto"/>
              <w:ind w:firstLine="480" w:firstLineChars="200"/>
              <w:rPr>
                <w:sz w:val="24"/>
              </w:rPr>
            </w:pPr>
            <w:r>
              <w:rPr>
                <w:sz w:val="24"/>
              </w:rPr>
              <w:fldChar w:fldCharType="begin"/>
            </w:r>
            <w:r>
              <w:rPr>
                <w:sz w:val="24"/>
              </w:rPr>
              <w:instrText xml:space="preserve"> = 4 \* GB3 </w:instrText>
            </w:r>
            <w:r>
              <w:rPr>
                <w:sz w:val="24"/>
              </w:rPr>
              <w:fldChar w:fldCharType="separate"/>
            </w:r>
            <w:r>
              <w:rPr>
                <w:rFonts w:hint="eastAsia" w:ascii="宋体" w:hAnsi="宋体" w:cs="宋体"/>
                <w:sz w:val="24"/>
              </w:rPr>
              <w:t>④</w:t>
            </w:r>
            <w:r>
              <w:rPr>
                <w:sz w:val="24"/>
              </w:rPr>
              <w:fldChar w:fldCharType="end"/>
            </w:r>
            <w:r>
              <w:rPr>
                <w:sz w:val="24"/>
              </w:rPr>
              <w:t>建材堆放点要相对集中，放置规范，并采取一定防尘措施抑制扬尘量；</w:t>
            </w:r>
          </w:p>
          <w:p>
            <w:pPr>
              <w:spacing w:line="360" w:lineRule="auto"/>
              <w:ind w:firstLine="480" w:firstLineChars="200"/>
              <w:rPr>
                <w:sz w:val="24"/>
              </w:rPr>
            </w:pPr>
            <w:r>
              <w:rPr>
                <w:sz w:val="24"/>
              </w:rPr>
              <w:fldChar w:fldCharType="begin"/>
            </w:r>
            <w:r>
              <w:rPr>
                <w:sz w:val="24"/>
              </w:rPr>
              <w:instrText xml:space="preserve"> = 5 \* GB3 </w:instrText>
            </w:r>
            <w:r>
              <w:rPr>
                <w:sz w:val="24"/>
              </w:rPr>
              <w:fldChar w:fldCharType="separate"/>
            </w:r>
            <w:r>
              <w:rPr>
                <w:rFonts w:hint="eastAsia" w:ascii="宋体" w:hAnsi="宋体" w:cs="宋体"/>
                <w:sz w:val="24"/>
              </w:rPr>
              <w:t>⑤</w:t>
            </w:r>
            <w:r>
              <w:rPr>
                <w:sz w:val="24"/>
              </w:rPr>
              <w:fldChar w:fldCharType="end"/>
            </w:r>
            <w:r>
              <w:rPr>
                <w:sz w:val="24"/>
              </w:rPr>
              <w:t>项目施工场地配备专职人员对施工现场进行物业化管理。</w:t>
            </w:r>
          </w:p>
          <w:p>
            <w:pPr>
              <w:spacing w:line="360" w:lineRule="auto"/>
              <w:ind w:firstLine="480" w:firstLineChars="200"/>
              <w:rPr>
                <w:sz w:val="24"/>
              </w:rPr>
            </w:pPr>
            <w:r>
              <w:rPr>
                <w:sz w:val="24"/>
              </w:rPr>
              <w:t>总之，施工期需严格遵守各项规定，对扬尘进行治理，以确保施工扬尘不对周边大气环境质量造成污染影响，达到保护环境，保障身心健康的目的。</w:t>
            </w:r>
          </w:p>
          <w:p>
            <w:pPr>
              <w:adjustRightInd w:val="0"/>
              <w:snapToGrid w:val="0"/>
              <w:spacing w:line="360" w:lineRule="auto"/>
              <w:ind w:firstLine="424" w:firstLineChars="177"/>
              <w:rPr>
                <w:sz w:val="24"/>
              </w:rPr>
            </w:pPr>
            <w:r>
              <w:rPr>
                <w:sz w:val="24"/>
              </w:rPr>
              <w:t>另，根据四川省打赢蓝天保卫战实施方案及《四川省大气污染防治行动计划实施细则》（川府发[2014]4号）要求，建筑施工扬尘严格落实“六必须、六不准”管控要求。</w:t>
            </w:r>
          </w:p>
          <w:p>
            <w:pPr>
              <w:adjustRightInd w:val="0"/>
              <w:snapToGrid w:val="0"/>
              <w:spacing w:line="360" w:lineRule="auto"/>
              <w:ind w:firstLine="424" w:firstLineChars="177"/>
              <w:rPr>
                <w:sz w:val="24"/>
              </w:rPr>
            </w:pPr>
            <w:r>
              <w:rPr>
                <w:sz w:val="24"/>
              </w:rPr>
              <w:t>六不准：</w:t>
            </w:r>
          </w:p>
          <w:p>
            <w:pPr>
              <w:adjustRightInd w:val="0"/>
              <w:snapToGrid w:val="0"/>
              <w:spacing w:line="360" w:lineRule="auto"/>
              <w:ind w:firstLine="424" w:firstLineChars="177"/>
              <w:rPr>
                <w:sz w:val="24"/>
              </w:rPr>
            </w:pPr>
            <w:r>
              <w:rPr>
                <w:sz w:val="24"/>
              </w:rPr>
              <w:t>1）不准车辆带泥出门；2）不准运渣车辆冒顶装载；3）不准高空抛撒建筑垃圾；4）不准场地积水；5）不准现场焚烧废弃物；6）不准现场搅拌混凝土。</w:t>
            </w:r>
          </w:p>
          <w:p>
            <w:pPr>
              <w:adjustRightInd w:val="0"/>
              <w:snapToGrid w:val="0"/>
              <w:spacing w:line="360" w:lineRule="auto"/>
              <w:ind w:firstLine="424" w:firstLineChars="177"/>
              <w:rPr>
                <w:sz w:val="24"/>
              </w:rPr>
            </w:pPr>
            <w:r>
              <w:rPr>
                <w:sz w:val="24"/>
              </w:rPr>
              <w:t>六必须：</w:t>
            </w:r>
          </w:p>
          <w:p>
            <w:pPr>
              <w:adjustRightInd w:val="0"/>
              <w:snapToGrid w:val="0"/>
              <w:spacing w:line="360" w:lineRule="auto"/>
              <w:ind w:firstLine="424" w:firstLineChars="177"/>
              <w:rPr>
                <w:sz w:val="24"/>
              </w:rPr>
            </w:pPr>
            <w:r>
              <w:rPr>
                <w:sz w:val="24"/>
              </w:rPr>
              <w:t>1）必须及时洒水作业；2）必须围挡作业；3）必须硬化场地；4）必须设置冲洗设施；5）必须落实保洁人员；6）必须定时清扫施工现场。</w:t>
            </w:r>
          </w:p>
          <w:p>
            <w:pPr>
              <w:adjustRightInd w:val="0"/>
              <w:snapToGrid w:val="0"/>
              <w:spacing w:line="360" w:lineRule="auto"/>
              <w:ind w:firstLine="426" w:firstLineChars="177"/>
              <w:rPr>
                <w:sz w:val="24"/>
              </w:rPr>
            </w:pPr>
            <w:r>
              <w:rPr>
                <w:b/>
                <w:sz w:val="24"/>
              </w:rPr>
              <w:t>（2）其他废气</w:t>
            </w:r>
          </w:p>
          <w:p>
            <w:pPr>
              <w:spacing w:line="360" w:lineRule="auto"/>
              <w:ind w:firstLine="480" w:firstLineChars="200"/>
              <w:rPr>
                <w:sz w:val="24"/>
              </w:rPr>
            </w:pPr>
            <w:r>
              <w:rPr>
                <w:sz w:val="24"/>
              </w:rPr>
              <w:fldChar w:fldCharType="begin"/>
            </w:r>
            <w:r>
              <w:rPr>
                <w:sz w:val="24"/>
              </w:rPr>
              <w:instrText xml:space="preserve"> = 1 \* GB3 </w:instrText>
            </w:r>
            <w:r>
              <w:rPr>
                <w:sz w:val="24"/>
              </w:rPr>
              <w:fldChar w:fldCharType="separate"/>
            </w:r>
            <w:r>
              <w:rPr>
                <w:rFonts w:hint="eastAsia" w:ascii="宋体" w:hAnsi="宋体" w:cs="宋体"/>
                <w:sz w:val="24"/>
              </w:rPr>
              <w:t>①</w:t>
            </w:r>
            <w:r>
              <w:rPr>
                <w:sz w:val="24"/>
              </w:rPr>
              <w:fldChar w:fldCharType="end"/>
            </w:r>
            <w:r>
              <w:rPr>
                <w:sz w:val="24"/>
              </w:rPr>
              <w:t>汽车尾气：施工期间使用机动车运送原材料、设备时，会排放一定量的 CO、NO</w:t>
            </w:r>
            <w:r>
              <w:rPr>
                <w:sz w:val="24"/>
                <w:vertAlign w:val="subscript"/>
              </w:rPr>
              <w:t>x</w:t>
            </w:r>
            <w:r>
              <w:rPr>
                <w:sz w:val="24"/>
              </w:rPr>
              <w:t>以及未完全燃烧的HC等，因其排放量小，属间断性无组织排放，且施工场地扩散条件良好，故在大气的稀释作用下，汽车尾气对周围环境影响较小。为使汽车尾气对环境的影响降至最小，</w:t>
            </w:r>
            <w:r>
              <w:rPr>
                <w:b/>
                <w:sz w:val="24"/>
              </w:rPr>
              <w:t>环评要求</w:t>
            </w:r>
            <w:r>
              <w:rPr>
                <w:sz w:val="24"/>
              </w:rPr>
              <w:t>：项目对进出车辆加强管理，减少进出车辆怠速和频繁启动等。</w:t>
            </w:r>
          </w:p>
          <w:p>
            <w:pPr>
              <w:spacing w:line="360" w:lineRule="auto"/>
              <w:ind w:firstLine="480" w:firstLineChars="200"/>
              <w:rPr>
                <w:sz w:val="24"/>
              </w:rPr>
            </w:pPr>
            <w:r>
              <w:rPr>
                <w:sz w:val="24"/>
              </w:rPr>
              <w:fldChar w:fldCharType="begin"/>
            </w:r>
            <w:r>
              <w:rPr>
                <w:sz w:val="24"/>
              </w:rPr>
              <w:instrText xml:space="preserve"> = 2 \* GB3 </w:instrText>
            </w:r>
            <w:r>
              <w:rPr>
                <w:sz w:val="24"/>
              </w:rPr>
              <w:fldChar w:fldCharType="separate"/>
            </w:r>
            <w:r>
              <w:rPr>
                <w:rFonts w:hint="eastAsia" w:ascii="宋体" w:hAnsi="宋体" w:cs="宋体"/>
                <w:sz w:val="24"/>
              </w:rPr>
              <w:t>②</w:t>
            </w:r>
            <w:r>
              <w:rPr>
                <w:sz w:val="24"/>
              </w:rPr>
              <w:fldChar w:fldCharType="end"/>
            </w:r>
            <w:r>
              <w:rPr>
                <w:sz w:val="24"/>
              </w:rPr>
              <w:t>装修废气：在装修过程中，机械、设备安装过程中产生扬尘等，属无组织排放，对装修人员的健康会造成一定的影响，</w:t>
            </w:r>
            <w:r>
              <w:rPr>
                <w:b/>
                <w:sz w:val="24"/>
              </w:rPr>
              <w:t>环评要求采取以下治理措施</w:t>
            </w:r>
            <w:r>
              <w:rPr>
                <w:sz w:val="24"/>
              </w:rPr>
              <w:t>：</w:t>
            </w:r>
          </w:p>
          <w:p>
            <w:pPr>
              <w:spacing w:line="360" w:lineRule="auto"/>
              <w:ind w:firstLine="480" w:firstLineChars="200"/>
              <w:rPr>
                <w:sz w:val="24"/>
              </w:rPr>
            </w:pPr>
            <w:r>
              <w:rPr>
                <w:sz w:val="24"/>
              </w:rPr>
              <w:fldChar w:fldCharType="begin"/>
            </w:r>
            <w:r>
              <w:rPr>
                <w:sz w:val="24"/>
              </w:rPr>
              <w:instrText xml:space="preserve"> = 1 \* roman </w:instrText>
            </w:r>
            <w:r>
              <w:rPr>
                <w:sz w:val="24"/>
              </w:rPr>
              <w:fldChar w:fldCharType="separate"/>
            </w:r>
            <w:r>
              <w:rPr>
                <w:sz w:val="24"/>
              </w:rPr>
              <w:t>i</w:t>
            </w:r>
            <w:r>
              <w:rPr>
                <w:sz w:val="24"/>
              </w:rPr>
              <w:fldChar w:fldCharType="end"/>
            </w:r>
            <w:r>
              <w:rPr>
                <w:sz w:val="24"/>
              </w:rPr>
              <w:t>、按照室内环境污染控制标准要求，对室内装修材料采取强制性要求，采用符合相关装饰装修材料中有害物质控制标准的环保型材料；</w:t>
            </w:r>
          </w:p>
          <w:p>
            <w:pPr>
              <w:spacing w:line="360" w:lineRule="auto"/>
              <w:ind w:firstLine="480" w:firstLineChars="200"/>
              <w:rPr>
                <w:sz w:val="24"/>
              </w:rPr>
            </w:pPr>
            <w:r>
              <w:rPr>
                <w:sz w:val="24"/>
              </w:rPr>
              <w:fldChar w:fldCharType="begin"/>
            </w:r>
            <w:r>
              <w:rPr>
                <w:sz w:val="24"/>
              </w:rPr>
              <w:instrText xml:space="preserve"> = 2 \* roman </w:instrText>
            </w:r>
            <w:r>
              <w:rPr>
                <w:sz w:val="24"/>
              </w:rPr>
              <w:fldChar w:fldCharType="separate"/>
            </w:r>
            <w:r>
              <w:rPr>
                <w:sz w:val="24"/>
              </w:rPr>
              <w:t>ii</w:t>
            </w:r>
            <w:r>
              <w:rPr>
                <w:sz w:val="24"/>
              </w:rPr>
              <w:fldChar w:fldCharType="end"/>
            </w:r>
            <w:r>
              <w:rPr>
                <w:sz w:val="24"/>
              </w:rPr>
              <w:t>、在装修期间，应加强室内通风换气；装修完成后，不能急于投入使用，应先找有资质的室内环境检测部门进行检测，如果发现有污染物超标，需经治理达标后方可投入使用；</w:t>
            </w:r>
          </w:p>
          <w:p>
            <w:pPr>
              <w:spacing w:line="360" w:lineRule="auto"/>
              <w:ind w:firstLine="480" w:firstLineChars="200"/>
              <w:rPr>
                <w:sz w:val="24"/>
              </w:rPr>
            </w:pPr>
            <w:r>
              <w:rPr>
                <w:sz w:val="24"/>
              </w:rPr>
              <w:fldChar w:fldCharType="begin"/>
            </w:r>
            <w:r>
              <w:rPr>
                <w:sz w:val="24"/>
              </w:rPr>
              <w:instrText xml:space="preserve"> = 3 \* roman </w:instrText>
            </w:r>
            <w:r>
              <w:rPr>
                <w:sz w:val="24"/>
              </w:rPr>
              <w:fldChar w:fldCharType="separate"/>
            </w:r>
            <w:r>
              <w:rPr>
                <w:sz w:val="24"/>
              </w:rPr>
              <w:t>iii</w:t>
            </w:r>
            <w:r>
              <w:rPr>
                <w:sz w:val="24"/>
              </w:rPr>
              <w:fldChar w:fldCharType="end"/>
            </w:r>
            <w:r>
              <w:rPr>
                <w:sz w:val="24"/>
              </w:rPr>
              <w:t>、施工作业人员在装修过程中应佩戴防毒面具或口罩。</w:t>
            </w:r>
          </w:p>
          <w:p>
            <w:pPr>
              <w:spacing w:line="360" w:lineRule="auto"/>
              <w:ind w:firstLine="480" w:firstLineChars="200"/>
              <w:rPr>
                <w:sz w:val="24"/>
              </w:rPr>
            </w:pPr>
            <w:r>
              <w:rPr>
                <w:sz w:val="24"/>
              </w:rPr>
              <w:t>在进行了以上防治措施后，本项目装修施工产生的有机废气对环境影响较小。</w:t>
            </w:r>
          </w:p>
          <w:p>
            <w:pPr>
              <w:spacing w:line="360" w:lineRule="auto"/>
              <w:ind w:firstLine="480" w:firstLineChars="200"/>
              <w:rPr>
                <w:sz w:val="24"/>
              </w:rPr>
            </w:pPr>
            <w:r>
              <w:rPr>
                <w:sz w:val="24"/>
              </w:rPr>
              <w:t>（3）小结</w:t>
            </w:r>
          </w:p>
          <w:p>
            <w:pPr>
              <w:spacing w:line="360" w:lineRule="auto"/>
              <w:ind w:firstLine="480" w:firstLineChars="200"/>
              <w:rPr>
                <w:sz w:val="24"/>
              </w:rPr>
            </w:pPr>
            <w:r>
              <w:rPr>
                <w:sz w:val="24"/>
              </w:rPr>
              <w:t>综上所述，采取以上废气的污染防治措施后，可有效控制施工废气对周围环境及施工作业人员的影响。</w:t>
            </w:r>
          </w:p>
          <w:p>
            <w:pPr>
              <w:spacing w:line="360" w:lineRule="auto"/>
              <w:ind w:firstLine="482" w:firstLineChars="200"/>
              <w:rPr>
                <w:b/>
                <w:sz w:val="24"/>
              </w:rPr>
            </w:pPr>
            <w:r>
              <w:rPr>
                <w:b/>
                <w:sz w:val="24"/>
              </w:rPr>
              <w:t>2、施工期废水</w:t>
            </w:r>
          </w:p>
          <w:p>
            <w:pPr>
              <w:spacing w:line="360" w:lineRule="auto"/>
              <w:ind w:firstLine="480" w:firstLineChars="200"/>
              <w:rPr>
                <w:sz w:val="24"/>
              </w:rPr>
            </w:pPr>
            <w:r>
              <w:rPr>
                <w:sz w:val="24"/>
              </w:rPr>
              <w:t>施工期规模较小且不涉及基础工程施工，主要是厂房装修以及设备安装。因此废水主要为施工人员生活污水。</w:t>
            </w:r>
          </w:p>
          <w:p>
            <w:pPr>
              <w:adjustRightInd w:val="0"/>
              <w:snapToGrid w:val="0"/>
              <w:spacing w:line="348" w:lineRule="auto"/>
              <w:ind w:firstLine="424" w:firstLineChars="177"/>
              <w:rPr>
                <w:sz w:val="24"/>
              </w:rPr>
            </w:pPr>
            <w:r>
              <w:rPr>
                <w:sz w:val="24"/>
              </w:rPr>
              <w:t>根据类比分析，估算本项目施工高峰期有施工人员及工地管理人员100人左右，生活废水排放按0.5m</w:t>
            </w:r>
            <w:r>
              <w:rPr>
                <w:sz w:val="24"/>
                <w:vertAlign w:val="superscript"/>
              </w:rPr>
              <w:t>3</w:t>
            </w:r>
            <w:r>
              <w:rPr>
                <w:sz w:val="24"/>
              </w:rPr>
              <w:t>/人·d计算，排污系数取0.8，则施工人员生活废水产生量约为4m</w:t>
            </w:r>
            <w:r>
              <w:rPr>
                <w:sz w:val="24"/>
                <w:vertAlign w:val="superscript"/>
              </w:rPr>
              <w:t>3</w:t>
            </w:r>
            <w:r>
              <w:rPr>
                <w:sz w:val="24"/>
              </w:rPr>
              <w:t>/d。主要污染物浓度为：COD</w:t>
            </w:r>
            <w:r>
              <w:rPr>
                <w:sz w:val="24"/>
                <w:vertAlign w:val="subscript"/>
              </w:rPr>
              <w:t xml:space="preserve">cr </w:t>
            </w:r>
            <w:r>
              <w:rPr>
                <w:sz w:val="24"/>
              </w:rPr>
              <w:t>400mg/L、BOD</w:t>
            </w:r>
            <w:r>
              <w:rPr>
                <w:sz w:val="24"/>
                <w:vertAlign w:val="subscript"/>
              </w:rPr>
              <w:t>5</w:t>
            </w:r>
            <w:r>
              <w:rPr>
                <w:sz w:val="24"/>
              </w:rPr>
              <w:t>200mg/L、SS 250mg/L，氨氮40mg/L，动植物油30 mg/L。由于本项目施工人员主要为当地居民，不在施工场所内食宿，产生的生活废水依托现有</w:t>
            </w:r>
            <w:r>
              <w:rPr>
                <w:bCs/>
                <w:sz w:val="24"/>
              </w:rPr>
              <w:t>设施处理。</w:t>
            </w:r>
          </w:p>
          <w:p>
            <w:pPr>
              <w:spacing w:line="360" w:lineRule="auto"/>
              <w:ind w:firstLine="482" w:firstLineChars="200"/>
              <w:rPr>
                <w:b/>
                <w:sz w:val="24"/>
              </w:rPr>
            </w:pPr>
            <w:r>
              <w:rPr>
                <w:b/>
                <w:sz w:val="24"/>
              </w:rPr>
              <w:t>3、施工期噪声</w:t>
            </w:r>
          </w:p>
          <w:p>
            <w:pPr>
              <w:spacing w:line="360" w:lineRule="auto"/>
              <w:ind w:firstLine="480" w:firstLineChars="200"/>
              <w:rPr>
                <w:bCs/>
                <w:sz w:val="24"/>
              </w:rPr>
            </w:pPr>
            <w:r>
              <w:rPr>
                <w:bCs/>
                <w:sz w:val="24"/>
              </w:rPr>
              <w:t>施工期噪声主要来源于施工现场各类机械设备和物料运输车辆的噪声，施工单位在施工期间采取以下的噪声控制措施：</w:t>
            </w:r>
          </w:p>
          <w:p>
            <w:pPr>
              <w:spacing w:line="360" w:lineRule="auto"/>
              <w:ind w:firstLine="480" w:firstLineChars="200"/>
              <w:rPr>
                <w:bCs/>
                <w:sz w:val="24"/>
              </w:rPr>
            </w:pPr>
            <w:r>
              <w:rPr>
                <w:bCs/>
                <w:sz w:val="24"/>
              </w:rPr>
              <w:t>（1）合理布设施工场地，对需进行的产噪设备尽量布置在项目中部，从空间上减少噪声对敏感点的影响；</w:t>
            </w:r>
          </w:p>
          <w:p>
            <w:pPr>
              <w:spacing w:line="360" w:lineRule="auto"/>
              <w:ind w:firstLine="480" w:firstLineChars="200"/>
              <w:rPr>
                <w:bCs/>
                <w:sz w:val="24"/>
              </w:rPr>
            </w:pPr>
            <w:r>
              <w:rPr>
                <w:bCs/>
                <w:sz w:val="24"/>
              </w:rPr>
              <w:t>（2）合理安排作业时间，午间、夜间禁止施工；</w:t>
            </w:r>
          </w:p>
          <w:p>
            <w:pPr>
              <w:spacing w:line="360" w:lineRule="auto"/>
              <w:ind w:firstLine="480" w:firstLineChars="200"/>
              <w:rPr>
                <w:bCs/>
                <w:sz w:val="24"/>
              </w:rPr>
            </w:pPr>
            <w:r>
              <w:rPr>
                <w:bCs/>
                <w:sz w:val="24"/>
              </w:rPr>
              <w:t>（3）施工车辆运行线路应按交通管理部门规定的路线进行，材料运输车辆进入场地需安排专人指挥，材料装卸采用人工传递，严禁抛掷或汽车一次性下料；</w:t>
            </w:r>
          </w:p>
          <w:p>
            <w:pPr>
              <w:spacing w:line="360" w:lineRule="auto"/>
              <w:ind w:firstLine="480" w:firstLineChars="200"/>
              <w:rPr>
                <w:bCs/>
                <w:sz w:val="24"/>
              </w:rPr>
            </w:pPr>
            <w:r>
              <w:rPr>
                <w:bCs/>
                <w:sz w:val="24"/>
              </w:rPr>
              <w:t>（4）加强工人管理，文明施工，严禁高声喧哗。</w:t>
            </w:r>
          </w:p>
          <w:p>
            <w:pPr>
              <w:spacing w:line="360" w:lineRule="auto"/>
              <w:ind w:firstLine="480" w:firstLineChars="200"/>
              <w:rPr>
                <w:bCs/>
                <w:sz w:val="24"/>
              </w:rPr>
            </w:pPr>
            <w:r>
              <w:rPr>
                <w:bCs/>
                <w:sz w:val="24"/>
              </w:rPr>
              <w:t>在采取上述措施后，本项目施工噪声对周围的影响可以降到人们可接受范围内，且影响是有限的、暂时的，会随着施工期的结束而消失。</w:t>
            </w:r>
          </w:p>
          <w:p>
            <w:pPr>
              <w:spacing w:line="360" w:lineRule="auto"/>
              <w:ind w:firstLine="482" w:firstLineChars="200"/>
              <w:rPr>
                <w:b/>
                <w:sz w:val="24"/>
              </w:rPr>
            </w:pPr>
            <w:r>
              <w:rPr>
                <w:b/>
                <w:sz w:val="24"/>
              </w:rPr>
              <w:t>4、施工期固体废弃物</w:t>
            </w:r>
          </w:p>
          <w:p>
            <w:pPr>
              <w:spacing w:line="360" w:lineRule="auto"/>
              <w:ind w:firstLine="480" w:firstLineChars="200"/>
              <w:rPr>
                <w:bCs/>
                <w:sz w:val="24"/>
              </w:rPr>
            </w:pPr>
            <w:r>
              <w:rPr>
                <w:bCs/>
                <w:sz w:val="24"/>
              </w:rPr>
              <w:t>施工固废主要为装修垃圾、生活垃圾等。</w:t>
            </w:r>
          </w:p>
          <w:p>
            <w:pPr>
              <w:adjustRightInd w:val="0"/>
              <w:snapToGrid w:val="0"/>
              <w:spacing w:line="360" w:lineRule="auto"/>
              <w:ind w:right="91" w:firstLine="480" w:firstLineChars="200"/>
              <w:rPr>
                <w:sz w:val="24"/>
              </w:rPr>
            </w:pPr>
            <w:r>
              <w:rPr>
                <w:bCs/>
                <w:sz w:val="24"/>
              </w:rPr>
              <w:t>（1）建筑垃圾：</w:t>
            </w:r>
            <w:r>
              <w:rPr>
                <w:sz w:val="24"/>
              </w:rPr>
              <w:t>预计项目施工过程中产生的建筑垃圾(如水泥袋、铁质弃料、木材弃料等)约为0.5t/d。在施工现场应设置临时建筑废物堆放场并进行密闭处理。施工生产的废料首先应考虑废料的回收利用，对钢筋、钢板、木材等下角料可分类回收，外售处理；对不能回收的建筑垃圾，如混凝土废料、含砖、石、砂的杂土等以及不能回填的废渣，应集中堆放，作为运营期原料，以免影响环境质量。严禁随意倾倒、填埋。</w:t>
            </w:r>
          </w:p>
          <w:p>
            <w:pPr>
              <w:spacing w:line="360" w:lineRule="auto"/>
              <w:ind w:firstLine="480" w:firstLineChars="200"/>
              <w:rPr>
                <w:bCs/>
                <w:sz w:val="24"/>
              </w:rPr>
            </w:pPr>
            <w:r>
              <w:rPr>
                <w:bCs/>
                <w:sz w:val="24"/>
              </w:rPr>
              <w:t>（2）生活垃圾：施工期施工人员及工地管理人员约100人。工地生活垃圾按 0.5kg/人·d计，产生量为50kg/d，由城市环卫部门进行统一清运至临近生活垃圾焚烧厂。</w:t>
            </w:r>
          </w:p>
          <w:p>
            <w:pPr>
              <w:adjustRightInd w:val="0"/>
              <w:snapToGrid w:val="0"/>
              <w:spacing w:line="360" w:lineRule="auto"/>
              <w:ind w:right="91" w:firstLine="482" w:firstLineChars="200"/>
              <w:rPr>
                <w:b/>
                <w:bCs/>
                <w:sz w:val="24"/>
              </w:rPr>
            </w:pPr>
            <w:r>
              <w:rPr>
                <w:b/>
                <w:bCs/>
                <w:sz w:val="24"/>
              </w:rPr>
              <w:t>5、建设引起的水土流失</w:t>
            </w:r>
          </w:p>
          <w:p>
            <w:pPr>
              <w:adjustRightInd w:val="0"/>
              <w:snapToGrid w:val="0"/>
              <w:spacing w:line="348" w:lineRule="auto"/>
              <w:ind w:firstLine="424" w:firstLineChars="177"/>
              <w:rPr>
                <w:b/>
                <w:sz w:val="24"/>
              </w:rPr>
            </w:pPr>
            <w:r>
              <w:rPr>
                <w:sz w:val="24"/>
              </w:rPr>
              <w:t>项目实施过程中将破坏部分表土结构，减弱局部地区土层的稳定性，在暴雨较集中的时段施工，容易形成小范围的水土流失，另一方面也会增加施工难度和施工费用。因而针对本项目的水土流失，建议施工单位应采取如下措施：</w:t>
            </w:r>
          </w:p>
          <w:p>
            <w:pPr>
              <w:adjustRightInd w:val="0"/>
              <w:snapToGrid w:val="0"/>
              <w:spacing w:line="348" w:lineRule="auto"/>
              <w:ind w:firstLine="424" w:firstLineChars="177"/>
              <w:rPr>
                <w:sz w:val="24"/>
              </w:rPr>
            </w:pPr>
            <w:r>
              <w:rPr>
                <w:sz w:val="24"/>
              </w:rPr>
              <w:t>（1）施工期间采取严格的防治措施以减少水土流失，如尽量缩短土地裸露时间，加快工程项目建设；制订施工计划时，施工进度安排避开在降雨量大的 6-9 月份大面积开挖和堆填；地面应压实等。</w:t>
            </w:r>
          </w:p>
          <w:p>
            <w:pPr>
              <w:adjustRightInd w:val="0"/>
              <w:snapToGrid w:val="0"/>
              <w:spacing w:line="348" w:lineRule="auto"/>
              <w:ind w:firstLine="424" w:firstLineChars="177"/>
              <w:rPr>
                <w:sz w:val="24"/>
              </w:rPr>
            </w:pPr>
            <w:r>
              <w:rPr>
                <w:sz w:val="24"/>
              </w:rPr>
              <w:t>（2）绿化植被的物种应优先选择当地有的物种，避免引进外来物种，以免影响当地物种的种群结构。</w:t>
            </w:r>
          </w:p>
          <w:p>
            <w:pPr>
              <w:adjustRightInd w:val="0"/>
              <w:snapToGrid w:val="0"/>
              <w:spacing w:line="348" w:lineRule="auto"/>
              <w:ind w:firstLine="424" w:firstLineChars="177"/>
              <w:rPr>
                <w:sz w:val="24"/>
              </w:rPr>
            </w:pPr>
            <w:r>
              <w:rPr>
                <w:sz w:val="24"/>
              </w:rPr>
              <w:t>（3）应加强对承包商的环保教育，工程施工过程中严禁施工人员在施工范围外私自占地堆放施工机械或建筑材料。</w:t>
            </w:r>
          </w:p>
          <w:p>
            <w:pPr>
              <w:adjustRightInd w:val="0"/>
              <w:snapToGrid w:val="0"/>
              <w:spacing w:line="348" w:lineRule="auto"/>
              <w:ind w:firstLine="424" w:firstLineChars="177"/>
              <w:rPr>
                <w:sz w:val="24"/>
              </w:rPr>
            </w:pPr>
            <w:r>
              <w:rPr>
                <w:sz w:val="24"/>
              </w:rPr>
              <w:t>（4）施工开始前，施工单位必须先与当地政府部门取得联系，协调有关施工场地、施工营地以及施工临时便道等问题。</w:t>
            </w:r>
          </w:p>
          <w:p>
            <w:pPr>
              <w:adjustRightInd w:val="0"/>
              <w:snapToGrid w:val="0"/>
              <w:spacing w:line="348" w:lineRule="auto"/>
              <w:ind w:firstLine="424" w:firstLineChars="177"/>
              <w:rPr>
                <w:sz w:val="24"/>
              </w:rPr>
            </w:pPr>
            <w:r>
              <w:rPr>
                <w:sz w:val="24"/>
              </w:rPr>
              <w:t>（5）设置必要的导水沟渠，将施工产生的废水沉淀后回用，不可随意引入地表水体。</w:t>
            </w:r>
          </w:p>
          <w:p>
            <w:pPr>
              <w:adjustRightInd w:val="0"/>
              <w:snapToGrid w:val="0"/>
              <w:spacing w:line="348" w:lineRule="auto"/>
              <w:ind w:firstLine="424" w:firstLineChars="177"/>
              <w:rPr>
                <w:sz w:val="24"/>
              </w:rPr>
            </w:pPr>
            <w:r>
              <w:rPr>
                <w:sz w:val="24"/>
              </w:rPr>
              <w:t>（6）加强施工后期的绿化工作，施工结束后表层土不外露，厂区路面全部用水泥铺设。</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16" w:type="dxa"/>
            <w:tcMar>
              <w:left w:w="28" w:type="dxa"/>
              <w:right w:w="28" w:type="dxa"/>
            </w:tcMar>
            <w:vAlign w:val="center"/>
          </w:tcPr>
          <w:p>
            <w:pPr>
              <w:adjustRightInd w:val="0"/>
              <w:snapToGrid w:val="0"/>
              <w:jc w:val="center"/>
              <w:rPr>
                <w:bCs/>
                <w:szCs w:val="21"/>
              </w:rPr>
            </w:pPr>
            <w:r>
              <w:rPr>
                <w:bCs/>
                <w:szCs w:val="21"/>
              </w:rPr>
              <w:t>运营期环境影响和保护措施</w:t>
            </w:r>
          </w:p>
        </w:tc>
        <w:tc>
          <w:tcPr>
            <w:tcW w:w="8409" w:type="dxa"/>
          </w:tcPr>
          <w:p>
            <w:pPr>
              <w:spacing w:line="360" w:lineRule="auto"/>
              <w:rPr>
                <w:b/>
                <w:sz w:val="24"/>
              </w:rPr>
            </w:pPr>
            <w:r>
              <w:rPr>
                <w:b/>
                <w:sz w:val="24"/>
              </w:rPr>
              <w:t>（二）运营期环境影响和保护措施</w:t>
            </w:r>
          </w:p>
          <w:p>
            <w:pPr>
              <w:spacing w:line="360" w:lineRule="auto"/>
              <w:ind w:firstLine="482" w:firstLineChars="200"/>
              <w:rPr>
                <w:b/>
                <w:sz w:val="24"/>
              </w:rPr>
            </w:pPr>
            <w:r>
              <w:rPr>
                <w:b/>
                <w:sz w:val="24"/>
              </w:rPr>
              <w:t>1、</w:t>
            </w:r>
            <w:r>
              <w:rPr>
                <w:b/>
                <w:bCs/>
                <w:sz w:val="24"/>
              </w:rPr>
              <w:t>废气</w:t>
            </w:r>
            <w:r>
              <w:rPr>
                <w:b/>
                <w:sz w:val="24"/>
              </w:rPr>
              <w:t>运营期环境影响和保护措施</w:t>
            </w:r>
          </w:p>
          <w:p>
            <w:pPr>
              <w:tabs>
                <w:tab w:val="left" w:pos="5670"/>
              </w:tabs>
              <w:spacing w:line="360" w:lineRule="auto"/>
              <w:ind w:firstLine="482" w:firstLineChars="200"/>
              <w:rPr>
                <w:b/>
                <w:bCs/>
                <w:sz w:val="24"/>
                <w:szCs w:val="20"/>
              </w:rPr>
            </w:pPr>
            <w:r>
              <w:rPr>
                <w:b/>
                <w:bCs/>
                <w:sz w:val="24"/>
              </w:rPr>
              <w:t>（1）废气排放及治理措施</w:t>
            </w:r>
          </w:p>
          <w:p>
            <w:pPr>
              <w:spacing w:line="360" w:lineRule="auto"/>
              <w:ind w:firstLine="480" w:firstLineChars="200"/>
              <w:rPr>
                <w:sz w:val="24"/>
              </w:rPr>
            </w:pPr>
            <w:bookmarkStart w:id="18" w:name="_Hlk82694801"/>
            <w:r>
              <w:rPr>
                <w:sz w:val="24"/>
              </w:rPr>
              <w:t>项目生产运营过程中产生废气主要的产生来源是</w:t>
            </w:r>
            <w:r>
              <w:rPr>
                <w:sz w:val="24"/>
                <w:szCs w:val="22"/>
              </w:rPr>
              <w:t>炉渣综合利用生产线及建筑垃圾资源化利用生产线产生的装卸粉尘，破碎、筛分粉尘，汽车尾气等；</w:t>
            </w:r>
          </w:p>
          <w:bookmarkEnd w:id="18"/>
          <w:p>
            <w:pPr>
              <w:adjustRightInd w:val="0"/>
              <w:snapToGrid w:val="0"/>
              <w:spacing w:line="360" w:lineRule="auto"/>
              <w:ind w:firstLine="482" w:firstLineChars="200"/>
              <w:rPr>
                <w:b/>
                <w:bCs/>
                <w:sz w:val="24"/>
              </w:rPr>
            </w:pPr>
            <w:r>
              <w:rPr>
                <w:b/>
                <w:bCs/>
                <w:sz w:val="24"/>
              </w:rPr>
              <w:t>1）工艺粉尘</w:t>
            </w:r>
          </w:p>
          <w:p>
            <w:pPr>
              <w:spacing w:line="360" w:lineRule="auto"/>
              <w:ind w:firstLine="364" w:firstLineChars="152"/>
              <w:rPr>
                <w:sz w:val="24"/>
              </w:rPr>
            </w:pPr>
            <w:r>
              <w:rPr>
                <w:rFonts w:hint="eastAsia" w:ascii="宋体" w:hAnsi="宋体" w:cs="宋体"/>
                <w:sz w:val="24"/>
              </w:rPr>
              <w:t>①</w:t>
            </w:r>
            <w:r>
              <w:rPr>
                <w:sz w:val="24"/>
              </w:rPr>
              <w:t>源强核算</w:t>
            </w:r>
          </w:p>
          <w:p>
            <w:pPr>
              <w:adjustRightInd w:val="0"/>
              <w:snapToGrid w:val="0"/>
              <w:spacing w:line="360" w:lineRule="auto"/>
              <w:ind w:firstLine="480" w:firstLineChars="200"/>
              <w:rPr>
                <w:sz w:val="24"/>
              </w:rPr>
            </w:pPr>
            <w:r>
              <w:rPr>
                <w:sz w:val="24"/>
              </w:rPr>
              <w:t>i、破碎、筛分粉尘</w:t>
            </w:r>
          </w:p>
          <w:p>
            <w:pPr>
              <w:adjustRightInd w:val="0"/>
              <w:snapToGrid w:val="0"/>
              <w:spacing w:line="360" w:lineRule="auto"/>
              <w:ind w:firstLine="480" w:firstLineChars="200"/>
              <w:rPr>
                <w:sz w:val="24"/>
              </w:rPr>
            </w:pPr>
            <w:r>
              <w:rPr>
                <w:sz w:val="24"/>
              </w:rPr>
              <w:t>项目工艺粉尘主要产生于破碎、筛分等工序，项目采取湿法作业，粉尘量较少，破碎粉尘源强计算加下：</w:t>
            </w:r>
          </w:p>
          <w:p>
            <w:pPr>
              <w:adjustRightInd w:val="0"/>
              <w:snapToGrid w:val="0"/>
              <w:spacing w:line="360" w:lineRule="auto"/>
              <w:ind w:firstLine="480" w:firstLineChars="200"/>
              <w:rPr>
                <w:sz w:val="24"/>
              </w:rPr>
            </w:pPr>
            <w:r>
              <w:rPr>
                <w:sz w:val="24"/>
              </w:rPr>
              <w:t>污染源核算量参照第二次全国污染源普查工业污染源普查《工业源系数手册 303砖瓦、石材等建筑材料行业系数手册》（初稿）中“3039 其他建筑材料制造行业”产污系数进行核算。</w:t>
            </w:r>
          </w:p>
          <w:tbl>
            <w:tblPr>
              <w:tblStyle w:val="3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3"/>
              <w:gridCol w:w="1023"/>
              <w:gridCol w:w="836"/>
              <w:gridCol w:w="836"/>
              <w:gridCol w:w="836"/>
              <w:gridCol w:w="1455"/>
              <w:gridCol w:w="1234"/>
              <w:gridCol w:w="10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2" w:type="pct"/>
                  <w:shd w:val="clear" w:color="auto" w:fill="auto"/>
                  <w:vAlign w:val="center"/>
                </w:tcPr>
                <w:p>
                  <w:pPr>
                    <w:jc w:val="center"/>
                    <w:outlineLvl w:val="1"/>
                    <w:rPr>
                      <w:b/>
                      <w:bCs/>
                      <w:szCs w:val="16"/>
                    </w:rPr>
                  </w:pPr>
                  <w:r>
                    <w:rPr>
                      <w:b/>
                      <w:bCs/>
                      <w:szCs w:val="16"/>
                    </w:rPr>
                    <w:t>核算环节</w:t>
                  </w:r>
                </w:p>
              </w:tc>
              <w:tc>
                <w:tcPr>
                  <w:tcW w:w="625" w:type="pct"/>
                  <w:shd w:val="clear" w:color="auto" w:fill="auto"/>
                  <w:vAlign w:val="center"/>
                </w:tcPr>
                <w:p>
                  <w:pPr>
                    <w:jc w:val="center"/>
                    <w:outlineLvl w:val="1"/>
                    <w:rPr>
                      <w:b/>
                      <w:bCs/>
                      <w:szCs w:val="16"/>
                    </w:rPr>
                  </w:pPr>
                  <w:r>
                    <w:rPr>
                      <w:b/>
                      <w:bCs/>
                      <w:szCs w:val="16"/>
                    </w:rPr>
                    <w:t>产品名称</w:t>
                  </w:r>
                </w:p>
              </w:tc>
              <w:tc>
                <w:tcPr>
                  <w:tcW w:w="511" w:type="pct"/>
                  <w:shd w:val="clear" w:color="auto" w:fill="auto"/>
                  <w:vAlign w:val="center"/>
                </w:tcPr>
                <w:p>
                  <w:pPr>
                    <w:jc w:val="center"/>
                    <w:outlineLvl w:val="1"/>
                    <w:rPr>
                      <w:b/>
                      <w:bCs/>
                      <w:szCs w:val="16"/>
                    </w:rPr>
                  </w:pPr>
                  <w:r>
                    <w:rPr>
                      <w:b/>
                      <w:bCs/>
                      <w:szCs w:val="16"/>
                    </w:rPr>
                    <w:t>原料名称</w:t>
                  </w:r>
                </w:p>
              </w:tc>
              <w:tc>
                <w:tcPr>
                  <w:tcW w:w="511" w:type="pct"/>
                  <w:shd w:val="clear" w:color="auto" w:fill="auto"/>
                  <w:vAlign w:val="center"/>
                </w:tcPr>
                <w:p>
                  <w:pPr>
                    <w:jc w:val="center"/>
                    <w:outlineLvl w:val="1"/>
                    <w:rPr>
                      <w:b/>
                      <w:bCs/>
                      <w:szCs w:val="16"/>
                    </w:rPr>
                  </w:pPr>
                  <w:r>
                    <w:rPr>
                      <w:b/>
                      <w:bCs/>
                      <w:szCs w:val="16"/>
                    </w:rPr>
                    <w:t>工艺名称</w:t>
                  </w:r>
                </w:p>
              </w:tc>
              <w:tc>
                <w:tcPr>
                  <w:tcW w:w="511" w:type="pct"/>
                  <w:shd w:val="clear" w:color="auto" w:fill="auto"/>
                  <w:vAlign w:val="center"/>
                </w:tcPr>
                <w:p>
                  <w:pPr>
                    <w:jc w:val="center"/>
                    <w:outlineLvl w:val="1"/>
                    <w:rPr>
                      <w:b/>
                      <w:bCs/>
                      <w:szCs w:val="16"/>
                    </w:rPr>
                  </w:pPr>
                  <w:r>
                    <w:rPr>
                      <w:b/>
                      <w:bCs/>
                      <w:szCs w:val="16"/>
                    </w:rPr>
                    <w:t>规模等级</w:t>
                  </w:r>
                </w:p>
              </w:tc>
              <w:tc>
                <w:tcPr>
                  <w:tcW w:w="889" w:type="pct"/>
                  <w:shd w:val="clear" w:color="auto" w:fill="auto"/>
                  <w:vAlign w:val="center"/>
                </w:tcPr>
                <w:p>
                  <w:pPr>
                    <w:jc w:val="center"/>
                    <w:outlineLvl w:val="1"/>
                    <w:rPr>
                      <w:b/>
                      <w:bCs/>
                      <w:szCs w:val="16"/>
                    </w:rPr>
                  </w:pPr>
                  <w:r>
                    <w:rPr>
                      <w:b/>
                      <w:bCs/>
                      <w:szCs w:val="16"/>
                    </w:rPr>
                    <w:t>污染物指标</w:t>
                  </w:r>
                </w:p>
              </w:tc>
              <w:tc>
                <w:tcPr>
                  <w:tcW w:w="754" w:type="pct"/>
                  <w:shd w:val="clear" w:color="auto" w:fill="auto"/>
                  <w:vAlign w:val="center"/>
                </w:tcPr>
                <w:p>
                  <w:pPr>
                    <w:jc w:val="center"/>
                    <w:outlineLvl w:val="1"/>
                    <w:rPr>
                      <w:b/>
                      <w:bCs/>
                      <w:szCs w:val="16"/>
                    </w:rPr>
                  </w:pPr>
                  <w:r>
                    <w:rPr>
                      <w:b/>
                      <w:bCs/>
                      <w:szCs w:val="16"/>
                    </w:rPr>
                    <w:t>系数单位</w:t>
                  </w:r>
                </w:p>
              </w:tc>
              <w:tc>
                <w:tcPr>
                  <w:tcW w:w="647" w:type="pct"/>
                  <w:shd w:val="clear" w:color="auto" w:fill="auto"/>
                  <w:vAlign w:val="center"/>
                </w:tcPr>
                <w:p>
                  <w:pPr>
                    <w:jc w:val="center"/>
                    <w:outlineLvl w:val="1"/>
                    <w:rPr>
                      <w:b/>
                      <w:bCs/>
                      <w:szCs w:val="16"/>
                    </w:rPr>
                  </w:pPr>
                  <w:r>
                    <w:rPr>
                      <w:b/>
                      <w:bCs/>
                      <w:szCs w:val="16"/>
                    </w:rPr>
                    <w:t>产污系数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2" w:type="pct"/>
                  <w:vMerge w:val="restart"/>
                  <w:shd w:val="clear" w:color="auto" w:fill="auto"/>
                  <w:vAlign w:val="center"/>
                </w:tcPr>
                <w:p>
                  <w:pPr>
                    <w:jc w:val="center"/>
                    <w:outlineLvl w:val="1"/>
                    <w:rPr>
                      <w:szCs w:val="16"/>
                    </w:rPr>
                  </w:pPr>
                  <w:r>
                    <w:rPr>
                      <w:szCs w:val="16"/>
                    </w:rPr>
                    <w:t>/</w:t>
                  </w:r>
                </w:p>
              </w:tc>
              <w:tc>
                <w:tcPr>
                  <w:tcW w:w="625" w:type="pct"/>
                  <w:vMerge w:val="restart"/>
                  <w:shd w:val="clear" w:color="auto" w:fill="auto"/>
                  <w:vAlign w:val="center"/>
                </w:tcPr>
                <w:p>
                  <w:pPr>
                    <w:jc w:val="center"/>
                    <w:outlineLvl w:val="1"/>
                    <w:rPr>
                      <w:szCs w:val="16"/>
                    </w:rPr>
                  </w:pPr>
                  <w:r>
                    <w:rPr>
                      <w:szCs w:val="16"/>
                    </w:rPr>
                    <w:t>砂石骨料</w:t>
                  </w:r>
                </w:p>
              </w:tc>
              <w:tc>
                <w:tcPr>
                  <w:tcW w:w="511" w:type="pct"/>
                  <w:vMerge w:val="restart"/>
                  <w:shd w:val="clear" w:color="auto" w:fill="auto"/>
                  <w:vAlign w:val="center"/>
                </w:tcPr>
                <w:p>
                  <w:pPr>
                    <w:jc w:val="center"/>
                    <w:outlineLvl w:val="1"/>
                    <w:rPr>
                      <w:szCs w:val="16"/>
                    </w:rPr>
                  </w:pPr>
                  <w:r>
                    <w:rPr>
                      <w:szCs w:val="16"/>
                    </w:rPr>
                    <w:t>碎石、砂石</w:t>
                  </w:r>
                </w:p>
              </w:tc>
              <w:tc>
                <w:tcPr>
                  <w:tcW w:w="511" w:type="pct"/>
                  <w:vMerge w:val="restart"/>
                  <w:shd w:val="clear" w:color="auto" w:fill="auto"/>
                  <w:vAlign w:val="center"/>
                </w:tcPr>
                <w:p>
                  <w:pPr>
                    <w:jc w:val="center"/>
                    <w:outlineLvl w:val="1"/>
                    <w:rPr>
                      <w:szCs w:val="16"/>
                    </w:rPr>
                  </w:pPr>
                  <w:r>
                    <w:rPr>
                      <w:szCs w:val="16"/>
                    </w:rPr>
                    <w:t>破碎、筛分</w:t>
                  </w:r>
                </w:p>
              </w:tc>
              <w:tc>
                <w:tcPr>
                  <w:tcW w:w="511" w:type="pct"/>
                  <w:vMerge w:val="restart"/>
                  <w:shd w:val="clear" w:color="auto" w:fill="auto"/>
                  <w:vAlign w:val="center"/>
                </w:tcPr>
                <w:p>
                  <w:pPr>
                    <w:jc w:val="center"/>
                    <w:outlineLvl w:val="1"/>
                    <w:rPr>
                      <w:szCs w:val="16"/>
                    </w:rPr>
                  </w:pPr>
                  <w:r>
                    <w:rPr>
                      <w:szCs w:val="16"/>
                    </w:rPr>
                    <w:t>所有规模</w:t>
                  </w:r>
                </w:p>
              </w:tc>
              <w:tc>
                <w:tcPr>
                  <w:tcW w:w="889" w:type="pct"/>
                  <w:shd w:val="clear" w:color="auto" w:fill="auto"/>
                  <w:vAlign w:val="center"/>
                </w:tcPr>
                <w:p>
                  <w:pPr>
                    <w:jc w:val="center"/>
                    <w:outlineLvl w:val="1"/>
                    <w:rPr>
                      <w:szCs w:val="16"/>
                    </w:rPr>
                  </w:pPr>
                  <w:r>
                    <w:rPr>
                      <w:szCs w:val="16"/>
                    </w:rPr>
                    <w:t>工业废气量</w:t>
                  </w:r>
                </w:p>
              </w:tc>
              <w:tc>
                <w:tcPr>
                  <w:tcW w:w="754" w:type="pct"/>
                  <w:shd w:val="clear" w:color="auto" w:fill="auto"/>
                  <w:vAlign w:val="center"/>
                </w:tcPr>
                <w:p>
                  <w:pPr>
                    <w:jc w:val="center"/>
                    <w:outlineLvl w:val="1"/>
                    <w:rPr>
                      <w:szCs w:val="16"/>
                    </w:rPr>
                  </w:pPr>
                  <w:r>
                    <w:rPr>
                      <w:szCs w:val="16"/>
                    </w:rPr>
                    <w:t>标立方米/吨-产品</w:t>
                  </w:r>
                </w:p>
              </w:tc>
              <w:tc>
                <w:tcPr>
                  <w:tcW w:w="647" w:type="pct"/>
                  <w:shd w:val="clear" w:color="auto" w:fill="auto"/>
                  <w:vAlign w:val="center"/>
                </w:tcPr>
                <w:p>
                  <w:pPr>
                    <w:jc w:val="center"/>
                    <w:outlineLvl w:val="1"/>
                    <w:rPr>
                      <w:szCs w:val="16"/>
                    </w:rPr>
                  </w:pPr>
                  <w:r>
                    <w:rPr>
                      <w:szCs w:val="16"/>
                    </w:rPr>
                    <w:t>1215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52" w:type="pct"/>
                  <w:vMerge w:val="continue"/>
                  <w:shd w:val="clear" w:color="auto" w:fill="auto"/>
                  <w:vAlign w:val="center"/>
                </w:tcPr>
                <w:p>
                  <w:pPr>
                    <w:jc w:val="center"/>
                    <w:outlineLvl w:val="1"/>
                    <w:rPr>
                      <w:szCs w:val="16"/>
                    </w:rPr>
                  </w:pPr>
                </w:p>
              </w:tc>
              <w:tc>
                <w:tcPr>
                  <w:tcW w:w="625" w:type="pct"/>
                  <w:vMerge w:val="continue"/>
                  <w:shd w:val="clear" w:color="auto" w:fill="auto"/>
                  <w:vAlign w:val="center"/>
                </w:tcPr>
                <w:p>
                  <w:pPr>
                    <w:jc w:val="center"/>
                    <w:outlineLvl w:val="1"/>
                    <w:rPr>
                      <w:szCs w:val="16"/>
                    </w:rPr>
                  </w:pPr>
                </w:p>
              </w:tc>
              <w:tc>
                <w:tcPr>
                  <w:tcW w:w="511" w:type="pct"/>
                  <w:vMerge w:val="continue"/>
                  <w:shd w:val="clear" w:color="auto" w:fill="auto"/>
                  <w:vAlign w:val="center"/>
                </w:tcPr>
                <w:p>
                  <w:pPr>
                    <w:jc w:val="center"/>
                    <w:outlineLvl w:val="1"/>
                    <w:rPr>
                      <w:szCs w:val="16"/>
                    </w:rPr>
                  </w:pPr>
                </w:p>
              </w:tc>
              <w:tc>
                <w:tcPr>
                  <w:tcW w:w="511" w:type="pct"/>
                  <w:vMerge w:val="continue"/>
                  <w:shd w:val="clear" w:color="auto" w:fill="auto"/>
                  <w:vAlign w:val="center"/>
                </w:tcPr>
                <w:p>
                  <w:pPr>
                    <w:jc w:val="center"/>
                    <w:outlineLvl w:val="1"/>
                    <w:rPr>
                      <w:szCs w:val="16"/>
                    </w:rPr>
                  </w:pPr>
                </w:p>
              </w:tc>
              <w:tc>
                <w:tcPr>
                  <w:tcW w:w="511" w:type="pct"/>
                  <w:vMerge w:val="continue"/>
                  <w:shd w:val="clear" w:color="auto" w:fill="auto"/>
                  <w:vAlign w:val="center"/>
                </w:tcPr>
                <w:p>
                  <w:pPr>
                    <w:jc w:val="center"/>
                    <w:outlineLvl w:val="1"/>
                    <w:rPr>
                      <w:szCs w:val="16"/>
                    </w:rPr>
                  </w:pPr>
                </w:p>
              </w:tc>
              <w:tc>
                <w:tcPr>
                  <w:tcW w:w="889" w:type="pct"/>
                  <w:shd w:val="clear" w:color="auto" w:fill="auto"/>
                  <w:vAlign w:val="center"/>
                </w:tcPr>
                <w:p>
                  <w:pPr>
                    <w:jc w:val="center"/>
                    <w:outlineLvl w:val="1"/>
                    <w:rPr>
                      <w:szCs w:val="16"/>
                    </w:rPr>
                  </w:pPr>
                  <w:r>
                    <w:rPr>
                      <w:szCs w:val="16"/>
                    </w:rPr>
                    <w:t>颗粒物</w:t>
                  </w:r>
                </w:p>
              </w:tc>
              <w:tc>
                <w:tcPr>
                  <w:tcW w:w="754" w:type="pct"/>
                  <w:shd w:val="clear" w:color="auto" w:fill="auto"/>
                  <w:vAlign w:val="center"/>
                </w:tcPr>
                <w:p>
                  <w:pPr>
                    <w:jc w:val="center"/>
                    <w:outlineLvl w:val="1"/>
                    <w:rPr>
                      <w:szCs w:val="16"/>
                    </w:rPr>
                  </w:pPr>
                  <w:r>
                    <w:rPr>
                      <w:szCs w:val="16"/>
                    </w:rPr>
                    <w:t>千克/吨-产品</w:t>
                  </w:r>
                </w:p>
              </w:tc>
              <w:tc>
                <w:tcPr>
                  <w:tcW w:w="647" w:type="pct"/>
                  <w:shd w:val="clear" w:color="auto" w:fill="auto"/>
                  <w:vAlign w:val="center"/>
                </w:tcPr>
                <w:p>
                  <w:pPr>
                    <w:jc w:val="center"/>
                    <w:outlineLvl w:val="1"/>
                    <w:rPr>
                      <w:szCs w:val="16"/>
                    </w:rPr>
                  </w:pPr>
                  <w:r>
                    <w:rPr>
                      <w:szCs w:val="16"/>
                    </w:rPr>
                    <w:t>1.89</w:t>
                  </w:r>
                </w:p>
              </w:tc>
            </w:tr>
          </w:tbl>
          <w:p>
            <w:pPr>
              <w:adjustRightInd w:val="0"/>
              <w:snapToGrid w:val="0"/>
              <w:spacing w:line="480" w:lineRule="exact"/>
              <w:ind w:firstLine="480" w:firstLineChars="200"/>
              <w:rPr>
                <w:sz w:val="24"/>
              </w:rPr>
            </w:pPr>
            <w:r>
              <w:rPr>
                <w:sz w:val="24"/>
              </w:rPr>
              <w:t>污染源核算破碎为干法破碎、筛分易起尘，计算结果见下：</w:t>
            </w:r>
          </w:p>
          <w:p>
            <w:pPr>
              <w:adjustRightInd w:val="0"/>
              <w:snapToGrid w:val="0"/>
              <w:spacing w:line="480" w:lineRule="exact"/>
              <w:ind w:firstLine="480" w:firstLineChars="200"/>
              <w:rPr>
                <w:sz w:val="24"/>
              </w:rPr>
            </w:pPr>
            <w:r>
              <w:rPr>
                <w:sz w:val="24"/>
              </w:rPr>
              <w:t>粉尘源强=6.6×10</w:t>
            </w:r>
            <w:r>
              <w:rPr>
                <w:sz w:val="24"/>
                <w:vertAlign w:val="superscript"/>
              </w:rPr>
              <w:t>4</w:t>
            </w:r>
            <w:r>
              <w:rPr>
                <w:sz w:val="24"/>
              </w:rPr>
              <w:t>t/a建筑垃圾×1.89千克/吨-产品+14.6×10</w:t>
            </w:r>
            <w:r>
              <w:rPr>
                <w:sz w:val="24"/>
                <w:vertAlign w:val="superscript"/>
              </w:rPr>
              <w:t>4</w:t>
            </w:r>
            <w:r>
              <w:rPr>
                <w:sz w:val="24"/>
              </w:rPr>
              <w:t>t/a建筑垃圾×1.89千克/吨-产品=400.68t/a；</w:t>
            </w:r>
          </w:p>
          <w:p>
            <w:pPr>
              <w:adjustRightInd w:val="0"/>
              <w:snapToGrid w:val="0"/>
              <w:spacing w:line="360" w:lineRule="auto"/>
              <w:ind w:firstLine="480" w:firstLineChars="200"/>
              <w:rPr>
                <w:sz w:val="24"/>
              </w:rPr>
            </w:pPr>
            <w:r>
              <w:rPr>
                <w:sz w:val="24"/>
              </w:rPr>
              <w:t>Q</w:t>
            </w:r>
            <w:r>
              <w:rPr>
                <w:sz w:val="24"/>
                <w:vertAlign w:val="subscript"/>
              </w:rPr>
              <w:t>TSP</w:t>
            </w:r>
            <w:r>
              <w:rPr>
                <w:sz w:val="24"/>
              </w:rPr>
              <w:t>=400.69t/a×1000kg/t÷330d÷10h=121.4kg/h。</w:t>
            </w:r>
          </w:p>
          <w:p>
            <w:pPr>
              <w:adjustRightInd w:val="0"/>
              <w:snapToGrid w:val="0"/>
              <w:spacing w:line="360" w:lineRule="auto"/>
              <w:ind w:firstLine="480" w:firstLineChars="200"/>
              <w:rPr>
                <w:sz w:val="24"/>
              </w:rPr>
            </w:pPr>
            <w:r>
              <w:rPr>
                <w:sz w:val="24"/>
              </w:rPr>
              <w:t>ii、装卸粉尘</w:t>
            </w:r>
          </w:p>
          <w:p>
            <w:pPr>
              <w:spacing w:line="360" w:lineRule="auto"/>
              <w:ind w:firstLine="480" w:firstLineChars="200"/>
              <w:jc w:val="left"/>
              <w:rPr>
                <w:kern w:val="0"/>
                <w:sz w:val="24"/>
              </w:rPr>
            </w:pPr>
            <w:r>
              <w:rPr>
                <w:kern w:val="0"/>
                <w:sz w:val="24"/>
              </w:rPr>
              <w:t>项目炉渣、建筑垃圾等由自卸汽车运回厂区内的炉渣综合处理车间中原料堆场，在堆场内进行卸料。由于炉渣粒径主要集中在2～50mm范围（约占60%～70%），汽车倾斜卸料过程产生粉尘，呈无组织排放。项目原料卸料粉尘采用山西环保科所、武汉水运工程学院提出的经验公式估算产尘量，经验公式为：</w:t>
            </w:r>
          </w:p>
          <w:p>
            <w:pPr>
              <w:spacing w:line="360" w:lineRule="auto"/>
              <w:jc w:val="center"/>
              <w:rPr>
                <w:bCs/>
                <w:iCs/>
                <w:snapToGrid w:val="0"/>
                <w:spacing w:val="-4"/>
                <w:sz w:val="24"/>
              </w:rPr>
            </w:pPr>
            <m:oMathPara>
              <m:oMath>
                <m:r>
                  <m:rPr>
                    <m:sty m:val="p"/>
                  </m:rPr>
                  <w:rPr>
                    <w:rFonts w:ascii="Cambria Math" w:hAnsi="Cambria Math"/>
                    <w:snapToGrid w:val="0"/>
                    <w:spacing w:val="-4"/>
                    <w:sz w:val="24"/>
                  </w:rPr>
                  <m:t>Q=</m:t>
                </m:r>
                <m:sSup>
                  <m:sSupPr>
                    <m:ctrlPr>
                      <w:rPr>
                        <w:rFonts w:ascii="Cambria Math" w:hAnsi="Cambria Math"/>
                        <w:bCs/>
                        <w:iCs/>
                        <w:snapToGrid w:val="0"/>
                        <w:spacing w:val="-4"/>
                        <w:sz w:val="24"/>
                      </w:rPr>
                    </m:ctrlPr>
                  </m:sSupPr>
                  <m:e>
                    <m:r>
                      <m:rPr>
                        <m:sty m:val="p"/>
                      </m:rPr>
                      <w:rPr>
                        <w:rFonts w:ascii="Cambria Math" w:hAnsi="Cambria Math"/>
                        <w:snapToGrid w:val="0"/>
                        <w:spacing w:val="-4"/>
                        <w:sz w:val="24"/>
                      </w:rPr>
                      <m:t>e</m:t>
                    </m:r>
                    <m:ctrlPr>
                      <w:rPr>
                        <w:rFonts w:ascii="Cambria Math" w:hAnsi="Cambria Math"/>
                        <w:bCs/>
                        <w:iCs/>
                        <w:snapToGrid w:val="0"/>
                        <w:spacing w:val="-4"/>
                        <w:sz w:val="24"/>
                      </w:rPr>
                    </m:ctrlPr>
                  </m:e>
                  <m:sup>
                    <m:r>
                      <m:rPr/>
                      <w:rPr>
                        <w:rFonts w:ascii="Cambria Math" w:hAnsi="Cambria Math"/>
                        <w:snapToGrid w:val="0"/>
                        <w:spacing w:val="-4"/>
                        <w:sz w:val="24"/>
                      </w:rPr>
                      <m:t>0.61u</m:t>
                    </m:r>
                    <m:ctrlPr>
                      <w:rPr>
                        <w:rFonts w:ascii="Cambria Math" w:hAnsi="Cambria Math"/>
                        <w:bCs/>
                        <w:iCs/>
                        <w:snapToGrid w:val="0"/>
                        <w:spacing w:val="-4"/>
                        <w:sz w:val="24"/>
                      </w:rPr>
                    </m:ctrlPr>
                  </m:sup>
                </m:sSup>
                <m:f>
                  <m:fPr>
                    <m:ctrlPr>
                      <w:rPr>
                        <w:rFonts w:ascii="Cambria Math" w:hAnsi="Cambria Math"/>
                        <w:bCs/>
                        <w:i/>
                        <w:iCs/>
                        <w:snapToGrid w:val="0"/>
                        <w:spacing w:val="-4"/>
                        <w:sz w:val="24"/>
                      </w:rPr>
                    </m:ctrlPr>
                  </m:fPr>
                  <m:num>
                    <m:r>
                      <m:rPr/>
                      <w:rPr>
                        <w:rFonts w:ascii="Cambria Math" w:hAnsi="Cambria Math"/>
                        <w:snapToGrid w:val="0"/>
                        <w:spacing w:val="-4"/>
                        <w:sz w:val="24"/>
                      </w:rPr>
                      <m:t>M</m:t>
                    </m:r>
                    <m:ctrlPr>
                      <w:rPr>
                        <w:rFonts w:ascii="Cambria Math" w:hAnsi="Cambria Math"/>
                        <w:bCs/>
                        <w:i/>
                        <w:iCs/>
                        <w:snapToGrid w:val="0"/>
                        <w:spacing w:val="-4"/>
                        <w:sz w:val="24"/>
                      </w:rPr>
                    </m:ctrlPr>
                  </m:num>
                  <m:den>
                    <m:r>
                      <m:rPr/>
                      <w:rPr>
                        <w:rFonts w:ascii="Cambria Math" w:hAnsi="Cambria Math"/>
                        <w:snapToGrid w:val="0"/>
                        <w:spacing w:val="-4"/>
                        <w:sz w:val="24"/>
                      </w:rPr>
                      <m:t>13.5</m:t>
                    </m:r>
                    <m:ctrlPr>
                      <w:rPr>
                        <w:rFonts w:ascii="Cambria Math" w:hAnsi="Cambria Math"/>
                        <w:bCs/>
                        <w:i/>
                        <w:iCs/>
                        <w:snapToGrid w:val="0"/>
                        <w:spacing w:val="-4"/>
                        <w:sz w:val="24"/>
                      </w:rPr>
                    </m:ctrlPr>
                  </m:den>
                </m:f>
              </m:oMath>
            </m:oMathPara>
          </w:p>
          <w:p>
            <w:pPr>
              <w:spacing w:line="360" w:lineRule="auto"/>
              <w:ind w:firstLine="480" w:firstLineChars="200"/>
              <w:rPr>
                <w:sz w:val="24"/>
              </w:rPr>
            </w:pPr>
            <w:r>
              <w:rPr>
                <w:sz w:val="24"/>
              </w:rPr>
              <w:t>式中：Q—自卸汽车卸料起尘量，g/次；</w:t>
            </w:r>
          </w:p>
          <w:p>
            <w:pPr>
              <w:spacing w:line="360" w:lineRule="auto"/>
              <w:ind w:firstLine="480" w:firstLineChars="200"/>
              <w:rPr>
                <w:sz w:val="24"/>
              </w:rPr>
            </w:pPr>
            <w:r>
              <w:rPr>
                <w:kern w:val="0"/>
                <w:sz w:val="24"/>
              </w:rPr>
              <w:t xml:space="preserve">       </w:t>
            </w:r>
            <w:r>
              <w:rPr>
                <w:sz w:val="24"/>
              </w:rPr>
              <w:t>u—地面平均风速；</w:t>
            </w:r>
            <w:r>
              <w:rPr>
                <w:kern w:val="0"/>
                <w:sz w:val="24"/>
              </w:rPr>
              <w:t>m/s，本项目卸料在车间内进行，室内风速以1.2m/s计；</w:t>
            </w:r>
          </w:p>
          <w:p>
            <w:pPr>
              <w:spacing w:line="360" w:lineRule="auto"/>
              <w:ind w:firstLine="480" w:firstLineChars="200"/>
              <w:rPr>
                <w:kern w:val="0"/>
                <w:sz w:val="24"/>
              </w:rPr>
            </w:pPr>
            <w:r>
              <w:rPr>
                <w:kern w:val="0"/>
                <w:sz w:val="24"/>
              </w:rPr>
              <w:t xml:space="preserve">       M—一次卸料量；自卸汽车单次运载量为20t/次。</w:t>
            </w:r>
          </w:p>
          <w:p>
            <w:pPr>
              <w:spacing w:line="360" w:lineRule="auto"/>
              <w:ind w:firstLine="480" w:firstLineChars="200"/>
              <w:rPr>
                <w:kern w:val="0"/>
                <w:sz w:val="24"/>
              </w:rPr>
            </w:pPr>
            <w:r>
              <w:rPr>
                <w:kern w:val="0"/>
                <w:sz w:val="24"/>
              </w:rPr>
              <w:t>采用经验公式计算，自卸汽车卸料起尘量为3.08g/次，本项目炉渣综合利用处理规模为642.4t/d，日运输约32车次，汽车卸料起尘量为98.56g/d（0.033t/a）。</w:t>
            </w:r>
          </w:p>
          <w:p>
            <w:pPr>
              <w:adjustRightInd w:val="0"/>
              <w:snapToGrid w:val="0"/>
              <w:spacing w:line="360" w:lineRule="auto"/>
              <w:ind w:firstLine="480" w:firstLineChars="200"/>
              <w:rPr>
                <w:bCs/>
                <w:sz w:val="24"/>
              </w:rPr>
            </w:pPr>
            <w:r>
              <w:rPr>
                <w:bCs/>
                <w:sz w:val="24"/>
              </w:rPr>
              <w:t>iii、堆场扬尘</w:t>
            </w:r>
          </w:p>
          <w:p>
            <w:pPr>
              <w:spacing w:line="360" w:lineRule="auto"/>
              <w:ind w:firstLine="480" w:firstLineChars="200"/>
              <w:rPr>
                <w:sz w:val="24"/>
              </w:rPr>
            </w:pPr>
            <w:r>
              <w:rPr>
                <w:sz w:val="24"/>
              </w:rPr>
              <w:t>根据环保部《扬尘源颗粒物排放清单编制技术指南》中4.4堆场扬尘源排放量的计算进行，详细计算见下：</w:t>
            </w:r>
          </w:p>
          <w:p>
            <w:pPr>
              <w:spacing w:line="360" w:lineRule="auto"/>
              <w:ind w:firstLine="480" w:firstLineChars="200"/>
              <w:rPr>
                <w:sz w:val="24"/>
              </w:rPr>
            </w:pPr>
            <w:r>
              <w:rPr>
                <w:sz w:val="24"/>
              </w:rPr>
              <w:t>起尘计算：</w:t>
            </w:r>
          </w:p>
          <w:p>
            <w:pPr>
              <w:spacing w:line="360" w:lineRule="auto"/>
              <w:ind w:firstLine="480" w:firstLineChars="200"/>
              <w:rPr>
                <w:sz w:val="24"/>
              </w:rPr>
            </w:pPr>
            <w:r>
              <w:rPr>
                <w:sz w:val="24"/>
              </w:rPr>
              <w:fldChar w:fldCharType="begin"/>
            </w:r>
            <w:r>
              <w:rPr>
                <w:sz w:val="24"/>
              </w:rPr>
              <w:instrText xml:space="preserve">= 1 \* GB3</w:instrText>
            </w:r>
            <w:r>
              <w:rPr>
                <w:sz w:val="24"/>
              </w:rPr>
              <w:fldChar w:fldCharType="separate"/>
            </w:r>
            <w:r>
              <w:rPr>
                <w:rFonts w:hint="eastAsia" w:ascii="宋体" w:hAnsi="宋体" w:cs="宋体"/>
                <w:sz w:val="24"/>
              </w:rPr>
              <w:t>①</w:t>
            </w:r>
            <w:r>
              <w:rPr>
                <w:sz w:val="24"/>
              </w:rPr>
              <w:fldChar w:fldCharType="end"/>
            </w:r>
            <w:r>
              <w:rPr>
                <w:sz w:val="24"/>
              </w:rPr>
              <w:t>堆场表面遭受风扰动后引起颗粒物排放的排放系数计算公式见下：</w:t>
            </w:r>
          </w:p>
          <w:p>
            <w:pPr>
              <w:spacing w:line="360" w:lineRule="auto"/>
              <w:ind w:firstLine="600" w:firstLineChars="250"/>
              <w:rPr>
                <w:sz w:val="24"/>
              </w:rPr>
            </w:pPr>
            <w:r>
              <w:drawing>
                <wp:anchor distT="0" distB="0" distL="114300" distR="114300" simplePos="0" relativeHeight="251661312" behindDoc="0" locked="0" layoutInCell="1" allowOverlap="1">
                  <wp:simplePos x="0" y="0"/>
                  <wp:positionH relativeFrom="column">
                    <wp:posOffset>201930</wp:posOffset>
                  </wp:positionH>
                  <wp:positionV relativeFrom="paragraph">
                    <wp:posOffset>10795</wp:posOffset>
                  </wp:positionV>
                  <wp:extent cx="4839335" cy="1631950"/>
                  <wp:effectExtent l="0" t="0" r="18415" b="6350"/>
                  <wp:wrapSquare wrapText="bothSides"/>
                  <wp:docPr id="1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4839335" cy="1631950"/>
                          </a:xfrm>
                          <a:prstGeom prst="rect">
                            <a:avLst/>
                          </a:prstGeom>
                          <a:noFill/>
                          <a:ln>
                            <a:noFill/>
                          </a:ln>
                        </pic:spPr>
                      </pic:pic>
                    </a:graphicData>
                  </a:graphic>
                </wp:anchor>
              </w:drawing>
            </w:r>
            <w:r>
              <w:rPr>
                <w:sz w:val="24"/>
              </w:rPr>
              <w:t>式中：E</w:t>
            </w:r>
            <w:r>
              <w:rPr>
                <w:sz w:val="24"/>
                <w:vertAlign w:val="subscript"/>
              </w:rPr>
              <w:t>W</w:t>
            </w:r>
            <w:r>
              <w:rPr>
                <w:sz w:val="24"/>
              </w:rPr>
              <w:t>为堆场风蚀扬尘的排放系数，kg/m</w:t>
            </w:r>
            <w:r>
              <w:rPr>
                <w:sz w:val="24"/>
                <w:vertAlign w:val="superscript"/>
              </w:rPr>
              <w:t>2</w:t>
            </w:r>
            <w:r>
              <w:rPr>
                <w:sz w:val="24"/>
              </w:rPr>
              <w:t>；</w:t>
            </w:r>
          </w:p>
          <w:p>
            <w:pPr>
              <w:spacing w:line="360" w:lineRule="auto"/>
              <w:ind w:firstLine="1200" w:firstLineChars="500"/>
              <w:rPr>
                <w:sz w:val="24"/>
              </w:rPr>
            </w:pPr>
            <w:r>
              <w:rPr>
                <w:sz w:val="24"/>
              </w:rPr>
              <w:t>K</w:t>
            </w:r>
            <w:r>
              <w:rPr>
                <w:sz w:val="24"/>
                <w:vertAlign w:val="subscript"/>
              </w:rPr>
              <w:t>i</w:t>
            </w:r>
            <w:r>
              <w:rPr>
                <w:sz w:val="24"/>
              </w:rPr>
              <w:t>为物料的粒度乘数，TSP为1.0；</w:t>
            </w:r>
          </w:p>
          <w:p>
            <w:pPr>
              <w:spacing w:line="360" w:lineRule="auto"/>
              <w:ind w:firstLine="1200" w:firstLineChars="500"/>
              <w:rPr>
                <w:sz w:val="24"/>
              </w:rPr>
            </w:pPr>
            <w:r>
              <w:rPr>
                <w:sz w:val="24"/>
              </w:rPr>
              <w:t>n为料场每年受扰动的次数；</w:t>
            </w:r>
          </w:p>
          <w:p>
            <w:pPr>
              <w:spacing w:line="360" w:lineRule="auto"/>
              <w:ind w:firstLine="1200" w:firstLineChars="500"/>
              <w:rPr>
                <w:sz w:val="24"/>
              </w:rPr>
            </w:pPr>
            <w:r>
              <w:rPr>
                <w:sz w:val="24"/>
              </w:rPr>
              <w:t>P</w:t>
            </w:r>
            <w:r>
              <w:rPr>
                <w:sz w:val="24"/>
                <w:vertAlign w:val="subscript"/>
              </w:rPr>
              <w:t>i</w:t>
            </w:r>
            <w:r>
              <w:rPr>
                <w:sz w:val="24"/>
              </w:rPr>
              <w:t>为第i次扰动中观测的最大风速的风蚀潜势，0.021g/m</w:t>
            </w:r>
            <w:r>
              <w:rPr>
                <w:sz w:val="24"/>
                <w:vertAlign w:val="superscript"/>
              </w:rPr>
              <w:t>2</w:t>
            </w:r>
            <w:r>
              <w:rPr>
                <w:sz w:val="24"/>
              </w:rPr>
              <w:t>，u*&gt;ut*；</w:t>
            </w:r>
          </w:p>
          <w:p>
            <w:pPr>
              <w:spacing w:line="360" w:lineRule="auto"/>
              <w:ind w:firstLine="1200" w:firstLineChars="500"/>
              <w:rPr>
                <w:sz w:val="24"/>
              </w:rPr>
            </w:pPr>
            <w:r>
              <w:rPr>
                <w:sz w:val="24"/>
              </w:rPr>
              <w:t>η为污染控制技术对扬尘的出去效率，52%。</w:t>
            </w:r>
          </w:p>
          <w:p>
            <w:pPr>
              <w:spacing w:line="360" w:lineRule="auto"/>
              <w:ind w:firstLine="480" w:firstLineChars="200"/>
              <w:rPr>
                <w:sz w:val="24"/>
              </w:rPr>
            </w:pPr>
            <w:r>
              <w:rPr>
                <w:sz w:val="24"/>
              </w:rPr>
              <w:t xml:space="preserve">      u</w:t>
            </w:r>
            <w:r>
              <w:rPr>
                <w:sz w:val="24"/>
                <w:vertAlign w:val="superscript"/>
              </w:rPr>
              <w:t>*</w:t>
            </w:r>
            <w:r>
              <w:rPr>
                <w:sz w:val="24"/>
              </w:rPr>
              <w:t>为摩擦风速，0.60m/s（计算见下）。</w:t>
            </w:r>
          </w:p>
          <w:p>
            <w:pPr>
              <w:spacing w:line="360" w:lineRule="auto"/>
              <w:ind w:firstLine="480" w:firstLineChars="200"/>
              <w:jc w:val="center"/>
              <w:rPr>
                <w:sz w:val="24"/>
              </w:rPr>
            </w:pPr>
            <w:r>
              <w:drawing>
                <wp:inline distT="0" distB="0" distL="0" distR="0">
                  <wp:extent cx="3752850" cy="571500"/>
                  <wp:effectExtent l="0" t="0" r="0" b="0"/>
                  <wp:docPr id="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3752850" cy="571500"/>
                          </a:xfrm>
                          <a:prstGeom prst="rect">
                            <a:avLst/>
                          </a:prstGeom>
                          <a:noFill/>
                          <a:ln>
                            <a:noFill/>
                          </a:ln>
                        </pic:spPr>
                      </pic:pic>
                    </a:graphicData>
                  </a:graphic>
                </wp:inline>
              </w:drawing>
            </w:r>
          </w:p>
          <w:p>
            <w:pPr>
              <w:spacing w:line="360" w:lineRule="auto"/>
              <w:ind w:firstLine="1920" w:firstLineChars="800"/>
              <w:rPr>
                <w:sz w:val="24"/>
              </w:rPr>
            </w:pPr>
            <w:r>
              <w:rPr>
                <w:sz w:val="24"/>
              </w:rPr>
              <w:t>u</w:t>
            </w:r>
            <w:r>
              <w:rPr>
                <w:sz w:val="24"/>
                <w:vertAlign w:val="superscript"/>
              </w:rPr>
              <w:t>*</w:t>
            </w:r>
            <w:r>
              <w:rPr>
                <w:sz w:val="24"/>
              </w:rPr>
              <w:t>=0.4×1.5m/s÷ln（1.5÷0.6）=0.65m/s</w:t>
            </w:r>
          </w:p>
          <w:p>
            <w:pPr>
              <w:spacing w:line="360" w:lineRule="auto"/>
              <w:ind w:firstLine="480" w:firstLineChars="200"/>
              <w:rPr>
                <w:sz w:val="24"/>
              </w:rPr>
            </w:pPr>
            <w:r>
              <w:rPr>
                <w:sz w:val="24"/>
              </w:rPr>
              <w:t>u</w:t>
            </w:r>
            <w:r>
              <w:rPr>
                <w:sz w:val="24"/>
                <w:vertAlign w:val="subscript"/>
              </w:rPr>
              <w:t>t</w:t>
            </w:r>
            <w:r>
              <w:rPr>
                <w:sz w:val="24"/>
                <w:vertAlign w:val="superscript"/>
              </w:rPr>
              <w:t>*</w:t>
            </w:r>
            <w:r>
              <w:rPr>
                <w:sz w:val="24"/>
              </w:rPr>
              <w:t>为阈值摩擦风速，即起尘的临界摩擦风速，建筑垃圾参照矿渣1.33m/s；</w:t>
            </w:r>
          </w:p>
          <w:p>
            <w:pPr>
              <w:adjustRightInd w:val="0"/>
              <w:snapToGrid w:val="0"/>
              <w:spacing w:line="360" w:lineRule="auto"/>
              <w:ind w:firstLine="480" w:firstLineChars="200"/>
              <w:rPr>
                <w:bCs/>
                <w:sz w:val="24"/>
              </w:rPr>
            </w:pPr>
            <w:r>
              <w:rPr>
                <w:sz w:val="24"/>
              </w:rPr>
              <w:t>经计算，堆场粉尘产生量为0.01t/a。项目均在车间内堆存，起尘量较小。</w:t>
            </w:r>
          </w:p>
          <w:p>
            <w:pPr>
              <w:adjustRightInd w:val="0"/>
              <w:snapToGrid w:val="0"/>
              <w:spacing w:line="360" w:lineRule="auto"/>
              <w:ind w:firstLine="480" w:firstLineChars="200"/>
              <w:rPr>
                <w:bCs/>
                <w:sz w:val="24"/>
              </w:rPr>
            </w:pPr>
            <w:r>
              <w:rPr>
                <w:rFonts w:hint="eastAsia" w:ascii="宋体" w:hAnsi="宋体" w:cs="宋体"/>
                <w:bCs/>
                <w:sz w:val="24"/>
              </w:rPr>
              <w:t>②</w:t>
            </w:r>
            <w:r>
              <w:rPr>
                <w:bCs/>
                <w:sz w:val="24"/>
              </w:rPr>
              <w:t>治理措施：</w:t>
            </w:r>
          </w:p>
          <w:p>
            <w:pPr>
              <w:adjustRightInd w:val="0"/>
              <w:snapToGrid w:val="0"/>
              <w:spacing w:line="360" w:lineRule="auto"/>
              <w:ind w:firstLine="480" w:firstLineChars="200"/>
              <w:rPr>
                <w:sz w:val="24"/>
              </w:rPr>
            </w:pPr>
            <w:r>
              <w:rPr>
                <w:sz w:val="24"/>
              </w:rPr>
              <w:t>i、破碎、筛分粉尘</w:t>
            </w:r>
          </w:p>
          <w:p>
            <w:pPr>
              <w:adjustRightInd w:val="0"/>
              <w:snapToGrid w:val="0"/>
              <w:spacing w:line="360" w:lineRule="auto"/>
              <w:ind w:firstLine="480" w:firstLineChars="200"/>
              <w:rPr>
                <w:sz w:val="24"/>
              </w:rPr>
            </w:pPr>
            <w:r>
              <w:rPr>
                <w:sz w:val="24"/>
              </w:rPr>
              <w:t>建设单位拟新建项目采用密闭车间，设置有喷淋除尘措施，同时采用湿法作业，要求在破碎时进行洒水操作，要求破碎装置密闭及皮带输送廊道在密闭车间内进行。</w:t>
            </w:r>
          </w:p>
          <w:p>
            <w:pPr>
              <w:adjustRightInd w:val="0"/>
              <w:snapToGrid w:val="0"/>
              <w:spacing w:line="360" w:lineRule="auto"/>
              <w:ind w:firstLine="480" w:firstLineChars="200"/>
              <w:rPr>
                <w:sz w:val="24"/>
              </w:rPr>
            </w:pPr>
            <w:r>
              <w:rPr>
                <w:sz w:val="24"/>
              </w:rPr>
              <w:t>ii、装卸粉尘</w:t>
            </w:r>
          </w:p>
          <w:p>
            <w:pPr>
              <w:adjustRightInd w:val="0"/>
              <w:snapToGrid w:val="0"/>
              <w:spacing w:line="360" w:lineRule="auto"/>
              <w:ind w:firstLine="464" w:firstLineChars="200"/>
              <w:rPr>
                <w:sz w:val="24"/>
              </w:rPr>
            </w:pPr>
            <w:r>
              <w:rPr>
                <w:bCs/>
                <w:iCs/>
                <w:snapToGrid w:val="0"/>
                <w:spacing w:val="-4"/>
                <w:sz w:val="24"/>
              </w:rPr>
              <w:t>堆场位于生产车间内，为半封闭车间，</w:t>
            </w:r>
            <w:r>
              <w:rPr>
                <w:sz w:val="24"/>
              </w:rPr>
              <w:t>设置水喷淋系统，定期进行喷淋降尘。</w:t>
            </w:r>
          </w:p>
          <w:p>
            <w:pPr>
              <w:adjustRightInd w:val="0"/>
              <w:snapToGrid w:val="0"/>
              <w:spacing w:line="360" w:lineRule="auto"/>
              <w:ind w:firstLine="480" w:firstLineChars="200"/>
              <w:rPr>
                <w:sz w:val="24"/>
              </w:rPr>
            </w:pPr>
            <w:r>
              <w:rPr>
                <w:sz w:val="24"/>
              </w:rPr>
              <w:t>iii、堆场扬尘</w:t>
            </w:r>
          </w:p>
          <w:p>
            <w:pPr>
              <w:adjustRightInd w:val="0"/>
              <w:snapToGrid w:val="0"/>
              <w:spacing w:line="360" w:lineRule="auto"/>
              <w:ind w:firstLine="480" w:firstLineChars="200"/>
              <w:rPr>
                <w:sz w:val="24"/>
              </w:rPr>
            </w:pPr>
            <w:r>
              <w:rPr>
                <w:rFonts w:hint="eastAsia" w:ascii="宋体" w:hAnsi="宋体" w:cs="宋体"/>
                <w:sz w:val="24"/>
              </w:rPr>
              <w:t>①</w:t>
            </w:r>
            <w:r>
              <w:rPr>
                <w:sz w:val="24"/>
              </w:rPr>
              <w:t>项目堆场位于车间内，半封闭车间，设置喷雾除尘，雾炮机等对厂区进行喷雾降尘，产品及时转运至料仓并设置防尘网且适时洒水保持表面湿润，防治起尘；</w:t>
            </w:r>
            <w:r>
              <w:rPr>
                <w:rFonts w:hint="eastAsia" w:ascii="宋体" w:hAnsi="宋体" w:cs="宋体"/>
                <w:sz w:val="24"/>
              </w:rPr>
              <w:t>②</w:t>
            </w:r>
            <w:r>
              <w:rPr>
                <w:sz w:val="24"/>
              </w:rPr>
              <w:t>随订单而生产，产品随产随运，减少场地内堆存，满足《乐山市打赢蓝天保卫战实施方案》相关要求。</w:t>
            </w:r>
          </w:p>
          <w:p>
            <w:pPr>
              <w:spacing w:line="360" w:lineRule="auto"/>
              <w:ind w:firstLine="364" w:firstLineChars="152"/>
              <w:rPr>
                <w:sz w:val="24"/>
              </w:rPr>
            </w:pPr>
            <w:r>
              <w:rPr>
                <w:rFonts w:hint="eastAsia" w:ascii="宋体" w:hAnsi="宋体" w:cs="宋体"/>
                <w:sz w:val="24"/>
              </w:rPr>
              <w:t>③</w:t>
            </w:r>
            <w:r>
              <w:rPr>
                <w:sz w:val="24"/>
              </w:rPr>
              <w:t>污染核算</w:t>
            </w:r>
          </w:p>
          <w:p>
            <w:pPr>
              <w:adjustRightInd w:val="0"/>
              <w:snapToGrid w:val="0"/>
              <w:spacing w:line="360" w:lineRule="auto"/>
              <w:ind w:firstLine="480" w:firstLineChars="200"/>
              <w:rPr>
                <w:sz w:val="24"/>
              </w:rPr>
            </w:pPr>
            <w:r>
              <w:rPr>
                <w:sz w:val="24"/>
              </w:rPr>
              <w:t>i、破碎、筛分粉尘排放计算见下：</w:t>
            </w:r>
          </w:p>
          <w:p>
            <w:pPr>
              <w:adjustRightInd w:val="0"/>
              <w:snapToGrid w:val="0"/>
              <w:spacing w:line="360" w:lineRule="auto"/>
              <w:ind w:firstLine="480" w:firstLineChars="200"/>
              <w:rPr>
                <w:sz w:val="24"/>
              </w:rPr>
            </w:pPr>
            <w:r>
              <w:rPr>
                <w:sz w:val="24"/>
              </w:rPr>
              <w:t>根据环保部《扬尘源颗粒物排放清单编制技术指南》表12“采用连续洒水操作：TSP控制效率为74%、采用三边用孔隙率50%的围挡遮围：TSP控制效率为90%”。本项目破碎位于密闭厂房内（四面围挡）且厂房进行喷雾降尘TSP控制效率为98%、一次破碎洒水操作：TSP控制效率为74%、其后湿法作业：TSP控制效率为90%，由此计算出项目运行破碎粉尘为0.20t/a，0.063kg/h。</w:t>
            </w:r>
          </w:p>
          <w:p>
            <w:pPr>
              <w:adjustRightInd w:val="0"/>
              <w:snapToGrid w:val="0"/>
              <w:spacing w:line="360" w:lineRule="auto"/>
              <w:ind w:firstLine="480" w:firstLineChars="200"/>
              <w:rPr>
                <w:sz w:val="24"/>
              </w:rPr>
            </w:pPr>
            <w:r>
              <w:rPr>
                <w:sz w:val="24"/>
              </w:rPr>
              <w:t>ii、装卸粉尘排放计算见下：</w:t>
            </w:r>
          </w:p>
          <w:p>
            <w:pPr>
              <w:adjustRightInd w:val="0"/>
              <w:snapToGrid w:val="0"/>
              <w:spacing w:line="360" w:lineRule="auto"/>
              <w:ind w:firstLine="480" w:firstLineChars="200"/>
              <w:rPr>
                <w:sz w:val="24"/>
              </w:rPr>
            </w:pPr>
            <w:r>
              <w:rPr>
                <w:sz w:val="24"/>
              </w:rPr>
              <w:t>根据环保部《扬尘源颗粒物排放清单编制技术指南》表12“采用连续洒水操作：TSP控制效率为74%、采用三边用孔隙率50%的围挡遮围：TSP控制效率为90%”，由此计算出项目装卸尘为0.00085t/a，0.00026kg/h。</w:t>
            </w:r>
          </w:p>
          <w:p>
            <w:pPr>
              <w:adjustRightInd w:val="0"/>
              <w:snapToGrid w:val="0"/>
              <w:spacing w:line="360" w:lineRule="auto"/>
              <w:ind w:firstLine="480" w:firstLineChars="200"/>
              <w:rPr>
                <w:sz w:val="24"/>
              </w:rPr>
            </w:pPr>
            <w:r>
              <w:rPr>
                <w:sz w:val="24"/>
              </w:rPr>
              <w:t>iii、堆场扬尘排放计算见下：</w:t>
            </w:r>
          </w:p>
          <w:p>
            <w:pPr>
              <w:adjustRightInd w:val="0"/>
              <w:snapToGrid w:val="0"/>
              <w:spacing w:line="360" w:lineRule="auto"/>
              <w:ind w:firstLine="480" w:firstLineChars="200"/>
              <w:rPr>
                <w:sz w:val="24"/>
              </w:rPr>
            </w:pPr>
            <w:r>
              <w:rPr>
                <w:sz w:val="24"/>
              </w:rPr>
              <w:t>根据环保部《扬尘源颗粒物排放清单编制技术指南》表12“采用连续洒水操作：TSP控制效率为74%、采用三边用孔隙率50%的围挡遮围：TSP控制效率为90%”，由此计算出项目装卸尘为0.00026t/a，0.000079kg/h。</w:t>
            </w:r>
          </w:p>
          <w:p>
            <w:pPr>
              <w:adjustRightInd w:val="0"/>
              <w:snapToGrid w:val="0"/>
              <w:spacing w:line="360" w:lineRule="auto"/>
              <w:ind w:firstLine="480" w:firstLineChars="200"/>
              <w:rPr>
                <w:bCs/>
                <w:sz w:val="24"/>
              </w:rPr>
            </w:pPr>
            <w:r>
              <w:rPr>
                <w:bCs/>
                <w:sz w:val="24"/>
              </w:rPr>
              <w:t>本项目工艺粉尘经粉尘治理措施处理后无组织排放。经上述措施处理后，要求满足《大气污染物综合排放标准》（GB16297-1996）相关排放</w:t>
            </w:r>
            <w:r>
              <w:rPr>
                <w:sz w:val="24"/>
              </w:rPr>
              <w:t>标准限值。对周围大气环境影响很小。</w:t>
            </w:r>
          </w:p>
          <w:p>
            <w:pPr>
              <w:spacing w:line="360" w:lineRule="auto"/>
              <w:ind w:firstLine="426" w:firstLineChars="177"/>
              <w:rPr>
                <w:b/>
                <w:bCs/>
                <w:sz w:val="24"/>
              </w:rPr>
            </w:pPr>
            <w:r>
              <w:rPr>
                <w:b/>
                <w:bCs/>
                <w:sz w:val="24"/>
              </w:rPr>
              <w:t>2）汽车尾气</w:t>
            </w:r>
          </w:p>
          <w:p>
            <w:pPr>
              <w:spacing w:line="360" w:lineRule="auto"/>
              <w:ind w:firstLine="424" w:firstLineChars="177"/>
              <w:rPr>
                <w:sz w:val="24"/>
              </w:rPr>
            </w:pPr>
            <w:r>
              <w:rPr>
                <w:sz w:val="24"/>
              </w:rPr>
              <w:t>项目汽车装卸、员工停车等，地面汽车每天进出及启动时会产生一定量的汽车废气，发生时间具有间歇性、突发性的特点，产生的废气污染物排放量较小。汽车尾气中主要含有CO、NO</w:t>
            </w:r>
            <w:r>
              <w:rPr>
                <w:sz w:val="24"/>
                <w:vertAlign w:val="subscript"/>
              </w:rPr>
              <w:t>2</w:t>
            </w:r>
            <w:r>
              <w:rPr>
                <w:sz w:val="24"/>
              </w:rPr>
              <w:t>和未完全燃烧的碳氢化合物THC等有害成分，能引起光化学烟雾等，对周围空气质量会产生一定的影响，本项目厂区内及进场道路均采用硬化路面并保持路面清洁，通过加强对进出车辆的管理，选用优质、污染小的燃油，停靠后应及时熄火后，汽车尾气对周边环境影响在可接受范围内。</w:t>
            </w:r>
          </w:p>
          <w:p>
            <w:pPr>
              <w:spacing w:line="360" w:lineRule="auto"/>
              <w:ind w:firstLine="424" w:firstLineChars="177"/>
              <w:rPr>
                <w:sz w:val="24"/>
              </w:rPr>
            </w:pPr>
            <w:r>
              <w:rPr>
                <w:bCs/>
                <w:sz w:val="24"/>
              </w:rPr>
              <w:t>同时，</w:t>
            </w:r>
            <w:r>
              <w:rPr>
                <w:sz w:val="24"/>
              </w:rPr>
              <w:t>环评建议加强管理，确保环保设施正常运行；按照四川省打赢蓝天保卫战实施方案，减缓重污染天气影响。根据《乐山市人民政府办公室关于印发乐山市重污染天气预防和应急预案（2020年修订）》）、乐山市《2022年大气污染防治攻坚方案》和当地生态环境主管部门的要求停产或降低生产负荷，加强污染治理措施等，减少污染物排放。</w:t>
            </w:r>
          </w:p>
          <w:p>
            <w:pPr>
              <w:adjustRightInd w:val="0"/>
              <w:snapToGrid w:val="0"/>
              <w:spacing w:line="360" w:lineRule="auto"/>
              <w:ind w:firstLine="482" w:firstLineChars="200"/>
              <w:rPr>
                <w:b/>
                <w:bCs/>
                <w:sz w:val="24"/>
              </w:rPr>
            </w:pPr>
            <w:r>
              <w:rPr>
                <w:b/>
                <w:bCs/>
                <w:sz w:val="24"/>
              </w:rPr>
              <w:t>4）废气治理结果</w:t>
            </w:r>
          </w:p>
          <w:p>
            <w:pPr>
              <w:pStyle w:val="14"/>
              <w:ind w:firstLine="482"/>
              <w:jc w:val="center"/>
              <w:rPr>
                <w:sz w:val="24"/>
                <w:szCs w:val="28"/>
              </w:rPr>
            </w:pPr>
            <w:r>
              <w:rPr>
                <w:sz w:val="24"/>
                <w:szCs w:val="28"/>
              </w:rPr>
              <w:t>表4-4  项目废气产生及排放情况表</w:t>
            </w:r>
          </w:p>
          <w:tbl>
            <w:tblPr>
              <w:tblStyle w:val="38"/>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85" w:type="dxa"/>
                <w:bottom w:w="0" w:type="dxa"/>
                <w:right w:w="85" w:type="dxa"/>
              </w:tblCellMar>
            </w:tblPr>
            <w:tblGrid>
              <w:gridCol w:w="941"/>
              <w:gridCol w:w="890"/>
              <w:gridCol w:w="919"/>
              <w:gridCol w:w="1257"/>
              <w:gridCol w:w="1106"/>
              <w:gridCol w:w="1033"/>
              <w:gridCol w:w="1029"/>
              <w:gridCol w:w="1018"/>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85" w:type="dxa"/>
                  <w:bottom w:w="0" w:type="dxa"/>
                  <w:right w:w="85" w:type="dxa"/>
                </w:tblCellMar>
              </w:tblPrEx>
              <w:trPr>
                <w:trHeight w:val="320" w:hRule="atLeast"/>
                <w:jc w:val="center"/>
              </w:trPr>
              <w:tc>
                <w:tcPr>
                  <w:tcW w:w="587" w:type="pct"/>
                  <w:vAlign w:val="center"/>
                </w:tcPr>
                <w:p>
                  <w:pPr>
                    <w:jc w:val="center"/>
                    <w:rPr>
                      <w:b/>
                      <w:szCs w:val="21"/>
                    </w:rPr>
                  </w:pPr>
                  <w:r>
                    <w:rPr>
                      <w:b/>
                      <w:szCs w:val="21"/>
                    </w:rPr>
                    <w:t>污染源位置</w:t>
                  </w:r>
                </w:p>
              </w:tc>
              <w:tc>
                <w:tcPr>
                  <w:tcW w:w="556" w:type="pct"/>
                  <w:vAlign w:val="center"/>
                </w:tcPr>
                <w:p>
                  <w:pPr>
                    <w:jc w:val="center"/>
                    <w:rPr>
                      <w:b/>
                      <w:szCs w:val="21"/>
                    </w:rPr>
                  </w:pPr>
                  <w:r>
                    <w:rPr>
                      <w:b/>
                      <w:szCs w:val="21"/>
                    </w:rPr>
                    <w:t>污染物名称</w:t>
                  </w:r>
                </w:p>
              </w:tc>
              <w:tc>
                <w:tcPr>
                  <w:tcW w:w="554" w:type="pct"/>
                  <w:vAlign w:val="center"/>
                </w:tcPr>
                <w:p>
                  <w:pPr>
                    <w:jc w:val="center"/>
                    <w:rPr>
                      <w:b/>
                      <w:szCs w:val="21"/>
                    </w:rPr>
                  </w:pPr>
                  <w:r>
                    <w:rPr>
                      <w:b/>
                      <w:szCs w:val="21"/>
                    </w:rPr>
                    <w:t>产生量（t/a）</w:t>
                  </w:r>
                </w:p>
              </w:tc>
              <w:tc>
                <w:tcPr>
                  <w:tcW w:w="780" w:type="pct"/>
                  <w:vAlign w:val="center"/>
                </w:tcPr>
                <w:p>
                  <w:pPr>
                    <w:jc w:val="center"/>
                    <w:rPr>
                      <w:b/>
                      <w:szCs w:val="21"/>
                    </w:rPr>
                  </w:pPr>
                  <w:r>
                    <w:rPr>
                      <w:b/>
                      <w:szCs w:val="21"/>
                    </w:rPr>
                    <w:t>污染物排放量（t/a）</w:t>
                  </w:r>
                </w:p>
              </w:tc>
              <w:tc>
                <w:tcPr>
                  <w:tcW w:w="605" w:type="pct"/>
                  <w:vAlign w:val="center"/>
                </w:tcPr>
                <w:p>
                  <w:pPr>
                    <w:jc w:val="center"/>
                    <w:rPr>
                      <w:b/>
                      <w:szCs w:val="21"/>
                    </w:rPr>
                  </w:pPr>
                  <w:r>
                    <w:rPr>
                      <w:b/>
                      <w:szCs w:val="21"/>
                    </w:rPr>
                    <w:t>污染物排放速率（kg/h）</w:t>
                  </w:r>
                </w:p>
              </w:tc>
              <w:tc>
                <w:tcPr>
                  <w:tcW w:w="643" w:type="pct"/>
                  <w:vAlign w:val="center"/>
                </w:tcPr>
                <w:p>
                  <w:pPr>
                    <w:jc w:val="center"/>
                    <w:rPr>
                      <w:b/>
                      <w:szCs w:val="21"/>
                    </w:rPr>
                  </w:pPr>
                  <w:r>
                    <w:rPr>
                      <w:b/>
                      <w:szCs w:val="21"/>
                    </w:rPr>
                    <w:t>面源长度（m）</w:t>
                  </w:r>
                </w:p>
              </w:tc>
              <w:tc>
                <w:tcPr>
                  <w:tcW w:w="641" w:type="pct"/>
                  <w:vAlign w:val="center"/>
                </w:tcPr>
                <w:p>
                  <w:pPr>
                    <w:jc w:val="center"/>
                    <w:rPr>
                      <w:b/>
                      <w:szCs w:val="21"/>
                    </w:rPr>
                  </w:pPr>
                  <w:r>
                    <w:rPr>
                      <w:b/>
                      <w:szCs w:val="21"/>
                    </w:rPr>
                    <w:t>面源宽度（m）</w:t>
                  </w:r>
                </w:p>
              </w:tc>
              <w:tc>
                <w:tcPr>
                  <w:tcW w:w="634" w:type="pct"/>
                  <w:vAlign w:val="center"/>
                </w:tcPr>
                <w:p>
                  <w:pPr>
                    <w:jc w:val="center"/>
                    <w:rPr>
                      <w:b/>
                      <w:szCs w:val="21"/>
                    </w:rPr>
                  </w:pPr>
                  <w:r>
                    <w:rPr>
                      <w:b/>
                      <w:szCs w:val="21"/>
                    </w:rPr>
                    <w:t>面源高度（m）</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85" w:type="dxa"/>
                  <w:bottom w:w="0" w:type="dxa"/>
                  <w:right w:w="85" w:type="dxa"/>
                </w:tblCellMar>
              </w:tblPrEx>
              <w:trPr>
                <w:trHeight w:val="320" w:hRule="atLeast"/>
                <w:jc w:val="center"/>
              </w:trPr>
              <w:tc>
                <w:tcPr>
                  <w:tcW w:w="587" w:type="pct"/>
                  <w:vAlign w:val="center"/>
                </w:tcPr>
                <w:p>
                  <w:pPr>
                    <w:jc w:val="center"/>
                    <w:rPr>
                      <w:szCs w:val="21"/>
                    </w:rPr>
                  </w:pPr>
                  <w:r>
                    <w:rPr>
                      <w:szCs w:val="21"/>
                    </w:rPr>
                    <w:t>生产车间</w:t>
                  </w:r>
                </w:p>
              </w:tc>
              <w:tc>
                <w:tcPr>
                  <w:tcW w:w="556" w:type="pct"/>
                  <w:vAlign w:val="center"/>
                </w:tcPr>
                <w:p>
                  <w:pPr>
                    <w:jc w:val="center"/>
                    <w:rPr>
                      <w:szCs w:val="21"/>
                    </w:rPr>
                  </w:pPr>
                  <w:r>
                    <w:rPr>
                      <w:szCs w:val="21"/>
                    </w:rPr>
                    <w:t>无组织颗粒物</w:t>
                  </w:r>
                </w:p>
              </w:tc>
              <w:tc>
                <w:tcPr>
                  <w:tcW w:w="554" w:type="pct"/>
                  <w:vAlign w:val="center"/>
                </w:tcPr>
                <w:p>
                  <w:pPr>
                    <w:jc w:val="center"/>
                    <w:rPr>
                      <w:szCs w:val="21"/>
                    </w:rPr>
                  </w:pPr>
                  <w:r>
                    <w:rPr>
                      <w:szCs w:val="21"/>
                    </w:rPr>
                    <w:t>400.72</w:t>
                  </w:r>
                </w:p>
              </w:tc>
              <w:tc>
                <w:tcPr>
                  <w:tcW w:w="780" w:type="pct"/>
                  <w:vAlign w:val="center"/>
                </w:tcPr>
                <w:p>
                  <w:pPr>
                    <w:jc w:val="center"/>
                    <w:rPr>
                      <w:szCs w:val="21"/>
                    </w:rPr>
                  </w:pPr>
                  <w:r>
                    <w:rPr>
                      <w:szCs w:val="21"/>
                    </w:rPr>
                    <w:t>0.2094</w:t>
                  </w:r>
                </w:p>
              </w:tc>
              <w:tc>
                <w:tcPr>
                  <w:tcW w:w="605" w:type="pct"/>
                  <w:vAlign w:val="center"/>
                </w:tcPr>
                <w:p>
                  <w:pPr>
                    <w:jc w:val="center"/>
                    <w:rPr>
                      <w:szCs w:val="21"/>
                    </w:rPr>
                  </w:pPr>
                  <w:r>
                    <w:rPr>
                      <w:szCs w:val="21"/>
                    </w:rPr>
                    <w:t>0.063</w:t>
                  </w:r>
                </w:p>
              </w:tc>
              <w:tc>
                <w:tcPr>
                  <w:tcW w:w="643" w:type="pct"/>
                  <w:vAlign w:val="center"/>
                </w:tcPr>
                <w:p>
                  <w:pPr>
                    <w:jc w:val="center"/>
                    <w:rPr>
                      <w:szCs w:val="21"/>
                    </w:rPr>
                  </w:pPr>
                  <w:r>
                    <w:rPr>
                      <w:szCs w:val="21"/>
                    </w:rPr>
                    <w:t>96</w:t>
                  </w:r>
                </w:p>
              </w:tc>
              <w:tc>
                <w:tcPr>
                  <w:tcW w:w="641" w:type="pct"/>
                  <w:vAlign w:val="center"/>
                </w:tcPr>
                <w:p>
                  <w:pPr>
                    <w:jc w:val="center"/>
                    <w:rPr>
                      <w:szCs w:val="21"/>
                    </w:rPr>
                  </w:pPr>
                  <w:r>
                    <w:rPr>
                      <w:szCs w:val="21"/>
                    </w:rPr>
                    <w:t>60</w:t>
                  </w:r>
                </w:p>
              </w:tc>
              <w:tc>
                <w:tcPr>
                  <w:tcW w:w="634" w:type="pct"/>
                  <w:vAlign w:val="center"/>
                </w:tcPr>
                <w:p>
                  <w:pPr>
                    <w:jc w:val="center"/>
                    <w:rPr>
                      <w:szCs w:val="21"/>
                    </w:rPr>
                  </w:pPr>
                  <w:r>
                    <w:rPr>
                      <w:szCs w:val="21"/>
                    </w:rPr>
                    <w:t>11.85</w:t>
                  </w:r>
                </w:p>
              </w:tc>
            </w:tr>
          </w:tbl>
          <w:p>
            <w:pPr>
              <w:adjustRightInd w:val="0"/>
              <w:snapToGrid w:val="0"/>
              <w:spacing w:line="360" w:lineRule="auto"/>
              <w:ind w:firstLine="482" w:firstLineChars="200"/>
              <w:rPr>
                <w:b/>
                <w:bCs/>
                <w:sz w:val="24"/>
              </w:rPr>
            </w:pPr>
            <w:r>
              <w:rPr>
                <w:b/>
                <w:bCs/>
                <w:sz w:val="24"/>
              </w:rPr>
              <w:t>5）小结</w:t>
            </w:r>
          </w:p>
          <w:p>
            <w:pPr>
              <w:tabs>
                <w:tab w:val="left" w:pos="5670"/>
              </w:tabs>
              <w:spacing w:line="360" w:lineRule="auto"/>
              <w:ind w:firstLine="480" w:firstLineChars="200"/>
              <w:rPr>
                <w:sz w:val="24"/>
              </w:rPr>
            </w:pPr>
            <w:r>
              <w:rPr>
                <w:bCs/>
                <w:sz w:val="24"/>
              </w:rPr>
              <w:t>由上述分析可知：项目生产产生的工艺粉尘颗粒物污染物经治理后满足《大气污染物综合排放标准》（GB16297-1996）相关排放</w:t>
            </w:r>
            <w:r>
              <w:rPr>
                <w:sz w:val="24"/>
              </w:rPr>
              <w:t>标准限值。为尽量避免区域环境空气质量的降低，建设方应控制非正常工况的持续时间，要杜绝各类事故的发生，严格操作规程，对生产设备进行定期检修，发现隐患及时处理，尽量减少事故排放对环境产生的不良影响。同时，项目区域开阔，扩散条件好，项目废气在落实环保措施后，基本可实现达标排放，不会对区域大气环境产生明显影响，不会改变区域大气质量环境使用功能。对周围大气环境影响小。</w:t>
            </w:r>
          </w:p>
          <w:p>
            <w:pPr>
              <w:tabs>
                <w:tab w:val="left" w:pos="5670"/>
              </w:tabs>
              <w:spacing w:line="360" w:lineRule="auto"/>
              <w:ind w:firstLine="482" w:firstLineChars="200"/>
              <w:rPr>
                <w:b/>
                <w:bCs/>
                <w:sz w:val="24"/>
                <w:szCs w:val="20"/>
              </w:rPr>
            </w:pPr>
            <w:r>
              <w:rPr>
                <w:b/>
                <w:bCs/>
                <w:sz w:val="24"/>
              </w:rPr>
              <w:t>（2）营运期废气环境影响分析</w:t>
            </w:r>
          </w:p>
          <w:p>
            <w:pPr>
              <w:adjustRightInd w:val="0"/>
              <w:snapToGrid w:val="0"/>
              <w:spacing w:line="360" w:lineRule="auto"/>
              <w:ind w:firstLine="480" w:firstLineChars="200"/>
              <w:rPr>
                <w:sz w:val="24"/>
              </w:rPr>
            </w:pPr>
            <w:r>
              <w:rPr>
                <w:sz w:val="24"/>
              </w:rPr>
              <w:t>1）治理措施可行性分析：</w:t>
            </w:r>
          </w:p>
          <w:p>
            <w:pPr>
              <w:adjustRightInd w:val="0"/>
              <w:snapToGrid w:val="0"/>
              <w:spacing w:line="360" w:lineRule="auto"/>
              <w:ind w:firstLine="480" w:firstLineChars="200"/>
              <w:jc w:val="center"/>
              <w:rPr>
                <w:sz w:val="24"/>
              </w:rPr>
            </w:pPr>
            <w:r>
              <w:rPr>
                <w:sz w:val="24"/>
              </w:rPr>
              <w:t>表4-5 废气产污环节及治理措施可行性一览表</w:t>
            </w:r>
          </w:p>
          <w:tbl>
            <w:tblPr>
              <w:tblStyle w:val="38"/>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59"/>
              <w:gridCol w:w="1096"/>
              <w:gridCol w:w="968"/>
              <w:gridCol w:w="1096"/>
              <w:gridCol w:w="2350"/>
              <w:gridCol w:w="122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vAlign w:val="center"/>
                </w:tcPr>
                <w:p>
                  <w:pPr>
                    <w:adjustRightInd w:val="0"/>
                    <w:snapToGrid w:val="0"/>
                    <w:jc w:val="center"/>
                    <w:rPr>
                      <w:b/>
                      <w:bCs/>
                      <w:szCs w:val="21"/>
                    </w:rPr>
                  </w:pPr>
                  <w:r>
                    <w:rPr>
                      <w:b/>
                      <w:bCs/>
                      <w:szCs w:val="21"/>
                    </w:rPr>
                    <w:t>生产单元</w:t>
                  </w:r>
                </w:p>
              </w:tc>
              <w:tc>
                <w:tcPr>
                  <w:tcW w:w="0" w:type="auto"/>
                  <w:shd w:val="clear" w:color="auto" w:fill="auto"/>
                  <w:vAlign w:val="center"/>
                </w:tcPr>
                <w:p>
                  <w:pPr>
                    <w:adjustRightInd w:val="0"/>
                    <w:snapToGrid w:val="0"/>
                    <w:jc w:val="center"/>
                    <w:rPr>
                      <w:b/>
                      <w:bCs/>
                      <w:szCs w:val="21"/>
                    </w:rPr>
                  </w:pPr>
                  <w:r>
                    <w:rPr>
                      <w:b/>
                      <w:bCs/>
                      <w:szCs w:val="21"/>
                    </w:rPr>
                    <w:t>废气产污环节</w:t>
                  </w:r>
                </w:p>
              </w:tc>
              <w:tc>
                <w:tcPr>
                  <w:tcW w:w="0" w:type="auto"/>
                  <w:shd w:val="clear" w:color="auto" w:fill="auto"/>
                  <w:vAlign w:val="center"/>
                </w:tcPr>
                <w:p>
                  <w:pPr>
                    <w:adjustRightInd w:val="0"/>
                    <w:snapToGrid w:val="0"/>
                    <w:jc w:val="center"/>
                    <w:rPr>
                      <w:b/>
                      <w:bCs/>
                      <w:szCs w:val="21"/>
                    </w:rPr>
                  </w:pPr>
                  <w:r>
                    <w:rPr>
                      <w:b/>
                      <w:bCs/>
                      <w:szCs w:val="21"/>
                    </w:rPr>
                    <w:t>主要污染物</w:t>
                  </w:r>
                </w:p>
              </w:tc>
              <w:tc>
                <w:tcPr>
                  <w:tcW w:w="0" w:type="auto"/>
                  <w:shd w:val="clear" w:color="auto" w:fill="auto"/>
                  <w:vAlign w:val="center"/>
                </w:tcPr>
                <w:p>
                  <w:pPr>
                    <w:adjustRightInd w:val="0"/>
                    <w:snapToGrid w:val="0"/>
                    <w:jc w:val="center"/>
                    <w:rPr>
                      <w:b/>
                      <w:bCs/>
                      <w:szCs w:val="21"/>
                    </w:rPr>
                  </w:pPr>
                  <w:r>
                    <w:rPr>
                      <w:b/>
                      <w:bCs/>
                      <w:szCs w:val="21"/>
                    </w:rPr>
                    <w:t>主要排放形式</w:t>
                  </w:r>
                </w:p>
              </w:tc>
              <w:tc>
                <w:tcPr>
                  <w:tcW w:w="0" w:type="auto"/>
                  <w:shd w:val="clear" w:color="auto" w:fill="auto"/>
                  <w:vAlign w:val="center"/>
                </w:tcPr>
                <w:p>
                  <w:pPr>
                    <w:adjustRightInd w:val="0"/>
                    <w:snapToGrid w:val="0"/>
                    <w:jc w:val="center"/>
                    <w:rPr>
                      <w:b/>
                      <w:bCs/>
                      <w:szCs w:val="21"/>
                    </w:rPr>
                  </w:pPr>
                  <w:r>
                    <w:rPr>
                      <w:b/>
                      <w:bCs/>
                      <w:szCs w:val="21"/>
                    </w:rPr>
                    <w:t>污染治理措施</w:t>
                  </w:r>
                </w:p>
              </w:tc>
              <w:tc>
                <w:tcPr>
                  <w:tcW w:w="0" w:type="auto"/>
                  <w:shd w:val="clear" w:color="auto" w:fill="auto"/>
                  <w:vAlign w:val="center"/>
                </w:tcPr>
                <w:p>
                  <w:pPr>
                    <w:adjustRightInd w:val="0"/>
                    <w:snapToGrid w:val="0"/>
                    <w:jc w:val="center"/>
                    <w:rPr>
                      <w:b/>
                      <w:bCs/>
                      <w:szCs w:val="21"/>
                    </w:rPr>
                  </w:pPr>
                  <w:r>
                    <w:rPr>
                      <w:b/>
                      <w:bCs/>
                      <w:szCs w:val="21"/>
                    </w:rPr>
                    <w:t>是否为可行技术</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vAlign w:val="center"/>
                </w:tcPr>
                <w:p>
                  <w:pPr>
                    <w:adjustRightInd w:val="0"/>
                    <w:snapToGrid w:val="0"/>
                    <w:jc w:val="center"/>
                    <w:rPr>
                      <w:szCs w:val="21"/>
                    </w:rPr>
                  </w:pPr>
                  <w:r>
                    <w:rPr>
                      <w:szCs w:val="21"/>
                    </w:rPr>
                    <w:t>破碎、筛分、装卸</w:t>
                  </w:r>
                </w:p>
              </w:tc>
              <w:tc>
                <w:tcPr>
                  <w:tcW w:w="0" w:type="auto"/>
                  <w:shd w:val="clear" w:color="auto" w:fill="auto"/>
                  <w:vAlign w:val="center"/>
                </w:tcPr>
                <w:p>
                  <w:pPr>
                    <w:adjustRightInd w:val="0"/>
                    <w:snapToGrid w:val="0"/>
                    <w:jc w:val="center"/>
                    <w:rPr>
                      <w:szCs w:val="21"/>
                    </w:rPr>
                  </w:pPr>
                  <w:r>
                    <w:rPr>
                      <w:szCs w:val="21"/>
                    </w:rPr>
                    <w:t>生产粉尘</w:t>
                  </w:r>
                </w:p>
              </w:tc>
              <w:tc>
                <w:tcPr>
                  <w:tcW w:w="0" w:type="auto"/>
                  <w:shd w:val="clear" w:color="auto" w:fill="auto"/>
                  <w:vAlign w:val="center"/>
                </w:tcPr>
                <w:p>
                  <w:pPr>
                    <w:adjustRightInd w:val="0"/>
                    <w:snapToGrid w:val="0"/>
                    <w:jc w:val="center"/>
                    <w:rPr>
                      <w:szCs w:val="21"/>
                    </w:rPr>
                  </w:pPr>
                  <w:r>
                    <w:rPr>
                      <w:szCs w:val="21"/>
                    </w:rPr>
                    <w:t>颗粒物</w:t>
                  </w:r>
                </w:p>
              </w:tc>
              <w:tc>
                <w:tcPr>
                  <w:tcW w:w="0" w:type="auto"/>
                  <w:shd w:val="clear" w:color="auto" w:fill="auto"/>
                  <w:vAlign w:val="center"/>
                </w:tcPr>
                <w:p>
                  <w:pPr>
                    <w:adjustRightInd w:val="0"/>
                    <w:snapToGrid w:val="0"/>
                    <w:jc w:val="center"/>
                    <w:rPr>
                      <w:szCs w:val="21"/>
                    </w:rPr>
                  </w:pPr>
                  <w:r>
                    <w:rPr>
                      <w:szCs w:val="21"/>
                    </w:rPr>
                    <w:t>无组织</w:t>
                  </w:r>
                </w:p>
              </w:tc>
              <w:tc>
                <w:tcPr>
                  <w:tcW w:w="0" w:type="auto"/>
                  <w:shd w:val="clear" w:color="auto" w:fill="auto"/>
                  <w:vAlign w:val="center"/>
                </w:tcPr>
                <w:p>
                  <w:pPr>
                    <w:adjustRightInd w:val="0"/>
                    <w:snapToGrid w:val="0"/>
                    <w:jc w:val="center"/>
                    <w:rPr>
                      <w:szCs w:val="21"/>
                    </w:rPr>
                  </w:pPr>
                  <w:r>
                    <w:rPr>
                      <w:bCs/>
                    </w:rPr>
                    <w:t>车间密闭、洒水降尘、湿法作业等</w:t>
                  </w:r>
                </w:p>
              </w:tc>
              <w:tc>
                <w:tcPr>
                  <w:tcW w:w="0" w:type="auto"/>
                  <w:shd w:val="clear" w:color="auto" w:fill="auto"/>
                  <w:vAlign w:val="center"/>
                </w:tcPr>
                <w:p>
                  <w:pPr>
                    <w:adjustRightInd w:val="0"/>
                    <w:snapToGrid w:val="0"/>
                    <w:jc w:val="center"/>
                    <w:rPr>
                      <w:szCs w:val="21"/>
                    </w:rPr>
                  </w:pPr>
                  <w:r>
                    <w:rPr>
                      <w:szCs w:val="21"/>
                    </w:rPr>
                    <w:t>是</w:t>
                  </w:r>
                </w:p>
              </w:tc>
            </w:tr>
          </w:tbl>
          <w:p>
            <w:pPr>
              <w:adjustRightInd w:val="0"/>
              <w:snapToGrid w:val="0"/>
              <w:spacing w:line="360" w:lineRule="auto"/>
              <w:ind w:firstLine="480" w:firstLineChars="200"/>
              <w:rPr>
                <w:sz w:val="24"/>
              </w:rPr>
            </w:pPr>
            <w:r>
              <w:rPr>
                <w:sz w:val="24"/>
              </w:rPr>
              <w:t>根据《排污许可证申请与核发技术规范  废弃资源加工工业》（HJ1034-2019）及类比相同行业</w:t>
            </w:r>
            <w:r>
              <w:rPr>
                <w:sz w:val="24"/>
                <w:lang w:val="en-GB"/>
              </w:rPr>
              <w:t>及</w:t>
            </w:r>
            <w:r>
              <w:rPr>
                <w:sz w:val="24"/>
              </w:rPr>
              <w:t>相关标准规范，本项目废气处理措施技术属于排污许可中防治措施  其他，为《扬尘源颗粒物排放清单编制技术指南》中可行技术，满足相关技术规范要求。同时，要求根据《乐山市人民政府办公室关于印发乐山市重污染天气预防和应急预案（2020年修订）》）、乐山市《2022年大气污染防治攻坚方案》和当地生态环境主管部门的要求停产或降低生产负荷，加强污染治理措施等，减少污染物排放。</w:t>
            </w:r>
          </w:p>
          <w:p>
            <w:pPr>
              <w:tabs>
                <w:tab w:val="left" w:pos="5670"/>
              </w:tabs>
              <w:spacing w:line="360" w:lineRule="auto"/>
              <w:ind w:firstLine="480" w:firstLineChars="200"/>
              <w:rPr>
                <w:bCs/>
                <w:sz w:val="24"/>
              </w:rPr>
            </w:pPr>
            <w:r>
              <w:rPr>
                <w:bCs/>
                <w:sz w:val="24"/>
              </w:rPr>
              <w:t>2）监测要求</w:t>
            </w:r>
          </w:p>
          <w:p>
            <w:pPr>
              <w:tabs>
                <w:tab w:val="left" w:pos="5670"/>
              </w:tabs>
              <w:spacing w:line="360" w:lineRule="auto"/>
              <w:ind w:firstLine="480" w:firstLineChars="200"/>
              <w:rPr>
                <w:bCs/>
                <w:sz w:val="24"/>
              </w:rPr>
            </w:pPr>
            <w:r>
              <w:rPr>
                <w:sz w:val="24"/>
              </w:rPr>
              <w:t>根据《排污许可证申请与核发技术规范  废弃资源加工工业》（HJ1034-2019）及</w:t>
            </w:r>
            <w:r>
              <w:rPr>
                <w:sz w:val="24"/>
                <w:lang w:val="en-GB"/>
              </w:rPr>
              <w:t>《排污单位自行监测技术指南 总则》（HJ819）制定，详见“环境监测计划”。</w:t>
            </w:r>
          </w:p>
          <w:p>
            <w:pPr>
              <w:tabs>
                <w:tab w:val="left" w:pos="5670"/>
              </w:tabs>
              <w:spacing w:line="360" w:lineRule="auto"/>
              <w:ind w:firstLine="480" w:firstLineChars="200"/>
              <w:rPr>
                <w:bCs/>
                <w:sz w:val="24"/>
              </w:rPr>
            </w:pPr>
            <w:r>
              <w:rPr>
                <w:bCs/>
                <w:sz w:val="24"/>
              </w:rPr>
              <w:t>3）结论</w:t>
            </w:r>
          </w:p>
          <w:p>
            <w:pPr>
              <w:tabs>
                <w:tab w:val="left" w:pos="5670"/>
              </w:tabs>
              <w:spacing w:line="360" w:lineRule="auto"/>
              <w:ind w:firstLine="480" w:firstLineChars="200"/>
              <w:rPr>
                <w:bCs/>
                <w:sz w:val="24"/>
              </w:rPr>
            </w:pPr>
            <w:r>
              <w:rPr>
                <w:bCs/>
                <w:sz w:val="24"/>
              </w:rPr>
              <w:t>本项目所在地环境空气质量达标</w:t>
            </w:r>
            <w:r>
              <w:rPr>
                <w:sz w:val="24"/>
              </w:rPr>
              <w:t>，项目</w:t>
            </w:r>
            <w:r>
              <w:rPr>
                <w:bCs/>
                <w:sz w:val="24"/>
              </w:rPr>
              <w:t>生产车间向外延伸500m范围内无自然保护区、风景名胜区、文化区等特殊保护目标，项目所在区域周边存在已有居民聚集敏感点等，要求企业生产排口远离居民敏感点，设置高空排气筒排放废气，落实各项污染防治措施。在落实好采取的科学有效的治理措施后，各项废气能够达到相关排放要求，在正常工况下项目废气对周围大气环境影响较小。</w:t>
            </w:r>
          </w:p>
          <w:p>
            <w:pPr>
              <w:tabs>
                <w:tab w:val="left" w:pos="5670"/>
              </w:tabs>
              <w:spacing w:line="360" w:lineRule="auto"/>
              <w:ind w:firstLine="482" w:firstLineChars="200"/>
              <w:rPr>
                <w:b/>
                <w:sz w:val="24"/>
              </w:rPr>
            </w:pPr>
            <w:r>
              <w:rPr>
                <w:b/>
                <w:sz w:val="24"/>
              </w:rPr>
              <w:t>2、废水运营期环境影响和保护措施</w:t>
            </w:r>
          </w:p>
          <w:p>
            <w:pPr>
              <w:tabs>
                <w:tab w:val="left" w:pos="5670"/>
              </w:tabs>
              <w:spacing w:line="360" w:lineRule="auto"/>
              <w:ind w:firstLine="482" w:firstLineChars="200"/>
              <w:rPr>
                <w:b/>
                <w:bCs/>
                <w:sz w:val="24"/>
              </w:rPr>
            </w:pPr>
            <w:r>
              <w:rPr>
                <w:b/>
                <w:bCs/>
                <w:sz w:val="24"/>
              </w:rPr>
              <w:t>（1）废水排放及治理措施</w:t>
            </w:r>
          </w:p>
          <w:p>
            <w:pPr>
              <w:pStyle w:val="202"/>
              <w:snapToGrid w:val="0"/>
              <w:spacing w:line="360" w:lineRule="auto"/>
              <w:rPr>
                <w:rFonts w:eastAsia="宋体" w:cs="Times New Roman"/>
              </w:rPr>
            </w:pPr>
            <w:bookmarkStart w:id="19" w:name="_Hlk82694752"/>
            <w:r>
              <w:rPr>
                <w:rFonts w:eastAsia="宋体" w:cs="Times New Roman"/>
              </w:rPr>
              <w:t>本项目采用“清污分流、污污分流”的方式处理生产废水。</w:t>
            </w:r>
          </w:p>
          <w:p>
            <w:pPr>
              <w:spacing w:line="360" w:lineRule="auto"/>
              <w:ind w:firstLine="480" w:firstLineChars="200"/>
              <w:rPr>
                <w:sz w:val="24"/>
              </w:rPr>
            </w:pPr>
            <w:r>
              <w:rPr>
                <w:sz w:val="24"/>
              </w:rPr>
              <w:t>本项目废水包括生产废水（湿法作业废水、降尘废水、地面及设备冲洗用水等），生活污水等，详细分析见下：</w:t>
            </w:r>
          </w:p>
          <w:bookmarkEnd w:id="19"/>
          <w:p>
            <w:pPr>
              <w:spacing w:line="360" w:lineRule="auto"/>
              <w:ind w:right="89" w:rightChars="37" w:firstLine="482" w:firstLineChars="200"/>
              <w:rPr>
                <w:b/>
                <w:bCs/>
                <w:sz w:val="24"/>
                <w:lang w:val="en-GB"/>
              </w:rPr>
            </w:pPr>
            <w:r>
              <w:rPr>
                <w:b/>
                <w:sz w:val="24"/>
              </w:rPr>
              <w:t>1）生产</w:t>
            </w:r>
            <w:r>
              <w:rPr>
                <w:b/>
                <w:bCs/>
                <w:sz w:val="24"/>
                <w:lang w:val="en-GB"/>
              </w:rPr>
              <w:t>废水</w:t>
            </w:r>
          </w:p>
          <w:p>
            <w:pPr>
              <w:snapToGrid w:val="0"/>
              <w:spacing w:line="360" w:lineRule="auto"/>
              <w:ind w:firstLine="480" w:firstLineChars="200"/>
              <w:rPr>
                <w:sz w:val="24"/>
              </w:rPr>
            </w:pPr>
            <w:bookmarkStart w:id="20" w:name="_Hlk82694839"/>
            <w:r>
              <w:rPr>
                <w:sz w:val="24"/>
              </w:rPr>
              <w:t>项目生产废水主要为湿法作业废水、降尘废水、地面及设备冲洗用水等。由本项目水平衡可知，项目炉渣处理循环工艺用水300m</w:t>
            </w:r>
            <w:r>
              <w:rPr>
                <w:sz w:val="24"/>
                <w:vertAlign w:val="superscript"/>
              </w:rPr>
              <w:t>3</w:t>
            </w:r>
            <w:r>
              <w:rPr>
                <w:sz w:val="24"/>
              </w:rPr>
              <w:t>/h，降尘用水4.42m</w:t>
            </w:r>
            <w:r>
              <w:rPr>
                <w:sz w:val="24"/>
                <w:vertAlign w:val="superscript"/>
              </w:rPr>
              <w:t>3</w:t>
            </w:r>
            <w:r>
              <w:rPr>
                <w:sz w:val="24"/>
              </w:rPr>
              <w:t>/d，地面及设备冲洗用水1.0m</w:t>
            </w:r>
            <w:r>
              <w:rPr>
                <w:sz w:val="24"/>
                <w:vertAlign w:val="superscript"/>
              </w:rPr>
              <w:t>3</w:t>
            </w:r>
            <w:r>
              <w:rPr>
                <w:sz w:val="24"/>
              </w:rPr>
              <w:t>/d，工艺用水总量16.48m</w:t>
            </w:r>
            <w:r>
              <w:rPr>
                <w:sz w:val="24"/>
                <w:vertAlign w:val="superscript"/>
              </w:rPr>
              <w:t>3</w:t>
            </w:r>
            <w:r>
              <w:rPr>
                <w:sz w:val="24"/>
              </w:rPr>
              <w:t>/d，损耗量16.48 m</w:t>
            </w:r>
            <w:r>
              <w:rPr>
                <w:sz w:val="24"/>
                <w:vertAlign w:val="superscript"/>
              </w:rPr>
              <w:t>3</w:t>
            </w:r>
            <w:r>
              <w:rPr>
                <w:sz w:val="24"/>
              </w:rPr>
              <w:t>/d，生产废水进入循环水池处理。从一级破碎、二级磁选、跳汰分选、筛选、脱水、滤水、压滤及金属回收及分类，进入循环池，形成一个水循环系统；料场防尘洒水、地面及设备冲洗用水，经管道和导水沟围挡收集、沉淀、压滤、再沉淀后可以循环利用。循环水池之间采用隔断墙，隔断墙低于四周围墙，便于水在沉淀循环池内部流动，循环水池总容积2400m</w:t>
            </w:r>
            <w:r>
              <w:rPr>
                <w:sz w:val="24"/>
                <w:vertAlign w:val="superscript"/>
              </w:rPr>
              <w:t>3</w:t>
            </w:r>
            <w:r>
              <w:rPr>
                <w:sz w:val="24"/>
              </w:rPr>
              <w:t>，收集的水从厂区东南侧斜池进入第一个循环水池，以北-西-南-东方向进行循环，最后在西南侧沉淀池通过提升泵抽入车间内循环使用。每天沉淀池内的水保持在2000m</w:t>
            </w:r>
            <w:r>
              <w:rPr>
                <w:sz w:val="24"/>
                <w:vertAlign w:val="superscript"/>
              </w:rPr>
              <w:t>3</w:t>
            </w:r>
            <w:r>
              <w:rPr>
                <w:sz w:val="24"/>
              </w:rPr>
              <w:t>左右，循环水池平均每日水的补充量为11.06m</w:t>
            </w:r>
            <w:r>
              <w:rPr>
                <w:sz w:val="24"/>
                <w:vertAlign w:val="superscript"/>
              </w:rPr>
              <w:t>3</w:t>
            </w:r>
            <w:r>
              <w:rPr>
                <w:sz w:val="24"/>
              </w:rPr>
              <w:t>，</w:t>
            </w:r>
            <w:r>
              <w:rPr>
                <w:sz w:val="24"/>
                <w:szCs w:val="28"/>
              </w:rPr>
              <w:t>即损耗量；生产废水在生产工序或者产品中自然蒸发，循环利用，不外排。</w:t>
            </w:r>
          </w:p>
          <w:p>
            <w:pPr>
              <w:snapToGrid w:val="0"/>
              <w:spacing w:line="360" w:lineRule="auto"/>
              <w:ind w:firstLine="482" w:firstLineChars="200"/>
              <w:rPr>
                <w:b/>
                <w:bCs/>
                <w:sz w:val="24"/>
              </w:rPr>
            </w:pPr>
            <w:r>
              <w:rPr>
                <w:b/>
                <w:bCs/>
                <w:sz w:val="24"/>
              </w:rPr>
              <w:t>2）生活污水</w:t>
            </w:r>
          </w:p>
          <w:p>
            <w:pPr>
              <w:snapToGrid w:val="0"/>
              <w:spacing w:line="360" w:lineRule="auto"/>
              <w:ind w:firstLine="480" w:firstLineChars="200"/>
              <w:rPr>
                <w:sz w:val="24"/>
              </w:rPr>
            </w:pPr>
            <w:r>
              <w:rPr>
                <w:sz w:val="24"/>
              </w:rPr>
              <w:t>项目运营期劳动定员人数为25人，用水量为2.88m</w:t>
            </w:r>
            <w:r>
              <w:rPr>
                <w:sz w:val="24"/>
                <w:vertAlign w:val="superscript"/>
              </w:rPr>
              <w:t>3</w:t>
            </w:r>
            <w:r>
              <w:rPr>
                <w:sz w:val="24"/>
              </w:rPr>
              <w:t>/d，按照产污系数 0.8计算生活污水产生量为2.3m</w:t>
            </w:r>
            <w:r>
              <w:rPr>
                <w:sz w:val="24"/>
                <w:vertAlign w:val="superscript"/>
              </w:rPr>
              <w:t>3</w:t>
            </w:r>
            <w:r>
              <w:rPr>
                <w:sz w:val="24"/>
              </w:rPr>
              <w:t>/d，主要污染因子为COD</w:t>
            </w:r>
            <w:r>
              <w:rPr>
                <w:sz w:val="24"/>
                <w:vertAlign w:val="subscript"/>
              </w:rPr>
              <w:t>Cr</w:t>
            </w:r>
            <w:r>
              <w:rPr>
                <w:sz w:val="24"/>
              </w:rPr>
              <w:t>、BOD</w:t>
            </w:r>
            <w:r>
              <w:rPr>
                <w:sz w:val="24"/>
                <w:vertAlign w:val="subscript"/>
              </w:rPr>
              <w:t>5</w:t>
            </w:r>
            <w:r>
              <w:rPr>
                <w:sz w:val="24"/>
              </w:rPr>
              <w:t>、NH</w:t>
            </w:r>
            <w:r>
              <w:rPr>
                <w:sz w:val="24"/>
                <w:vertAlign w:val="subscript"/>
              </w:rPr>
              <w:t>3</w:t>
            </w:r>
            <w:r>
              <w:rPr>
                <w:sz w:val="24"/>
              </w:rPr>
              <w:t>-N、磷酸盐（以P计）、SS，浓度分别为250mg/L、100mg/L、12mg/L、4.0mg/L、200mg/L，经一体化污水处理设施处理后回用生产，不外排。</w:t>
            </w:r>
          </w:p>
          <w:p>
            <w:pPr>
              <w:snapToGrid w:val="0"/>
              <w:spacing w:line="360" w:lineRule="auto"/>
              <w:ind w:firstLine="480" w:firstLineChars="200"/>
              <w:jc w:val="center"/>
              <w:rPr>
                <w:sz w:val="24"/>
              </w:rPr>
            </w:pPr>
            <w:r>
              <w:rPr>
                <w:sz w:val="24"/>
              </w:rPr>
              <w:t>表4-6 项目废水产生及处理情况一览表</w:t>
            </w:r>
          </w:p>
          <w:tbl>
            <w:tblPr>
              <w:tblStyle w:val="39"/>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35"/>
              <w:gridCol w:w="692"/>
              <w:gridCol w:w="939"/>
              <w:gridCol w:w="1839"/>
              <w:gridCol w:w="692"/>
              <w:gridCol w:w="1238"/>
              <w:gridCol w:w="225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0" w:type="auto"/>
                  <w:vAlign w:val="center"/>
                </w:tcPr>
                <w:p>
                  <w:pPr>
                    <w:snapToGrid w:val="0"/>
                    <w:spacing w:line="360" w:lineRule="auto"/>
                    <w:jc w:val="center"/>
                    <w:rPr>
                      <w:b/>
                    </w:rPr>
                  </w:pPr>
                  <w:r>
                    <w:rPr>
                      <w:b/>
                    </w:rPr>
                    <w:t>序号</w:t>
                  </w:r>
                </w:p>
              </w:tc>
              <w:tc>
                <w:tcPr>
                  <w:tcW w:w="0" w:type="auto"/>
                  <w:vAlign w:val="center"/>
                </w:tcPr>
                <w:p>
                  <w:pPr>
                    <w:snapToGrid w:val="0"/>
                    <w:spacing w:line="360" w:lineRule="auto"/>
                    <w:jc w:val="center"/>
                    <w:rPr>
                      <w:b/>
                    </w:rPr>
                  </w:pPr>
                  <w:r>
                    <w:rPr>
                      <w:b/>
                    </w:rPr>
                    <w:t>用水单位</w:t>
                  </w:r>
                </w:p>
              </w:tc>
              <w:tc>
                <w:tcPr>
                  <w:tcW w:w="0" w:type="auto"/>
                  <w:vAlign w:val="center"/>
                </w:tcPr>
                <w:p>
                  <w:pPr>
                    <w:snapToGrid w:val="0"/>
                    <w:spacing w:line="360" w:lineRule="auto"/>
                    <w:jc w:val="center"/>
                    <w:rPr>
                      <w:b/>
                    </w:rPr>
                  </w:pPr>
                  <w:r>
                    <w:rPr>
                      <w:b/>
                    </w:rPr>
                    <w:t>年污水量t</w:t>
                  </w:r>
                </w:p>
              </w:tc>
              <w:tc>
                <w:tcPr>
                  <w:tcW w:w="0" w:type="auto"/>
                  <w:vAlign w:val="center"/>
                </w:tcPr>
                <w:p>
                  <w:pPr>
                    <w:snapToGrid w:val="0"/>
                    <w:spacing w:line="360" w:lineRule="auto"/>
                    <w:jc w:val="center"/>
                    <w:rPr>
                      <w:b/>
                    </w:rPr>
                  </w:pPr>
                  <w:r>
                    <w:rPr>
                      <w:b/>
                    </w:rPr>
                    <w:t>主要污染因子</w:t>
                  </w:r>
                </w:p>
              </w:tc>
              <w:tc>
                <w:tcPr>
                  <w:tcW w:w="0" w:type="auto"/>
                  <w:vAlign w:val="center"/>
                </w:tcPr>
                <w:p>
                  <w:pPr>
                    <w:snapToGrid w:val="0"/>
                    <w:spacing w:line="360" w:lineRule="auto"/>
                    <w:jc w:val="center"/>
                    <w:rPr>
                      <w:b/>
                    </w:rPr>
                  </w:pPr>
                  <w:r>
                    <w:rPr>
                      <w:b/>
                    </w:rPr>
                    <w:t>排放规律</w:t>
                  </w:r>
                </w:p>
              </w:tc>
              <w:tc>
                <w:tcPr>
                  <w:tcW w:w="0" w:type="auto"/>
                  <w:vAlign w:val="center"/>
                </w:tcPr>
                <w:p>
                  <w:pPr>
                    <w:snapToGrid w:val="0"/>
                    <w:spacing w:line="360" w:lineRule="auto"/>
                    <w:jc w:val="center"/>
                    <w:rPr>
                      <w:b/>
                    </w:rPr>
                  </w:pPr>
                  <w:r>
                    <w:rPr>
                      <w:b/>
                    </w:rPr>
                    <w:t>处理措施</w:t>
                  </w:r>
                </w:p>
              </w:tc>
              <w:tc>
                <w:tcPr>
                  <w:tcW w:w="0" w:type="auto"/>
                  <w:vAlign w:val="center"/>
                </w:tcPr>
                <w:p>
                  <w:pPr>
                    <w:snapToGrid w:val="0"/>
                    <w:spacing w:line="360" w:lineRule="auto"/>
                    <w:jc w:val="center"/>
                    <w:rPr>
                      <w:b/>
                    </w:rPr>
                  </w:pPr>
                  <w:r>
                    <w:rPr>
                      <w:b/>
                    </w:rPr>
                    <w:t>排放去向</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0" w:type="auto"/>
                  <w:vAlign w:val="center"/>
                </w:tcPr>
                <w:p>
                  <w:pPr>
                    <w:snapToGrid w:val="0"/>
                    <w:spacing w:line="360" w:lineRule="auto"/>
                    <w:jc w:val="center"/>
                  </w:pPr>
                  <w:r>
                    <w:t>1</w:t>
                  </w:r>
                </w:p>
              </w:tc>
              <w:tc>
                <w:tcPr>
                  <w:tcW w:w="0" w:type="auto"/>
                  <w:vAlign w:val="center"/>
                </w:tcPr>
                <w:p>
                  <w:pPr>
                    <w:snapToGrid w:val="0"/>
                    <w:spacing w:line="360" w:lineRule="auto"/>
                    <w:jc w:val="center"/>
                  </w:pPr>
                  <w:r>
                    <w:t>生产废水</w:t>
                  </w:r>
                </w:p>
              </w:tc>
              <w:tc>
                <w:tcPr>
                  <w:tcW w:w="0" w:type="auto"/>
                  <w:vAlign w:val="center"/>
                </w:tcPr>
                <w:p>
                  <w:pPr>
                    <w:snapToGrid w:val="0"/>
                    <w:spacing w:line="360" w:lineRule="auto"/>
                    <w:jc w:val="center"/>
                  </w:pPr>
                  <w:r>
                    <w:t>16.48</w:t>
                  </w:r>
                </w:p>
              </w:tc>
              <w:tc>
                <w:tcPr>
                  <w:tcW w:w="0" w:type="auto"/>
                  <w:vAlign w:val="center"/>
                </w:tcPr>
                <w:p>
                  <w:pPr>
                    <w:snapToGrid w:val="0"/>
                    <w:spacing w:line="360" w:lineRule="auto"/>
                    <w:jc w:val="center"/>
                  </w:pPr>
                  <w:r>
                    <w:t>COD、BOD</w:t>
                  </w:r>
                  <w:r>
                    <w:rPr>
                      <w:vertAlign w:val="subscript"/>
                    </w:rPr>
                    <w:t>5</w:t>
                  </w:r>
                  <w:r>
                    <w:t>、氨氮、SS等</w:t>
                  </w:r>
                </w:p>
              </w:tc>
              <w:tc>
                <w:tcPr>
                  <w:tcW w:w="0" w:type="auto"/>
                  <w:vAlign w:val="center"/>
                </w:tcPr>
                <w:p>
                  <w:pPr>
                    <w:snapToGrid w:val="0"/>
                    <w:spacing w:line="360" w:lineRule="auto"/>
                    <w:jc w:val="center"/>
                  </w:pPr>
                  <w:r>
                    <w:t>不排放</w:t>
                  </w:r>
                </w:p>
              </w:tc>
              <w:tc>
                <w:tcPr>
                  <w:tcW w:w="0" w:type="auto"/>
                  <w:vAlign w:val="center"/>
                </w:tcPr>
                <w:p>
                  <w:pPr>
                    <w:snapToGrid w:val="0"/>
                    <w:spacing w:line="360" w:lineRule="auto"/>
                    <w:jc w:val="center"/>
                  </w:pPr>
                  <w:r>
                    <w:t>循环水池处理</w:t>
                  </w:r>
                </w:p>
              </w:tc>
              <w:tc>
                <w:tcPr>
                  <w:tcW w:w="0" w:type="auto"/>
                  <w:vAlign w:val="center"/>
                </w:tcPr>
                <w:p>
                  <w:pPr>
                    <w:snapToGrid w:val="0"/>
                    <w:spacing w:line="360" w:lineRule="auto"/>
                    <w:jc w:val="center"/>
                  </w:pPr>
                  <w:r>
                    <w:t>循环使用、不排放</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0" w:type="auto"/>
                  <w:vAlign w:val="center"/>
                </w:tcPr>
                <w:p>
                  <w:pPr>
                    <w:snapToGrid w:val="0"/>
                    <w:spacing w:line="360" w:lineRule="auto"/>
                    <w:jc w:val="center"/>
                  </w:pPr>
                  <w:r>
                    <w:t>2</w:t>
                  </w:r>
                </w:p>
              </w:tc>
              <w:tc>
                <w:tcPr>
                  <w:tcW w:w="0" w:type="auto"/>
                  <w:vAlign w:val="center"/>
                </w:tcPr>
                <w:p>
                  <w:pPr>
                    <w:snapToGrid w:val="0"/>
                    <w:spacing w:line="360" w:lineRule="auto"/>
                    <w:jc w:val="center"/>
                  </w:pPr>
                  <w:r>
                    <w:t>生活污水</w:t>
                  </w:r>
                </w:p>
              </w:tc>
              <w:tc>
                <w:tcPr>
                  <w:tcW w:w="0" w:type="auto"/>
                  <w:vAlign w:val="center"/>
                </w:tcPr>
                <w:p>
                  <w:pPr>
                    <w:snapToGrid w:val="0"/>
                    <w:spacing w:line="360" w:lineRule="auto"/>
                    <w:jc w:val="center"/>
                  </w:pPr>
                  <w:r>
                    <w:t>2.3</w:t>
                  </w:r>
                </w:p>
              </w:tc>
              <w:tc>
                <w:tcPr>
                  <w:tcW w:w="0" w:type="auto"/>
                  <w:vAlign w:val="center"/>
                </w:tcPr>
                <w:p>
                  <w:pPr>
                    <w:snapToGrid w:val="0"/>
                    <w:spacing w:line="360" w:lineRule="auto"/>
                    <w:jc w:val="center"/>
                  </w:pPr>
                  <w:r>
                    <w:t>COD、BOD</w:t>
                  </w:r>
                  <w:r>
                    <w:rPr>
                      <w:vertAlign w:val="subscript"/>
                    </w:rPr>
                    <w:t>5</w:t>
                  </w:r>
                  <w:r>
                    <w:t>、氨氮、SS、总磷</w:t>
                  </w:r>
                </w:p>
              </w:tc>
              <w:tc>
                <w:tcPr>
                  <w:tcW w:w="0" w:type="auto"/>
                  <w:vAlign w:val="center"/>
                </w:tcPr>
                <w:p>
                  <w:pPr>
                    <w:snapToGrid w:val="0"/>
                    <w:spacing w:line="360" w:lineRule="auto"/>
                    <w:jc w:val="center"/>
                  </w:pPr>
                  <w:r>
                    <w:t>连续</w:t>
                  </w:r>
                </w:p>
              </w:tc>
              <w:tc>
                <w:tcPr>
                  <w:tcW w:w="0" w:type="auto"/>
                  <w:vAlign w:val="center"/>
                </w:tcPr>
                <w:p>
                  <w:pPr>
                    <w:snapToGrid w:val="0"/>
                    <w:spacing w:line="360" w:lineRule="auto"/>
                    <w:jc w:val="center"/>
                  </w:pPr>
                  <w:r>
                    <w:t>生活污水一体化处理设施</w:t>
                  </w:r>
                </w:p>
              </w:tc>
              <w:tc>
                <w:tcPr>
                  <w:tcW w:w="0" w:type="auto"/>
                  <w:vAlign w:val="center"/>
                </w:tcPr>
                <w:p>
                  <w:pPr>
                    <w:snapToGrid w:val="0"/>
                    <w:spacing w:line="360" w:lineRule="auto"/>
                    <w:jc w:val="center"/>
                  </w:pPr>
                  <w:r>
                    <w:t>经一体化污水处理设施处理后回用生产，不外排。</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0" w:type="auto"/>
                  <w:gridSpan w:val="2"/>
                  <w:vAlign w:val="center"/>
                </w:tcPr>
                <w:p>
                  <w:pPr>
                    <w:snapToGrid w:val="0"/>
                    <w:spacing w:line="360" w:lineRule="auto"/>
                    <w:jc w:val="center"/>
                  </w:pPr>
                  <w:r>
                    <w:t>合计</w:t>
                  </w:r>
                </w:p>
              </w:tc>
              <w:tc>
                <w:tcPr>
                  <w:tcW w:w="0" w:type="auto"/>
                  <w:vAlign w:val="center"/>
                </w:tcPr>
                <w:p>
                  <w:pPr>
                    <w:snapToGrid w:val="0"/>
                    <w:spacing w:line="360" w:lineRule="auto"/>
                    <w:jc w:val="center"/>
                  </w:pPr>
                  <w:r>
                    <w:t>18.78</w:t>
                  </w:r>
                </w:p>
              </w:tc>
              <w:tc>
                <w:tcPr>
                  <w:tcW w:w="0" w:type="auto"/>
                  <w:vAlign w:val="center"/>
                </w:tcPr>
                <w:p>
                  <w:pPr>
                    <w:snapToGrid w:val="0"/>
                    <w:spacing w:line="360" w:lineRule="auto"/>
                    <w:jc w:val="center"/>
                  </w:pPr>
                  <w:r>
                    <w:t>/</w:t>
                  </w:r>
                </w:p>
              </w:tc>
              <w:tc>
                <w:tcPr>
                  <w:tcW w:w="0" w:type="auto"/>
                  <w:vAlign w:val="center"/>
                </w:tcPr>
                <w:p>
                  <w:pPr>
                    <w:snapToGrid w:val="0"/>
                    <w:spacing w:line="360" w:lineRule="auto"/>
                    <w:jc w:val="center"/>
                  </w:pPr>
                  <w:r>
                    <w:t>/</w:t>
                  </w:r>
                </w:p>
              </w:tc>
              <w:tc>
                <w:tcPr>
                  <w:tcW w:w="0" w:type="auto"/>
                  <w:vAlign w:val="center"/>
                </w:tcPr>
                <w:p>
                  <w:pPr>
                    <w:snapToGrid w:val="0"/>
                    <w:spacing w:line="360" w:lineRule="auto"/>
                    <w:jc w:val="center"/>
                  </w:pPr>
                  <w:r>
                    <w:t>/</w:t>
                  </w:r>
                </w:p>
              </w:tc>
              <w:tc>
                <w:tcPr>
                  <w:tcW w:w="0" w:type="auto"/>
                  <w:vAlign w:val="center"/>
                </w:tcPr>
                <w:p>
                  <w:pPr>
                    <w:snapToGrid w:val="0"/>
                    <w:spacing w:line="360" w:lineRule="auto"/>
                    <w:jc w:val="center"/>
                  </w:pPr>
                  <w:r>
                    <w:t>/</w:t>
                  </w:r>
                </w:p>
              </w:tc>
            </w:tr>
            <w:bookmarkEnd w:id="20"/>
          </w:tbl>
          <w:p>
            <w:pPr>
              <w:tabs>
                <w:tab w:val="left" w:pos="5670"/>
              </w:tabs>
              <w:spacing w:line="360" w:lineRule="auto"/>
              <w:ind w:firstLine="482" w:firstLineChars="200"/>
              <w:rPr>
                <w:b/>
                <w:bCs/>
                <w:sz w:val="24"/>
              </w:rPr>
            </w:pPr>
            <w:r>
              <w:rPr>
                <w:b/>
                <w:bCs/>
                <w:sz w:val="24"/>
              </w:rPr>
              <w:t>（2）治理措施</w:t>
            </w:r>
          </w:p>
          <w:p>
            <w:pPr>
              <w:tabs>
                <w:tab w:val="left" w:pos="5670"/>
              </w:tabs>
              <w:spacing w:line="360" w:lineRule="auto"/>
              <w:ind w:firstLine="480" w:firstLineChars="200"/>
              <w:rPr>
                <w:sz w:val="24"/>
              </w:rPr>
            </w:pPr>
            <w:r>
              <w:rPr>
                <w:sz w:val="24"/>
              </w:rPr>
              <w:t>项目生产废水经厂区收集后，循环使用，不外排。项目生活污水经一体化污水处理设施处理后回用生产，不外排。</w:t>
            </w:r>
          </w:p>
          <w:p>
            <w:pPr>
              <w:tabs>
                <w:tab w:val="left" w:pos="5670"/>
              </w:tabs>
              <w:spacing w:line="360" w:lineRule="auto"/>
              <w:ind w:firstLine="482" w:firstLineChars="200"/>
              <w:rPr>
                <w:b/>
                <w:bCs/>
                <w:sz w:val="24"/>
                <w:szCs w:val="20"/>
              </w:rPr>
            </w:pPr>
            <w:r>
              <w:rPr>
                <w:b/>
                <w:bCs/>
                <w:sz w:val="24"/>
              </w:rPr>
              <w:t>（3）营运期废水环境影响分析</w:t>
            </w:r>
          </w:p>
          <w:p>
            <w:pPr>
              <w:tabs>
                <w:tab w:val="left" w:pos="5670"/>
              </w:tabs>
              <w:spacing w:line="360" w:lineRule="auto"/>
              <w:ind w:firstLine="480" w:firstLineChars="200"/>
              <w:rPr>
                <w:sz w:val="24"/>
              </w:rPr>
            </w:pPr>
            <w:r>
              <w:rPr>
                <w:sz w:val="24"/>
              </w:rPr>
              <w:t>1）废水排放方式</w:t>
            </w:r>
          </w:p>
          <w:p>
            <w:pPr>
              <w:snapToGrid w:val="0"/>
              <w:spacing w:line="360" w:lineRule="auto"/>
              <w:ind w:firstLine="480" w:firstLineChars="200"/>
              <w:rPr>
                <w:sz w:val="24"/>
              </w:rPr>
            </w:pPr>
            <w:r>
              <w:rPr>
                <w:sz w:val="24"/>
              </w:rPr>
              <w:t>本项目废水生产废水循环使用，生活污水经一体化污水处理设施处理后回用生产，不外排。</w:t>
            </w:r>
          </w:p>
          <w:p>
            <w:pPr>
              <w:tabs>
                <w:tab w:val="left" w:pos="5670"/>
              </w:tabs>
              <w:spacing w:line="360" w:lineRule="auto"/>
              <w:ind w:firstLine="480" w:firstLineChars="200"/>
              <w:rPr>
                <w:sz w:val="24"/>
              </w:rPr>
            </w:pPr>
            <w:r>
              <w:rPr>
                <w:sz w:val="24"/>
              </w:rPr>
              <w:t>2）治理措施可行性分析：</w:t>
            </w:r>
          </w:p>
          <w:p>
            <w:pPr>
              <w:snapToGrid w:val="0"/>
              <w:spacing w:line="360" w:lineRule="auto"/>
              <w:ind w:firstLine="480" w:firstLineChars="200"/>
              <w:rPr>
                <w:sz w:val="24"/>
              </w:rPr>
            </w:pPr>
            <w:r>
              <w:rPr>
                <w:rFonts w:hint="eastAsia" w:ascii="宋体" w:hAnsi="宋体" w:cs="宋体"/>
                <w:sz w:val="24"/>
              </w:rPr>
              <w:t>①</w:t>
            </w:r>
            <w:r>
              <w:rPr>
                <w:sz w:val="24"/>
              </w:rPr>
              <w:t>处理规模可行性论证</w:t>
            </w:r>
          </w:p>
          <w:p>
            <w:pPr>
              <w:snapToGrid w:val="0"/>
              <w:spacing w:line="360" w:lineRule="auto"/>
              <w:ind w:firstLine="480" w:firstLineChars="200"/>
              <w:rPr>
                <w:sz w:val="24"/>
              </w:rPr>
            </w:pPr>
            <w:r>
              <w:rPr>
                <w:sz w:val="24"/>
              </w:rPr>
              <w:t>生产废水：建设单位建设循环水池一套，</w:t>
            </w:r>
            <w:r>
              <w:rPr>
                <w:sz w:val="24"/>
                <w:szCs w:val="32"/>
              </w:rPr>
              <w:t>一级、二级沉淀池、清水池容积分别为750m³、450m³、1200m³，共2500m³，处理能力300m³/h（3000m</w:t>
            </w:r>
            <w:r>
              <w:rPr>
                <w:sz w:val="24"/>
                <w:szCs w:val="32"/>
                <w:vertAlign w:val="superscript"/>
              </w:rPr>
              <w:t>3</w:t>
            </w:r>
            <w:r>
              <w:rPr>
                <w:sz w:val="24"/>
                <w:szCs w:val="32"/>
              </w:rPr>
              <w:t>/d），项目生产废水循环量为2002.3m</w:t>
            </w:r>
            <w:r>
              <w:rPr>
                <w:sz w:val="24"/>
                <w:szCs w:val="32"/>
                <w:vertAlign w:val="superscript"/>
              </w:rPr>
              <w:t>3</w:t>
            </w:r>
            <w:r>
              <w:rPr>
                <w:sz w:val="24"/>
                <w:szCs w:val="32"/>
              </w:rPr>
              <w:t>/d＜3000 m</w:t>
            </w:r>
            <w:r>
              <w:rPr>
                <w:sz w:val="24"/>
                <w:szCs w:val="32"/>
                <w:vertAlign w:val="superscript"/>
              </w:rPr>
              <w:t>3</w:t>
            </w:r>
            <w:r>
              <w:rPr>
                <w:sz w:val="24"/>
                <w:szCs w:val="32"/>
              </w:rPr>
              <w:t>/d，</w:t>
            </w:r>
            <w:r>
              <w:rPr>
                <w:sz w:val="24"/>
              </w:rPr>
              <w:t>水处理站设计规模可满足废水处理要求。</w:t>
            </w:r>
          </w:p>
          <w:p>
            <w:pPr>
              <w:snapToGrid w:val="0"/>
              <w:spacing w:line="360" w:lineRule="auto"/>
              <w:ind w:firstLine="480" w:firstLineChars="200"/>
              <w:rPr>
                <w:sz w:val="24"/>
              </w:rPr>
            </w:pPr>
            <w:r>
              <w:rPr>
                <w:sz w:val="24"/>
              </w:rPr>
              <w:t>生活污水：购置一体化生活污水处理设备，处理能力：5m³/d，处理工艺：化粪池+A/O厌氧池+好氧池两级生化处理+沉淀池+清水池，处理后清水抽回车间循环水池回用于生产。</w:t>
            </w:r>
          </w:p>
          <w:p>
            <w:pPr>
              <w:snapToGrid w:val="0"/>
              <w:spacing w:line="360" w:lineRule="auto"/>
              <w:ind w:firstLine="480" w:firstLineChars="200"/>
              <w:rPr>
                <w:sz w:val="24"/>
              </w:rPr>
            </w:pPr>
            <w:r>
              <w:rPr>
                <w:rFonts w:hint="eastAsia" w:ascii="宋体" w:hAnsi="宋体" w:cs="宋体"/>
                <w:sz w:val="24"/>
              </w:rPr>
              <w:t>②</w:t>
            </w:r>
            <w:r>
              <w:rPr>
                <w:sz w:val="24"/>
              </w:rPr>
              <w:t>技术可行性论证</w:t>
            </w:r>
          </w:p>
          <w:p>
            <w:pPr>
              <w:snapToGrid w:val="0"/>
              <w:spacing w:line="360" w:lineRule="auto"/>
              <w:ind w:firstLine="480" w:firstLineChars="200"/>
              <w:rPr>
                <w:sz w:val="24"/>
              </w:rPr>
            </w:pPr>
            <w:r>
              <w:rPr>
                <w:sz w:val="24"/>
                <w:lang w:val="en-GB"/>
              </w:rPr>
              <w:t>厂区污水处理站主要工艺为：</w:t>
            </w:r>
            <w:r>
              <w:rPr>
                <w:sz w:val="24"/>
                <w:szCs w:val="32"/>
              </w:rPr>
              <w:t>一级、二级沉淀池、清水池。</w:t>
            </w:r>
            <w:r>
              <w:rPr>
                <w:sz w:val="24"/>
              </w:rPr>
              <w:t>项目的废水经循环水处理池处理后循环使用，不外排，污水处理技术可行。项目生活污水采取一体化污水处理设备，处理后的废水回用生产湿法作业，不外排。</w:t>
            </w:r>
          </w:p>
          <w:p>
            <w:pPr>
              <w:tabs>
                <w:tab w:val="left" w:pos="5670"/>
              </w:tabs>
              <w:spacing w:line="360" w:lineRule="auto"/>
              <w:ind w:firstLine="480" w:firstLineChars="200"/>
              <w:rPr>
                <w:sz w:val="24"/>
              </w:rPr>
            </w:pPr>
            <w:r>
              <w:rPr>
                <w:sz w:val="24"/>
              </w:rPr>
              <w:t>故而本项目废水治理措施可行。要求企业，加强废水处置管理，防止废水事故排放等环境风险。建立完善的环境保护管理制度。综上，本项目污水处理可行，不会对地表水环境质量造成明显影响。</w:t>
            </w:r>
          </w:p>
          <w:p>
            <w:pPr>
              <w:tabs>
                <w:tab w:val="left" w:pos="5670"/>
              </w:tabs>
              <w:spacing w:line="360" w:lineRule="auto"/>
              <w:ind w:firstLine="480" w:firstLineChars="200"/>
              <w:rPr>
                <w:sz w:val="24"/>
              </w:rPr>
            </w:pPr>
            <w:r>
              <w:rPr>
                <w:sz w:val="24"/>
              </w:rPr>
              <w:t>4）项目废水污染物排放信息</w:t>
            </w:r>
          </w:p>
          <w:p>
            <w:pPr>
              <w:tabs>
                <w:tab w:val="left" w:pos="5670"/>
              </w:tabs>
              <w:spacing w:line="360" w:lineRule="auto"/>
              <w:ind w:firstLine="480" w:firstLineChars="200"/>
              <w:rPr>
                <w:sz w:val="24"/>
              </w:rPr>
            </w:pPr>
            <w:r>
              <w:rPr>
                <w:sz w:val="24"/>
              </w:rPr>
              <w:t>项目废水污染物排放信息详见下表4-8：</w:t>
            </w:r>
          </w:p>
          <w:p>
            <w:pPr>
              <w:spacing w:line="360" w:lineRule="auto"/>
              <w:jc w:val="center"/>
              <w:rPr>
                <w:bCs/>
                <w:sz w:val="24"/>
              </w:rPr>
            </w:pPr>
            <w:r>
              <w:rPr>
                <w:bCs/>
                <w:sz w:val="24"/>
              </w:rPr>
              <w:t>表4-8 项目废水类别、污染物及污染治理设施信息表</w:t>
            </w:r>
          </w:p>
          <w:tbl>
            <w:tblPr>
              <w:tblStyle w:val="38"/>
              <w:tblW w:w="5000" w:type="pct"/>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667"/>
              <w:gridCol w:w="1265"/>
              <w:gridCol w:w="3131"/>
              <w:gridCol w:w="3130"/>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18" w:hRule="atLeast"/>
              </w:trPr>
              <w:tc>
                <w:tcPr>
                  <w:tcW w:w="1179" w:type="pct"/>
                  <w:gridSpan w:val="2"/>
                  <w:vAlign w:val="center"/>
                </w:tcPr>
                <w:p>
                  <w:pPr>
                    <w:jc w:val="center"/>
                    <w:rPr>
                      <w:b/>
                      <w:bCs/>
                      <w:szCs w:val="21"/>
                    </w:rPr>
                  </w:pPr>
                  <w:r>
                    <w:rPr>
                      <w:b/>
                      <w:bCs/>
                      <w:szCs w:val="21"/>
                    </w:rPr>
                    <w:t>序号</w:t>
                  </w:r>
                </w:p>
              </w:tc>
              <w:tc>
                <w:tcPr>
                  <w:tcW w:w="1911" w:type="pct"/>
                  <w:vAlign w:val="center"/>
                </w:tcPr>
                <w:p>
                  <w:pPr>
                    <w:jc w:val="center"/>
                    <w:rPr>
                      <w:b/>
                      <w:bCs/>
                      <w:szCs w:val="21"/>
                    </w:rPr>
                  </w:pPr>
                  <w:r>
                    <w:rPr>
                      <w:b/>
                      <w:bCs/>
                      <w:szCs w:val="21"/>
                    </w:rPr>
                    <w:t>1</w:t>
                  </w:r>
                </w:p>
              </w:tc>
              <w:tc>
                <w:tcPr>
                  <w:tcW w:w="1910" w:type="pct"/>
                  <w:vAlign w:val="center"/>
                </w:tcPr>
                <w:p>
                  <w:pPr>
                    <w:jc w:val="center"/>
                    <w:rPr>
                      <w:b/>
                      <w:bCs/>
                      <w:szCs w:val="21"/>
                    </w:rPr>
                  </w:pPr>
                  <w:r>
                    <w:rPr>
                      <w:b/>
                      <w:bCs/>
                      <w:szCs w:val="21"/>
                    </w:rPr>
                    <w:t>2</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18" w:hRule="atLeast"/>
              </w:trPr>
              <w:tc>
                <w:tcPr>
                  <w:tcW w:w="1179" w:type="pct"/>
                  <w:gridSpan w:val="2"/>
                  <w:vAlign w:val="center"/>
                </w:tcPr>
                <w:p>
                  <w:pPr>
                    <w:jc w:val="center"/>
                    <w:rPr>
                      <w:szCs w:val="21"/>
                    </w:rPr>
                  </w:pPr>
                  <w:r>
                    <w:rPr>
                      <w:szCs w:val="21"/>
                    </w:rPr>
                    <w:t>废水类别</w:t>
                  </w:r>
                </w:p>
              </w:tc>
              <w:tc>
                <w:tcPr>
                  <w:tcW w:w="1911" w:type="pct"/>
                  <w:vAlign w:val="center"/>
                </w:tcPr>
                <w:p>
                  <w:pPr>
                    <w:jc w:val="center"/>
                    <w:rPr>
                      <w:szCs w:val="21"/>
                    </w:rPr>
                  </w:pPr>
                  <w:r>
                    <w:rPr>
                      <w:szCs w:val="21"/>
                    </w:rPr>
                    <w:t>生活污水</w:t>
                  </w:r>
                </w:p>
              </w:tc>
              <w:tc>
                <w:tcPr>
                  <w:tcW w:w="1910" w:type="pct"/>
                  <w:vAlign w:val="center"/>
                </w:tcPr>
                <w:p>
                  <w:pPr>
                    <w:jc w:val="center"/>
                    <w:rPr>
                      <w:szCs w:val="21"/>
                    </w:rPr>
                  </w:pPr>
                  <w:r>
                    <w:rPr>
                      <w:szCs w:val="21"/>
                    </w:rPr>
                    <w:t>生产废水</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18" w:hRule="atLeast"/>
              </w:trPr>
              <w:tc>
                <w:tcPr>
                  <w:tcW w:w="1179" w:type="pct"/>
                  <w:gridSpan w:val="2"/>
                  <w:vAlign w:val="center"/>
                </w:tcPr>
                <w:p>
                  <w:pPr>
                    <w:jc w:val="center"/>
                    <w:rPr>
                      <w:szCs w:val="21"/>
                    </w:rPr>
                  </w:pPr>
                  <w:r>
                    <w:rPr>
                      <w:szCs w:val="21"/>
                    </w:rPr>
                    <w:t>污染物种类</w:t>
                  </w:r>
                </w:p>
              </w:tc>
              <w:tc>
                <w:tcPr>
                  <w:tcW w:w="1911" w:type="pct"/>
                  <w:vAlign w:val="center"/>
                </w:tcPr>
                <w:p>
                  <w:pPr>
                    <w:jc w:val="center"/>
                    <w:rPr>
                      <w:szCs w:val="21"/>
                    </w:rPr>
                  </w:pPr>
                  <w:r>
                    <w:rPr>
                      <w:szCs w:val="21"/>
                    </w:rPr>
                    <w:t>pH值、化学需氧量、五日生化需氧量、悬浮物、氨氮、动植物油、磷酸盐</w:t>
                  </w:r>
                </w:p>
              </w:tc>
              <w:tc>
                <w:tcPr>
                  <w:tcW w:w="1910" w:type="pct"/>
                  <w:vAlign w:val="center"/>
                </w:tcPr>
                <w:p>
                  <w:pPr>
                    <w:jc w:val="center"/>
                    <w:rPr>
                      <w:szCs w:val="21"/>
                    </w:rPr>
                  </w:pPr>
                  <w:r>
                    <w:rPr>
                      <w:szCs w:val="21"/>
                    </w:rPr>
                    <w:t>pH值、化学需氧量、五日生化需氧量、悬浮物、氨氮</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18" w:hRule="atLeast"/>
              </w:trPr>
              <w:tc>
                <w:tcPr>
                  <w:tcW w:w="1179" w:type="pct"/>
                  <w:gridSpan w:val="2"/>
                  <w:vAlign w:val="center"/>
                </w:tcPr>
                <w:p>
                  <w:pPr>
                    <w:jc w:val="center"/>
                    <w:rPr>
                      <w:szCs w:val="21"/>
                    </w:rPr>
                  </w:pPr>
                  <w:r>
                    <w:rPr>
                      <w:szCs w:val="21"/>
                    </w:rPr>
                    <w:t>排放去向</w:t>
                  </w:r>
                </w:p>
              </w:tc>
              <w:tc>
                <w:tcPr>
                  <w:tcW w:w="1911" w:type="pct"/>
                  <w:vAlign w:val="center"/>
                </w:tcPr>
                <w:p>
                  <w:pPr>
                    <w:jc w:val="center"/>
                    <w:rPr>
                      <w:szCs w:val="21"/>
                    </w:rPr>
                  </w:pPr>
                  <w:r>
                    <w:rPr>
                      <w:szCs w:val="21"/>
                    </w:rPr>
                    <w:t>生活污水经一体化污水处理设施处理后回用生产，不外排</w:t>
                  </w:r>
                </w:p>
              </w:tc>
              <w:tc>
                <w:tcPr>
                  <w:tcW w:w="1910" w:type="pct"/>
                  <w:vAlign w:val="center"/>
                </w:tcPr>
                <w:p>
                  <w:pPr>
                    <w:jc w:val="center"/>
                    <w:rPr>
                      <w:szCs w:val="21"/>
                    </w:rPr>
                  </w:pPr>
                  <w:r>
                    <w:rPr>
                      <w:szCs w:val="21"/>
                    </w:rPr>
                    <w:t>循环使用，不外排</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18" w:hRule="atLeast"/>
              </w:trPr>
              <w:tc>
                <w:tcPr>
                  <w:tcW w:w="1179" w:type="pct"/>
                  <w:gridSpan w:val="2"/>
                  <w:vAlign w:val="center"/>
                </w:tcPr>
                <w:p>
                  <w:pPr>
                    <w:jc w:val="center"/>
                    <w:rPr>
                      <w:szCs w:val="21"/>
                    </w:rPr>
                  </w:pPr>
                  <w:r>
                    <w:rPr>
                      <w:szCs w:val="21"/>
                    </w:rPr>
                    <w:t>排放规律</w:t>
                  </w:r>
                </w:p>
              </w:tc>
              <w:tc>
                <w:tcPr>
                  <w:tcW w:w="1911" w:type="pct"/>
                  <w:vAlign w:val="center"/>
                </w:tcPr>
                <w:p>
                  <w:pPr>
                    <w:jc w:val="center"/>
                    <w:rPr>
                      <w:szCs w:val="21"/>
                    </w:rPr>
                  </w:pPr>
                  <w:r>
                    <w:rPr>
                      <w:szCs w:val="21"/>
                    </w:rPr>
                    <w:t>间断产生，流量不稳定，但有周期性规律，不排放</w:t>
                  </w:r>
                </w:p>
              </w:tc>
              <w:tc>
                <w:tcPr>
                  <w:tcW w:w="1910" w:type="pct"/>
                  <w:vAlign w:val="center"/>
                </w:tcPr>
                <w:p>
                  <w:pPr>
                    <w:jc w:val="center"/>
                    <w:rPr>
                      <w:szCs w:val="21"/>
                    </w:rPr>
                  </w:pPr>
                  <w:r>
                    <w:rPr>
                      <w:szCs w:val="21"/>
                    </w:rPr>
                    <w:t>不排放</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18" w:hRule="atLeast"/>
              </w:trPr>
              <w:tc>
                <w:tcPr>
                  <w:tcW w:w="407" w:type="pct"/>
                  <w:vMerge w:val="restart"/>
                  <w:vAlign w:val="center"/>
                </w:tcPr>
                <w:p>
                  <w:pPr>
                    <w:jc w:val="center"/>
                    <w:rPr>
                      <w:szCs w:val="21"/>
                    </w:rPr>
                  </w:pPr>
                  <w:r>
                    <w:rPr>
                      <w:szCs w:val="21"/>
                    </w:rPr>
                    <w:t>污染治理设施</w:t>
                  </w:r>
                </w:p>
              </w:tc>
              <w:tc>
                <w:tcPr>
                  <w:tcW w:w="772" w:type="pct"/>
                  <w:vAlign w:val="center"/>
                </w:tcPr>
                <w:p>
                  <w:pPr>
                    <w:jc w:val="center"/>
                    <w:rPr>
                      <w:szCs w:val="21"/>
                    </w:rPr>
                  </w:pPr>
                  <w:r>
                    <w:rPr>
                      <w:szCs w:val="21"/>
                    </w:rPr>
                    <w:t>设施编号</w:t>
                  </w:r>
                </w:p>
              </w:tc>
              <w:tc>
                <w:tcPr>
                  <w:tcW w:w="1911" w:type="pct"/>
                  <w:vAlign w:val="center"/>
                </w:tcPr>
                <w:p>
                  <w:pPr>
                    <w:jc w:val="center"/>
                    <w:rPr>
                      <w:szCs w:val="21"/>
                    </w:rPr>
                  </w:pPr>
                  <w:r>
                    <w:rPr>
                      <w:szCs w:val="21"/>
                    </w:rPr>
                    <w:t>DA001</w:t>
                  </w:r>
                </w:p>
              </w:tc>
              <w:tc>
                <w:tcPr>
                  <w:tcW w:w="1910" w:type="pct"/>
                  <w:vAlign w:val="center"/>
                </w:tcPr>
                <w:p>
                  <w:pPr>
                    <w:jc w:val="center"/>
                    <w:rPr>
                      <w:szCs w:val="21"/>
                    </w:rPr>
                  </w:pPr>
                  <w:r>
                    <w:rPr>
                      <w:szCs w:val="21"/>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18" w:hRule="atLeast"/>
              </w:trPr>
              <w:tc>
                <w:tcPr>
                  <w:tcW w:w="407" w:type="pct"/>
                  <w:vMerge w:val="continue"/>
                  <w:vAlign w:val="center"/>
                </w:tcPr>
                <w:p>
                  <w:pPr>
                    <w:jc w:val="center"/>
                    <w:rPr>
                      <w:szCs w:val="21"/>
                    </w:rPr>
                  </w:pPr>
                </w:p>
              </w:tc>
              <w:tc>
                <w:tcPr>
                  <w:tcW w:w="772" w:type="pct"/>
                  <w:vAlign w:val="center"/>
                </w:tcPr>
                <w:p>
                  <w:pPr>
                    <w:jc w:val="center"/>
                    <w:rPr>
                      <w:szCs w:val="21"/>
                    </w:rPr>
                  </w:pPr>
                  <w:r>
                    <w:rPr>
                      <w:szCs w:val="21"/>
                    </w:rPr>
                    <w:t>设施名称</w:t>
                  </w:r>
                </w:p>
              </w:tc>
              <w:tc>
                <w:tcPr>
                  <w:tcW w:w="1911" w:type="pct"/>
                  <w:vAlign w:val="center"/>
                </w:tcPr>
                <w:p>
                  <w:pPr>
                    <w:jc w:val="center"/>
                    <w:rPr>
                      <w:szCs w:val="21"/>
                    </w:rPr>
                  </w:pPr>
                  <w:r>
                    <w:rPr>
                      <w:szCs w:val="21"/>
                    </w:rPr>
                    <w:t>生活污水一体化处理设施</w:t>
                  </w:r>
                </w:p>
              </w:tc>
              <w:tc>
                <w:tcPr>
                  <w:tcW w:w="1910" w:type="pct"/>
                  <w:vAlign w:val="center"/>
                </w:tcPr>
                <w:p>
                  <w:pPr>
                    <w:jc w:val="center"/>
                    <w:rPr>
                      <w:szCs w:val="21"/>
                    </w:rPr>
                  </w:pPr>
                  <w:r>
                    <w:rPr>
                      <w:szCs w:val="21"/>
                    </w:rPr>
                    <w:t>循环处理池</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18" w:hRule="atLeast"/>
              </w:trPr>
              <w:tc>
                <w:tcPr>
                  <w:tcW w:w="407" w:type="pct"/>
                  <w:vMerge w:val="continue"/>
                  <w:vAlign w:val="center"/>
                </w:tcPr>
                <w:p>
                  <w:pPr>
                    <w:jc w:val="center"/>
                    <w:rPr>
                      <w:szCs w:val="21"/>
                    </w:rPr>
                  </w:pPr>
                </w:p>
              </w:tc>
              <w:tc>
                <w:tcPr>
                  <w:tcW w:w="772" w:type="pct"/>
                  <w:vAlign w:val="center"/>
                </w:tcPr>
                <w:p>
                  <w:pPr>
                    <w:jc w:val="center"/>
                    <w:rPr>
                      <w:szCs w:val="21"/>
                    </w:rPr>
                  </w:pPr>
                  <w:r>
                    <w:rPr>
                      <w:szCs w:val="21"/>
                    </w:rPr>
                    <w:t>设施工艺</w:t>
                  </w:r>
                </w:p>
              </w:tc>
              <w:tc>
                <w:tcPr>
                  <w:tcW w:w="1911" w:type="pct"/>
                  <w:vAlign w:val="center"/>
                </w:tcPr>
                <w:p>
                  <w:pPr>
                    <w:jc w:val="center"/>
                    <w:rPr>
                      <w:szCs w:val="21"/>
                    </w:rPr>
                  </w:pPr>
                  <w:r>
                    <w:rPr>
                      <w:szCs w:val="21"/>
                    </w:rPr>
                    <w:t>格栅、厌氧</w:t>
                  </w:r>
                </w:p>
              </w:tc>
              <w:tc>
                <w:tcPr>
                  <w:tcW w:w="1910" w:type="pct"/>
                  <w:vAlign w:val="center"/>
                </w:tcPr>
                <w:p>
                  <w:pPr>
                    <w:jc w:val="center"/>
                    <w:rPr>
                      <w:szCs w:val="21"/>
                    </w:rPr>
                  </w:pPr>
                  <w:r>
                    <w:rPr>
                      <w:bCs/>
                      <w:szCs w:val="21"/>
                    </w:rPr>
                    <w:t>沉淀池、清水池等</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18" w:hRule="atLeast"/>
              </w:trPr>
              <w:tc>
                <w:tcPr>
                  <w:tcW w:w="1179" w:type="pct"/>
                  <w:gridSpan w:val="2"/>
                  <w:vAlign w:val="center"/>
                </w:tcPr>
                <w:p>
                  <w:pPr>
                    <w:jc w:val="center"/>
                    <w:rPr>
                      <w:szCs w:val="21"/>
                    </w:rPr>
                  </w:pPr>
                  <w:r>
                    <w:rPr>
                      <w:szCs w:val="21"/>
                    </w:rPr>
                    <w:t>排放口编号</w:t>
                  </w:r>
                </w:p>
              </w:tc>
              <w:tc>
                <w:tcPr>
                  <w:tcW w:w="1911" w:type="pct"/>
                  <w:vAlign w:val="center"/>
                </w:tcPr>
                <w:p>
                  <w:pPr>
                    <w:jc w:val="center"/>
                    <w:rPr>
                      <w:szCs w:val="21"/>
                    </w:rPr>
                  </w:pPr>
                  <w:r>
                    <w:rPr>
                      <w:szCs w:val="21"/>
                    </w:rPr>
                    <w:t>/</w:t>
                  </w:r>
                </w:p>
              </w:tc>
              <w:tc>
                <w:tcPr>
                  <w:tcW w:w="1910" w:type="pct"/>
                  <w:vAlign w:val="center"/>
                </w:tcPr>
                <w:p>
                  <w:pPr>
                    <w:jc w:val="center"/>
                    <w:rPr>
                      <w:szCs w:val="21"/>
                    </w:rPr>
                  </w:pPr>
                  <w:r>
                    <w:rPr>
                      <w:szCs w:val="21"/>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18" w:hRule="atLeast"/>
              </w:trPr>
              <w:tc>
                <w:tcPr>
                  <w:tcW w:w="1179" w:type="pct"/>
                  <w:gridSpan w:val="2"/>
                  <w:vAlign w:val="center"/>
                </w:tcPr>
                <w:p>
                  <w:pPr>
                    <w:jc w:val="center"/>
                    <w:rPr>
                      <w:szCs w:val="21"/>
                    </w:rPr>
                  </w:pPr>
                  <w:r>
                    <w:rPr>
                      <w:szCs w:val="21"/>
                    </w:rPr>
                    <w:t>排放口设置是否符合要求</w:t>
                  </w:r>
                </w:p>
              </w:tc>
              <w:tc>
                <w:tcPr>
                  <w:tcW w:w="1911" w:type="pct"/>
                  <w:vAlign w:val="center"/>
                </w:tcPr>
                <w:p>
                  <w:pPr>
                    <w:adjustRightInd w:val="0"/>
                    <w:snapToGrid w:val="0"/>
                    <w:jc w:val="center"/>
                    <w:rPr>
                      <w:szCs w:val="21"/>
                    </w:rPr>
                  </w:pPr>
                  <w:r>
                    <w:rPr>
                      <w:szCs w:val="21"/>
                    </w:rPr>
                    <w:t>□是   □否</w:t>
                  </w:r>
                </w:p>
              </w:tc>
              <w:tc>
                <w:tcPr>
                  <w:tcW w:w="1910" w:type="pct"/>
                  <w:vAlign w:val="center"/>
                </w:tcPr>
                <w:p>
                  <w:pPr>
                    <w:adjustRightInd w:val="0"/>
                    <w:snapToGrid w:val="0"/>
                    <w:jc w:val="center"/>
                    <w:rPr>
                      <w:szCs w:val="21"/>
                    </w:rPr>
                  </w:pPr>
                  <w:r>
                    <w:rPr>
                      <w:szCs w:val="21"/>
                    </w:rPr>
                    <w:t>□是   □否</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18" w:hRule="atLeast"/>
              </w:trPr>
              <w:tc>
                <w:tcPr>
                  <w:tcW w:w="1179" w:type="pct"/>
                  <w:gridSpan w:val="2"/>
                  <w:vAlign w:val="center"/>
                </w:tcPr>
                <w:p>
                  <w:pPr>
                    <w:jc w:val="center"/>
                    <w:rPr>
                      <w:szCs w:val="21"/>
                    </w:rPr>
                  </w:pPr>
                  <w:r>
                    <w:rPr>
                      <w:szCs w:val="21"/>
                    </w:rPr>
                    <w:t>排放口类型</w:t>
                  </w:r>
                </w:p>
              </w:tc>
              <w:tc>
                <w:tcPr>
                  <w:tcW w:w="1911" w:type="pct"/>
                  <w:vAlign w:val="center"/>
                </w:tcPr>
                <w:p>
                  <w:pPr>
                    <w:adjustRightInd w:val="0"/>
                    <w:snapToGrid w:val="0"/>
                    <w:rPr>
                      <w:szCs w:val="21"/>
                    </w:rPr>
                  </w:pPr>
                  <w:r>
                    <w:rPr>
                      <w:szCs w:val="21"/>
                    </w:rPr>
                    <w:t>□企业总排</w:t>
                  </w:r>
                </w:p>
                <w:p>
                  <w:pPr>
                    <w:adjustRightInd w:val="0"/>
                    <w:snapToGrid w:val="0"/>
                    <w:rPr>
                      <w:szCs w:val="21"/>
                    </w:rPr>
                  </w:pPr>
                  <w:r>
                    <w:rPr>
                      <w:szCs w:val="21"/>
                    </w:rPr>
                    <w:t xml:space="preserve">□雨水排放 </w:t>
                  </w:r>
                </w:p>
                <w:p>
                  <w:pPr>
                    <w:adjustRightInd w:val="0"/>
                    <w:snapToGrid w:val="0"/>
                    <w:rPr>
                      <w:szCs w:val="21"/>
                    </w:rPr>
                  </w:pPr>
                  <w:r>
                    <w:rPr>
                      <w:szCs w:val="21"/>
                    </w:rPr>
                    <w:t>□清净下水排放</w:t>
                  </w:r>
                </w:p>
                <w:p>
                  <w:pPr>
                    <w:adjustRightInd w:val="0"/>
                    <w:snapToGrid w:val="0"/>
                    <w:rPr>
                      <w:szCs w:val="21"/>
                    </w:rPr>
                  </w:pPr>
                  <w:r>
                    <w:rPr>
                      <w:szCs w:val="21"/>
                    </w:rPr>
                    <w:t>□温排水排放</w:t>
                  </w:r>
                </w:p>
                <w:p>
                  <w:pPr>
                    <w:adjustRightInd w:val="0"/>
                    <w:snapToGrid w:val="0"/>
                    <w:jc w:val="left"/>
                    <w:rPr>
                      <w:szCs w:val="21"/>
                    </w:rPr>
                  </w:pPr>
                  <w:r>
                    <w:rPr>
                      <w:szCs w:val="21"/>
                    </w:rPr>
                    <w:t>□车间或车间处理设施排放口</w:t>
                  </w:r>
                </w:p>
              </w:tc>
              <w:tc>
                <w:tcPr>
                  <w:tcW w:w="1910" w:type="pct"/>
                  <w:vAlign w:val="center"/>
                </w:tcPr>
                <w:p>
                  <w:pPr>
                    <w:adjustRightInd w:val="0"/>
                    <w:snapToGrid w:val="0"/>
                    <w:rPr>
                      <w:szCs w:val="21"/>
                    </w:rPr>
                  </w:pPr>
                  <w:r>
                    <w:rPr>
                      <w:szCs w:val="21"/>
                    </w:rPr>
                    <w:t>□企业总排</w:t>
                  </w:r>
                </w:p>
                <w:p>
                  <w:pPr>
                    <w:adjustRightInd w:val="0"/>
                    <w:snapToGrid w:val="0"/>
                    <w:rPr>
                      <w:szCs w:val="21"/>
                    </w:rPr>
                  </w:pPr>
                  <w:r>
                    <w:rPr>
                      <w:szCs w:val="21"/>
                    </w:rPr>
                    <w:t xml:space="preserve">□雨水排放 </w:t>
                  </w:r>
                </w:p>
                <w:p>
                  <w:pPr>
                    <w:adjustRightInd w:val="0"/>
                    <w:snapToGrid w:val="0"/>
                    <w:rPr>
                      <w:szCs w:val="21"/>
                    </w:rPr>
                  </w:pPr>
                  <w:r>
                    <w:rPr>
                      <w:szCs w:val="21"/>
                    </w:rPr>
                    <w:t>□清净下水排放</w:t>
                  </w:r>
                </w:p>
                <w:p>
                  <w:pPr>
                    <w:adjustRightInd w:val="0"/>
                    <w:snapToGrid w:val="0"/>
                    <w:rPr>
                      <w:szCs w:val="21"/>
                    </w:rPr>
                  </w:pPr>
                  <w:r>
                    <w:rPr>
                      <w:szCs w:val="21"/>
                    </w:rPr>
                    <w:t>□温排水排放</w:t>
                  </w:r>
                </w:p>
                <w:p>
                  <w:pPr>
                    <w:adjustRightInd w:val="0"/>
                    <w:snapToGrid w:val="0"/>
                    <w:jc w:val="center"/>
                    <w:rPr>
                      <w:szCs w:val="21"/>
                    </w:rPr>
                  </w:pPr>
                  <w:r>
                    <w:rPr>
                      <w:szCs w:val="21"/>
                    </w:rPr>
                    <w:t>□车间或车间处理设施排放口</w:t>
                  </w:r>
                </w:p>
              </w:tc>
            </w:tr>
          </w:tbl>
          <w:p>
            <w:pPr>
              <w:tabs>
                <w:tab w:val="left" w:pos="5670"/>
              </w:tabs>
              <w:spacing w:line="360" w:lineRule="auto"/>
              <w:ind w:firstLine="480" w:firstLineChars="200"/>
              <w:rPr>
                <w:kern w:val="0"/>
                <w:sz w:val="24"/>
              </w:rPr>
            </w:pPr>
            <w:r>
              <w:rPr>
                <w:kern w:val="0"/>
                <w:sz w:val="24"/>
              </w:rPr>
              <w:t>5）结论</w:t>
            </w:r>
          </w:p>
          <w:p>
            <w:pPr>
              <w:spacing w:line="360" w:lineRule="auto"/>
              <w:ind w:firstLine="480" w:firstLineChars="200"/>
              <w:rPr>
                <w:sz w:val="24"/>
              </w:rPr>
            </w:pPr>
            <w:r>
              <w:rPr>
                <w:sz w:val="24"/>
              </w:rPr>
              <w:t>综上，项目无废水直接外排，正常情况下对所在周边河流域影响较小，不会改变水域功能，故项目的实施对区域水环境影响较小。</w:t>
            </w:r>
          </w:p>
          <w:p>
            <w:pPr>
              <w:tabs>
                <w:tab w:val="left" w:pos="5670"/>
              </w:tabs>
              <w:spacing w:line="360" w:lineRule="auto"/>
              <w:ind w:firstLine="482" w:firstLineChars="200"/>
              <w:rPr>
                <w:b/>
                <w:sz w:val="24"/>
              </w:rPr>
            </w:pPr>
            <w:r>
              <w:rPr>
                <w:b/>
                <w:bCs/>
                <w:sz w:val="24"/>
              </w:rPr>
              <w:t>3、</w:t>
            </w:r>
            <w:r>
              <w:rPr>
                <w:b/>
                <w:sz w:val="24"/>
              </w:rPr>
              <w:t>运营期环境影响和保护措施</w:t>
            </w:r>
          </w:p>
          <w:p>
            <w:pPr>
              <w:tabs>
                <w:tab w:val="left" w:pos="5670"/>
              </w:tabs>
              <w:spacing w:line="360" w:lineRule="auto"/>
              <w:ind w:firstLine="482" w:firstLineChars="200"/>
              <w:rPr>
                <w:b/>
                <w:bCs/>
                <w:sz w:val="24"/>
              </w:rPr>
            </w:pPr>
            <w:r>
              <w:rPr>
                <w:b/>
                <w:bCs/>
                <w:sz w:val="24"/>
              </w:rPr>
              <w:t>（1）噪声排放及治理措施</w:t>
            </w:r>
          </w:p>
          <w:p>
            <w:pPr>
              <w:spacing w:line="360" w:lineRule="auto"/>
              <w:ind w:firstLine="480" w:firstLineChars="200"/>
              <w:rPr>
                <w:b/>
                <w:bCs/>
                <w:sz w:val="24"/>
              </w:rPr>
            </w:pPr>
            <w:r>
              <w:rPr>
                <w:sz w:val="24"/>
              </w:rPr>
              <w:t>根据业主单位提供的设备噪声源和项目特点、工程特性可判断出，项目营运期噪声主要来自于设备（振动筛、破碎机、打铁机、转筒筛、跳汰机等）运行时产生的噪声，车辆交通噪声等。经类比分析，项目噪声源强及治理情况见表4-9</w:t>
            </w:r>
            <w:r>
              <w:rPr>
                <w:sz w:val="24"/>
                <w:lang w:bidi="ar"/>
              </w:rPr>
              <w:t>。</w:t>
            </w:r>
          </w:p>
          <w:p>
            <w:pPr>
              <w:spacing w:line="360" w:lineRule="auto"/>
              <w:jc w:val="center"/>
              <w:rPr>
                <w:bCs/>
                <w:sz w:val="24"/>
                <w:szCs w:val="32"/>
              </w:rPr>
            </w:pPr>
            <w:r>
              <w:rPr>
                <w:bCs/>
                <w:sz w:val="24"/>
                <w:szCs w:val="32"/>
              </w:rPr>
              <w:t>表4-9 项目噪声产生、治理情况单位：dB（A）</w:t>
            </w:r>
          </w:p>
          <w:tbl>
            <w:tblPr>
              <w:tblStyle w:val="38"/>
              <w:tblW w:w="0" w:type="auto"/>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713"/>
              <w:gridCol w:w="1621"/>
              <w:gridCol w:w="634"/>
              <w:gridCol w:w="1353"/>
              <w:gridCol w:w="1661"/>
              <w:gridCol w:w="1106"/>
              <w:gridCol w:w="1090"/>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749" w:type="dxa"/>
                  <w:tcBorders>
                    <w:top w:val="single" w:color="auto" w:sz="12" w:space="0"/>
                    <w:left w:val="nil"/>
                    <w:bottom w:val="single" w:color="auto" w:sz="4" w:space="0"/>
                    <w:right w:val="single" w:color="auto" w:sz="4" w:space="0"/>
                  </w:tcBorders>
                  <w:vAlign w:val="center"/>
                </w:tcPr>
                <w:p>
                  <w:pPr>
                    <w:jc w:val="center"/>
                    <w:rPr>
                      <w:b/>
                      <w:szCs w:val="21"/>
                    </w:rPr>
                  </w:pPr>
                  <w:r>
                    <w:rPr>
                      <w:b/>
                      <w:szCs w:val="21"/>
                    </w:rPr>
                    <w:t>序号</w:t>
                  </w:r>
                </w:p>
              </w:tc>
              <w:tc>
                <w:tcPr>
                  <w:tcW w:w="1750" w:type="dxa"/>
                  <w:tcBorders>
                    <w:top w:val="single" w:color="auto" w:sz="12" w:space="0"/>
                    <w:left w:val="single" w:color="auto" w:sz="4" w:space="0"/>
                    <w:bottom w:val="single" w:color="auto" w:sz="4" w:space="0"/>
                    <w:right w:val="single" w:color="auto" w:sz="4" w:space="0"/>
                  </w:tcBorders>
                  <w:vAlign w:val="center"/>
                </w:tcPr>
                <w:p>
                  <w:pPr>
                    <w:jc w:val="center"/>
                    <w:rPr>
                      <w:b/>
                      <w:szCs w:val="21"/>
                    </w:rPr>
                  </w:pPr>
                  <w:r>
                    <w:rPr>
                      <w:b/>
                      <w:szCs w:val="21"/>
                    </w:rPr>
                    <w:t>产噪源</w:t>
                  </w:r>
                </w:p>
              </w:tc>
              <w:tc>
                <w:tcPr>
                  <w:tcW w:w="659" w:type="dxa"/>
                  <w:tcBorders>
                    <w:top w:val="single" w:color="auto" w:sz="12" w:space="0"/>
                    <w:left w:val="single" w:color="auto" w:sz="4" w:space="0"/>
                    <w:bottom w:val="single" w:color="auto" w:sz="4" w:space="0"/>
                    <w:right w:val="single" w:color="auto" w:sz="4" w:space="0"/>
                  </w:tcBorders>
                  <w:vAlign w:val="center"/>
                </w:tcPr>
                <w:p>
                  <w:pPr>
                    <w:jc w:val="center"/>
                    <w:rPr>
                      <w:b/>
                      <w:szCs w:val="21"/>
                    </w:rPr>
                  </w:pPr>
                  <w:r>
                    <w:rPr>
                      <w:b/>
                      <w:szCs w:val="21"/>
                    </w:rPr>
                    <w:t>源强</w:t>
                  </w:r>
                </w:p>
              </w:tc>
              <w:tc>
                <w:tcPr>
                  <w:tcW w:w="1479" w:type="dxa"/>
                  <w:tcBorders>
                    <w:top w:val="single" w:color="auto" w:sz="12" w:space="0"/>
                    <w:left w:val="single" w:color="auto" w:sz="4" w:space="0"/>
                    <w:bottom w:val="single" w:color="auto" w:sz="4" w:space="0"/>
                    <w:right w:val="single" w:color="auto" w:sz="4" w:space="0"/>
                  </w:tcBorders>
                  <w:vAlign w:val="center"/>
                </w:tcPr>
                <w:p>
                  <w:pPr>
                    <w:jc w:val="center"/>
                    <w:rPr>
                      <w:b/>
                      <w:szCs w:val="21"/>
                    </w:rPr>
                  </w:pPr>
                  <w:r>
                    <w:rPr>
                      <w:b/>
                      <w:szCs w:val="21"/>
                    </w:rPr>
                    <w:t>产生位置</w:t>
                  </w:r>
                </w:p>
              </w:tc>
              <w:tc>
                <w:tcPr>
                  <w:tcW w:w="1772" w:type="dxa"/>
                  <w:tcBorders>
                    <w:top w:val="single" w:color="auto" w:sz="12" w:space="0"/>
                    <w:left w:val="single" w:color="auto" w:sz="4" w:space="0"/>
                    <w:bottom w:val="single" w:color="auto" w:sz="4" w:space="0"/>
                    <w:right w:val="single" w:color="auto" w:sz="4" w:space="0"/>
                  </w:tcBorders>
                  <w:vAlign w:val="center"/>
                </w:tcPr>
                <w:p>
                  <w:pPr>
                    <w:jc w:val="center"/>
                    <w:rPr>
                      <w:b/>
                      <w:szCs w:val="21"/>
                    </w:rPr>
                  </w:pPr>
                  <w:r>
                    <w:rPr>
                      <w:b/>
                      <w:szCs w:val="21"/>
                    </w:rPr>
                    <w:t>处置措施</w:t>
                  </w:r>
                </w:p>
              </w:tc>
              <w:tc>
                <w:tcPr>
                  <w:tcW w:w="1143" w:type="dxa"/>
                  <w:tcBorders>
                    <w:top w:val="single" w:color="auto" w:sz="12" w:space="0"/>
                    <w:left w:val="single" w:color="auto" w:sz="4" w:space="0"/>
                    <w:bottom w:val="single" w:color="auto" w:sz="4" w:space="0"/>
                    <w:right w:val="single" w:color="auto" w:sz="4" w:space="0"/>
                  </w:tcBorders>
                  <w:vAlign w:val="center"/>
                </w:tcPr>
                <w:p>
                  <w:pPr>
                    <w:jc w:val="center"/>
                    <w:rPr>
                      <w:b/>
                      <w:szCs w:val="21"/>
                    </w:rPr>
                  </w:pPr>
                  <w:r>
                    <w:rPr>
                      <w:b/>
                      <w:szCs w:val="21"/>
                    </w:rPr>
                    <w:t>治理后噪声dB(A)</w:t>
                  </w:r>
                </w:p>
              </w:tc>
              <w:tc>
                <w:tcPr>
                  <w:tcW w:w="1178" w:type="dxa"/>
                  <w:tcBorders>
                    <w:top w:val="single" w:color="auto" w:sz="12" w:space="0"/>
                    <w:left w:val="single" w:color="auto" w:sz="4" w:space="0"/>
                    <w:bottom w:val="single" w:color="auto" w:sz="4" w:space="0"/>
                    <w:right w:val="nil"/>
                  </w:tcBorders>
                  <w:vAlign w:val="center"/>
                </w:tcPr>
                <w:p>
                  <w:pPr>
                    <w:jc w:val="center"/>
                    <w:rPr>
                      <w:b/>
                      <w:szCs w:val="21"/>
                    </w:rPr>
                  </w:pPr>
                  <w:r>
                    <w:rPr>
                      <w:b/>
                      <w:szCs w:val="21"/>
                    </w:rPr>
                    <w:t>噪声特性</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749" w:type="dxa"/>
                  <w:tcBorders>
                    <w:top w:val="single" w:color="auto" w:sz="4" w:space="0"/>
                    <w:left w:val="nil"/>
                    <w:bottom w:val="single" w:color="auto" w:sz="4" w:space="0"/>
                    <w:right w:val="single" w:color="auto" w:sz="4" w:space="0"/>
                  </w:tcBorders>
                  <w:vAlign w:val="center"/>
                </w:tcPr>
                <w:p>
                  <w:pPr>
                    <w:jc w:val="center"/>
                    <w:rPr>
                      <w:szCs w:val="21"/>
                    </w:rPr>
                  </w:pPr>
                  <w:r>
                    <w:rPr>
                      <w:szCs w:val="21"/>
                    </w:rPr>
                    <w:t>1</w:t>
                  </w:r>
                </w:p>
              </w:tc>
              <w:tc>
                <w:tcPr>
                  <w:tcW w:w="1750" w:type="dxa"/>
                  <w:tcBorders>
                    <w:top w:val="single" w:color="auto" w:sz="4" w:space="0"/>
                    <w:left w:val="single" w:color="auto" w:sz="4" w:space="0"/>
                    <w:bottom w:val="single" w:color="auto" w:sz="4" w:space="0"/>
                    <w:right w:val="single" w:color="auto" w:sz="4" w:space="0"/>
                  </w:tcBorders>
                  <w:vAlign w:val="center"/>
                </w:tcPr>
                <w:p>
                  <w:pPr>
                    <w:jc w:val="center"/>
                    <w:rPr>
                      <w:szCs w:val="21"/>
                    </w:rPr>
                  </w:pPr>
                  <w:r>
                    <w:rPr>
                      <w:szCs w:val="21"/>
                    </w:rPr>
                    <w:t>料动上料钢仓</w:t>
                  </w:r>
                </w:p>
              </w:tc>
              <w:tc>
                <w:tcPr>
                  <w:tcW w:w="659" w:type="dxa"/>
                  <w:tcBorders>
                    <w:top w:val="single" w:color="auto" w:sz="4" w:space="0"/>
                    <w:left w:val="single" w:color="auto" w:sz="4" w:space="0"/>
                    <w:bottom w:val="single" w:color="auto" w:sz="4" w:space="0"/>
                    <w:right w:val="single" w:color="auto" w:sz="4" w:space="0"/>
                  </w:tcBorders>
                  <w:vAlign w:val="center"/>
                </w:tcPr>
                <w:p>
                  <w:pPr>
                    <w:jc w:val="center"/>
                    <w:rPr>
                      <w:szCs w:val="21"/>
                    </w:rPr>
                  </w:pPr>
                  <w:r>
                    <w:rPr>
                      <w:szCs w:val="21"/>
                    </w:rPr>
                    <w:t>85</w:t>
                  </w:r>
                </w:p>
              </w:tc>
              <w:tc>
                <w:tcPr>
                  <w:tcW w:w="1479" w:type="dxa"/>
                  <w:vMerge w:val="restart"/>
                  <w:tcBorders>
                    <w:top w:val="single" w:color="auto" w:sz="4" w:space="0"/>
                    <w:left w:val="single" w:color="auto" w:sz="4" w:space="0"/>
                    <w:right w:val="single" w:color="auto" w:sz="4" w:space="0"/>
                  </w:tcBorders>
                  <w:vAlign w:val="center"/>
                </w:tcPr>
                <w:p>
                  <w:pPr>
                    <w:jc w:val="center"/>
                    <w:rPr>
                      <w:szCs w:val="21"/>
                    </w:rPr>
                  </w:pPr>
                  <w:r>
                    <w:rPr>
                      <w:szCs w:val="21"/>
                    </w:rPr>
                    <w:t>生产车间</w:t>
                  </w:r>
                </w:p>
              </w:tc>
              <w:tc>
                <w:tcPr>
                  <w:tcW w:w="1772" w:type="dxa"/>
                  <w:vMerge w:val="restart"/>
                  <w:tcBorders>
                    <w:top w:val="single" w:color="auto" w:sz="4" w:space="0"/>
                    <w:left w:val="single" w:color="auto" w:sz="4" w:space="0"/>
                    <w:right w:val="single" w:color="auto" w:sz="4" w:space="0"/>
                  </w:tcBorders>
                  <w:vAlign w:val="center"/>
                </w:tcPr>
                <w:p>
                  <w:pPr>
                    <w:jc w:val="center"/>
                    <w:rPr>
                      <w:szCs w:val="21"/>
                    </w:rPr>
                  </w:pPr>
                  <w:r>
                    <w:rPr>
                      <w:szCs w:val="21"/>
                    </w:rPr>
                    <w:t>选用低噪声设备，室内布置、基础减振、厂区绿化等措施，噪声削减量25</w:t>
                  </w:r>
                  <w:r>
                    <w:t xml:space="preserve"> </w:t>
                  </w:r>
                  <w:r>
                    <w:rPr>
                      <w:szCs w:val="21"/>
                    </w:rPr>
                    <w:t>dB（A）</w:t>
                  </w:r>
                </w:p>
              </w:tc>
              <w:tc>
                <w:tcPr>
                  <w:tcW w:w="1143" w:type="dxa"/>
                  <w:tcBorders>
                    <w:top w:val="single" w:color="auto" w:sz="4" w:space="0"/>
                    <w:left w:val="single" w:color="auto" w:sz="4" w:space="0"/>
                    <w:right w:val="single" w:color="auto" w:sz="4" w:space="0"/>
                  </w:tcBorders>
                  <w:vAlign w:val="center"/>
                </w:tcPr>
                <w:p>
                  <w:pPr>
                    <w:jc w:val="center"/>
                    <w:rPr>
                      <w:szCs w:val="21"/>
                    </w:rPr>
                  </w:pPr>
                  <w:r>
                    <w:rPr>
                      <w:szCs w:val="21"/>
                    </w:rPr>
                    <w:t>60</w:t>
                  </w:r>
                </w:p>
              </w:tc>
              <w:tc>
                <w:tcPr>
                  <w:tcW w:w="1178" w:type="dxa"/>
                  <w:tcBorders>
                    <w:top w:val="single" w:color="auto" w:sz="4" w:space="0"/>
                    <w:left w:val="single" w:color="auto" w:sz="4" w:space="0"/>
                    <w:bottom w:val="single" w:color="auto" w:sz="4" w:space="0"/>
                    <w:right w:val="nil"/>
                  </w:tcBorders>
                  <w:vAlign w:val="center"/>
                </w:tcPr>
                <w:p>
                  <w:pPr>
                    <w:jc w:val="center"/>
                    <w:rPr>
                      <w:szCs w:val="21"/>
                    </w:rPr>
                  </w:pPr>
                  <w:r>
                    <w:rPr>
                      <w:szCs w:val="21"/>
                    </w:rPr>
                    <w:t>连续</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749" w:type="dxa"/>
                  <w:tcBorders>
                    <w:top w:val="single" w:color="auto" w:sz="4" w:space="0"/>
                    <w:left w:val="nil"/>
                    <w:bottom w:val="single" w:color="auto" w:sz="4" w:space="0"/>
                    <w:right w:val="single" w:color="auto" w:sz="4" w:space="0"/>
                  </w:tcBorders>
                  <w:vAlign w:val="center"/>
                </w:tcPr>
                <w:p>
                  <w:pPr>
                    <w:jc w:val="center"/>
                    <w:rPr>
                      <w:szCs w:val="21"/>
                    </w:rPr>
                  </w:pPr>
                  <w:r>
                    <w:rPr>
                      <w:szCs w:val="21"/>
                    </w:rPr>
                    <w:t>2</w:t>
                  </w:r>
                </w:p>
              </w:tc>
              <w:tc>
                <w:tcPr>
                  <w:tcW w:w="1750" w:type="dxa"/>
                  <w:tcBorders>
                    <w:top w:val="single" w:color="auto" w:sz="4" w:space="0"/>
                    <w:left w:val="single" w:color="auto" w:sz="4" w:space="0"/>
                    <w:bottom w:val="single" w:color="auto" w:sz="4" w:space="0"/>
                    <w:right w:val="single" w:color="auto" w:sz="4" w:space="0"/>
                  </w:tcBorders>
                  <w:vAlign w:val="center"/>
                </w:tcPr>
                <w:p>
                  <w:pPr>
                    <w:jc w:val="center"/>
                    <w:rPr>
                      <w:kern w:val="0"/>
                      <w:szCs w:val="21"/>
                    </w:rPr>
                  </w:pPr>
                  <w:r>
                    <w:rPr>
                      <w:kern w:val="0"/>
                      <w:szCs w:val="21"/>
                    </w:rPr>
                    <w:t>料斗皮带</w:t>
                  </w:r>
                </w:p>
              </w:tc>
              <w:tc>
                <w:tcPr>
                  <w:tcW w:w="659" w:type="dxa"/>
                  <w:tcBorders>
                    <w:top w:val="single" w:color="auto" w:sz="4" w:space="0"/>
                    <w:left w:val="single" w:color="auto" w:sz="4" w:space="0"/>
                    <w:bottom w:val="single" w:color="auto" w:sz="4" w:space="0"/>
                    <w:right w:val="single" w:color="auto" w:sz="4" w:space="0"/>
                  </w:tcBorders>
                  <w:vAlign w:val="center"/>
                </w:tcPr>
                <w:p>
                  <w:pPr>
                    <w:jc w:val="center"/>
                    <w:rPr>
                      <w:szCs w:val="21"/>
                    </w:rPr>
                  </w:pPr>
                  <w:r>
                    <w:rPr>
                      <w:szCs w:val="21"/>
                    </w:rPr>
                    <w:t>75</w:t>
                  </w:r>
                </w:p>
              </w:tc>
              <w:tc>
                <w:tcPr>
                  <w:tcW w:w="1479" w:type="dxa"/>
                  <w:vMerge w:val="continue"/>
                  <w:tcBorders>
                    <w:left w:val="single" w:color="auto" w:sz="4" w:space="0"/>
                    <w:right w:val="single" w:color="auto" w:sz="4" w:space="0"/>
                  </w:tcBorders>
                  <w:vAlign w:val="center"/>
                </w:tcPr>
                <w:p>
                  <w:pPr>
                    <w:jc w:val="center"/>
                    <w:rPr>
                      <w:szCs w:val="21"/>
                    </w:rPr>
                  </w:pPr>
                </w:p>
              </w:tc>
              <w:tc>
                <w:tcPr>
                  <w:tcW w:w="1772" w:type="dxa"/>
                  <w:vMerge w:val="continue"/>
                  <w:tcBorders>
                    <w:left w:val="single" w:color="auto" w:sz="4" w:space="0"/>
                    <w:right w:val="single" w:color="auto" w:sz="4" w:space="0"/>
                  </w:tcBorders>
                  <w:vAlign w:val="center"/>
                </w:tcPr>
                <w:p>
                  <w:pPr>
                    <w:jc w:val="center"/>
                    <w:rPr>
                      <w:szCs w:val="21"/>
                    </w:rPr>
                  </w:pPr>
                </w:p>
              </w:tc>
              <w:tc>
                <w:tcPr>
                  <w:tcW w:w="1143" w:type="dxa"/>
                  <w:tcBorders>
                    <w:left w:val="single" w:color="auto" w:sz="4" w:space="0"/>
                    <w:right w:val="single" w:color="auto" w:sz="4" w:space="0"/>
                  </w:tcBorders>
                  <w:vAlign w:val="center"/>
                </w:tcPr>
                <w:p>
                  <w:pPr>
                    <w:jc w:val="center"/>
                    <w:rPr>
                      <w:szCs w:val="21"/>
                    </w:rPr>
                  </w:pPr>
                  <w:r>
                    <w:rPr>
                      <w:szCs w:val="21"/>
                    </w:rPr>
                    <w:t>50</w:t>
                  </w:r>
                </w:p>
              </w:tc>
              <w:tc>
                <w:tcPr>
                  <w:tcW w:w="1178" w:type="dxa"/>
                  <w:tcBorders>
                    <w:left w:val="single" w:color="auto" w:sz="4" w:space="0"/>
                    <w:right w:val="nil"/>
                  </w:tcBorders>
                  <w:vAlign w:val="center"/>
                </w:tcPr>
                <w:p>
                  <w:pPr>
                    <w:jc w:val="center"/>
                  </w:pPr>
                  <w:r>
                    <w:rPr>
                      <w:szCs w:val="21"/>
                    </w:rPr>
                    <w:t>连续</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749" w:type="dxa"/>
                  <w:tcBorders>
                    <w:top w:val="single" w:color="auto" w:sz="4" w:space="0"/>
                    <w:left w:val="nil"/>
                    <w:bottom w:val="single" w:color="auto" w:sz="4" w:space="0"/>
                    <w:right w:val="single" w:color="auto" w:sz="4" w:space="0"/>
                  </w:tcBorders>
                  <w:vAlign w:val="center"/>
                </w:tcPr>
                <w:p>
                  <w:pPr>
                    <w:jc w:val="center"/>
                    <w:rPr>
                      <w:szCs w:val="21"/>
                    </w:rPr>
                  </w:pPr>
                  <w:r>
                    <w:rPr>
                      <w:szCs w:val="21"/>
                    </w:rPr>
                    <w:t>3</w:t>
                  </w:r>
                </w:p>
              </w:tc>
              <w:tc>
                <w:tcPr>
                  <w:tcW w:w="1750" w:type="dxa"/>
                  <w:tcBorders>
                    <w:top w:val="single" w:color="auto" w:sz="4" w:space="0"/>
                    <w:left w:val="single" w:color="auto" w:sz="4" w:space="0"/>
                    <w:bottom w:val="single" w:color="auto" w:sz="4" w:space="0"/>
                    <w:right w:val="single" w:color="auto" w:sz="4" w:space="0"/>
                  </w:tcBorders>
                  <w:vAlign w:val="center"/>
                </w:tcPr>
                <w:p>
                  <w:pPr>
                    <w:jc w:val="center"/>
                    <w:rPr>
                      <w:kern w:val="0"/>
                      <w:szCs w:val="21"/>
                    </w:rPr>
                  </w:pPr>
                  <w:r>
                    <w:rPr>
                      <w:kern w:val="0"/>
                      <w:szCs w:val="21"/>
                    </w:rPr>
                    <w:t>一级上料皮带</w:t>
                  </w:r>
                </w:p>
              </w:tc>
              <w:tc>
                <w:tcPr>
                  <w:tcW w:w="659" w:type="dxa"/>
                  <w:tcBorders>
                    <w:top w:val="single" w:color="auto" w:sz="4" w:space="0"/>
                    <w:left w:val="single" w:color="auto" w:sz="4" w:space="0"/>
                    <w:bottom w:val="single" w:color="auto" w:sz="4" w:space="0"/>
                    <w:right w:val="single" w:color="auto" w:sz="4" w:space="0"/>
                  </w:tcBorders>
                  <w:vAlign w:val="center"/>
                </w:tcPr>
                <w:p>
                  <w:pPr>
                    <w:jc w:val="center"/>
                    <w:rPr>
                      <w:szCs w:val="21"/>
                    </w:rPr>
                  </w:pPr>
                  <w:r>
                    <w:rPr>
                      <w:szCs w:val="21"/>
                    </w:rPr>
                    <w:t>75</w:t>
                  </w:r>
                </w:p>
              </w:tc>
              <w:tc>
                <w:tcPr>
                  <w:tcW w:w="1479" w:type="dxa"/>
                  <w:vMerge w:val="continue"/>
                  <w:tcBorders>
                    <w:left w:val="single" w:color="auto" w:sz="4" w:space="0"/>
                    <w:right w:val="single" w:color="auto" w:sz="4" w:space="0"/>
                  </w:tcBorders>
                  <w:vAlign w:val="center"/>
                </w:tcPr>
                <w:p>
                  <w:pPr>
                    <w:jc w:val="center"/>
                    <w:rPr>
                      <w:szCs w:val="21"/>
                    </w:rPr>
                  </w:pPr>
                </w:p>
              </w:tc>
              <w:tc>
                <w:tcPr>
                  <w:tcW w:w="1772" w:type="dxa"/>
                  <w:vMerge w:val="continue"/>
                  <w:tcBorders>
                    <w:left w:val="single" w:color="auto" w:sz="4" w:space="0"/>
                    <w:right w:val="single" w:color="auto" w:sz="4" w:space="0"/>
                  </w:tcBorders>
                  <w:vAlign w:val="center"/>
                </w:tcPr>
                <w:p>
                  <w:pPr>
                    <w:jc w:val="center"/>
                    <w:rPr>
                      <w:szCs w:val="21"/>
                    </w:rPr>
                  </w:pPr>
                </w:p>
              </w:tc>
              <w:tc>
                <w:tcPr>
                  <w:tcW w:w="1143" w:type="dxa"/>
                  <w:tcBorders>
                    <w:left w:val="single" w:color="auto" w:sz="4" w:space="0"/>
                    <w:right w:val="single" w:color="auto" w:sz="4" w:space="0"/>
                  </w:tcBorders>
                  <w:vAlign w:val="center"/>
                </w:tcPr>
                <w:p>
                  <w:pPr>
                    <w:jc w:val="center"/>
                    <w:rPr>
                      <w:szCs w:val="21"/>
                    </w:rPr>
                  </w:pPr>
                  <w:r>
                    <w:rPr>
                      <w:szCs w:val="21"/>
                    </w:rPr>
                    <w:t>50</w:t>
                  </w:r>
                </w:p>
              </w:tc>
              <w:tc>
                <w:tcPr>
                  <w:tcW w:w="1178" w:type="dxa"/>
                  <w:tcBorders>
                    <w:left w:val="single" w:color="auto" w:sz="4" w:space="0"/>
                    <w:right w:val="nil"/>
                  </w:tcBorders>
                  <w:vAlign w:val="center"/>
                </w:tcPr>
                <w:p>
                  <w:pPr>
                    <w:jc w:val="center"/>
                  </w:pPr>
                  <w:r>
                    <w:rPr>
                      <w:szCs w:val="21"/>
                    </w:rPr>
                    <w:t>连续</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749" w:type="dxa"/>
                  <w:tcBorders>
                    <w:top w:val="single" w:color="auto" w:sz="4" w:space="0"/>
                    <w:left w:val="nil"/>
                    <w:bottom w:val="single" w:color="auto" w:sz="4" w:space="0"/>
                    <w:right w:val="single" w:color="auto" w:sz="4" w:space="0"/>
                  </w:tcBorders>
                  <w:vAlign w:val="center"/>
                </w:tcPr>
                <w:p>
                  <w:pPr>
                    <w:jc w:val="center"/>
                    <w:rPr>
                      <w:szCs w:val="21"/>
                    </w:rPr>
                  </w:pPr>
                  <w:r>
                    <w:rPr>
                      <w:szCs w:val="21"/>
                    </w:rPr>
                    <w:t>4</w:t>
                  </w:r>
                </w:p>
              </w:tc>
              <w:tc>
                <w:tcPr>
                  <w:tcW w:w="1750" w:type="dxa"/>
                  <w:tcBorders>
                    <w:top w:val="single" w:color="auto" w:sz="4" w:space="0"/>
                    <w:left w:val="single" w:color="auto" w:sz="4" w:space="0"/>
                    <w:bottom w:val="single" w:color="auto" w:sz="4" w:space="0"/>
                    <w:right w:val="single" w:color="auto" w:sz="4" w:space="0"/>
                  </w:tcBorders>
                  <w:vAlign w:val="center"/>
                </w:tcPr>
                <w:p>
                  <w:pPr>
                    <w:jc w:val="center"/>
                    <w:rPr>
                      <w:szCs w:val="21"/>
                    </w:rPr>
                  </w:pPr>
                  <w:r>
                    <w:rPr>
                      <w:kern w:val="0"/>
                      <w:szCs w:val="21"/>
                    </w:rPr>
                    <w:t>滚笼分选筛（转筒筛）</w:t>
                  </w:r>
                </w:p>
              </w:tc>
              <w:tc>
                <w:tcPr>
                  <w:tcW w:w="659" w:type="dxa"/>
                  <w:tcBorders>
                    <w:top w:val="single" w:color="auto" w:sz="4" w:space="0"/>
                    <w:left w:val="single" w:color="auto" w:sz="4" w:space="0"/>
                    <w:bottom w:val="single" w:color="auto" w:sz="4" w:space="0"/>
                    <w:right w:val="single" w:color="auto" w:sz="4" w:space="0"/>
                  </w:tcBorders>
                  <w:vAlign w:val="center"/>
                </w:tcPr>
                <w:p>
                  <w:pPr>
                    <w:jc w:val="center"/>
                    <w:rPr>
                      <w:szCs w:val="21"/>
                    </w:rPr>
                  </w:pPr>
                  <w:r>
                    <w:rPr>
                      <w:szCs w:val="21"/>
                    </w:rPr>
                    <w:t>80</w:t>
                  </w:r>
                </w:p>
              </w:tc>
              <w:tc>
                <w:tcPr>
                  <w:tcW w:w="1479" w:type="dxa"/>
                  <w:vMerge w:val="continue"/>
                  <w:tcBorders>
                    <w:left w:val="single" w:color="auto" w:sz="4" w:space="0"/>
                    <w:right w:val="single" w:color="auto" w:sz="4" w:space="0"/>
                  </w:tcBorders>
                  <w:vAlign w:val="center"/>
                </w:tcPr>
                <w:p>
                  <w:pPr>
                    <w:jc w:val="center"/>
                    <w:rPr>
                      <w:szCs w:val="21"/>
                    </w:rPr>
                  </w:pPr>
                </w:p>
              </w:tc>
              <w:tc>
                <w:tcPr>
                  <w:tcW w:w="1772" w:type="dxa"/>
                  <w:vMerge w:val="continue"/>
                  <w:tcBorders>
                    <w:left w:val="single" w:color="auto" w:sz="4" w:space="0"/>
                    <w:right w:val="single" w:color="auto" w:sz="4" w:space="0"/>
                  </w:tcBorders>
                  <w:vAlign w:val="center"/>
                </w:tcPr>
                <w:p>
                  <w:pPr>
                    <w:jc w:val="center"/>
                    <w:rPr>
                      <w:szCs w:val="21"/>
                    </w:rPr>
                  </w:pPr>
                </w:p>
              </w:tc>
              <w:tc>
                <w:tcPr>
                  <w:tcW w:w="1143" w:type="dxa"/>
                  <w:tcBorders>
                    <w:left w:val="single" w:color="auto" w:sz="4" w:space="0"/>
                    <w:right w:val="single" w:color="auto" w:sz="4" w:space="0"/>
                  </w:tcBorders>
                  <w:vAlign w:val="center"/>
                </w:tcPr>
                <w:p>
                  <w:pPr>
                    <w:jc w:val="center"/>
                    <w:rPr>
                      <w:szCs w:val="21"/>
                    </w:rPr>
                  </w:pPr>
                  <w:r>
                    <w:rPr>
                      <w:szCs w:val="21"/>
                    </w:rPr>
                    <w:t>55</w:t>
                  </w:r>
                </w:p>
              </w:tc>
              <w:tc>
                <w:tcPr>
                  <w:tcW w:w="1178" w:type="dxa"/>
                  <w:tcBorders>
                    <w:left w:val="single" w:color="auto" w:sz="4" w:space="0"/>
                    <w:right w:val="nil"/>
                  </w:tcBorders>
                  <w:vAlign w:val="center"/>
                </w:tcPr>
                <w:p>
                  <w:pPr>
                    <w:jc w:val="center"/>
                  </w:pPr>
                  <w:r>
                    <w:rPr>
                      <w:szCs w:val="21"/>
                    </w:rPr>
                    <w:t>连续</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749" w:type="dxa"/>
                  <w:tcBorders>
                    <w:top w:val="single" w:color="auto" w:sz="4" w:space="0"/>
                    <w:left w:val="nil"/>
                    <w:bottom w:val="single" w:color="auto" w:sz="4" w:space="0"/>
                    <w:right w:val="single" w:color="auto" w:sz="4" w:space="0"/>
                  </w:tcBorders>
                  <w:vAlign w:val="center"/>
                </w:tcPr>
                <w:p>
                  <w:pPr>
                    <w:jc w:val="center"/>
                    <w:rPr>
                      <w:szCs w:val="21"/>
                    </w:rPr>
                  </w:pPr>
                  <w:r>
                    <w:rPr>
                      <w:szCs w:val="21"/>
                    </w:rPr>
                    <w:t>5</w:t>
                  </w:r>
                </w:p>
              </w:tc>
              <w:tc>
                <w:tcPr>
                  <w:tcW w:w="1750" w:type="dxa"/>
                  <w:tcBorders>
                    <w:top w:val="single" w:color="auto" w:sz="4" w:space="0"/>
                    <w:left w:val="single" w:color="auto" w:sz="4" w:space="0"/>
                    <w:bottom w:val="single" w:color="auto" w:sz="4" w:space="0"/>
                    <w:right w:val="single" w:color="auto" w:sz="4" w:space="0"/>
                  </w:tcBorders>
                  <w:vAlign w:val="center"/>
                </w:tcPr>
                <w:p>
                  <w:pPr>
                    <w:jc w:val="center"/>
                    <w:rPr>
                      <w:kern w:val="0"/>
                      <w:szCs w:val="21"/>
                    </w:rPr>
                  </w:pPr>
                  <w:r>
                    <w:rPr>
                      <w:kern w:val="0"/>
                      <w:szCs w:val="21"/>
                    </w:rPr>
                    <w:t>除铁器</w:t>
                  </w:r>
                </w:p>
              </w:tc>
              <w:tc>
                <w:tcPr>
                  <w:tcW w:w="659" w:type="dxa"/>
                  <w:tcBorders>
                    <w:top w:val="single" w:color="auto" w:sz="4" w:space="0"/>
                    <w:left w:val="single" w:color="auto" w:sz="4" w:space="0"/>
                    <w:bottom w:val="single" w:color="auto" w:sz="4" w:space="0"/>
                    <w:right w:val="single" w:color="auto" w:sz="4" w:space="0"/>
                  </w:tcBorders>
                  <w:vAlign w:val="center"/>
                </w:tcPr>
                <w:p>
                  <w:pPr>
                    <w:jc w:val="center"/>
                    <w:rPr>
                      <w:szCs w:val="21"/>
                    </w:rPr>
                  </w:pPr>
                  <w:r>
                    <w:rPr>
                      <w:szCs w:val="21"/>
                    </w:rPr>
                    <w:t>70</w:t>
                  </w:r>
                </w:p>
              </w:tc>
              <w:tc>
                <w:tcPr>
                  <w:tcW w:w="1479" w:type="dxa"/>
                  <w:vMerge w:val="continue"/>
                  <w:tcBorders>
                    <w:left w:val="single" w:color="auto" w:sz="4" w:space="0"/>
                    <w:right w:val="single" w:color="auto" w:sz="4" w:space="0"/>
                  </w:tcBorders>
                  <w:vAlign w:val="center"/>
                </w:tcPr>
                <w:p>
                  <w:pPr>
                    <w:jc w:val="center"/>
                    <w:rPr>
                      <w:szCs w:val="21"/>
                    </w:rPr>
                  </w:pPr>
                </w:p>
              </w:tc>
              <w:tc>
                <w:tcPr>
                  <w:tcW w:w="1772" w:type="dxa"/>
                  <w:vMerge w:val="continue"/>
                  <w:tcBorders>
                    <w:left w:val="single" w:color="auto" w:sz="4" w:space="0"/>
                    <w:right w:val="single" w:color="auto" w:sz="4" w:space="0"/>
                  </w:tcBorders>
                  <w:vAlign w:val="center"/>
                </w:tcPr>
                <w:p>
                  <w:pPr>
                    <w:jc w:val="center"/>
                    <w:rPr>
                      <w:szCs w:val="21"/>
                    </w:rPr>
                  </w:pPr>
                </w:p>
              </w:tc>
              <w:tc>
                <w:tcPr>
                  <w:tcW w:w="1143" w:type="dxa"/>
                  <w:tcBorders>
                    <w:left w:val="single" w:color="auto" w:sz="4" w:space="0"/>
                    <w:right w:val="single" w:color="auto" w:sz="4" w:space="0"/>
                  </w:tcBorders>
                  <w:vAlign w:val="center"/>
                </w:tcPr>
                <w:p>
                  <w:pPr>
                    <w:jc w:val="center"/>
                    <w:rPr>
                      <w:szCs w:val="21"/>
                    </w:rPr>
                  </w:pPr>
                  <w:r>
                    <w:rPr>
                      <w:szCs w:val="21"/>
                    </w:rPr>
                    <w:t>45</w:t>
                  </w:r>
                </w:p>
              </w:tc>
              <w:tc>
                <w:tcPr>
                  <w:tcW w:w="1178" w:type="dxa"/>
                  <w:tcBorders>
                    <w:left w:val="single" w:color="auto" w:sz="4" w:space="0"/>
                    <w:right w:val="nil"/>
                  </w:tcBorders>
                  <w:vAlign w:val="center"/>
                </w:tcPr>
                <w:p>
                  <w:pPr>
                    <w:jc w:val="center"/>
                  </w:pPr>
                  <w:r>
                    <w:rPr>
                      <w:szCs w:val="21"/>
                    </w:rPr>
                    <w:t>连续</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749" w:type="dxa"/>
                  <w:tcBorders>
                    <w:top w:val="single" w:color="auto" w:sz="4" w:space="0"/>
                    <w:left w:val="nil"/>
                    <w:bottom w:val="single" w:color="auto" w:sz="4" w:space="0"/>
                    <w:right w:val="single" w:color="auto" w:sz="4" w:space="0"/>
                  </w:tcBorders>
                  <w:vAlign w:val="center"/>
                </w:tcPr>
                <w:p>
                  <w:pPr>
                    <w:jc w:val="center"/>
                    <w:rPr>
                      <w:szCs w:val="21"/>
                    </w:rPr>
                  </w:pPr>
                  <w:r>
                    <w:rPr>
                      <w:szCs w:val="21"/>
                    </w:rPr>
                    <w:t>6</w:t>
                  </w:r>
                </w:p>
              </w:tc>
              <w:tc>
                <w:tcPr>
                  <w:tcW w:w="1750" w:type="dxa"/>
                  <w:tcBorders>
                    <w:top w:val="single" w:color="auto" w:sz="4" w:space="0"/>
                    <w:left w:val="single" w:color="auto" w:sz="4" w:space="0"/>
                    <w:bottom w:val="single" w:color="auto" w:sz="4" w:space="0"/>
                    <w:right w:val="single" w:color="auto" w:sz="4" w:space="0"/>
                  </w:tcBorders>
                  <w:vAlign w:val="center"/>
                </w:tcPr>
                <w:p>
                  <w:pPr>
                    <w:jc w:val="center"/>
                    <w:rPr>
                      <w:kern w:val="0"/>
                      <w:szCs w:val="21"/>
                    </w:rPr>
                  </w:pPr>
                  <w:r>
                    <w:rPr>
                      <w:kern w:val="0"/>
                      <w:szCs w:val="21"/>
                    </w:rPr>
                    <w:t>二级上料皮带</w:t>
                  </w:r>
                </w:p>
              </w:tc>
              <w:tc>
                <w:tcPr>
                  <w:tcW w:w="659" w:type="dxa"/>
                  <w:tcBorders>
                    <w:top w:val="single" w:color="auto" w:sz="4" w:space="0"/>
                    <w:left w:val="single" w:color="auto" w:sz="4" w:space="0"/>
                    <w:bottom w:val="single" w:color="auto" w:sz="4" w:space="0"/>
                    <w:right w:val="single" w:color="auto" w:sz="4" w:space="0"/>
                  </w:tcBorders>
                  <w:vAlign w:val="center"/>
                </w:tcPr>
                <w:p>
                  <w:pPr>
                    <w:jc w:val="center"/>
                    <w:rPr>
                      <w:szCs w:val="21"/>
                    </w:rPr>
                  </w:pPr>
                  <w:r>
                    <w:rPr>
                      <w:szCs w:val="21"/>
                    </w:rPr>
                    <w:t>75</w:t>
                  </w:r>
                </w:p>
              </w:tc>
              <w:tc>
                <w:tcPr>
                  <w:tcW w:w="1479" w:type="dxa"/>
                  <w:vMerge w:val="continue"/>
                  <w:tcBorders>
                    <w:left w:val="single" w:color="auto" w:sz="4" w:space="0"/>
                    <w:right w:val="single" w:color="auto" w:sz="4" w:space="0"/>
                  </w:tcBorders>
                  <w:vAlign w:val="center"/>
                </w:tcPr>
                <w:p>
                  <w:pPr>
                    <w:jc w:val="center"/>
                    <w:rPr>
                      <w:szCs w:val="21"/>
                    </w:rPr>
                  </w:pPr>
                </w:p>
              </w:tc>
              <w:tc>
                <w:tcPr>
                  <w:tcW w:w="1772" w:type="dxa"/>
                  <w:vMerge w:val="continue"/>
                  <w:tcBorders>
                    <w:left w:val="single" w:color="auto" w:sz="4" w:space="0"/>
                    <w:right w:val="single" w:color="auto" w:sz="4" w:space="0"/>
                  </w:tcBorders>
                  <w:vAlign w:val="center"/>
                </w:tcPr>
                <w:p>
                  <w:pPr>
                    <w:jc w:val="center"/>
                    <w:rPr>
                      <w:szCs w:val="21"/>
                    </w:rPr>
                  </w:pPr>
                </w:p>
              </w:tc>
              <w:tc>
                <w:tcPr>
                  <w:tcW w:w="1143" w:type="dxa"/>
                  <w:tcBorders>
                    <w:left w:val="single" w:color="auto" w:sz="4" w:space="0"/>
                    <w:right w:val="single" w:color="auto" w:sz="4" w:space="0"/>
                  </w:tcBorders>
                  <w:vAlign w:val="center"/>
                </w:tcPr>
                <w:p>
                  <w:pPr>
                    <w:jc w:val="center"/>
                    <w:rPr>
                      <w:szCs w:val="21"/>
                    </w:rPr>
                  </w:pPr>
                  <w:r>
                    <w:rPr>
                      <w:szCs w:val="21"/>
                    </w:rPr>
                    <w:t>50</w:t>
                  </w:r>
                </w:p>
              </w:tc>
              <w:tc>
                <w:tcPr>
                  <w:tcW w:w="1178" w:type="dxa"/>
                  <w:tcBorders>
                    <w:left w:val="single" w:color="auto" w:sz="4" w:space="0"/>
                    <w:right w:val="nil"/>
                  </w:tcBorders>
                  <w:vAlign w:val="center"/>
                </w:tcPr>
                <w:p>
                  <w:pPr>
                    <w:jc w:val="center"/>
                  </w:pPr>
                  <w:r>
                    <w:rPr>
                      <w:szCs w:val="21"/>
                    </w:rPr>
                    <w:t>连续</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749" w:type="dxa"/>
                  <w:tcBorders>
                    <w:top w:val="single" w:color="auto" w:sz="4" w:space="0"/>
                    <w:left w:val="nil"/>
                    <w:bottom w:val="single" w:color="auto" w:sz="4" w:space="0"/>
                    <w:right w:val="single" w:color="auto" w:sz="4" w:space="0"/>
                  </w:tcBorders>
                  <w:vAlign w:val="center"/>
                </w:tcPr>
                <w:p>
                  <w:pPr>
                    <w:jc w:val="center"/>
                    <w:rPr>
                      <w:szCs w:val="21"/>
                    </w:rPr>
                  </w:pPr>
                  <w:r>
                    <w:rPr>
                      <w:szCs w:val="21"/>
                    </w:rPr>
                    <w:t>7</w:t>
                  </w:r>
                </w:p>
              </w:tc>
              <w:tc>
                <w:tcPr>
                  <w:tcW w:w="1750" w:type="dxa"/>
                  <w:tcBorders>
                    <w:top w:val="single" w:color="auto" w:sz="4" w:space="0"/>
                    <w:left w:val="single" w:color="auto" w:sz="4" w:space="0"/>
                    <w:bottom w:val="single" w:color="auto" w:sz="4" w:space="0"/>
                    <w:right w:val="single" w:color="auto" w:sz="4" w:space="0"/>
                  </w:tcBorders>
                  <w:vAlign w:val="center"/>
                </w:tcPr>
                <w:p>
                  <w:pPr>
                    <w:jc w:val="center"/>
                    <w:rPr>
                      <w:kern w:val="0"/>
                      <w:szCs w:val="21"/>
                    </w:rPr>
                  </w:pPr>
                  <w:r>
                    <w:rPr>
                      <w:kern w:val="0"/>
                      <w:szCs w:val="21"/>
                    </w:rPr>
                    <w:t>打铁机皮带</w:t>
                  </w:r>
                </w:p>
              </w:tc>
              <w:tc>
                <w:tcPr>
                  <w:tcW w:w="659" w:type="dxa"/>
                  <w:tcBorders>
                    <w:top w:val="single" w:color="auto" w:sz="4" w:space="0"/>
                    <w:left w:val="single" w:color="auto" w:sz="4" w:space="0"/>
                    <w:bottom w:val="single" w:color="auto" w:sz="4" w:space="0"/>
                    <w:right w:val="single" w:color="auto" w:sz="4" w:space="0"/>
                  </w:tcBorders>
                  <w:vAlign w:val="center"/>
                </w:tcPr>
                <w:p>
                  <w:pPr>
                    <w:jc w:val="center"/>
                    <w:rPr>
                      <w:szCs w:val="21"/>
                    </w:rPr>
                  </w:pPr>
                  <w:r>
                    <w:rPr>
                      <w:szCs w:val="21"/>
                    </w:rPr>
                    <w:t>75</w:t>
                  </w:r>
                </w:p>
              </w:tc>
              <w:tc>
                <w:tcPr>
                  <w:tcW w:w="1479" w:type="dxa"/>
                  <w:vMerge w:val="continue"/>
                  <w:tcBorders>
                    <w:left w:val="single" w:color="auto" w:sz="4" w:space="0"/>
                    <w:right w:val="single" w:color="auto" w:sz="4" w:space="0"/>
                  </w:tcBorders>
                  <w:vAlign w:val="center"/>
                </w:tcPr>
                <w:p>
                  <w:pPr>
                    <w:jc w:val="center"/>
                    <w:rPr>
                      <w:szCs w:val="21"/>
                    </w:rPr>
                  </w:pPr>
                </w:p>
              </w:tc>
              <w:tc>
                <w:tcPr>
                  <w:tcW w:w="1772" w:type="dxa"/>
                  <w:vMerge w:val="continue"/>
                  <w:tcBorders>
                    <w:left w:val="single" w:color="auto" w:sz="4" w:space="0"/>
                    <w:right w:val="single" w:color="auto" w:sz="4" w:space="0"/>
                  </w:tcBorders>
                  <w:vAlign w:val="center"/>
                </w:tcPr>
                <w:p>
                  <w:pPr>
                    <w:jc w:val="center"/>
                    <w:rPr>
                      <w:szCs w:val="21"/>
                    </w:rPr>
                  </w:pPr>
                </w:p>
              </w:tc>
              <w:tc>
                <w:tcPr>
                  <w:tcW w:w="1143" w:type="dxa"/>
                  <w:tcBorders>
                    <w:left w:val="single" w:color="auto" w:sz="4" w:space="0"/>
                    <w:right w:val="single" w:color="auto" w:sz="4" w:space="0"/>
                  </w:tcBorders>
                  <w:vAlign w:val="center"/>
                </w:tcPr>
                <w:p>
                  <w:pPr>
                    <w:jc w:val="center"/>
                    <w:rPr>
                      <w:szCs w:val="21"/>
                    </w:rPr>
                  </w:pPr>
                  <w:r>
                    <w:rPr>
                      <w:szCs w:val="21"/>
                    </w:rPr>
                    <w:t>50</w:t>
                  </w:r>
                </w:p>
              </w:tc>
              <w:tc>
                <w:tcPr>
                  <w:tcW w:w="1178" w:type="dxa"/>
                  <w:tcBorders>
                    <w:left w:val="single" w:color="auto" w:sz="4" w:space="0"/>
                    <w:right w:val="nil"/>
                  </w:tcBorders>
                  <w:vAlign w:val="center"/>
                </w:tcPr>
                <w:p>
                  <w:pPr>
                    <w:jc w:val="center"/>
                  </w:pPr>
                  <w:r>
                    <w:rPr>
                      <w:szCs w:val="21"/>
                    </w:rPr>
                    <w:t>连续</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749" w:type="dxa"/>
                  <w:tcBorders>
                    <w:top w:val="single" w:color="auto" w:sz="4" w:space="0"/>
                    <w:left w:val="nil"/>
                    <w:bottom w:val="single" w:color="auto" w:sz="4" w:space="0"/>
                    <w:right w:val="single" w:color="auto" w:sz="4" w:space="0"/>
                  </w:tcBorders>
                  <w:vAlign w:val="center"/>
                </w:tcPr>
                <w:p>
                  <w:pPr>
                    <w:jc w:val="center"/>
                    <w:rPr>
                      <w:szCs w:val="21"/>
                    </w:rPr>
                  </w:pPr>
                  <w:r>
                    <w:rPr>
                      <w:szCs w:val="21"/>
                    </w:rPr>
                    <w:t>8</w:t>
                  </w:r>
                </w:p>
              </w:tc>
              <w:tc>
                <w:tcPr>
                  <w:tcW w:w="1750" w:type="dxa"/>
                  <w:tcBorders>
                    <w:top w:val="single" w:color="auto" w:sz="4" w:space="0"/>
                    <w:left w:val="single" w:color="auto" w:sz="4" w:space="0"/>
                    <w:bottom w:val="single" w:color="auto" w:sz="4" w:space="0"/>
                    <w:right w:val="single" w:color="auto" w:sz="4" w:space="0"/>
                  </w:tcBorders>
                  <w:vAlign w:val="center"/>
                </w:tcPr>
                <w:p>
                  <w:pPr>
                    <w:jc w:val="center"/>
                    <w:rPr>
                      <w:kern w:val="0"/>
                      <w:szCs w:val="21"/>
                    </w:rPr>
                  </w:pPr>
                  <w:r>
                    <w:rPr>
                      <w:kern w:val="0"/>
                      <w:szCs w:val="21"/>
                    </w:rPr>
                    <w:t>打铁机</w:t>
                  </w:r>
                </w:p>
              </w:tc>
              <w:tc>
                <w:tcPr>
                  <w:tcW w:w="659" w:type="dxa"/>
                  <w:tcBorders>
                    <w:top w:val="single" w:color="auto" w:sz="4" w:space="0"/>
                    <w:left w:val="single" w:color="auto" w:sz="4" w:space="0"/>
                    <w:bottom w:val="single" w:color="auto" w:sz="4" w:space="0"/>
                    <w:right w:val="single" w:color="auto" w:sz="4" w:space="0"/>
                  </w:tcBorders>
                  <w:vAlign w:val="center"/>
                </w:tcPr>
                <w:p>
                  <w:pPr>
                    <w:jc w:val="center"/>
                    <w:rPr>
                      <w:szCs w:val="21"/>
                    </w:rPr>
                  </w:pPr>
                  <w:r>
                    <w:rPr>
                      <w:szCs w:val="21"/>
                    </w:rPr>
                    <w:t>85</w:t>
                  </w:r>
                </w:p>
              </w:tc>
              <w:tc>
                <w:tcPr>
                  <w:tcW w:w="1479" w:type="dxa"/>
                  <w:vMerge w:val="continue"/>
                  <w:tcBorders>
                    <w:left w:val="single" w:color="auto" w:sz="4" w:space="0"/>
                    <w:right w:val="single" w:color="auto" w:sz="4" w:space="0"/>
                  </w:tcBorders>
                  <w:vAlign w:val="center"/>
                </w:tcPr>
                <w:p>
                  <w:pPr>
                    <w:jc w:val="center"/>
                    <w:rPr>
                      <w:szCs w:val="21"/>
                    </w:rPr>
                  </w:pPr>
                </w:p>
              </w:tc>
              <w:tc>
                <w:tcPr>
                  <w:tcW w:w="1772" w:type="dxa"/>
                  <w:vMerge w:val="continue"/>
                  <w:tcBorders>
                    <w:left w:val="single" w:color="auto" w:sz="4" w:space="0"/>
                    <w:right w:val="single" w:color="auto" w:sz="4" w:space="0"/>
                  </w:tcBorders>
                  <w:vAlign w:val="center"/>
                </w:tcPr>
                <w:p>
                  <w:pPr>
                    <w:jc w:val="center"/>
                    <w:rPr>
                      <w:szCs w:val="21"/>
                    </w:rPr>
                  </w:pPr>
                </w:p>
              </w:tc>
              <w:tc>
                <w:tcPr>
                  <w:tcW w:w="1143" w:type="dxa"/>
                  <w:tcBorders>
                    <w:left w:val="single" w:color="auto" w:sz="4" w:space="0"/>
                    <w:right w:val="single" w:color="auto" w:sz="4" w:space="0"/>
                  </w:tcBorders>
                  <w:vAlign w:val="center"/>
                </w:tcPr>
                <w:p>
                  <w:pPr>
                    <w:jc w:val="center"/>
                    <w:rPr>
                      <w:szCs w:val="21"/>
                    </w:rPr>
                  </w:pPr>
                  <w:r>
                    <w:rPr>
                      <w:szCs w:val="21"/>
                    </w:rPr>
                    <w:t>60</w:t>
                  </w:r>
                </w:p>
              </w:tc>
              <w:tc>
                <w:tcPr>
                  <w:tcW w:w="1178" w:type="dxa"/>
                  <w:tcBorders>
                    <w:left w:val="single" w:color="auto" w:sz="4" w:space="0"/>
                    <w:right w:val="nil"/>
                  </w:tcBorders>
                  <w:vAlign w:val="center"/>
                </w:tcPr>
                <w:p>
                  <w:pPr>
                    <w:jc w:val="center"/>
                  </w:pPr>
                  <w:r>
                    <w:rPr>
                      <w:szCs w:val="21"/>
                    </w:rPr>
                    <w:t>连续</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749" w:type="dxa"/>
                  <w:tcBorders>
                    <w:top w:val="single" w:color="auto" w:sz="4" w:space="0"/>
                    <w:left w:val="nil"/>
                    <w:bottom w:val="single" w:color="auto" w:sz="4" w:space="0"/>
                    <w:right w:val="single" w:color="auto" w:sz="4" w:space="0"/>
                  </w:tcBorders>
                  <w:vAlign w:val="center"/>
                </w:tcPr>
                <w:p>
                  <w:pPr>
                    <w:jc w:val="center"/>
                    <w:rPr>
                      <w:szCs w:val="21"/>
                    </w:rPr>
                  </w:pPr>
                  <w:r>
                    <w:rPr>
                      <w:szCs w:val="21"/>
                    </w:rPr>
                    <w:t>9</w:t>
                  </w:r>
                </w:p>
              </w:tc>
              <w:tc>
                <w:tcPr>
                  <w:tcW w:w="1750" w:type="dxa"/>
                  <w:tcBorders>
                    <w:top w:val="single" w:color="auto" w:sz="4" w:space="0"/>
                    <w:left w:val="single" w:color="auto" w:sz="4" w:space="0"/>
                    <w:bottom w:val="single" w:color="auto" w:sz="4" w:space="0"/>
                    <w:right w:val="single" w:color="auto" w:sz="4" w:space="0"/>
                  </w:tcBorders>
                  <w:vAlign w:val="center"/>
                </w:tcPr>
                <w:p>
                  <w:pPr>
                    <w:jc w:val="center"/>
                    <w:rPr>
                      <w:kern w:val="0"/>
                      <w:szCs w:val="21"/>
                    </w:rPr>
                  </w:pPr>
                  <w:r>
                    <w:rPr>
                      <w:kern w:val="0"/>
                      <w:szCs w:val="21"/>
                    </w:rPr>
                    <w:t>破碎机（打砂机）</w:t>
                  </w:r>
                </w:p>
              </w:tc>
              <w:tc>
                <w:tcPr>
                  <w:tcW w:w="659" w:type="dxa"/>
                  <w:tcBorders>
                    <w:top w:val="single" w:color="auto" w:sz="4" w:space="0"/>
                    <w:left w:val="single" w:color="auto" w:sz="4" w:space="0"/>
                    <w:bottom w:val="single" w:color="auto" w:sz="4" w:space="0"/>
                    <w:right w:val="single" w:color="auto" w:sz="4" w:space="0"/>
                  </w:tcBorders>
                  <w:vAlign w:val="center"/>
                </w:tcPr>
                <w:p>
                  <w:pPr>
                    <w:jc w:val="center"/>
                    <w:rPr>
                      <w:szCs w:val="21"/>
                    </w:rPr>
                  </w:pPr>
                  <w:r>
                    <w:rPr>
                      <w:szCs w:val="21"/>
                    </w:rPr>
                    <w:t>85</w:t>
                  </w:r>
                </w:p>
              </w:tc>
              <w:tc>
                <w:tcPr>
                  <w:tcW w:w="1479" w:type="dxa"/>
                  <w:vMerge w:val="continue"/>
                  <w:tcBorders>
                    <w:left w:val="single" w:color="auto" w:sz="4" w:space="0"/>
                    <w:right w:val="single" w:color="auto" w:sz="4" w:space="0"/>
                  </w:tcBorders>
                  <w:vAlign w:val="center"/>
                </w:tcPr>
                <w:p>
                  <w:pPr>
                    <w:jc w:val="center"/>
                    <w:rPr>
                      <w:szCs w:val="21"/>
                    </w:rPr>
                  </w:pPr>
                </w:p>
              </w:tc>
              <w:tc>
                <w:tcPr>
                  <w:tcW w:w="1772" w:type="dxa"/>
                  <w:vMerge w:val="continue"/>
                  <w:tcBorders>
                    <w:left w:val="single" w:color="auto" w:sz="4" w:space="0"/>
                    <w:right w:val="single" w:color="auto" w:sz="4" w:space="0"/>
                  </w:tcBorders>
                  <w:vAlign w:val="center"/>
                </w:tcPr>
                <w:p>
                  <w:pPr>
                    <w:jc w:val="center"/>
                    <w:rPr>
                      <w:szCs w:val="21"/>
                    </w:rPr>
                  </w:pPr>
                </w:p>
              </w:tc>
              <w:tc>
                <w:tcPr>
                  <w:tcW w:w="1143" w:type="dxa"/>
                  <w:tcBorders>
                    <w:left w:val="single" w:color="auto" w:sz="4" w:space="0"/>
                    <w:right w:val="single" w:color="auto" w:sz="4" w:space="0"/>
                  </w:tcBorders>
                  <w:vAlign w:val="center"/>
                </w:tcPr>
                <w:p>
                  <w:pPr>
                    <w:jc w:val="center"/>
                    <w:rPr>
                      <w:szCs w:val="21"/>
                    </w:rPr>
                  </w:pPr>
                  <w:r>
                    <w:rPr>
                      <w:szCs w:val="21"/>
                    </w:rPr>
                    <w:t>60</w:t>
                  </w:r>
                </w:p>
              </w:tc>
              <w:tc>
                <w:tcPr>
                  <w:tcW w:w="1178" w:type="dxa"/>
                  <w:tcBorders>
                    <w:left w:val="single" w:color="auto" w:sz="4" w:space="0"/>
                    <w:right w:val="nil"/>
                  </w:tcBorders>
                  <w:vAlign w:val="center"/>
                </w:tcPr>
                <w:p>
                  <w:pPr>
                    <w:jc w:val="center"/>
                  </w:pPr>
                  <w:r>
                    <w:rPr>
                      <w:szCs w:val="21"/>
                    </w:rPr>
                    <w:t>连续</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749" w:type="dxa"/>
                  <w:tcBorders>
                    <w:top w:val="single" w:color="auto" w:sz="4" w:space="0"/>
                    <w:left w:val="nil"/>
                    <w:bottom w:val="single" w:color="auto" w:sz="4" w:space="0"/>
                    <w:right w:val="single" w:color="auto" w:sz="4" w:space="0"/>
                  </w:tcBorders>
                  <w:vAlign w:val="center"/>
                </w:tcPr>
                <w:p>
                  <w:pPr>
                    <w:jc w:val="center"/>
                    <w:rPr>
                      <w:szCs w:val="21"/>
                    </w:rPr>
                  </w:pPr>
                  <w:r>
                    <w:rPr>
                      <w:szCs w:val="21"/>
                    </w:rPr>
                    <w:t>10</w:t>
                  </w:r>
                </w:p>
              </w:tc>
              <w:tc>
                <w:tcPr>
                  <w:tcW w:w="1750" w:type="dxa"/>
                  <w:tcBorders>
                    <w:top w:val="single" w:color="auto" w:sz="4" w:space="0"/>
                    <w:left w:val="single" w:color="auto" w:sz="4" w:space="0"/>
                    <w:bottom w:val="single" w:color="auto" w:sz="4" w:space="0"/>
                    <w:right w:val="single" w:color="auto" w:sz="4" w:space="0"/>
                  </w:tcBorders>
                  <w:vAlign w:val="center"/>
                </w:tcPr>
                <w:p>
                  <w:pPr>
                    <w:jc w:val="center"/>
                    <w:rPr>
                      <w:kern w:val="0"/>
                      <w:szCs w:val="21"/>
                    </w:rPr>
                  </w:pPr>
                  <w:r>
                    <w:rPr>
                      <w:kern w:val="0"/>
                      <w:szCs w:val="21"/>
                    </w:rPr>
                    <w:t>磁选机</w:t>
                  </w:r>
                </w:p>
              </w:tc>
              <w:tc>
                <w:tcPr>
                  <w:tcW w:w="659" w:type="dxa"/>
                  <w:tcBorders>
                    <w:top w:val="single" w:color="auto" w:sz="4" w:space="0"/>
                    <w:left w:val="single" w:color="auto" w:sz="4" w:space="0"/>
                    <w:bottom w:val="single" w:color="auto" w:sz="4" w:space="0"/>
                    <w:right w:val="single" w:color="auto" w:sz="4" w:space="0"/>
                  </w:tcBorders>
                  <w:vAlign w:val="center"/>
                </w:tcPr>
                <w:p>
                  <w:pPr>
                    <w:jc w:val="center"/>
                    <w:rPr>
                      <w:szCs w:val="21"/>
                    </w:rPr>
                  </w:pPr>
                  <w:r>
                    <w:rPr>
                      <w:szCs w:val="21"/>
                    </w:rPr>
                    <w:t>70</w:t>
                  </w:r>
                </w:p>
              </w:tc>
              <w:tc>
                <w:tcPr>
                  <w:tcW w:w="1479" w:type="dxa"/>
                  <w:vMerge w:val="continue"/>
                  <w:tcBorders>
                    <w:left w:val="single" w:color="auto" w:sz="4" w:space="0"/>
                    <w:right w:val="single" w:color="auto" w:sz="4" w:space="0"/>
                  </w:tcBorders>
                  <w:vAlign w:val="center"/>
                </w:tcPr>
                <w:p>
                  <w:pPr>
                    <w:jc w:val="center"/>
                    <w:rPr>
                      <w:szCs w:val="21"/>
                    </w:rPr>
                  </w:pPr>
                </w:p>
              </w:tc>
              <w:tc>
                <w:tcPr>
                  <w:tcW w:w="1772" w:type="dxa"/>
                  <w:vMerge w:val="continue"/>
                  <w:tcBorders>
                    <w:left w:val="single" w:color="auto" w:sz="4" w:space="0"/>
                    <w:right w:val="single" w:color="auto" w:sz="4" w:space="0"/>
                  </w:tcBorders>
                  <w:vAlign w:val="center"/>
                </w:tcPr>
                <w:p>
                  <w:pPr>
                    <w:jc w:val="center"/>
                    <w:rPr>
                      <w:szCs w:val="21"/>
                    </w:rPr>
                  </w:pPr>
                </w:p>
              </w:tc>
              <w:tc>
                <w:tcPr>
                  <w:tcW w:w="1143" w:type="dxa"/>
                  <w:tcBorders>
                    <w:left w:val="single" w:color="auto" w:sz="4" w:space="0"/>
                    <w:right w:val="single" w:color="auto" w:sz="4" w:space="0"/>
                  </w:tcBorders>
                  <w:vAlign w:val="center"/>
                </w:tcPr>
                <w:p>
                  <w:pPr>
                    <w:jc w:val="center"/>
                    <w:rPr>
                      <w:szCs w:val="21"/>
                    </w:rPr>
                  </w:pPr>
                  <w:r>
                    <w:rPr>
                      <w:szCs w:val="21"/>
                    </w:rPr>
                    <w:t>45</w:t>
                  </w:r>
                </w:p>
              </w:tc>
              <w:tc>
                <w:tcPr>
                  <w:tcW w:w="1178" w:type="dxa"/>
                  <w:tcBorders>
                    <w:left w:val="single" w:color="auto" w:sz="4" w:space="0"/>
                    <w:right w:val="nil"/>
                  </w:tcBorders>
                  <w:vAlign w:val="center"/>
                </w:tcPr>
                <w:p>
                  <w:pPr>
                    <w:jc w:val="center"/>
                  </w:pPr>
                  <w:r>
                    <w:rPr>
                      <w:szCs w:val="21"/>
                    </w:rPr>
                    <w:t>连续</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749" w:type="dxa"/>
                  <w:tcBorders>
                    <w:top w:val="single" w:color="auto" w:sz="4" w:space="0"/>
                    <w:left w:val="nil"/>
                    <w:bottom w:val="single" w:color="auto" w:sz="4" w:space="0"/>
                    <w:right w:val="single" w:color="auto" w:sz="4" w:space="0"/>
                  </w:tcBorders>
                  <w:vAlign w:val="center"/>
                </w:tcPr>
                <w:p>
                  <w:pPr>
                    <w:jc w:val="center"/>
                    <w:rPr>
                      <w:szCs w:val="21"/>
                    </w:rPr>
                  </w:pPr>
                  <w:r>
                    <w:rPr>
                      <w:szCs w:val="21"/>
                    </w:rPr>
                    <w:t>11</w:t>
                  </w:r>
                </w:p>
              </w:tc>
              <w:tc>
                <w:tcPr>
                  <w:tcW w:w="1750" w:type="dxa"/>
                  <w:tcBorders>
                    <w:top w:val="single" w:color="auto" w:sz="4" w:space="0"/>
                    <w:left w:val="single" w:color="auto" w:sz="4" w:space="0"/>
                    <w:bottom w:val="single" w:color="auto" w:sz="4" w:space="0"/>
                    <w:right w:val="single" w:color="auto" w:sz="4" w:space="0"/>
                  </w:tcBorders>
                  <w:vAlign w:val="center"/>
                </w:tcPr>
                <w:p>
                  <w:pPr>
                    <w:jc w:val="center"/>
                    <w:rPr>
                      <w:szCs w:val="21"/>
                    </w:rPr>
                  </w:pPr>
                  <w:r>
                    <w:rPr>
                      <w:szCs w:val="21"/>
                    </w:rPr>
                    <w:t>一级跳汰机</w:t>
                  </w:r>
                </w:p>
              </w:tc>
              <w:tc>
                <w:tcPr>
                  <w:tcW w:w="659" w:type="dxa"/>
                  <w:tcBorders>
                    <w:top w:val="single" w:color="auto" w:sz="4" w:space="0"/>
                    <w:left w:val="single" w:color="auto" w:sz="4" w:space="0"/>
                    <w:bottom w:val="single" w:color="auto" w:sz="4" w:space="0"/>
                    <w:right w:val="single" w:color="auto" w:sz="4" w:space="0"/>
                  </w:tcBorders>
                  <w:vAlign w:val="center"/>
                </w:tcPr>
                <w:p>
                  <w:pPr>
                    <w:jc w:val="center"/>
                    <w:rPr>
                      <w:szCs w:val="21"/>
                    </w:rPr>
                  </w:pPr>
                  <w:r>
                    <w:rPr>
                      <w:szCs w:val="21"/>
                    </w:rPr>
                    <w:t>85</w:t>
                  </w:r>
                </w:p>
              </w:tc>
              <w:tc>
                <w:tcPr>
                  <w:tcW w:w="1479" w:type="dxa"/>
                  <w:vMerge w:val="continue"/>
                  <w:tcBorders>
                    <w:left w:val="single" w:color="auto" w:sz="4" w:space="0"/>
                    <w:right w:val="single" w:color="auto" w:sz="4" w:space="0"/>
                  </w:tcBorders>
                  <w:vAlign w:val="center"/>
                </w:tcPr>
                <w:p>
                  <w:pPr>
                    <w:jc w:val="center"/>
                    <w:rPr>
                      <w:szCs w:val="21"/>
                    </w:rPr>
                  </w:pPr>
                </w:p>
              </w:tc>
              <w:tc>
                <w:tcPr>
                  <w:tcW w:w="1772" w:type="dxa"/>
                  <w:vMerge w:val="continue"/>
                  <w:tcBorders>
                    <w:left w:val="single" w:color="auto" w:sz="4" w:space="0"/>
                    <w:right w:val="single" w:color="auto" w:sz="4" w:space="0"/>
                  </w:tcBorders>
                  <w:vAlign w:val="center"/>
                </w:tcPr>
                <w:p>
                  <w:pPr>
                    <w:jc w:val="center"/>
                    <w:rPr>
                      <w:szCs w:val="21"/>
                    </w:rPr>
                  </w:pPr>
                </w:p>
              </w:tc>
              <w:tc>
                <w:tcPr>
                  <w:tcW w:w="1143" w:type="dxa"/>
                  <w:tcBorders>
                    <w:left w:val="single" w:color="auto" w:sz="4" w:space="0"/>
                    <w:right w:val="single" w:color="auto" w:sz="4" w:space="0"/>
                  </w:tcBorders>
                  <w:vAlign w:val="center"/>
                </w:tcPr>
                <w:p>
                  <w:pPr>
                    <w:jc w:val="center"/>
                    <w:rPr>
                      <w:szCs w:val="21"/>
                    </w:rPr>
                  </w:pPr>
                  <w:r>
                    <w:rPr>
                      <w:szCs w:val="21"/>
                    </w:rPr>
                    <w:t>60</w:t>
                  </w:r>
                </w:p>
              </w:tc>
              <w:tc>
                <w:tcPr>
                  <w:tcW w:w="1178" w:type="dxa"/>
                  <w:tcBorders>
                    <w:left w:val="single" w:color="auto" w:sz="4" w:space="0"/>
                    <w:right w:val="nil"/>
                  </w:tcBorders>
                  <w:vAlign w:val="center"/>
                </w:tcPr>
                <w:p>
                  <w:pPr>
                    <w:jc w:val="center"/>
                  </w:pPr>
                  <w:r>
                    <w:rPr>
                      <w:szCs w:val="21"/>
                    </w:rPr>
                    <w:t>连续</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749" w:type="dxa"/>
                  <w:tcBorders>
                    <w:top w:val="single" w:color="auto" w:sz="4" w:space="0"/>
                    <w:left w:val="nil"/>
                    <w:bottom w:val="single" w:color="auto" w:sz="4" w:space="0"/>
                    <w:right w:val="single" w:color="auto" w:sz="4" w:space="0"/>
                  </w:tcBorders>
                  <w:vAlign w:val="center"/>
                </w:tcPr>
                <w:p>
                  <w:pPr>
                    <w:jc w:val="center"/>
                    <w:rPr>
                      <w:szCs w:val="21"/>
                    </w:rPr>
                  </w:pPr>
                  <w:r>
                    <w:rPr>
                      <w:szCs w:val="21"/>
                    </w:rPr>
                    <w:t>12</w:t>
                  </w:r>
                </w:p>
              </w:tc>
              <w:tc>
                <w:tcPr>
                  <w:tcW w:w="1750" w:type="dxa"/>
                  <w:tcBorders>
                    <w:top w:val="single" w:color="auto" w:sz="4" w:space="0"/>
                    <w:left w:val="single" w:color="auto" w:sz="4" w:space="0"/>
                    <w:bottom w:val="single" w:color="auto" w:sz="4" w:space="0"/>
                    <w:right w:val="single" w:color="auto" w:sz="4" w:space="0"/>
                  </w:tcBorders>
                  <w:vAlign w:val="center"/>
                </w:tcPr>
                <w:p>
                  <w:pPr>
                    <w:jc w:val="center"/>
                    <w:rPr>
                      <w:szCs w:val="21"/>
                    </w:rPr>
                  </w:pPr>
                  <w:r>
                    <w:rPr>
                      <w:szCs w:val="21"/>
                    </w:rPr>
                    <w:t>二级跳汰机</w:t>
                  </w:r>
                </w:p>
              </w:tc>
              <w:tc>
                <w:tcPr>
                  <w:tcW w:w="659" w:type="dxa"/>
                  <w:tcBorders>
                    <w:top w:val="single" w:color="auto" w:sz="4" w:space="0"/>
                    <w:left w:val="single" w:color="auto" w:sz="4" w:space="0"/>
                    <w:bottom w:val="single" w:color="auto" w:sz="4" w:space="0"/>
                    <w:right w:val="single" w:color="auto" w:sz="4" w:space="0"/>
                  </w:tcBorders>
                  <w:vAlign w:val="center"/>
                </w:tcPr>
                <w:p>
                  <w:pPr>
                    <w:jc w:val="center"/>
                    <w:rPr>
                      <w:szCs w:val="21"/>
                    </w:rPr>
                  </w:pPr>
                  <w:r>
                    <w:rPr>
                      <w:szCs w:val="21"/>
                    </w:rPr>
                    <w:t>80</w:t>
                  </w:r>
                </w:p>
              </w:tc>
              <w:tc>
                <w:tcPr>
                  <w:tcW w:w="1479" w:type="dxa"/>
                  <w:vMerge w:val="continue"/>
                  <w:tcBorders>
                    <w:left w:val="single" w:color="auto" w:sz="4" w:space="0"/>
                    <w:right w:val="single" w:color="auto" w:sz="4" w:space="0"/>
                  </w:tcBorders>
                  <w:vAlign w:val="center"/>
                </w:tcPr>
                <w:p>
                  <w:pPr>
                    <w:jc w:val="center"/>
                    <w:rPr>
                      <w:szCs w:val="21"/>
                    </w:rPr>
                  </w:pPr>
                </w:p>
              </w:tc>
              <w:tc>
                <w:tcPr>
                  <w:tcW w:w="1772" w:type="dxa"/>
                  <w:vMerge w:val="continue"/>
                  <w:tcBorders>
                    <w:left w:val="single" w:color="auto" w:sz="4" w:space="0"/>
                    <w:right w:val="single" w:color="auto" w:sz="4" w:space="0"/>
                  </w:tcBorders>
                  <w:vAlign w:val="center"/>
                </w:tcPr>
                <w:p>
                  <w:pPr>
                    <w:jc w:val="center"/>
                    <w:rPr>
                      <w:szCs w:val="21"/>
                    </w:rPr>
                  </w:pPr>
                </w:p>
              </w:tc>
              <w:tc>
                <w:tcPr>
                  <w:tcW w:w="1143" w:type="dxa"/>
                  <w:tcBorders>
                    <w:left w:val="single" w:color="auto" w:sz="4" w:space="0"/>
                    <w:right w:val="single" w:color="auto" w:sz="4" w:space="0"/>
                  </w:tcBorders>
                  <w:vAlign w:val="center"/>
                </w:tcPr>
                <w:p>
                  <w:pPr>
                    <w:jc w:val="center"/>
                    <w:rPr>
                      <w:szCs w:val="21"/>
                    </w:rPr>
                  </w:pPr>
                  <w:r>
                    <w:rPr>
                      <w:szCs w:val="21"/>
                    </w:rPr>
                    <w:t>55</w:t>
                  </w:r>
                </w:p>
              </w:tc>
              <w:tc>
                <w:tcPr>
                  <w:tcW w:w="1178" w:type="dxa"/>
                  <w:tcBorders>
                    <w:left w:val="single" w:color="auto" w:sz="4" w:space="0"/>
                    <w:right w:val="nil"/>
                  </w:tcBorders>
                  <w:vAlign w:val="center"/>
                </w:tcPr>
                <w:p>
                  <w:pPr>
                    <w:jc w:val="center"/>
                  </w:pPr>
                  <w:r>
                    <w:rPr>
                      <w:szCs w:val="21"/>
                    </w:rPr>
                    <w:t>连续</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749" w:type="dxa"/>
                  <w:tcBorders>
                    <w:top w:val="single" w:color="auto" w:sz="4" w:space="0"/>
                    <w:left w:val="nil"/>
                    <w:bottom w:val="single" w:color="auto" w:sz="4" w:space="0"/>
                    <w:right w:val="single" w:color="auto" w:sz="4" w:space="0"/>
                  </w:tcBorders>
                  <w:vAlign w:val="center"/>
                </w:tcPr>
                <w:p>
                  <w:pPr>
                    <w:jc w:val="center"/>
                    <w:rPr>
                      <w:szCs w:val="21"/>
                    </w:rPr>
                  </w:pPr>
                  <w:r>
                    <w:rPr>
                      <w:szCs w:val="21"/>
                    </w:rPr>
                    <w:t>13</w:t>
                  </w:r>
                </w:p>
              </w:tc>
              <w:tc>
                <w:tcPr>
                  <w:tcW w:w="1750" w:type="dxa"/>
                  <w:tcBorders>
                    <w:top w:val="single" w:color="auto" w:sz="4" w:space="0"/>
                    <w:left w:val="single" w:color="auto" w:sz="4" w:space="0"/>
                    <w:bottom w:val="single" w:color="auto" w:sz="4" w:space="0"/>
                    <w:right w:val="single" w:color="auto" w:sz="4" w:space="0"/>
                  </w:tcBorders>
                  <w:vAlign w:val="center"/>
                </w:tcPr>
                <w:p>
                  <w:pPr>
                    <w:jc w:val="center"/>
                    <w:rPr>
                      <w:szCs w:val="21"/>
                    </w:rPr>
                  </w:pPr>
                  <w:r>
                    <w:rPr>
                      <w:szCs w:val="21"/>
                    </w:rPr>
                    <w:t>筛分机</w:t>
                  </w:r>
                </w:p>
              </w:tc>
              <w:tc>
                <w:tcPr>
                  <w:tcW w:w="659" w:type="dxa"/>
                  <w:tcBorders>
                    <w:top w:val="single" w:color="auto" w:sz="4" w:space="0"/>
                    <w:left w:val="single" w:color="auto" w:sz="4" w:space="0"/>
                    <w:bottom w:val="single" w:color="auto" w:sz="4" w:space="0"/>
                    <w:right w:val="single" w:color="auto" w:sz="4" w:space="0"/>
                  </w:tcBorders>
                  <w:vAlign w:val="center"/>
                </w:tcPr>
                <w:p>
                  <w:pPr>
                    <w:jc w:val="center"/>
                    <w:rPr>
                      <w:szCs w:val="21"/>
                    </w:rPr>
                  </w:pPr>
                  <w:r>
                    <w:rPr>
                      <w:szCs w:val="21"/>
                    </w:rPr>
                    <w:t>85</w:t>
                  </w:r>
                </w:p>
              </w:tc>
              <w:tc>
                <w:tcPr>
                  <w:tcW w:w="1479" w:type="dxa"/>
                  <w:vMerge w:val="continue"/>
                  <w:tcBorders>
                    <w:left w:val="single" w:color="auto" w:sz="4" w:space="0"/>
                    <w:right w:val="single" w:color="auto" w:sz="4" w:space="0"/>
                  </w:tcBorders>
                  <w:vAlign w:val="center"/>
                </w:tcPr>
                <w:p>
                  <w:pPr>
                    <w:jc w:val="center"/>
                    <w:rPr>
                      <w:szCs w:val="21"/>
                    </w:rPr>
                  </w:pPr>
                </w:p>
              </w:tc>
              <w:tc>
                <w:tcPr>
                  <w:tcW w:w="1772" w:type="dxa"/>
                  <w:vMerge w:val="continue"/>
                  <w:tcBorders>
                    <w:left w:val="single" w:color="auto" w:sz="4" w:space="0"/>
                    <w:right w:val="single" w:color="auto" w:sz="4" w:space="0"/>
                  </w:tcBorders>
                  <w:vAlign w:val="center"/>
                </w:tcPr>
                <w:p>
                  <w:pPr>
                    <w:jc w:val="center"/>
                    <w:rPr>
                      <w:szCs w:val="21"/>
                    </w:rPr>
                  </w:pPr>
                </w:p>
              </w:tc>
              <w:tc>
                <w:tcPr>
                  <w:tcW w:w="1143" w:type="dxa"/>
                  <w:tcBorders>
                    <w:left w:val="single" w:color="auto" w:sz="4" w:space="0"/>
                    <w:right w:val="single" w:color="auto" w:sz="4" w:space="0"/>
                  </w:tcBorders>
                  <w:vAlign w:val="center"/>
                </w:tcPr>
                <w:p>
                  <w:pPr>
                    <w:jc w:val="center"/>
                    <w:rPr>
                      <w:szCs w:val="21"/>
                    </w:rPr>
                  </w:pPr>
                  <w:r>
                    <w:rPr>
                      <w:szCs w:val="21"/>
                    </w:rPr>
                    <w:t>60</w:t>
                  </w:r>
                </w:p>
              </w:tc>
              <w:tc>
                <w:tcPr>
                  <w:tcW w:w="1178" w:type="dxa"/>
                  <w:tcBorders>
                    <w:left w:val="single" w:color="auto" w:sz="4" w:space="0"/>
                    <w:right w:val="nil"/>
                  </w:tcBorders>
                  <w:vAlign w:val="center"/>
                </w:tcPr>
                <w:p>
                  <w:pPr>
                    <w:jc w:val="center"/>
                  </w:pPr>
                  <w:r>
                    <w:rPr>
                      <w:szCs w:val="21"/>
                    </w:rPr>
                    <w:t>连续</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749" w:type="dxa"/>
                  <w:tcBorders>
                    <w:top w:val="single" w:color="auto" w:sz="4" w:space="0"/>
                    <w:left w:val="nil"/>
                    <w:bottom w:val="single" w:color="auto" w:sz="4" w:space="0"/>
                    <w:right w:val="single" w:color="auto" w:sz="4" w:space="0"/>
                  </w:tcBorders>
                  <w:vAlign w:val="center"/>
                </w:tcPr>
                <w:p>
                  <w:pPr>
                    <w:jc w:val="center"/>
                    <w:rPr>
                      <w:szCs w:val="21"/>
                    </w:rPr>
                  </w:pPr>
                  <w:r>
                    <w:rPr>
                      <w:szCs w:val="21"/>
                    </w:rPr>
                    <w:t>14</w:t>
                  </w:r>
                </w:p>
              </w:tc>
              <w:tc>
                <w:tcPr>
                  <w:tcW w:w="1750" w:type="dxa"/>
                  <w:tcBorders>
                    <w:top w:val="single" w:color="auto" w:sz="4" w:space="0"/>
                    <w:left w:val="single" w:color="auto" w:sz="4" w:space="0"/>
                    <w:bottom w:val="single" w:color="auto" w:sz="4" w:space="0"/>
                    <w:right w:val="single" w:color="auto" w:sz="4" w:space="0"/>
                  </w:tcBorders>
                  <w:vAlign w:val="center"/>
                </w:tcPr>
                <w:p>
                  <w:pPr>
                    <w:jc w:val="center"/>
                    <w:rPr>
                      <w:szCs w:val="21"/>
                    </w:rPr>
                  </w:pPr>
                  <w:r>
                    <w:rPr>
                      <w:szCs w:val="21"/>
                    </w:rPr>
                    <w:t>高频筛</w:t>
                  </w:r>
                </w:p>
              </w:tc>
              <w:tc>
                <w:tcPr>
                  <w:tcW w:w="659" w:type="dxa"/>
                  <w:tcBorders>
                    <w:top w:val="single" w:color="auto" w:sz="4" w:space="0"/>
                    <w:left w:val="single" w:color="auto" w:sz="4" w:space="0"/>
                    <w:bottom w:val="single" w:color="auto" w:sz="4" w:space="0"/>
                    <w:right w:val="single" w:color="auto" w:sz="4" w:space="0"/>
                  </w:tcBorders>
                  <w:vAlign w:val="center"/>
                </w:tcPr>
                <w:p>
                  <w:pPr>
                    <w:jc w:val="center"/>
                    <w:rPr>
                      <w:szCs w:val="21"/>
                    </w:rPr>
                  </w:pPr>
                  <w:r>
                    <w:rPr>
                      <w:szCs w:val="21"/>
                    </w:rPr>
                    <w:t>80</w:t>
                  </w:r>
                </w:p>
              </w:tc>
              <w:tc>
                <w:tcPr>
                  <w:tcW w:w="1479" w:type="dxa"/>
                  <w:vMerge w:val="continue"/>
                  <w:tcBorders>
                    <w:left w:val="single" w:color="auto" w:sz="4" w:space="0"/>
                    <w:right w:val="single" w:color="auto" w:sz="4" w:space="0"/>
                  </w:tcBorders>
                  <w:vAlign w:val="center"/>
                </w:tcPr>
                <w:p>
                  <w:pPr>
                    <w:jc w:val="center"/>
                    <w:rPr>
                      <w:szCs w:val="21"/>
                    </w:rPr>
                  </w:pPr>
                </w:p>
              </w:tc>
              <w:tc>
                <w:tcPr>
                  <w:tcW w:w="1772" w:type="dxa"/>
                  <w:vMerge w:val="continue"/>
                  <w:tcBorders>
                    <w:left w:val="single" w:color="auto" w:sz="4" w:space="0"/>
                    <w:right w:val="single" w:color="auto" w:sz="4" w:space="0"/>
                  </w:tcBorders>
                  <w:vAlign w:val="center"/>
                </w:tcPr>
                <w:p>
                  <w:pPr>
                    <w:jc w:val="center"/>
                    <w:rPr>
                      <w:szCs w:val="21"/>
                    </w:rPr>
                  </w:pPr>
                </w:p>
              </w:tc>
              <w:tc>
                <w:tcPr>
                  <w:tcW w:w="1143" w:type="dxa"/>
                  <w:tcBorders>
                    <w:left w:val="single" w:color="auto" w:sz="4" w:space="0"/>
                    <w:right w:val="single" w:color="auto" w:sz="4" w:space="0"/>
                  </w:tcBorders>
                  <w:vAlign w:val="center"/>
                </w:tcPr>
                <w:p>
                  <w:pPr>
                    <w:jc w:val="center"/>
                    <w:rPr>
                      <w:szCs w:val="21"/>
                    </w:rPr>
                  </w:pPr>
                  <w:r>
                    <w:rPr>
                      <w:szCs w:val="21"/>
                    </w:rPr>
                    <w:t>55</w:t>
                  </w:r>
                </w:p>
              </w:tc>
              <w:tc>
                <w:tcPr>
                  <w:tcW w:w="1178" w:type="dxa"/>
                  <w:tcBorders>
                    <w:left w:val="single" w:color="auto" w:sz="4" w:space="0"/>
                    <w:right w:val="nil"/>
                  </w:tcBorders>
                  <w:vAlign w:val="center"/>
                </w:tcPr>
                <w:p>
                  <w:pPr>
                    <w:jc w:val="center"/>
                  </w:pPr>
                  <w:r>
                    <w:rPr>
                      <w:szCs w:val="21"/>
                    </w:rPr>
                    <w:t>连续</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749" w:type="dxa"/>
                  <w:tcBorders>
                    <w:top w:val="single" w:color="auto" w:sz="4" w:space="0"/>
                    <w:left w:val="nil"/>
                    <w:bottom w:val="single" w:color="auto" w:sz="4" w:space="0"/>
                    <w:right w:val="single" w:color="auto" w:sz="4" w:space="0"/>
                  </w:tcBorders>
                  <w:vAlign w:val="center"/>
                </w:tcPr>
                <w:p>
                  <w:pPr>
                    <w:jc w:val="center"/>
                    <w:rPr>
                      <w:szCs w:val="21"/>
                    </w:rPr>
                  </w:pPr>
                  <w:r>
                    <w:rPr>
                      <w:szCs w:val="21"/>
                    </w:rPr>
                    <w:t>15</w:t>
                  </w:r>
                </w:p>
              </w:tc>
              <w:tc>
                <w:tcPr>
                  <w:tcW w:w="1750" w:type="dxa"/>
                  <w:tcBorders>
                    <w:top w:val="single" w:color="auto" w:sz="4" w:space="0"/>
                    <w:left w:val="single" w:color="auto" w:sz="4" w:space="0"/>
                    <w:bottom w:val="single" w:color="auto" w:sz="4" w:space="0"/>
                    <w:right w:val="single" w:color="auto" w:sz="4" w:space="0"/>
                  </w:tcBorders>
                  <w:vAlign w:val="center"/>
                </w:tcPr>
                <w:p>
                  <w:pPr>
                    <w:widowControl/>
                    <w:jc w:val="center"/>
                    <w:rPr>
                      <w:kern w:val="0"/>
                      <w:szCs w:val="21"/>
                    </w:rPr>
                  </w:pPr>
                  <w:r>
                    <w:rPr>
                      <w:kern w:val="0"/>
                      <w:szCs w:val="21"/>
                    </w:rPr>
                    <w:t>有色金属分选机（跳铝机）</w:t>
                  </w:r>
                </w:p>
              </w:tc>
              <w:tc>
                <w:tcPr>
                  <w:tcW w:w="659" w:type="dxa"/>
                  <w:tcBorders>
                    <w:top w:val="single" w:color="auto" w:sz="4" w:space="0"/>
                    <w:left w:val="single" w:color="auto" w:sz="4" w:space="0"/>
                    <w:bottom w:val="single" w:color="auto" w:sz="4" w:space="0"/>
                    <w:right w:val="single" w:color="auto" w:sz="4" w:space="0"/>
                  </w:tcBorders>
                  <w:vAlign w:val="center"/>
                </w:tcPr>
                <w:p>
                  <w:pPr>
                    <w:jc w:val="center"/>
                    <w:rPr>
                      <w:szCs w:val="21"/>
                    </w:rPr>
                  </w:pPr>
                  <w:r>
                    <w:rPr>
                      <w:szCs w:val="21"/>
                    </w:rPr>
                    <w:t>85</w:t>
                  </w:r>
                </w:p>
              </w:tc>
              <w:tc>
                <w:tcPr>
                  <w:tcW w:w="1479" w:type="dxa"/>
                  <w:vMerge w:val="continue"/>
                  <w:tcBorders>
                    <w:left w:val="single" w:color="auto" w:sz="4" w:space="0"/>
                    <w:right w:val="single" w:color="auto" w:sz="4" w:space="0"/>
                  </w:tcBorders>
                  <w:vAlign w:val="center"/>
                </w:tcPr>
                <w:p>
                  <w:pPr>
                    <w:jc w:val="center"/>
                    <w:rPr>
                      <w:szCs w:val="21"/>
                    </w:rPr>
                  </w:pPr>
                </w:p>
              </w:tc>
              <w:tc>
                <w:tcPr>
                  <w:tcW w:w="1772" w:type="dxa"/>
                  <w:vMerge w:val="continue"/>
                  <w:tcBorders>
                    <w:left w:val="single" w:color="auto" w:sz="4" w:space="0"/>
                    <w:right w:val="single" w:color="auto" w:sz="4" w:space="0"/>
                  </w:tcBorders>
                  <w:vAlign w:val="center"/>
                </w:tcPr>
                <w:p>
                  <w:pPr>
                    <w:jc w:val="center"/>
                    <w:rPr>
                      <w:szCs w:val="21"/>
                    </w:rPr>
                  </w:pPr>
                </w:p>
              </w:tc>
              <w:tc>
                <w:tcPr>
                  <w:tcW w:w="1143" w:type="dxa"/>
                  <w:tcBorders>
                    <w:left w:val="single" w:color="auto" w:sz="4" w:space="0"/>
                    <w:right w:val="single" w:color="auto" w:sz="4" w:space="0"/>
                  </w:tcBorders>
                  <w:vAlign w:val="center"/>
                </w:tcPr>
                <w:p>
                  <w:pPr>
                    <w:jc w:val="center"/>
                    <w:rPr>
                      <w:szCs w:val="21"/>
                    </w:rPr>
                  </w:pPr>
                  <w:r>
                    <w:rPr>
                      <w:szCs w:val="21"/>
                    </w:rPr>
                    <w:t>60</w:t>
                  </w:r>
                </w:p>
              </w:tc>
              <w:tc>
                <w:tcPr>
                  <w:tcW w:w="1178" w:type="dxa"/>
                  <w:tcBorders>
                    <w:left w:val="single" w:color="auto" w:sz="4" w:space="0"/>
                    <w:right w:val="nil"/>
                  </w:tcBorders>
                  <w:vAlign w:val="center"/>
                </w:tcPr>
                <w:p>
                  <w:pPr>
                    <w:jc w:val="center"/>
                  </w:pPr>
                  <w:r>
                    <w:rPr>
                      <w:szCs w:val="21"/>
                    </w:rPr>
                    <w:t>连续</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749" w:type="dxa"/>
                  <w:tcBorders>
                    <w:top w:val="single" w:color="auto" w:sz="4" w:space="0"/>
                    <w:left w:val="nil"/>
                    <w:bottom w:val="single" w:color="auto" w:sz="4" w:space="0"/>
                    <w:right w:val="single" w:color="auto" w:sz="4" w:space="0"/>
                  </w:tcBorders>
                  <w:vAlign w:val="center"/>
                </w:tcPr>
                <w:p>
                  <w:pPr>
                    <w:jc w:val="center"/>
                    <w:rPr>
                      <w:szCs w:val="21"/>
                    </w:rPr>
                  </w:pPr>
                  <w:r>
                    <w:rPr>
                      <w:szCs w:val="21"/>
                    </w:rPr>
                    <w:t>16</w:t>
                  </w:r>
                </w:p>
              </w:tc>
              <w:tc>
                <w:tcPr>
                  <w:tcW w:w="1750" w:type="dxa"/>
                  <w:tcBorders>
                    <w:top w:val="single" w:color="auto" w:sz="4" w:space="0"/>
                    <w:left w:val="single" w:color="auto" w:sz="4" w:space="0"/>
                    <w:bottom w:val="single" w:color="auto" w:sz="4" w:space="0"/>
                    <w:right w:val="single" w:color="auto" w:sz="4" w:space="0"/>
                  </w:tcBorders>
                  <w:vAlign w:val="center"/>
                </w:tcPr>
                <w:p>
                  <w:pPr>
                    <w:widowControl/>
                    <w:jc w:val="center"/>
                    <w:rPr>
                      <w:kern w:val="0"/>
                      <w:szCs w:val="21"/>
                    </w:rPr>
                  </w:pPr>
                  <w:r>
                    <w:rPr>
                      <w:kern w:val="0"/>
                      <w:szCs w:val="21"/>
                    </w:rPr>
                    <w:t>抽水泵</w:t>
                  </w:r>
                </w:p>
              </w:tc>
              <w:tc>
                <w:tcPr>
                  <w:tcW w:w="659" w:type="dxa"/>
                  <w:tcBorders>
                    <w:top w:val="single" w:color="auto" w:sz="4" w:space="0"/>
                    <w:left w:val="single" w:color="auto" w:sz="4" w:space="0"/>
                    <w:bottom w:val="single" w:color="auto" w:sz="4" w:space="0"/>
                    <w:right w:val="single" w:color="auto" w:sz="4" w:space="0"/>
                  </w:tcBorders>
                  <w:vAlign w:val="center"/>
                </w:tcPr>
                <w:p>
                  <w:pPr>
                    <w:jc w:val="center"/>
                    <w:rPr>
                      <w:szCs w:val="21"/>
                    </w:rPr>
                  </w:pPr>
                  <w:r>
                    <w:rPr>
                      <w:szCs w:val="21"/>
                    </w:rPr>
                    <w:t>80</w:t>
                  </w:r>
                </w:p>
              </w:tc>
              <w:tc>
                <w:tcPr>
                  <w:tcW w:w="1479" w:type="dxa"/>
                  <w:vMerge w:val="continue"/>
                  <w:tcBorders>
                    <w:left w:val="single" w:color="auto" w:sz="4" w:space="0"/>
                    <w:right w:val="single" w:color="auto" w:sz="4" w:space="0"/>
                  </w:tcBorders>
                  <w:vAlign w:val="center"/>
                </w:tcPr>
                <w:p>
                  <w:pPr>
                    <w:jc w:val="center"/>
                    <w:rPr>
                      <w:szCs w:val="21"/>
                    </w:rPr>
                  </w:pPr>
                </w:p>
              </w:tc>
              <w:tc>
                <w:tcPr>
                  <w:tcW w:w="1772" w:type="dxa"/>
                  <w:vMerge w:val="continue"/>
                  <w:tcBorders>
                    <w:left w:val="single" w:color="auto" w:sz="4" w:space="0"/>
                    <w:right w:val="single" w:color="auto" w:sz="4" w:space="0"/>
                  </w:tcBorders>
                  <w:vAlign w:val="center"/>
                </w:tcPr>
                <w:p>
                  <w:pPr>
                    <w:jc w:val="center"/>
                    <w:rPr>
                      <w:szCs w:val="21"/>
                    </w:rPr>
                  </w:pPr>
                </w:p>
              </w:tc>
              <w:tc>
                <w:tcPr>
                  <w:tcW w:w="1143" w:type="dxa"/>
                  <w:tcBorders>
                    <w:left w:val="single" w:color="auto" w:sz="4" w:space="0"/>
                    <w:right w:val="single" w:color="auto" w:sz="4" w:space="0"/>
                  </w:tcBorders>
                  <w:vAlign w:val="center"/>
                </w:tcPr>
                <w:p>
                  <w:pPr>
                    <w:jc w:val="center"/>
                    <w:rPr>
                      <w:szCs w:val="21"/>
                    </w:rPr>
                  </w:pPr>
                  <w:r>
                    <w:rPr>
                      <w:szCs w:val="21"/>
                    </w:rPr>
                    <w:t>55</w:t>
                  </w:r>
                </w:p>
              </w:tc>
              <w:tc>
                <w:tcPr>
                  <w:tcW w:w="1178" w:type="dxa"/>
                  <w:tcBorders>
                    <w:left w:val="single" w:color="auto" w:sz="4" w:space="0"/>
                    <w:right w:val="nil"/>
                  </w:tcBorders>
                  <w:vAlign w:val="center"/>
                </w:tcPr>
                <w:p>
                  <w:pPr>
                    <w:jc w:val="center"/>
                  </w:pPr>
                  <w:r>
                    <w:rPr>
                      <w:szCs w:val="21"/>
                    </w:rPr>
                    <w:t>连续</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749" w:type="dxa"/>
                  <w:tcBorders>
                    <w:top w:val="single" w:color="auto" w:sz="4" w:space="0"/>
                    <w:left w:val="nil"/>
                    <w:bottom w:val="single" w:color="auto" w:sz="4" w:space="0"/>
                    <w:right w:val="single" w:color="auto" w:sz="4" w:space="0"/>
                  </w:tcBorders>
                  <w:vAlign w:val="center"/>
                </w:tcPr>
                <w:p>
                  <w:pPr>
                    <w:jc w:val="center"/>
                    <w:rPr>
                      <w:szCs w:val="21"/>
                    </w:rPr>
                  </w:pPr>
                  <w:r>
                    <w:rPr>
                      <w:szCs w:val="21"/>
                    </w:rPr>
                    <w:t>17</w:t>
                  </w:r>
                </w:p>
              </w:tc>
              <w:tc>
                <w:tcPr>
                  <w:tcW w:w="1750" w:type="dxa"/>
                  <w:tcBorders>
                    <w:top w:val="single" w:color="auto" w:sz="4" w:space="0"/>
                    <w:left w:val="single" w:color="auto" w:sz="4" w:space="0"/>
                    <w:bottom w:val="single" w:color="auto" w:sz="4" w:space="0"/>
                    <w:right w:val="single" w:color="auto" w:sz="4" w:space="0"/>
                  </w:tcBorders>
                  <w:vAlign w:val="center"/>
                </w:tcPr>
                <w:p>
                  <w:pPr>
                    <w:widowControl/>
                    <w:jc w:val="center"/>
                    <w:rPr>
                      <w:kern w:val="0"/>
                      <w:szCs w:val="21"/>
                    </w:rPr>
                  </w:pPr>
                  <w:r>
                    <w:rPr>
                      <w:kern w:val="0"/>
                      <w:szCs w:val="21"/>
                    </w:rPr>
                    <w:t>压滤机</w:t>
                  </w:r>
                </w:p>
              </w:tc>
              <w:tc>
                <w:tcPr>
                  <w:tcW w:w="659" w:type="dxa"/>
                  <w:tcBorders>
                    <w:top w:val="single" w:color="auto" w:sz="4" w:space="0"/>
                    <w:left w:val="single" w:color="auto" w:sz="4" w:space="0"/>
                    <w:bottom w:val="single" w:color="auto" w:sz="4" w:space="0"/>
                    <w:right w:val="single" w:color="auto" w:sz="4" w:space="0"/>
                  </w:tcBorders>
                  <w:vAlign w:val="center"/>
                </w:tcPr>
                <w:p>
                  <w:pPr>
                    <w:jc w:val="center"/>
                    <w:rPr>
                      <w:szCs w:val="21"/>
                    </w:rPr>
                  </w:pPr>
                  <w:r>
                    <w:rPr>
                      <w:szCs w:val="21"/>
                    </w:rPr>
                    <w:t>90</w:t>
                  </w:r>
                </w:p>
              </w:tc>
              <w:tc>
                <w:tcPr>
                  <w:tcW w:w="1479" w:type="dxa"/>
                  <w:vMerge w:val="continue"/>
                  <w:tcBorders>
                    <w:left w:val="single" w:color="auto" w:sz="4" w:space="0"/>
                    <w:right w:val="single" w:color="auto" w:sz="4" w:space="0"/>
                  </w:tcBorders>
                  <w:vAlign w:val="center"/>
                </w:tcPr>
                <w:p>
                  <w:pPr>
                    <w:jc w:val="center"/>
                    <w:rPr>
                      <w:szCs w:val="21"/>
                    </w:rPr>
                  </w:pPr>
                </w:p>
              </w:tc>
              <w:tc>
                <w:tcPr>
                  <w:tcW w:w="1772" w:type="dxa"/>
                  <w:vMerge w:val="continue"/>
                  <w:tcBorders>
                    <w:left w:val="single" w:color="auto" w:sz="4" w:space="0"/>
                    <w:right w:val="single" w:color="auto" w:sz="4" w:space="0"/>
                  </w:tcBorders>
                  <w:vAlign w:val="center"/>
                </w:tcPr>
                <w:p>
                  <w:pPr>
                    <w:jc w:val="center"/>
                    <w:rPr>
                      <w:szCs w:val="21"/>
                    </w:rPr>
                  </w:pPr>
                </w:p>
              </w:tc>
              <w:tc>
                <w:tcPr>
                  <w:tcW w:w="1143" w:type="dxa"/>
                  <w:tcBorders>
                    <w:left w:val="single" w:color="auto" w:sz="4" w:space="0"/>
                    <w:right w:val="single" w:color="auto" w:sz="4" w:space="0"/>
                  </w:tcBorders>
                  <w:vAlign w:val="center"/>
                </w:tcPr>
                <w:p>
                  <w:pPr>
                    <w:jc w:val="center"/>
                    <w:rPr>
                      <w:szCs w:val="21"/>
                    </w:rPr>
                  </w:pPr>
                  <w:r>
                    <w:rPr>
                      <w:szCs w:val="21"/>
                    </w:rPr>
                    <w:t>65</w:t>
                  </w:r>
                </w:p>
              </w:tc>
              <w:tc>
                <w:tcPr>
                  <w:tcW w:w="1178" w:type="dxa"/>
                  <w:tcBorders>
                    <w:left w:val="single" w:color="auto" w:sz="4" w:space="0"/>
                    <w:right w:val="nil"/>
                  </w:tcBorders>
                  <w:vAlign w:val="center"/>
                </w:tcPr>
                <w:p>
                  <w:pPr>
                    <w:jc w:val="center"/>
                  </w:pPr>
                  <w:r>
                    <w:rPr>
                      <w:szCs w:val="21"/>
                    </w:rPr>
                    <w:t>连续</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749" w:type="dxa"/>
                  <w:tcBorders>
                    <w:top w:val="single" w:color="auto" w:sz="4" w:space="0"/>
                    <w:left w:val="nil"/>
                    <w:bottom w:val="single" w:color="auto" w:sz="4" w:space="0"/>
                    <w:right w:val="single" w:color="auto" w:sz="4" w:space="0"/>
                  </w:tcBorders>
                  <w:vAlign w:val="center"/>
                </w:tcPr>
                <w:p>
                  <w:pPr>
                    <w:jc w:val="center"/>
                    <w:rPr>
                      <w:szCs w:val="21"/>
                    </w:rPr>
                  </w:pPr>
                  <w:r>
                    <w:rPr>
                      <w:szCs w:val="21"/>
                    </w:rPr>
                    <w:t>18</w:t>
                  </w:r>
                </w:p>
              </w:tc>
              <w:tc>
                <w:tcPr>
                  <w:tcW w:w="1750" w:type="dxa"/>
                  <w:tcBorders>
                    <w:top w:val="single" w:color="auto" w:sz="4" w:space="0"/>
                    <w:left w:val="single" w:color="auto" w:sz="4" w:space="0"/>
                    <w:bottom w:val="single" w:color="auto" w:sz="4" w:space="0"/>
                    <w:right w:val="single" w:color="auto" w:sz="4" w:space="0"/>
                  </w:tcBorders>
                  <w:vAlign w:val="center"/>
                </w:tcPr>
                <w:p>
                  <w:pPr>
                    <w:widowControl/>
                    <w:jc w:val="center"/>
                    <w:rPr>
                      <w:kern w:val="0"/>
                      <w:szCs w:val="21"/>
                    </w:rPr>
                  </w:pPr>
                  <w:r>
                    <w:rPr>
                      <w:kern w:val="0"/>
                      <w:szCs w:val="21"/>
                    </w:rPr>
                    <w:t>摇床</w:t>
                  </w:r>
                </w:p>
              </w:tc>
              <w:tc>
                <w:tcPr>
                  <w:tcW w:w="659" w:type="dxa"/>
                  <w:tcBorders>
                    <w:top w:val="single" w:color="auto" w:sz="4" w:space="0"/>
                    <w:left w:val="single" w:color="auto" w:sz="4" w:space="0"/>
                    <w:bottom w:val="single" w:color="auto" w:sz="4" w:space="0"/>
                    <w:right w:val="single" w:color="auto" w:sz="4" w:space="0"/>
                  </w:tcBorders>
                  <w:vAlign w:val="center"/>
                </w:tcPr>
                <w:p>
                  <w:pPr>
                    <w:jc w:val="center"/>
                    <w:rPr>
                      <w:szCs w:val="21"/>
                    </w:rPr>
                  </w:pPr>
                  <w:r>
                    <w:rPr>
                      <w:szCs w:val="21"/>
                    </w:rPr>
                    <w:t>80</w:t>
                  </w:r>
                </w:p>
              </w:tc>
              <w:tc>
                <w:tcPr>
                  <w:tcW w:w="1479" w:type="dxa"/>
                  <w:vMerge w:val="continue"/>
                  <w:tcBorders>
                    <w:left w:val="single" w:color="auto" w:sz="4" w:space="0"/>
                    <w:right w:val="single" w:color="auto" w:sz="4" w:space="0"/>
                  </w:tcBorders>
                  <w:vAlign w:val="center"/>
                </w:tcPr>
                <w:p>
                  <w:pPr>
                    <w:jc w:val="center"/>
                    <w:rPr>
                      <w:szCs w:val="21"/>
                    </w:rPr>
                  </w:pPr>
                </w:p>
              </w:tc>
              <w:tc>
                <w:tcPr>
                  <w:tcW w:w="1772" w:type="dxa"/>
                  <w:vMerge w:val="continue"/>
                  <w:tcBorders>
                    <w:left w:val="single" w:color="auto" w:sz="4" w:space="0"/>
                    <w:right w:val="single" w:color="auto" w:sz="4" w:space="0"/>
                  </w:tcBorders>
                  <w:vAlign w:val="center"/>
                </w:tcPr>
                <w:p>
                  <w:pPr>
                    <w:jc w:val="center"/>
                    <w:rPr>
                      <w:szCs w:val="21"/>
                    </w:rPr>
                  </w:pPr>
                </w:p>
              </w:tc>
              <w:tc>
                <w:tcPr>
                  <w:tcW w:w="1143" w:type="dxa"/>
                  <w:tcBorders>
                    <w:left w:val="single" w:color="auto" w:sz="4" w:space="0"/>
                    <w:right w:val="single" w:color="auto" w:sz="4" w:space="0"/>
                  </w:tcBorders>
                  <w:vAlign w:val="center"/>
                </w:tcPr>
                <w:p>
                  <w:pPr>
                    <w:jc w:val="center"/>
                    <w:rPr>
                      <w:szCs w:val="21"/>
                    </w:rPr>
                  </w:pPr>
                  <w:r>
                    <w:rPr>
                      <w:szCs w:val="21"/>
                    </w:rPr>
                    <w:t>55</w:t>
                  </w:r>
                </w:p>
              </w:tc>
              <w:tc>
                <w:tcPr>
                  <w:tcW w:w="1178" w:type="dxa"/>
                  <w:tcBorders>
                    <w:left w:val="single" w:color="auto" w:sz="4" w:space="0"/>
                    <w:right w:val="nil"/>
                  </w:tcBorders>
                  <w:vAlign w:val="center"/>
                </w:tcPr>
                <w:p>
                  <w:pPr>
                    <w:jc w:val="center"/>
                  </w:pPr>
                  <w:r>
                    <w:rPr>
                      <w:szCs w:val="21"/>
                    </w:rPr>
                    <w:t>连续</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c>
                <w:tcPr>
                  <w:tcW w:w="749" w:type="dxa"/>
                  <w:tcBorders>
                    <w:top w:val="single" w:color="auto" w:sz="4" w:space="0"/>
                    <w:left w:val="nil"/>
                    <w:bottom w:val="single" w:color="auto" w:sz="4" w:space="0"/>
                    <w:right w:val="single" w:color="auto" w:sz="4" w:space="0"/>
                  </w:tcBorders>
                  <w:vAlign w:val="center"/>
                </w:tcPr>
                <w:p>
                  <w:pPr>
                    <w:jc w:val="center"/>
                    <w:rPr>
                      <w:szCs w:val="21"/>
                    </w:rPr>
                  </w:pPr>
                  <w:r>
                    <w:rPr>
                      <w:szCs w:val="21"/>
                    </w:rPr>
                    <w:t>19</w:t>
                  </w:r>
                </w:p>
              </w:tc>
              <w:tc>
                <w:tcPr>
                  <w:tcW w:w="1750" w:type="dxa"/>
                  <w:tcBorders>
                    <w:top w:val="single" w:color="auto" w:sz="4" w:space="0"/>
                    <w:left w:val="single" w:color="auto" w:sz="4" w:space="0"/>
                    <w:bottom w:val="single" w:color="auto" w:sz="4" w:space="0"/>
                    <w:right w:val="single" w:color="auto" w:sz="4" w:space="0"/>
                  </w:tcBorders>
                  <w:vAlign w:val="center"/>
                </w:tcPr>
                <w:p>
                  <w:pPr>
                    <w:widowControl/>
                    <w:jc w:val="center"/>
                    <w:rPr>
                      <w:kern w:val="0"/>
                      <w:szCs w:val="21"/>
                    </w:rPr>
                  </w:pPr>
                  <w:r>
                    <w:rPr>
                      <w:kern w:val="0"/>
                      <w:szCs w:val="21"/>
                    </w:rPr>
                    <w:t>抽砂泵</w:t>
                  </w:r>
                </w:p>
              </w:tc>
              <w:tc>
                <w:tcPr>
                  <w:tcW w:w="659" w:type="dxa"/>
                  <w:tcBorders>
                    <w:top w:val="single" w:color="auto" w:sz="4" w:space="0"/>
                    <w:left w:val="single" w:color="auto" w:sz="4" w:space="0"/>
                    <w:bottom w:val="single" w:color="auto" w:sz="4" w:space="0"/>
                    <w:right w:val="single" w:color="auto" w:sz="4" w:space="0"/>
                  </w:tcBorders>
                  <w:vAlign w:val="center"/>
                </w:tcPr>
                <w:p>
                  <w:pPr>
                    <w:jc w:val="center"/>
                    <w:rPr>
                      <w:szCs w:val="21"/>
                    </w:rPr>
                  </w:pPr>
                  <w:r>
                    <w:rPr>
                      <w:szCs w:val="21"/>
                    </w:rPr>
                    <w:t>80</w:t>
                  </w:r>
                </w:p>
              </w:tc>
              <w:tc>
                <w:tcPr>
                  <w:tcW w:w="1479" w:type="dxa"/>
                  <w:vMerge w:val="continue"/>
                  <w:tcBorders>
                    <w:left w:val="single" w:color="auto" w:sz="4" w:space="0"/>
                    <w:right w:val="single" w:color="auto" w:sz="4" w:space="0"/>
                  </w:tcBorders>
                  <w:vAlign w:val="center"/>
                </w:tcPr>
                <w:p>
                  <w:pPr>
                    <w:jc w:val="center"/>
                    <w:rPr>
                      <w:szCs w:val="21"/>
                    </w:rPr>
                  </w:pPr>
                </w:p>
              </w:tc>
              <w:tc>
                <w:tcPr>
                  <w:tcW w:w="1772" w:type="dxa"/>
                  <w:vMerge w:val="continue"/>
                  <w:tcBorders>
                    <w:left w:val="single" w:color="auto" w:sz="4" w:space="0"/>
                    <w:right w:val="single" w:color="auto" w:sz="4" w:space="0"/>
                  </w:tcBorders>
                  <w:vAlign w:val="center"/>
                </w:tcPr>
                <w:p>
                  <w:pPr>
                    <w:jc w:val="center"/>
                    <w:rPr>
                      <w:szCs w:val="21"/>
                    </w:rPr>
                  </w:pPr>
                </w:p>
              </w:tc>
              <w:tc>
                <w:tcPr>
                  <w:tcW w:w="1143" w:type="dxa"/>
                  <w:vAlign w:val="center"/>
                </w:tcPr>
                <w:p>
                  <w:pPr>
                    <w:jc w:val="center"/>
                    <w:rPr>
                      <w:szCs w:val="21"/>
                    </w:rPr>
                  </w:pPr>
                  <w:r>
                    <w:rPr>
                      <w:szCs w:val="21"/>
                    </w:rPr>
                    <w:t>55</w:t>
                  </w:r>
                </w:p>
              </w:tc>
              <w:tc>
                <w:tcPr>
                  <w:tcW w:w="1178" w:type="dxa"/>
                  <w:tcBorders>
                    <w:right w:val="nil"/>
                  </w:tcBorders>
                  <w:vAlign w:val="center"/>
                </w:tcPr>
                <w:p>
                  <w:pPr>
                    <w:jc w:val="center"/>
                  </w:pPr>
                  <w:r>
                    <w:rPr>
                      <w:szCs w:val="21"/>
                    </w:rPr>
                    <w:t>连续</w:t>
                  </w:r>
                </w:p>
              </w:tc>
            </w:tr>
          </w:tbl>
          <w:p>
            <w:pPr>
              <w:spacing w:before="120" w:beforeLines="50" w:line="360" w:lineRule="auto"/>
              <w:ind w:firstLine="480" w:firstLineChars="200"/>
              <w:rPr>
                <w:sz w:val="24"/>
              </w:rPr>
            </w:pPr>
            <w:r>
              <w:rPr>
                <w:sz w:val="24"/>
              </w:rPr>
              <w:t>（1）设备运行噪声</w:t>
            </w:r>
          </w:p>
          <w:p>
            <w:pPr>
              <w:spacing w:line="360" w:lineRule="auto"/>
              <w:ind w:firstLine="480"/>
              <w:rPr>
                <w:sz w:val="24"/>
              </w:rPr>
            </w:pPr>
            <w:r>
              <w:rPr>
                <w:sz w:val="24"/>
              </w:rPr>
              <w:t>根据业主单位提供的设备噪声源，结合类比调查，本项目设备噪声源为破碎机（打砂机）、跳汰机、挂选吸铁机等。环评要求：本项目设备噪声较高，应选用低噪声设备并室内布置、基础减振、厂区绿化等措施及距离衰减后厂界噪声能够满足《工业企业厂界环境噪声排放标准》（GB12348-2008）中3类标准，均能实现厂界达标。</w:t>
            </w:r>
          </w:p>
          <w:p>
            <w:pPr>
              <w:spacing w:line="360" w:lineRule="auto"/>
              <w:ind w:firstLine="480"/>
              <w:rPr>
                <w:sz w:val="24"/>
              </w:rPr>
            </w:pPr>
            <w:r>
              <w:rPr>
                <w:sz w:val="24"/>
              </w:rPr>
              <w:t>（2）车辆交通噪声</w:t>
            </w:r>
          </w:p>
          <w:p>
            <w:pPr>
              <w:spacing w:line="360" w:lineRule="auto"/>
              <w:ind w:firstLine="480" w:firstLineChars="200"/>
              <w:rPr>
                <w:sz w:val="24"/>
              </w:rPr>
            </w:pPr>
            <w:r>
              <w:rPr>
                <w:sz w:val="24"/>
              </w:rPr>
              <w:t>本项目车辆交通噪声主要为装卸货车辆行驶的噪声，噪声源声级值约70dB（A）。本项目运输车辆噪声为间歇噪声，且车流量较小，对周边环境影响也较小。</w:t>
            </w:r>
          </w:p>
          <w:p>
            <w:pPr>
              <w:tabs>
                <w:tab w:val="left" w:pos="5670"/>
              </w:tabs>
              <w:spacing w:line="360" w:lineRule="auto"/>
              <w:ind w:firstLine="482" w:firstLineChars="200"/>
              <w:rPr>
                <w:b/>
                <w:bCs/>
                <w:sz w:val="24"/>
              </w:rPr>
            </w:pPr>
            <w:r>
              <w:rPr>
                <w:b/>
                <w:bCs/>
                <w:sz w:val="24"/>
              </w:rPr>
              <w:t>治理措施：</w:t>
            </w:r>
          </w:p>
          <w:p>
            <w:pPr>
              <w:spacing w:line="360" w:lineRule="auto"/>
              <w:ind w:firstLine="480" w:firstLineChars="200"/>
              <w:rPr>
                <w:sz w:val="24"/>
              </w:rPr>
            </w:pPr>
            <w:r>
              <w:rPr>
                <w:sz w:val="24"/>
              </w:rPr>
              <w:t>为确保项目厂界噪声达标排放，项目拟采取以下措施进行防护：</w:t>
            </w:r>
          </w:p>
          <w:p>
            <w:pPr>
              <w:tabs>
                <w:tab w:val="left" w:pos="5670"/>
              </w:tabs>
              <w:spacing w:line="360" w:lineRule="auto"/>
              <w:ind w:firstLine="480" w:firstLineChars="200"/>
              <w:rPr>
                <w:sz w:val="24"/>
              </w:rPr>
            </w:pPr>
            <w:r>
              <w:rPr>
                <w:sz w:val="24"/>
              </w:rPr>
              <w:t>（1）设备减震降噪措施，购买的设备均为低噪声的设备，各生产设备设置台基减震、橡胶减震、接头及减震垫等减震设施。并对厂房进行整体封闭，降低设备的运行噪声。在生产运转时定期对设备进行检查，保证设备正常运转。</w:t>
            </w:r>
          </w:p>
          <w:p>
            <w:pPr>
              <w:tabs>
                <w:tab w:val="left" w:pos="5670"/>
              </w:tabs>
              <w:spacing w:line="360" w:lineRule="auto"/>
              <w:ind w:firstLine="480" w:firstLineChars="200"/>
              <w:rPr>
                <w:sz w:val="24"/>
              </w:rPr>
            </w:pPr>
            <w:r>
              <w:rPr>
                <w:sz w:val="24"/>
              </w:rPr>
              <w:t>（2）合理布局，所有产噪设备均布置在厂房车间内，将高噪声设备如空压机等单独设置于隔声房中，利用厂房进行隔声减少对周边环境的影响。</w:t>
            </w:r>
          </w:p>
          <w:p>
            <w:pPr>
              <w:spacing w:line="360" w:lineRule="auto"/>
              <w:ind w:firstLine="364" w:firstLineChars="152"/>
              <w:rPr>
                <w:sz w:val="24"/>
              </w:rPr>
            </w:pPr>
            <w:r>
              <w:rPr>
                <w:sz w:val="24"/>
              </w:rPr>
              <w:t>（3）加强管理，建立设备定期维护，保养的管理制度，以防止设备故障形成的非正常生产噪声，同时确保环保措施发挥最佳有效的功能。加强职工环保意识教育，提倡文明生产，防止人为噪声。</w:t>
            </w:r>
          </w:p>
          <w:p>
            <w:pPr>
              <w:tabs>
                <w:tab w:val="left" w:pos="5670"/>
              </w:tabs>
              <w:spacing w:line="360" w:lineRule="auto"/>
              <w:ind w:firstLine="480" w:firstLineChars="200"/>
              <w:rPr>
                <w:sz w:val="24"/>
              </w:rPr>
            </w:pPr>
            <w:r>
              <w:rPr>
                <w:sz w:val="24"/>
              </w:rPr>
              <w:t>综上所述，在严格采取上述隔声降噪措施后，经其距离衰减、厂界围墙隔声后，其厂界噪声可达到《工业企业厂界环境噪声排放标准》（GB 12348-2008）中3类标准昼间65dB（A）、夜间55dB（A）的要求，从而实现达标排放。</w:t>
            </w:r>
          </w:p>
          <w:p>
            <w:pPr>
              <w:tabs>
                <w:tab w:val="left" w:pos="5670"/>
              </w:tabs>
              <w:spacing w:line="360" w:lineRule="auto"/>
              <w:ind w:firstLine="482" w:firstLineChars="200"/>
              <w:rPr>
                <w:b/>
                <w:bCs/>
                <w:sz w:val="24"/>
                <w:szCs w:val="20"/>
              </w:rPr>
            </w:pPr>
            <w:r>
              <w:rPr>
                <w:b/>
                <w:bCs/>
                <w:sz w:val="24"/>
              </w:rPr>
              <w:t>（2）营运期噪声环境影响分析</w:t>
            </w:r>
          </w:p>
          <w:p>
            <w:pPr>
              <w:tabs>
                <w:tab w:val="left" w:pos="5670"/>
              </w:tabs>
              <w:spacing w:line="360" w:lineRule="auto"/>
              <w:ind w:firstLine="480" w:firstLineChars="200"/>
              <w:rPr>
                <w:sz w:val="24"/>
              </w:rPr>
            </w:pPr>
            <w:r>
              <w:rPr>
                <w:sz w:val="24"/>
              </w:rPr>
              <w:t>1）评价等级</w:t>
            </w:r>
          </w:p>
          <w:p>
            <w:pPr>
              <w:tabs>
                <w:tab w:val="left" w:pos="5670"/>
              </w:tabs>
              <w:spacing w:line="360" w:lineRule="auto"/>
              <w:ind w:firstLine="480" w:firstLineChars="200"/>
              <w:rPr>
                <w:sz w:val="24"/>
              </w:rPr>
            </w:pPr>
            <w:r>
              <w:rPr>
                <w:sz w:val="24"/>
              </w:rPr>
              <w:t>本项目建设所处的声环境功能区为GB3096规定的3类地区，项目建设周边受噪声影响人口数量较少，按三级评价，评价范围按《建设项目环境影响报告表编制技术指南》（污染影响类）为项目厂界外50米范围内声环境保护目标。</w:t>
            </w:r>
          </w:p>
          <w:p>
            <w:pPr>
              <w:tabs>
                <w:tab w:val="left" w:pos="5670"/>
              </w:tabs>
              <w:spacing w:line="360" w:lineRule="auto"/>
              <w:ind w:firstLine="480" w:firstLineChars="200"/>
              <w:rPr>
                <w:sz w:val="24"/>
              </w:rPr>
            </w:pPr>
            <w:r>
              <w:rPr>
                <w:sz w:val="24"/>
              </w:rPr>
              <w:t>2）预测方法</w:t>
            </w:r>
          </w:p>
          <w:p>
            <w:pPr>
              <w:tabs>
                <w:tab w:val="left" w:pos="5670"/>
              </w:tabs>
              <w:spacing w:line="360" w:lineRule="auto"/>
              <w:ind w:firstLine="480" w:firstLineChars="200"/>
              <w:rPr>
                <w:sz w:val="24"/>
              </w:rPr>
            </w:pPr>
            <w:r>
              <w:rPr>
                <w:sz w:val="24"/>
              </w:rPr>
              <w:t>根据声环境评价导则的规定，选用预测模式，应用过程中将根据具体情况作必要简化。</w:t>
            </w:r>
          </w:p>
          <w:p>
            <w:pPr>
              <w:spacing w:line="360" w:lineRule="auto"/>
              <w:ind w:firstLine="480"/>
              <w:rPr>
                <w:sz w:val="24"/>
              </w:rPr>
            </w:pPr>
            <w:r>
              <w:rPr>
                <w:sz w:val="24"/>
              </w:rPr>
              <w:t>1&gt;室外点声源在预测点的倍频带声压级</w:t>
            </w:r>
          </w:p>
          <w:p>
            <w:pPr>
              <w:spacing w:line="360" w:lineRule="auto"/>
              <w:ind w:firstLine="436" w:firstLineChars="182"/>
              <w:rPr>
                <w:sz w:val="24"/>
              </w:rPr>
            </w:pPr>
            <w:r>
              <w:rPr>
                <w:rFonts w:hint="eastAsia" w:ascii="宋体" w:hAnsi="宋体" w:cs="宋体"/>
                <w:sz w:val="24"/>
              </w:rPr>
              <w:t>①</w:t>
            </w:r>
            <w:r>
              <w:rPr>
                <w:sz w:val="24"/>
              </w:rPr>
              <w:t>某个点源在预测点的倍频带声压级</w:t>
            </w:r>
          </w:p>
          <w:p>
            <w:pPr>
              <w:spacing w:line="360" w:lineRule="auto"/>
              <w:jc w:val="center"/>
              <w:rPr>
                <w:sz w:val="24"/>
              </w:rPr>
            </w:pPr>
            <w:r>
              <w:rPr>
                <w:position w:val="-12"/>
                <w:sz w:val="24"/>
              </w:rPr>
              <w:object>
                <v:shape id="_x0000_i1029" o:spt="75" type="#_x0000_t75" style="height:22.4pt;width:180pt;" o:ole="t" fillcolor="#6D6D6D" filled="f" o:preferrelative="t" stroked="f" coordsize="21600,21600">
                  <v:path/>
                  <v:fill on="f" focussize="0,0"/>
                  <v:stroke on="f" joinstyle="miter"/>
                  <v:imagedata r:id="rId61" o:title=""/>
                  <o:lock v:ext="edit" aspectratio="t"/>
                  <w10:wrap type="none"/>
                  <w10:anchorlock/>
                </v:shape>
                <o:OLEObject Type="Embed" ProgID="Equation.3" ShapeID="_x0000_i1029" DrawAspect="Content" ObjectID="_1468075729" r:id="rId60">
                  <o:LockedField>false</o:LockedField>
                </o:OLEObject>
              </w:object>
            </w:r>
          </w:p>
          <w:p>
            <w:pPr>
              <w:spacing w:line="360" w:lineRule="auto"/>
              <w:ind w:firstLine="480"/>
              <w:rPr>
                <w:sz w:val="24"/>
              </w:rPr>
            </w:pPr>
            <w:r>
              <w:rPr>
                <w:sz w:val="24"/>
              </w:rPr>
              <w:t xml:space="preserve">    式中：L</w:t>
            </w:r>
            <w:r>
              <w:rPr>
                <w:sz w:val="24"/>
                <w:vertAlign w:val="subscript"/>
              </w:rPr>
              <w:t>oct</w:t>
            </w:r>
            <w:r>
              <w:rPr>
                <w:sz w:val="24"/>
              </w:rPr>
              <w:t>（r）——点声源在预测点产生的倍频带声压级；</w:t>
            </w:r>
          </w:p>
          <w:p>
            <w:pPr>
              <w:spacing w:line="360" w:lineRule="auto"/>
              <w:ind w:firstLine="480"/>
              <w:rPr>
                <w:sz w:val="24"/>
              </w:rPr>
            </w:pPr>
            <w:r>
              <w:rPr>
                <w:sz w:val="24"/>
              </w:rPr>
              <w:t xml:space="preserve">          L</w:t>
            </w:r>
            <w:r>
              <w:rPr>
                <w:sz w:val="24"/>
                <w:vertAlign w:val="subscript"/>
              </w:rPr>
              <w:t>oct</w:t>
            </w:r>
            <w:r>
              <w:rPr>
                <w:sz w:val="24"/>
              </w:rPr>
              <w:t>（r</w:t>
            </w:r>
            <w:r>
              <w:rPr>
                <w:sz w:val="24"/>
                <w:vertAlign w:val="subscript"/>
              </w:rPr>
              <w:t>0</w:t>
            </w:r>
            <w:r>
              <w:rPr>
                <w:sz w:val="24"/>
              </w:rPr>
              <w:t>）——参考位置r</w:t>
            </w:r>
            <w:r>
              <w:rPr>
                <w:sz w:val="24"/>
                <w:vertAlign w:val="subscript"/>
              </w:rPr>
              <w:t>0</w:t>
            </w:r>
            <w:r>
              <w:rPr>
                <w:sz w:val="24"/>
              </w:rPr>
              <w:t>处的倍频带声压级；</w:t>
            </w:r>
          </w:p>
          <w:p>
            <w:pPr>
              <w:spacing w:line="360" w:lineRule="auto"/>
              <w:ind w:firstLine="480"/>
              <w:rPr>
                <w:sz w:val="24"/>
              </w:rPr>
            </w:pPr>
            <w:r>
              <w:rPr>
                <w:sz w:val="24"/>
              </w:rPr>
              <w:t xml:space="preserve">          r——预测点距声源的距离，m；</w:t>
            </w:r>
          </w:p>
          <w:p>
            <w:pPr>
              <w:spacing w:line="360" w:lineRule="auto"/>
              <w:ind w:firstLine="480"/>
              <w:rPr>
                <w:sz w:val="24"/>
              </w:rPr>
            </w:pPr>
            <w:r>
              <w:rPr>
                <w:sz w:val="24"/>
              </w:rPr>
              <w:t xml:space="preserve">          r</w:t>
            </w:r>
            <w:r>
              <w:rPr>
                <w:sz w:val="24"/>
                <w:vertAlign w:val="subscript"/>
              </w:rPr>
              <w:t>0</w:t>
            </w:r>
            <w:r>
              <w:rPr>
                <w:sz w:val="24"/>
              </w:rPr>
              <w:t>——参考位置距声源的距离，m；</w:t>
            </w:r>
          </w:p>
          <w:p>
            <w:pPr>
              <w:spacing w:line="360" w:lineRule="auto"/>
              <w:ind w:left="2707" w:leftChars="228" w:hanging="2160" w:hangingChars="900"/>
              <w:rPr>
                <w:sz w:val="24"/>
              </w:rPr>
            </w:pPr>
            <w:r>
              <w:rPr>
                <w:sz w:val="24"/>
              </w:rPr>
              <w:t xml:space="preserve">         ΔL</w:t>
            </w:r>
            <w:r>
              <w:rPr>
                <w:sz w:val="24"/>
                <w:vertAlign w:val="subscript"/>
              </w:rPr>
              <w:t>oct</w:t>
            </w:r>
            <w:r>
              <w:rPr>
                <w:sz w:val="24"/>
              </w:rPr>
              <w:t>——各种因素引起的衰减量，包括声屏障、空气吸收和地面效应引起的衰减，其计算方式分别为：</w:t>
            </w:r>
          </w:p>
          <w:p>
            <w:pPr>
              <w:spacing w:line="360" w:lineRule="auto"/>
              <w:jc w:val="center"/>
              <w:rPr>
                <w:sz w:val="24"/>
              </w:rPr>
            </w:pPr>
            <w:r>
              <w:rPr>
                <w:sz w:val="24"/>
              </w:rPr>
              <w:t>A</w:t>
            </w:r>
            <w:r>
              <w:rPr>
                <w:sz w:val="24"/>
                <w:vertAlign w:val="subscript"/>
              </w:rPr>
              <w:t>oct bar</w:t>
            </w:r>
            <w:r>
              <w:rPr>
                <w:sz w:val="24"/>
              </w:rPr>
              <w:t>=</w:t>
            </w:r>
            <w:r>
              <w:rPr>
                <w:position w:val="-32"/>
                <w:sz w:val="24"/>
              </w:rPr>
              <w:object>
                <v:shape id="_x0000_i1030" o:spt="75" type="#_x0000_t75" style="height:36pt;width:202.4pt;" o:ole="t" fillcolor="#6D6D6D" filled="f" o:preferrelative="t" stroked="f" coordsize="21600,21600">
                  <v:path/>
                  <v:fill on="f" focussize="0,0"/>
                  <v:stroke on="f" joinstyle="miter"/>
                  <v:imagedata r:id="rId63" o:title=""/>
                  <o:lock v:ext="edit" aspectratio="t"/>
                  <w10:wrap type="none"/>
                  <w10:anchorlock/>
                </v:shape>
                <o:OLEObject Type="Embed" ProgID="Equation.3" ShapeID="_x0000_i1030" DrawAspect="Content" ObjectID="_1468075730" r:id="rId62">
                  <o:LockedField>false</o:LockedField>
                </o:OLEObject>
              </w:object>
            </w:r>
          </w:p>
          <w:p>
            <w:pPr>
              <w:spacing w:line="360" w:lineRule="auto"/>
              <w:jc w:val="center"/>
              <w:rPr>
                <w:sz w:val="24"/>
              </w:rPr>
            </w:pPr>
            <w:r>
              <w:rPr>
                <w:sz w:val="24"/>
              </w:rPr>
              <w:t>A</w:t>
            </w:r>
            <w:r>
              <w:rPr>
                <w:sz w:val="24"/>
                <w:vertAlign w:val="subscript"/>
              </w:rPr>
              <w:t>oct atm</w:t>
            </w:r>
            <w:r>
              <w:rPr>
                <w:sz w:val="24"/>
              </w:rPr>
              <w:t>=α(r-r</w:t>
            </w:r>
            <w:r>
              <w:rPr>
                <w:sz w:val="24"/>
                <w:vertAlign w:val="subscript"/>
              </w:rPr>
              <w:t>0</w:t>
            </w:r>
            <w:r>
              <w:rPr>
                <w:sz w:val="24"/>
              </w:rPr>
              <w:t>)/100；</w:t>
            </w:r>
          </w:p>
          <w:p>
            <w:pPr>
              <w:spacing w:line="360" w:lineRule="auto"/>
              <w:jc w:val="center"/>
              <w:rPr>
                <w:sz w:val="24"/>
              </w:rPr>
            </w:pPr>
            <w:r>
              <w:rPr>
                <w:sz w:val="24"/>
              </w:rPr>
              <w:t>A</w:t>
            </w:r>
            <w:r>
              <w:rPr>
                <w:sz w:val="24"/>
                <w:vertAlign w:val="subscript"/>
              </w:rPr>
              <w:t>exc</w:t>
            </w:r>
            <w:r>
              <w:rPr>
                <w:sz w:val="24"/>
              </w:rPr>
              <w:t>=5lg(r-r</w:t>
            </w:r>
            <w:r>
              <w:rPr>
                <w:sz w:val="24"/>
                <w:vertAlign w:val="subscript"/>
              </w:rPr>
              <w:t>0</w:t>
            </w:r>
            <w:r>
              <w:rPr>
                <w:sz w:val="24"/>
              </w:rPr>
              <w:t>)；</w:t>
            </w:r>
          </w:p>
          <w:p>
            <w:pPr>
              <w:spacing w:line="360" w:lineRule="auto"/>
              <w:ind w:firstLine="436" w:firstLineChars="182"/>
              <w:rPr>
                <w:sz w:val="24"/>
              </w:rPr>
            </w:pPr>
            <w:r>
              <w:rPr>
                <w:rFonts w:hint="eastAsia" w:ascii="宋体" w:hAnsi="宋体" w:cs="宋体"/>
                <w:sz w:val="24"/>
              </w:rPr>
              <w:t>②</w:t>
            </w:r>
            <w:r>
              <w:rPr>
                <w:sz w:val="24"/>
              </w:rPr>
              <w:t>如果已知声源的倍频带声功率级L</w:t>
            </w:r>
            <w:r>
              <w:rPr>
                <w:sz w:val="24"/>
                <w:vertAlign w:val="subscript"/>
              </w:rPr>
              <w:t>w cot</w:t>
            </w:r>
            <w:r>
              <w:rPr>
                <w:sz w:val="24"/>
              </w:rPr>
              <w:t>，且声源可看作是位于地面上的，则：</w:t>
            </w:r>
          </w:p>
          <w:p>
            <w:pPr>
              <w:spacing w:line="360" w:lineRule="auto"/>
              <w:jc w:val="center"/>
              <w:rPr>
                <w:sz w:val="24"/>
              </w:rPr>
            </w:pPr>
            <w:r>
              <w:rPr>
                <w:sz w:val="24"/>
              </w:rPr>
              <w:t>L</w:t>
            </w:r>
            <w:r>
              <w:rPr>
                <w:sz w:val="24"/>
                <w:vertAlign w:val="subscript"/>
              </w:rPr>
              <w:t>cot</w:t>
            </w:r>
            <w:r>
              <w:rPr>
                <w:sz w:val="24"/>
              </w:rPr>
              <w:t>=L</w:t>
            </w:r>
            <w:r>
              <w:rPr>
                <w:sz w:val="24"/>
                <w:vertAlign w:val="subscript"/>
              </w:rPr>
              <w:t>w cot</w:t>
            </w:r>
            <w:r>
              <w:rPr>
                <w:sz w:val="24"/>
              </w:rPr>
              <w:t>-20lgr</w:t>
            </w:r>
            <w:r>
              <w:rPr>
                <w:sz w:val="24"/>
                <w:vertAlign w:val="subscript"/>
              </w:rPr>
              <w:t>0</w:t>
            </w:r>
            <w:r>
              <w:rPr>
                <w:sz w:val="24"/>
              </w:rPr>
              <w:t>-8</w:t>
            </w:r>
          </w:p>
          <w:p>
            <w:pPr>
              <w:spacing w:line="360" w:lineRule="auto"/>
              <w:ind w:firstLine="436" w:firstLineChars="182"/>
              <w:rPr>
                <w:sz w:val="24"/>
              </w:rPr>
            </w:pPr>
            <w:r>
              <w:rPr>
                <w:rFonts w:hint="eastAsia" w:ascii="宋体" w:hAnsi="宋体" w:cs="宋体"/>
                <w:sz w:val="24"/>
              </w:rPr>
              <w:t>③</w:t>
            </w:r>
            <w:r>
              <w:rPr>
                <w:sz w:val="24"/>
              </w:rPr>
              <w:t>由各倍频带声压级合成计算出该声源产生的A声级L</w:t>
            </w:r>
            <w:r>
              <w:rPr>
                <w:sz w:val="24"/>
                <w:vertAlign w:val="subscript"/>
              </w:rPr>
              <w:t>A</w:t>
            </w:r>
            <w:r>
              <w:rPr>
                <w:sz w:val="24"/>
              </w:rPr>
              <w:t>：</w:t>
            </w:r>
          </w:p>
          <w:p>
            <w:pPr>
              <w:spacing w:line="360" w:lineRule="auto"/>
              <w:jc w:val="center"/>
              <w:rPr>
                <w:sz w:val="24"/>
              </w:rPr>
            </w:pPr>
            <w:r>
              <w:rPr>
                <w:position w:val="-30"/>
                <w:sz w:val="24"/>
              </w:rPr>
              <w:object>
                <v:shape id="_x0000_i1031" o:spt="75" type="#_x0000_t75" style="height:34.4pt;width:131.2pt;" o:ole="t" fillcolor="#6D6D6D" filled="f" o:preferrelative="t" stroked="f" coordsize="21600,21600">
                  <v:path/>
                  <v:fill on="f" focussize="0,0"/>
                  <v:stroke on="f" joinstyle="miter"/>
                  <v:imagedata r:id="rId65" o:title=""/>
                  <o:lock v:ext="edit" aspectratio="t"/>
                  <w10:wrap type="none"/>
                  <w10:anchorlock/>
                </v:shape>
                <o:OLEObject Type="Embed" ProgID="Equation.3" ShapeID="_x0000_i1031" DrawAspect="Content" ObjectID="_1468075731" r:id="rId64">
                  <o:LockedField>false</o:LockedField>
                </o:OLEObject>
              </w:object>
            </w:r>
          </w:p>
          <w:p>
            <w:pPr>
              <w:spacing w:line="360" w:lineRule="auto"/>
              <w:ind w:firstLine="480"/>
              <w:rPr>
                <w:sz w:val="24"/>
              </w:rPr>
            </w:pPr>
            <w:r>
              <w:rPr>
                <w:sz w:val="24"/>
              </w:rPr>
              <w:t xml:space="preserve">    式中ΔLi为A计权网络修正值。</w:t>
            </w:r>
          </w:p>
          <w:p>
            <w:pPr>
              <w:spacing w:line="360" w:lineRule="auto"/>
              <w:ind w:firstLine="436" w:firstLineChars="182"/>
              <w:rPr>
                <w:sz w:val="24"/>
              </w:rPr>
            </w:pPr>
            <w:r>
              <w:rPr>
                <w:rFonts w:hint="eastAsia" w:ascii="宋体" w:hAnsi="宋体" w:cs="宋体"/>
                <w:sz w:val="24"/>
              </w:rPr>
              <w:t>④</w:t>
            </w:r>
            <w:r>
              <w:rPr>
                <w:sz w:val="24"/>
              </w:rPr>
              <w:t>各声源在预测点产生的声级的合成</w:t>
            </w:r>
          </w:p>
          <w:p>
            <w:pPr>
              <w:spacing w:line="360" w:lineRule="auto"/>
              <w:jc w:val="center"/>
              <w:rPr>
                <w:sz w:val="24"/>
              </w:rPr>
            </w:pPr>
            <w:r>
              <w:rPr>
                <w:position w:val="-30"/>
                <w:sz w:val="24"/>
              </w:rPr>
              <w:object>
                <v:shape id="_x0000_i1032" o:spt="75" type="#_x0000_t75" style="height:34.4pt;width:108pt;" o:ole="t" fillcolor="#6D6D6D" filled="f" o:preferrelative="t" stroked="f" coordsize="21600,21600">
                  <v:path/>
                  <v:fill on="f" focussize="0,0"/>
                  <v:stroke on="f" joinstyle="miter"/>
                  <v:imagedata r:id="rId67" o:title=""/>
                  <o:lock v:ext="edit" aspectratio="t"/>
                  <w10:wrap type="none"/>
                  <w10:anchorlock/>
                </v:shape>
                <o:OLEObject Type="Embed" ProgID="Equation.3" ShapeID="_x0000_i1032" DrawAspect="Content" ObjectID="_1468075732" r:id="rId66">
                  <o:LockedField>false</o:LockedField>
                </o:OLEObject>
              </w:object>
            </w:r>
          </w:p>
          <w:p>
            <w:pPr>
              <w:spacing w:line="360" w:lineRule="auto"/>
              <w:ind w:firstLine="480"/>
              <w:rPr>
                <w:sz w:val="24"/>
              </w:rPr>
            </w:pPr>
            <w:r>
              <w:rPr>
                <w:sz w:val="24"/>
              </w:rPr>
              <w:t>2&gt;室内点声源的预测</w:t>
            </w:r>
          </w:p>
          <w:p>
            <w:pPr>
              <w:spacing w:line="360" w:lineRule="auto"/>
              <w:ind w:firstLine="436" w:firstLineChars="182"/>
              <w:rPr>
                <w:sz w:val="24"/>
              </w:rPr>
            </w:pPr>
            <w:r>
              <w:rPr>
                <w:rFonts w:hint="eastAsia" w:ascii="宋体" w:hAnsi="宋体" w:cs="宋体"/>
                <w:sz w:val="24"/>
              </w:rPr>
              <w:t>①</w:t>
            </w:r>
            <w:r>
              <w:rPr>
                <w:sz w:val="24"/>
              </w:rPr>
              <w:t>室内靠近围护结构处的倍频带声压级：</w:t>
            </w:r>
          </w:p>
          <w:p>
            <w:pPr>
              <w:spacing w:line="360" w:lineRule="auto"/>
              <w:jc w:val="center"/>
              <w:rPr>
                <w:sz w:val="24"/>
              </w:rPr>
            </w:pPr>
            <w:r>
              <w:rPr>
                <w:position w:val="-32"/>
                <w:sz w:val="24"/>
              </w:rPr>
              <w:object>
                <v:shape id="_x0000_i1033" o:spt="75" type="#_x0000_t75" style="height:36pt;width:149.6pt;" o:ole="t" fillcolor="#6D6D6D" filled="f" o:preferrelative="t" stroked="f" coordsize="21600,21600">
                  <v:path/>
                  <v:fill on="f" focussize="0,0"/>
                  <v:stroke on="f" joinstyle="miter"/>
                  <v:imagedata r:id="rId69" o:title=""/>
                  <o:lock v:ext="edit" aspectratio="t"/>
                  <w10:wrap type="none"/>
                  <w10:anchorlock/>
                </v:shape>
                <o:OLEObject Type="Embed" ProgID="Equation.3" ShapeID="_x0000_i1033" DrawAspect="Content" ObjectID="_1468075733" r:id="rId68">
                  <o:LockedField>false</o:LockedField>
                </o:OLEObject>
              </w:object>
            </w:r>
          </w:p>
          <w:p>
            <w:pPr>
              <w:spacing w:line="360" w:lineRule="auto"/>
              <w:ind w:firstLine="480"/>
              <w:rPr>
                <w:sz w:val="24"/>
              </w:rPr>
            </w:pPr>
            <w:r>
              <w:rPr>
                <w:sz w:val="24"/>
              </w:rPr>
              <w:t xml:space="preserve">    式中：r1为室内某源距离围护结构的距离；</w:t>
            </w:r>
          </w:p>
          <w:p>
            <w:pPr>
              <w:spacing w:line="360" w:lineRule="auto"/>
              <w:ind w:firstLine="480"/>
              <w:rPr>
                <w:sz w:val="24"/>
              </w:rPr>
            </w:pPr>
            <w:r>
              <w:rPr>
                <w:sz w:val="24"/>
              </w:rPr>
              <w:t xml:space="preserve">          R为房间常数；</w:t>
            </w:r>
          </w:p>
          <w:p>
            <w:pPr>
              <w:spacing w:line="360" w:lineRule="auto"/>
              <w:ind w:firstLine="480"/>
              <w:rPr>
                <w:sz w:val="24"/>
              </w:rPr>
            </w:pPr>
            <w:r>
              <w:rPr>
                <w:sz w:val="24"/>
              </w:rPr>
              <w:t xml:space="preserve">          Q为方向性因子。</w:t>
            </w:r>
          </w:p>
          <w:p>
            <w:pPr>
              <w:spacing w:line="360" w:lineRule="auto"/>
              <w:ind w:firstLine="436" w:firstLineChars="182"/>
              <w:rPr>
                <w:sz w:val="24"/>
              </w:rPr>
            </w:pPr>
            <w:r>
              <w:rPr>
                <w:rFonts w:hint="eastAsia" w:ascii="宋体" w:hAnsi="宋体" w:cs="宋体"/>
                <w:sz w:val="24"/>
              </w:rPr>
              <w:t>②</w:t>
            </w:r>
            <w:r>
              <w:rPr>
                <w:sz w:val="24"/>
              </w:rPr>
              <w:t>室内声源在靠近围护结构处产生的总倍频带声压级：</w:t>
            </w:r>
          </w:p>
          <w:p>
            <w:pPr>
              <w:spacing w:line="360" w:lineRule="auto"/>
              <w:jc w:val="center"/>
              <w:rPr>
                <w:sz w:val="24"/>
              </w:rPr>
            </w:pPr>
            <w:r>
              <w:rPr>
                <w:position w:val="-30"/>
                <w:sz w:val="24"/>
              </w:rPr>
              <w:object>
                <v:shape id="_x0000_i1034" o:spt="75" type="#_x0000_t75" style="height:34.4pt;width:144pt;" o:ole="t" fillcolor="#6D6D6D" filled="f" o:preferrelative="t" stroked="f" coordsize="21600,21600">
                  <v:path/>
                  <v:fill on="f" focussize="0,0"/>
                  <v:stroke on="f" joinstyle="miter"/>
                  <v:imagedata r:id="rId71" o:title=""/>
                  <o:lock v:ext="edit" aspectratio="t"/>
                  <w10:wrap type="none"/>
                  <w10:anchorlock/>
                </v:shape>
                <o:OLEObject Type="Embed" ProgID="Equation.3" ShapeID="_x0000_i1034" DrawAspect="Content" ObjectID="_1468075734" r:id="rId70">
                  <o:LockedField>false</o:LockedField>
                </o:OLEObject>
              </w:object>
            </w:r>
          </w:p>
          <w:p>
            <w:pPr>
              <w:spacing w:line="360" w:lineRule="auto"/>
              <w:ind w:firstLine="436" w:firstLineChars="182"/>
              <w:rPr>
                <w:sz w:val="24"/>
              </w:rPr>
            </w:pPr>
            <w:r>
              <w:rPr>
                <w:rFonts w:hint="eastAsia" w:ascii="宋体" w:hAnsi="宋体" w:cs="宋体"/>
                <w:sz w:val="24"/>
              </w:rPr>
              <w:t>③</w:t>
            </w:r>
            <w:r>
              <w:rPr>
                <w:sz w:val="24"/>
              </w:rPr>
              <w:t>室外靠近围护结构处的总的声压级：</w:t>
            </w:r>
          </w:p>
          <w:p>
            <w:pPr>
              <w:pStyle w:val="14"/>
              <w:spacing w:line="360" w:lineRule="auto"/>
              <w:jc w:val="center"/>
              <w:rPr>
                <w:sz w:val="24"/>
                <w:szCs w:val="24"/>
              </w:rPr>
            </w:pPr>
            <w:r>
              <w:rPr>
                <w:sz w:val="24"/>
                <w:szCs w:val="24"/>
              </w:rPr>
              <w:t>L</w:t>
            </w:r>
            <w:r>
              <w:rPr>
                <w:sz w:val="24"/>
                <w:szCs w:val="24"/>
                <w:vertAlign w:val="subscript"/>
              </w:rPr>
              <w:t>oct,1</w:t>
            </w:r>
            <w:r>
              <w:rPr>
                <w:sz w:val="24"/>
                <w:szCs w:val="24"/>
              </w:rPr>
              <w:t>(T)=L</w:t>
            </w:r>
            <w:r>
              <w:rPr>
                <w:sz w:val="24"/>
                <w:szCs w:val="24"/>
                <w:vertAlign w:val="subscript"/>
              </w:rPr>
              <w:t>0ct,1</w:t>
            </w:r>
            <w:r>
              <w:rPr>
                <w:sz w:val="24"/>
                <w:szCs w:val="24"/>
              </w:rPr>
              <w:t>(T)-(T</w:t>
            </w:r>
            <w:r>
              <w:rPr>
                <w:sz w:val="24"/>
                <w:szCs w:val="24"/>
                <w:vertAlign w:val="subscript"/>
              </w:rPr>
              <w:t>loct</w:t>
            </w:r>
            <w:r>
              <w:rPr>
                <w:sz w:val="24"/>
                <w:szCs w:val="24"/>
              </w:rPr>
              <w:t>+6)</w:t>
            </w:r>
          </w:p>
          <w:p>
            <w:pPr>
              <w:spacing w:line="360" w:lineRule="auto"/>
              <w:ind w:firstLine="436" w:firstLineChars="182"/>
              <w:rPr>
                <w:sz w:val="24"/>
              </w:rPr>
            </w:pPr>
            <w:r>
              <w:rPr>
                <w:rFonts w:hint="eastAsia" w:ascii="宋体" w:hAnsi="宋体" w:cs="宋体"/>
                <w:sz w:val="24"/>
              </w:rPr>
              <w:t>④</w:t>
            </w:r>
            <w:r>
              <w:rPr>
                <w:sz w:val="24"/>
              </w:rPr>
              <w:t>室外声压级换算成等效的室外声源：</w:t>
            </w:r>
          </w:p>
          <w:p>
            <w:pPr>
              <w:spacing w:line="360" w:lineRule="auto"/>
              <w:jc w:val="center"/>
              <w:outlineLvl w:val="0"/>
              <w:rPr>
                <w:sz w:val="24"/>
              </w:rPr>
            </w:pPr>
            <w:bookmarkStart w:id="21" w:name="_Toc95498707"/>
            <w:bookmarkStart w:id="22" w:name="_Toc94192115"/>
            <w:bookmarkStart w:id="23" w:name="_Toc99010639"/>
            <w:bookmarkStart w:id="24" w:name="_Toc66981816"/>
            <w:r>
              <w:rPr>
                <w:sz w:val="24"/>
              </w:rPr>
              <w:t>L</w:t>
            </w:r>
            <w:r>
              <w:rPr>
                <w:sz w:val="24"/>
                <w:vertAlign w:val="subscript"/>
              </w:rPr>
              <w:t>w oct</w:t>
            </w:r>
            <w:r>
              <w:rPr>
                <w:sz w:val="24"/>
              </w:rPr>
              <w:t>=L</w:t>
            </w:r>
            <w:r>
              <w:rPr>
                <w:sz w:val="24"/>
                <w:vertAlign w:val="subscript"/>
              </w:rPr>
              <w:t>oct,2</w:t>
            </w:r>
            <w:r>
              <w:rPr>
                <w:sz w:val="24"/>
              </w:rPr>
              <w:t>(T)+10lgS</w:t>
            </w:r>
            <w:bookmarkEnd w:id="21"/>
            <w:bookmarkEnd w:id="22"/>
            <w:bookmarkEnd w:id="23"/>
            <w:bookmarkEnd w:id="24"/>
          </w:p>
          <w:p>
            <w:pPr>
              <w:spacing w:line="360" w:lineRule="auto"/>
              <w:ind w:firstLine="480"/>
              <w:rPr>
                <w:sz w:val="24"/>
              </w:rPr>
            </w:pPr>
            <w:r>
              <w:rPr>
                <w:sz w:val="24"/>
              </w:rPr>
              <w:t xml:space="preserve">    式中：S为透声面积。</w:t>
            </w:r>
          </w:p>
          <w:p>
            <w:pPr>
              <w:spacing w:line="360" w:lineRule="auto"/>
              <w:ind w:firstLine="480"/>
              <w:rPr>
                <w:sz w:val="24"/>
              </w:rPr>
            </w:pPr>
            <w:r>
              <w:rPr>
                <w:rFonts w:hint="eastAsia" w:ascii="宋体" w:hAnsi="宋体" w:cs="宋体"/>
                <w:sz w:val="24"/>
              </w:rPr>
              <w:t>⑤</w:t>
            </w:r>
            <w:r>
              <w:rPr>
                <w:sz w:val="24"/>
              </w:rPr>
              <w:t>等效室外声源的位置为围护结构的位置，其倍频带声功率级为L</w:t>
            </w:r>
            <w:r>
              <w:rPr>
                <w:sz w:val="24"/>
                <w:vertAlign w:val="subscript"/>
              </w:rPr>
              <w:t>w oct</w:t>
            </w:r>
            <w:r>
              <w:rPr>
                <w:sz w:val="24"/>
              </w:rPr>
              <w:t>，由此按室外声源方法计算等效室外声源在预测点产生的声级。</w:t>
            </w:r>
          </w:p>
          <w:p>
            <w:pPr>
              <w:spacing w:line="360" w:lineRule="auto"/>
              <w:ind w:firstLine="480"/>
              <w:rPr>
                <w:sz w:val="24"/>
              </w:rPr>
            </w:pPr>
            <w:r>
              <w:rPr>
                <w:sz w:val="24"/>
              </w:rPr>
              <w:t>根据拟建项目的特点和现有的资料数据，对计算模式进行简化并进行估算，为充分估算声源对周围环境的影响，对不满足计算条件的小额正衰减予以忽略，在此基础上进一步计算各预测点的声级。先计算设备噪声到各预测点的声压级合成，即以车间或装置作为一个整体声源，分段以不同模式测算其对外辐射的衰减量，预测各主要场源对单独存在时对厂界及外环境噪声的影响，并合成设备声源对受声点的影响。</w:t>
            </w:r>
          </w:p>
          <w:p>
            <w:pPr>
              <w:spacing w:line="360" w:lineRule="auto"/>
              <w:ind w:firstLine="480"/>
              <w:rPr>
                <w:sz w:val="24"/>
              </w:rPr>
            </w:pPr>
            <w:r>
              <w:rPr>
                <w:sz w:val="24"/>
              </w:rPr>
              <w:t>本项目为新建项目，根据《环境影响评价技术导则——声环境》将项目噪声贡献值作为评价量（项目夜间不生产），结果见表4-10。</w:t>
            </w:r>
          </w:p>
          <w:p>
            <w:pPr>
              <w:tabs>
                <w:tab w:val="left" w:pos="5670"/>
              </w:tabs>
              <w:spacing w:line="360" w:lineRule="auto"/>
              <w:ind w:firstLine="480" w:firstLineChars="200"/>
              <w:jc w:val="center"/>
              <w:rPr>
                <w:snapToGrid w:val="0"/>
                <w:kern w:val="0"/>
                <w:sz w:val="24"/>
              </w:rPr>
            </w:pPr>
            <w:r>
              <w:rPr>
                <w:snapToGrid w:val="0"/>
                <w:kern w:val="0"/>
                <w:sz w:val="24"/>
              </w:rPr>
              <w:t>表4-10  建设项目噪声预测结果表    单位：dB(A)</w:t>
            </w:r>
          </w:p>
          <w:tbl>
            <w:tblPr>
              <w:tblStyle w:val="38"/>
              <w:tblW w:w="0" w:type="auto"/>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855"/>
              <w:gridCol w:w="1419"/>
              <w:gridCol w:w="1107"/>
              <w:gridCol w:w="1308"/>
              <w:gridCol w:w="1205"/>
              <w:gridCol w:w="1078"/>
              <w:gridCol w:w="1205"/>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44" w:hRule="atLeast"/>
                <w:jc w:val="center"/>
              </w:trPr>
              <w:tc>
                <w:tcPr>
                  <w:tcW w:w="855" w:type="dxa"/>
                  <w:vMerge w:val="restart"/>
                  <w:vAlign w:val="center"/>
                </w:tcPr>
                <w:p>
                  <w:pPr>
                    <w:autoSpaceDE w:val="0"/>
                    <w:autoSpaceDN w:val="0"/>
                    <w:jc w:val="center"/>
                    <w:rPr>
                      <w:b/>
                      <w:bCs/>
                      <w:kern w:val="0"/>
                      <w:szCs w:val="21"/>
                    </w:rPr>
                  </w:pPr>
                  <w:r>
                    <w:rPr>
                      <w:b/>
                      <w:bCs/>
                      <w:kern w:val="0"/>
                      <w:szCs w:val="21"/>
                    </w:rPr>
                    <w:t>预测点</w:t>
                  </w:r>
                </w:p>
              </w:tc>
              <w:tc>
                <w:tcPr>
                  <w:tcW w:w="1419" w:type="dxa"/>
                  <w:vMerge w:val="restart"/>
                  <w:vAlign w:val="center"/>
                </w:tcPr>
                <w:p>
                  <w:pPr>
                    <w:autoSpaceDE w:val="0"/>
                    <w:autoSpaceDN w:val="0"/>
                    <w:jc w:val="center"/>
                    <w:rPr>
                      <w:b/>
                      <w:bCs/>
                      <w:kern w:val="0"/>
                      <w:szCs w:val="21"/>
                    </w:rPr>
                  </w:pPr>
                  <w:r>
                    <w:rPr>
                      <w:b/>
                      <w:bCs/>
                      <w:kern w:val="0"/>
                      <w:szCs w:val="21"/>
                    </w:rPr>
                    <w:t>噪声源</w:t>
                  </w:r>
                </w:p>
              </w:tc>
              <w:tc>
                <w:tcPr>
                  <w:tcW w:w="1107" w:type="dxa"/>
                  <w:vMerge w:val="restart"/>
                  <w:vAlign w:val="center"/>
                </w:tcPr>
                <w:p>
                  <w:pPr>
                    <w:autoSpaceDE w:val="0"/>
                    <w:autoSpaceDN w:val="0"/>
                    <w:jc w:val="center"/>
                    <w:rPr>
                      <w:b/>
                      <w:bCs/>
                      <w:kern w:val="0"/>
                      <w:szCs w:val="21"/>
                    </w:rPr>
                  </w:pPr>
                  <w:r>
                    <w:rPr>
                      <w:b/>
                      <w:bCs/>
                      <w:szCs w:val="21"/>
                    </w:rPr>
                    <w:t>治理后声级dB(A)</w:t>
                  </w:r>
                </w:p>
              </w:tc>
              <w:tc>
                <w:tcPr>
                  <w:tcW w:w="1308" w:type="dxa"/>
                  <w:vMerge w:val="restart"/>
                  <w:vAlign w:val="center"/>
                </w:tcPr>
                <w:p>
                  <w:pPr>
                    <w:autoSpaceDE w:val="0"/>
                    <w:autoSpaceDN w:val="0"/>
                    <w:jc w:val="center"/>
                    <w:rPr>
                      <w:b/>
                      <w:bCs/>
                      <w:kern w:val="0"/>
                      <w:szCs w:val="21"/>
                    </w:rPr>
                  </w:pPr>
                  <w:r>
                    <w:rPr>
                      <w:b/>
                      <w:bCs/>
                      <w:kern w:val="0"/>
                      <w:szCs w:val="21"/>
                    </w:rPr>
                    <w:t>与厂界最近距离</w:t>
                  </w:r>
                </w:p>
              </w:tc>
              <w:tc>
                <w:tcPr>
                  <w:tcW w:w="1205" w:type="dxa"/>
                  <w:vMerge w:val="restart"/>
                  <w:vAlign w:val="center"/>
                </w:tcPr>
                <w:p>
                  <w:pPr>
                    <w:autoSpaceDE w:val="0"/>
                    <w:autoSpaceDN w:val="0"/>
                    <w:jc w:val="center"/>
                    <w:rPr>
                      <w:b/>
                      <w:bCs/>
                      <w:kern w:val="0"/>
                      <w:szCs w:val="21"/>
                    </w:rPr>
                  </w:pPr>
                  <w:r>
                    <w:rPr>
                      <w:b/>
                      <w:bCs/>
                      <w:kern w:val="0"/>
                      <w:szCs w:val="21"/>
                    </w:rPr>
                    <w:t>贡献值dB(A)</w:t>
                  </w:r>
                </w:p>
              </w:tc>
              <w:tc>
                <w:tcPr>
                  <w:tcW w:w="1078" w:type="dxa"/>
                  <w:vMerge w:val="restart"/>
                  <w:vAlign w:val="center"/>
                </w:tcPr>
                <w:p>
                  <w:pPr>
                    <w:autoSpaceDE w:val="0"/>
                    <w:autoSpaceDN w:val="0"/>
                    <w:jc w:val="center"/>
                    <w:rPr>
                      <w:b/>
                      <w:bCs/>
                      <w:kern w:val="0"/>
                      <w:szCs w:val="21"/>
                    </w:rPr>
                  </w:pPr>
                  <w:r>
                    <w:rPr>
                      <w:b/>
                      <w:bCs/>
                      <w:kern w:val="0"/>
                      <w:szCs w:val="21"/>
                    </w:rPr>
                    <w:t>背景值dB(A)</w:t>
                  </w:r>
                </w:p>
              </w:tc>
              <w:tc>
                <w:tcPr>
                  <w:tcW w:w="1205" w:type="dxa"/>
                  <w:vAlign w:val="center"/>
                </w:tcPr>
                <w:p>
                  <w:pPr>
                    <w:autoSpaceDE w:val="0"/>
                    <w:autoSpaceDN w:val="0"/>
                    <w:jc w:val="center"/>
                    <w:rPr>
                      <w:b/>
                      <w:bCs/>
                      <w:kern w:val="0"/>
                      <w:szCs w:val="21"/>
                    </w:rPr>
                  </w:pPr>
                  <w:r>
                    <w:rPr>
                      <w:b/>
                      <w:bCs/>
                      <w:kern w:val="0"/>
                      <w:szCs w:val="21"/>
                    </w:rPr>
                    <w:t>评价量dB(A)</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85" w:hRule="atLeast"/>
                <w:jc w:val="center"/>
              </w:trPr>
              <w:tc>
                <w:tcPr>
                  <w:tcW w:w="855" w:type="dxa"/>
                  <w:vMerge w:val="continue"/>
                  <w:vAlign w:val="center"/>
                </w:tcPr>
                <w:p>
                  <w:pPr>
                    <w:autoSpaceDE w:val="0"/>
                    <w:autoSpaceDN w:val="0"/>
                    <w:jc w:val="center"/>
                    <w:rPr>
                      <w:b/>
                      <w:bCs/>
                      <w:kern w:val="0"/>
                      <w:szCs w:val="21"/>
                    </w:rPr>
                  </w:pPr>
                </w:p>
              </w:tc>
              <w:tc>
                <w:tcPr>
                  <w:tcW w:w="1419" w:type="dxa"/>
                  <w:vMerge w:val="continue"/>
                  <w:vAlign w:val="center"/>
                </w:tcPr>
                <w:p>
                  <w:pPr>
                    <w:autoSpaceDE w:val="0"/>
                    <w:autoSpaceDN w:val="0"/>
                    <w:jc w:val="center"/>
                    <w:rPr>
                      <w:b/>
                      <w:bCs/>
                      <w:kern w:val="0"/>
                      <w:szCs w:val="21"/>
                    </w:rPr>
                  </w:pPr>
                </w:p>
              </w:tc>
              <w:tc>
                <w:tcPr>
                  <w:tcW w:w="1107" w:type="dxa"/>
                  <w:vMerge w:val="continue"/>
                  <w:vAlign w:val="center"/>
                </w:tcPr>
                <w:p>
                  <w:pPr>
                    <w:autoSpaceDE w:val="0"/>
                    <w:autoSpaceDN w:val="0"/>
                    <w:jc w:val="center"/>
                    <w:rPr>
                      <w:b/>
                      <w:bCs/>
                      <w:kern w:val="0"/>
                      <w:szCs w:val="21"/>
                    </w:rPr>
                  </w:pPr>
                </w:p>
              </w:tc>
              <w:tc>
                <w:tcPr>
                  <w:tcW w:w="1308" w:type="dxa"/>
                  <w:vMerge w:val="continue"/>
                  <w:vAlign w:val="center"/>
                </w:tcPr>
                <w:p>
                  <w:pPr>
                    <w:autoSpaceDE w:val="0"/>
                    <w:autoSpaceDN w:val="0"/>
                    <w:jc w:val="center"/>
                    <w:rPr>
                      <w:b/>
                      <w:bCs/>
                      <w:kern w:val="0"/>
                      <w:szCs w:val="21"/>
                    </w:rPr>
                  </w:pPr>
                </w:p>
              </w:tc>
              <w:tc>
                <w:tcPr>
                  <w:tcW w:w="1205" w:type="dxa"/>
                  <w:vMerge w:val="continue"/>
                  <w:vAlign w:val="center"/>
                </w:tcPr>
                <w:p>
                  <w:pPr>
                    <w:autoSpaceDE w:val="0"/>
                    <w:autoSpaceDN w:val="0"/>
                    <w:jc w:val="center"/>
                    <w:rPr>
                      <w:b/>
                      <w:bCs/>
                      <w:kern w:val="0"/>
                      <w:szCs w:val="21"/>
                    </w:rPr>
                  </w:pPr>
                </w:p>
              </w:tc>
              <w:tc>
                <w:tcPr>
                  <w:tcW w:w="1078" w:type="dxa"/>
                  <w:vMerge w:val="continue"/>
                  <w:vAlign w:val="center"/>
                </w:tcPr>
                <w:p>
                  <w:pPr>
                    <w:autoSpaceDE w:val="0"/>
                    <w:autoSpaceDN w:val="0"/>
                    <w:jc w:val="center"/>
                    <w:rPr>
                      <w:b/>
                      <w:bCs/>
                      <w:kern w:val="0"/>
                      <w:szCs w:val="21"/>
                    </w:rPr>
                  </w:pPr>
                </w:p>
              </w:tc>
              <w:tc>
                <w:tcPr>
                  <w:tcW w:w="1205" w:type="dxa"/>
                  <w:vAlign w:val="center"/>
                </w:tcPr>
                <w:p>
                  <w:pPr>
                    <w:autoSpaceDE w:val="0"/>
                    <w:autoSpaceDN w:val="0"/>
                    <w:jc w:val="center"/>
                    <w:rPr>
                      <w:b/>
                      <w:bCs/>
                      <w:kern w:val="0"/>
                      <w:szCs w:val="21"/>
                    </w:rPr>
                  </w:pPr>
                  <w:r>
                    <w:rPr>
                      <w:b/>
                      <w:bCs/>
                      <w:kern w:val="0"/>
                      <w:szCs w:val="21"/>
                    </w:rPr>
                    <w:t>预测值</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169" w:hRule="atLeast"/>
                <w:jc w:val="center"/>
              </w:trPr>
              <w:tc>
                <w:tcPr>
                  <w:tcW w:w="855" w:type="dxa"/>
                  <w:vAlign w:val="center"/>
                </w:tcPr>
                <w:p>
                  <w:pPr>
                    <w:autoSpaceDE w:val="0"/>
                    <w:autoSpaceDN w:val="0"/>
                    <w:jc w:val="center"/>
                    <w:rPr>
                      <w:kern w:val="0"/>
                      <w:szCs w:val="21"/>
                    </w:rPr>
                  </w:pPr>
                  <w:r>
                    <w:rPr>
                      <w:kern w:val="0"/>
                      <w:szCs w:val="21"/>
                    </w:rPr>
                    <w:t>东侧</w:t>
                  </w:r>
                </w:p>
              </w:tc>
              <w:tc>
                <w:tcPr>
                  <w:tcW w:w="1419" w:type="dxa"/>
                  <w:vAlign w:val="center"/>
                </w:tcPr>
                <w:p>
                  <w:pPr>
                    <w:pStyle w:val="203"/>
                  </w:pPr>
                  <w:r>
                    <w:t>生产车间</w:t>
                  </w:r>
                </w:p>
              </w:tc>
              <w:tc>
                <w:tcPr>
                  <w:tcW w:w="1107" w:type="dxa"/>
                  <w:vAlign w:val="center"/>
                </w:tcPr>
                <w:p>
                  <w:pPr>
                    <w:autoSpaceDE w:val="0"/>
                    <w:autoSpaceDN w:val="0"/>
                    <w:jc w:val="center"/>
                    <w:rPr>
                      <w:kern w:val="0"/>
                      <w:szCs w:val="21"/>
                    </w:rPr>
                  </w:pPr>
                  <w:r>
                    <w:rPr>
                      <w:kern w:val="0"/>
                      <w:szCs w:val="21"/>
                    </w:rPr>
                    <w:t>68</w:t>
                  </w:r>
                </w:p>
              </w:tc>
              <w:tc>
                <w:tcPr>
                  <w:tcW w:w="1308" w:type="dxa"/>
                  <w:vAlign w:val="center"/>
                </w:tcPr>
                <w:p>
                  <w:pPr>
                    <w:spacing w:line="280" w:lineRule="exact"/>
                    <w:jc w:val="center"/>
                    <w:rPr>
                      <w:kern w:val="0"/>
                      <w:szCs w:val="21"/>
                    </w:rPr>
                  </w:pPr>
                  <w:r>
                    <w:rPr>
                      <w:kern w:val="0"/>
                      <w:szCs w:val="21"/>
                    </w:rPr>
                    <w:t>5</w:t>
                  </w:r>
                </w:p>
              </w:tc>
              <w:tc>
                <w:tcPr>
                  <w:tcW w:w="1205" w:type="dxa"/>
                  <w:vAlign w:val="center"/>
                </w:tcPr>
                <w:p>
                  <w:pPr>
                    <w:autoSpaceDE w:val="0"/>
                    <w:autoSpaceDN w:val="0"/>
                    <w:jc w:val="center"/>
                    <w:rPr>
                      <w:kern w:val="0"/>
                      <w:szCs w:val="21"/>
                    </w:rPr>
                  </w:pPr>
                  <w:r>
                    <w:rPr>
                      <w:kern w:val="0"/>
                      <w:szCs w:val="21"/>
                    </w:rPr>
                    <w:t>54</w:t>
                  </w:r>
                </w:p>
              </w:tc>
              <w:tc>
                <w:tcPr>
                  <w:tcW w:w="1078" w:type="dxa"/>
                  <w:vAlign w:val="center"/>
                </w:tcPr>
                <w:p>
                  <w:pPr>
                    <w:autoSpaceDE w:val="0"/>
                    <w:autoSpaceDN w:val="0"/>
                    <w:jc w:val="center"/>
                    <w:rPr>
                      <w:kern w:val="0"/>
                      <w:szCs w:val="21"/>
                    </w:rPr>
                  </w:pPr>
                  <w:r>
                    <w:rPr>
                      <w:kern w:val="0"/>
                      <w:szCs w:val="21"/>
                    </w:rPr>
                    <w:t>/</w:t>
                  </w:r>
                </w:p>
              </w:tc>
              <w:tc>
                <w:tcPr>
                  <w:tcW w:w="1205" w:type="dxa"/>
                  <w:vAlign w:val="center"/>
                </w:tcPr>
                <w:p>
                  <w:pPr>
                    <w:autoSpaceDE w:val="0"/>
                    <w:autoSpaceDN w:val="0"/>
                    <w:jc w:val="center"/>
                    <w:rPr>
                      <w:kern w:val="0"/>
                      <w:szCs w:val="21"/>
                    </w:rPr>
                  </w:pPr>
                  <w:r>
                    <w:rPr>
                      <w:kern w:val="0"/>
                      <w:szCs w:val="21"/>
                    </w:rPr>
                    <w:t>54</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169" w:hRule="atLeast"/>
                <w:jc w:val="center"/>
              </w:trPr>
              <w:tc>
                <w:tcPr>
                  <w:tcW w:w="855" w:type="dxa"/>
                  <w:vAlign w:val="center"/>
                </w:tcPr>
                <w:p>
                  <w:pPr>
                    <w:autoSpaceDE w:val="0"/>
                    <w:autoSpaceDN w:val="0"/>
                    <w:jc w:val="center"/>
                    <w:rPr>
                      <w:kern w:val="0"/>
                      <w:szCs w:val="21"/>
                    </w:rPr>
                  </w:pPr>
                  <w:r>
                    <w:rPr>
                      <w:kern w:val="0"/>
                      <w:szCs w:val="21"/>
                    </w:rPr>
                    <w:t>南侧</w:t>
                  </w:r>
                </w:p>
              </w:tc>
              <w:tc>
                <w:tcPr>
                  <w:tcW w:w="1419" w:type="dxa"/>
                  <w:vAlign w:val="center"/>
                </w:tcPr>
                <w:p>
                  <w:pPr>
                    <w:pStyle w:val="203"/>
                  </w:pPr>
                  <w:r>
                    <w:t>生产车间</w:t>
                  </w:r>
                </w:p>
              </w:tc>
              <w:tc>
                <w:tcPr>
                  <w:tcW w:w="1107" w:type="dxa"/>
                  <w:vAlign w:val="center"/>
                </w:tcPr>
                <w:p>
                  <w:pPr>
                    <w:autoSpaceDE w:val="0"/>
                    <w:autoSpaceDN w:val="0"/>
                    <w:jc w:val="center"/>
                    <w:rPr>
                      <w:kern w:val="0"/>
                      <w:szCs w:val="21"/>
                    </w:rPr>
                  </w:pPr>
                  <w:r>
                    <w:rPr>
                      <w:kern w:val="0"/>
                      <w:szCs w:val="21"/>
                    </w:rPr>
                    <w:t>68</w:t>
                  </w:r>
                </w:p>
              </w:tc>
              <w:tc>
                <w:tcPr>
                  <w:tcW w:w="1308" w:type="dxa"/>
                  <w:vAlign w:val="center"/>
                </w:tcPr>
                <w:p>
                  <w:pPr>
                    <w:spacing w:line="280" w:lineRule="exact"/>
                    <w:jc w:val="center"/>
                    <w:rPr>
                      <w:kern w:val="0"/>
                      <w:szCs w:val="21"/>
                    </w:rPr>
                  </w:pPr>
                  <w:r>
                    <w:rPr>
                      <w:kern w:val="0"/>
                      <w:szCs w:val="21"/>
                    </w:rPr>
                    <w:t>16.35</w:t>
                  </w:r>
                </w:p>
              </w:tc>
              <w:tc>
                <w:tcPr>
                  <w:tcW w:w="1205" w:type="dxa"/>
                  <w:vAlign w:val="center"/>
                </w:tcPr>
                <w:p>
                  <w:pPr>
                    <w:autoSpaceDE w:val="0"/>
                    <w:autoSpaceDN w:val="0"/>
                    <w:jc w:val="center"/>
                    <w:rPr>
                      <w:kern w:val="0"/>
                      <w:szCs w:val="21"/>
                    </w:rPr>
                  </w:pPr>
                  <w:r>
                    <w:rPr>
                      <w:kern w:val="0"/>
                      <w:szCs w:val="21"/>
                    </w:rPr>
                    <w:t>43</w:t>
                  </w:r>
                </w:p>
              </w:tc>
              <w:tc>
                <w:tcPr>
                  <w:tcW w:w="1078" w:type="dxa"/>
                  <w:vAlign w:val="center"/>
                </w:tcPr>
                <w:p>
                  <w:pPr>
                    <w:autoSpaceDE w:val="0"/>
                    <w:autoSpaceDN w:val="0"/>
                    <w:jc w:val="center"/>
                    <w:rPr>
                      <w:kern w:val="0"/>
                      <w:szCs w:val="21"/>
                    </w:rPr>
                  </w:pPr>
                  <w:r>
                    <w:rPr>
                      <w:kern w:val="0"/>
                      <w:szCs w:val="21"/>
                    </w:rPr>
                    <w:t>/</w:t>
                  </w:r>
                </w:p>
              </w:tc>
              <w:tc>
                <w:tcPr>
                  <w:tcW w:w="1205" w:type="dxa"/>
                  <w:vAlign w:val="center"/>
                </w:tcPr>
                <w:p>
                  <w:pPr>
                    <w:autoSpaceDE w:val="0"/>
                    <w:autoSpaceDN w:val="0"/>
                    <w:jc w:val="center"/>
                    <w:rPr>
                      <w:kern w:val="0"/>
                      <w:szCs w:val="21"/>
                    </w:rPr>
                  </w:pPr>
                  <w:r>
                    <w:rPr>
                      <w:kern w:val="0"/>
                      <w:szCs w:val="21"/>
                    </w:rPr>
                    <w:t>43</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76" w:hRule="atLeast"/>
                <w:jc w:val="center"/>
              </w:trPr>
              <w:tc>
                <w:tcPr>
                  <w:tcW w:w="855" w:type="dxa"/>
                  <w:vAlign w:val="center"/>
                </w:tcPr>
                <w:p>
                  <w:pPr>
                    <w:autoSpaceDE w:val="0"/>
                    <w:autoSpaceDN w:val="0"/>
                    <w:jc w:val="center"/>
                    <w:rPr>
                      <w:kern w:val="0"/>
                      <w:szCs w:val="21"/>
                    </w:rPr>
                  </w:pPr>
                  <w:r>
                    <w:rPr>
                      <w:kern w:val="0"/>
                      <w:szCs w:val="21"/>
                    </w:rPr>
                    <w:t>西侧</w:t>
                  </w:r>
                </w:p>
              </w:tc>
              <w:tc>
                <w:tcPr>
                  <w:tcW w:w="1419" w:type="dxa"/>
                  <w:vAlign w:val="center"/>
                </w:tcPr>
                <w:p>
                  <w:pPr>
                    <w:pStyle w:val="203"/>
                  </w:pPr>
                  <w:r>
                    <w:t>生产车间</w:t>
                  </w:r>
                </w:p>
              </w:tc>
              <w:tc>
                <w:tcPr>
                  <w:tcW w:w="1107" w:type="dxa"/>
                  <w:vAlign w:val="center"/>
                </w:tcPr>
                <w:p>
                  <w:pPr>
                    <w:autoSpaceDE w:val="0"/>
                    <w:autoSpaceDN w:val="0"/>
                    <w:jc w:val="center"/>
                    <w:rPr>
                      <w:kern w:val="0"/>
                      <w:szCs w:val="21"/>
                    </w:rPr>
                  </w:pPr>
                  <w:r>
                    <w:rPr>
                      <w:kern w:val="0"/>
                      <w:szCs w:val="21"/>
                    </w:rPr>
                    <w:t>68</w:t>
                  </w:r>
                </w:p>
              </w:tc>
              <w:tc>
                <w:tcPr>
                  <w:tcW w:w="1308" w:type="dxa"/>
                  <w:vAlign w:val="center"/>
                </w:tcPr>
                <w:p>
                  <w:pPr>
                    <w:spacing w:line="280" w:lineRule="exact"/>
                    <w:jc w:val="center"/>
                    <w:rPr>
                      <w:kern w:val="0"/>
                      <w:szCs w:val="21"/>
                    </w:rPr>
                  </w:pPr>
                  <w:r>
                    <w:rPr>
                      <w:kern w:val="0"/>
                      <w:szCs w:val="21"/>
                    </w:rPr>
                    <w:t>7.54</w:t>
                  </w:r>
                </w:p>
              </w:tc>
              <w:tc>
                <w:tcPr>
                  <w:tcW w:w="1205" w:type="dxa"/>
                  <w:vAlign w:val="center"/>
                </w:tcPr>
                <w:p>
                  <w:pPr>
                    <w:autoSpaceDE w:val="0"/>
                    <w:autoSpaceDN w:val="0"/>
                    <w:jc w:val="center"/>
                    <w:rPr>
                      <w:kern w:val="0"/>
                      <w:szCs w:val="21"/>
                    </w:rPr>
                  </w:pPr>
                  <w:r>
                    <w:rPr>
                      <w:kern w:val="0"/>
                      <w:szCs w:val="21"/>
                    </w:rPr>
                    <w:t>50</w:t>
                  </w:r>
                </w:p>
              </w:tc>
              <w:tc>
                <w:tcPr>
                  <w:tcW w:w="1078" w:type="dxa"/>
                  <w:vAlign w:val="center"/>
                </w:tcPr>
                <w:p>
                  <w:pPr>
                    <w:autoSpaceDE w:val="0"/>
                    <w:autoSpaceDN w:val="0"/>
                    <w:jc w:val="center"/>
                    <w:rPr>
                      <w:kern w:val="0"/>
                      <w:szCs w:val="21"/>
                    </w:rPr>
                  </w:pPr>
                  <w:r>
                    <w:rPr>
                      <w:kern w:val="0"/>
                      <w:szCs w:val="21"/>
                    </w:rPr>
                    <w:t>/</w:t>
                  </w:r>
                </w:p>
              </w:tc>
              <w:tc>
                <w:tcPr>
                  <w:tcW w:w="1205" w:type="dxa"/>
                  <w:vAlign w:val="center"/>
                </w:tcPr>
                <w:p>
                  <w:pPr>
                    <w:autoSpaceDE w:val="0"/>
                    <w:autoSpaceDN w:val="0"/>
                    <w:jc w:val="center"/>
                    <w:rPr>
                      <w:kern w:val="0"/>
                      <w:szCs w:val="21"/>
                    </w:rPr>
                  </w:pPr>
                  <w:r>
                    <w:rPr>
                      <w:kern w:val="0"/>
                      <w:szCs w:val="21"/>
                    </w:rPr>
                    <w:t>50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169" w:hRule="atLeast"/>
                <w:jc w:val="center"/>
              </w:trPr>
              <w:tc>
                <w:tcPr>
                  <w:tcW w:w="855" w:type="dxa"/>
                  <w:vAlign w:val="center"/>
                </w:tcPr>
                <w:p>
                  <w:pPr>
                    <w:autoSpaceDE w:val="0"/>
                    <w:autoSpaceDN w:val="0"/>
                    <w:jc w:val="center"/>
                    <w:rPr>
                      <w:kern w:val="0"/>
                      <w:szCs w:val="21"/>
                    </w:rPr>
                  </w:pPr>
                  <w:r>
                    <w:rPr>
                      <w:kern w:val="0"/>
                      <w:szCs w:val="21"/>
                    </w:rPr>
                    <w:t>北侧</w:t>
                  </w:r>
                </w:p>
              </w:tc>
              <w:tc>
                <w:tcPr>
                  <w:tcW w:w="1419" w:type="dxa"/>
                  <w:vAlign w:val="center"/>
                </w:tcPr>
                <w:p>
                  <w:pPr>
                    <w:pStyle w:val="203"/>
                  </w:pPr>
                  <w:r>
                    <w:t>生产车间</w:t>
                  </w:r>
                </w:p>
              </w:tc>
              <w:tc>
                <w:tcPr>
                  <w:tcW w:w="1107" w:type="dxa"/>
                  <w:vAlign w:val="center"/>
                </w:tcPr>
                <w:p>
                  <w:pPr>
                    <w:autoSpaceDE w:val="0"/>
                    <w:autoSpaceDN w:val="0"/>
                    <w:jc w:val="center"/>
                    <w:rPr>
                      <w:kern w:val="0"/>
                      <w:szCs w:val="21"/>
                    </w:rPr>
                  </w:pPr>
                  <w:r>
                    <w:rPr>
                      <w:kern w:val="0"/>
                      <w:szCs w:val="21"/>
                    </w:rPr>
                    <w:t>68</w:t>
                  </w:r>
                </w:p>
              </w:tc>
              <w:tc>
                <w:tcPr>
                  <w:tcW w:w="1308" w:type="dxa"/>
                  <w:vAlign w:val="center"/>
                </w:tcPr>
                <w:p>
                  <w:pPr>
                    <w:spacing w:line="280" w:lineRule="exact"/>
                    <w:jc w:val="center"/>
                    <w:rPr>
                      <w:kern w:val="0"/>
                      <w:szCs w:val="21"/>
                    </w:rPr>
                  </w:pPr>
                  <w:r>
                    <w:rPr>
                      <w:kern w:val="0"/>
                      <w:szCs w:val="21"/>
                    </w:rPr>
                    <w:t>6</w:t>
                  </w:r>
                </w:p>
              </w:tc>
              <w:tc>
                <w:tcPr>
                  <w:tcW w:w="1205" w:type="dxa"/>
                  <w:vAlign w:val="center"/>
                </w:tcPr>
                <w:p>
                  <w:pPr>
                    <w:autoSpaceDE w:val="0"/>
                    <w:autoSpaceDN w:val="0"/>
                    <w:jc w:val="center"/>
                    <w:rPr>
                      <w:kern w:val="0"/>
                      <w:szCs w:val="21"/>
                    </w:rPr>
                  </w:pPr>
                  <w:r>
                    <w:rPr>
                      <w:kern w:val="0"/>
                      <w:szCs w:val="21"/>
                    </w:rPr>
                    <w:t>52</w:t>
                  </w:r>
                </w:p>
              </w:tc>
              <w:tc>
                <w:tcPr>
                  <w:tcW w:w="1078" w:type="dxa"/>
                  <w:vAlign w:val="center"/>
                </w:tcPr>
                <w:p>
                  <w:pPr>
                    <w:autoSpaceDE w:val="0"/>
                    <w:autoSpaceDN w:val="0"/>
                    <w:jc w:val="center"/>
                    <w:rPr>
                      <w:kern w:val="0"/>
                      <w:szCs w:val="21"/>
                    </w:rPr>
                  </w:pPr>
                  <w:r>
                    <w:rPr>
                      <w:kern w:val="0"/>
                      <w:szCs w:val="21"/>
                    </w:rPr>
                    <w:t>/</w:t>
                  </w:r>
                </w:p>
              </w:tc>
              <w:tc>
                <w:tcPr>
                  <w:tcW w:w="1205" w:type="dxa"/>
                  <w:vAlign w:val="center"/>
                </w:tcPr>
                <w:p>
                  <w:pPr>
                    <w:autoSpaceDE w:val="0"/>
                    <w:autoSpaceDN w:val="0"/>
                    <w:jc w:val="center"/>
                    <w:rPr>
                      <w:kern w:val="0"/>
                      <w:szCs w:val="21"/>
                    </w:rPr>
                  </w:pPr>
                  <w:r>
                    <w:rPr>
                      <w:kern w:val="0"/>
                      <w:szCs w:val="21"/>
                    </w:rPr>
                    <w:t>52</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PrEx>
              <w:trPr>
                <w:trHeight w:val="310" w:hRule="atLeast"/>
                <w:jc w:val="center"/>
              </w:trPr>
              <w:tc>
                <w:tcPr>
                  <w:tcW w:w="2274" w:type="dxa"/>
                  <w:gridSpan w:val="2"/>
                  <w:vAlign w:val="center"/>
                </w:tcPr>
                <w:p>
                  <w:pPr>
                    <w:autoSpaceDE w:val="0"/>
                    <w:autoSpaceDN w:val="0"/>
                    <w:jc w:val="center"/>
                    <w:rPr>
                      <w:szCs w:val="21"/>
                    </w:rPr>
                  </w:pPr>
                  <w:r>
                    <w:rPr>
                      <w:szCs w:val="21"/>
                    </w:rPr>
                    <w:t>执行标准</w:t>
                  </w:r>
                </w:p>
              </w:tc>
              <w:tc>
                <w:tcPr>
                  <w:tcW w:w="5903" w:type="dxa"/>
                  <w:gridSpan w:val="5"/>
                </w:tcPr>
                <w:p>
                  <w:pPr>
                    <w:autoSpaceDE w:val="0"/>
                    <w:autoSpaceDN w:val="0"/>
                    <w:jc w:val="center"/>
                    <w:rPr>
                      <w:kern w:val="0"/>
                      <w:szCs w:val="21"/>
                    </w:rPr>
                  </w:pPr>
                  <w:r>
                    <w:rPr>
                      <w:szCs w:val="21"/>
                    </w:rPr>
                    <w:t>《工业企业厂界环境噪声排放标准》（GB12348-2008）3类标准（昼间</w:t>
                  </w:r>
                  <w:r>
                    <w:rPr>
                      <w:caps/>
                      <w:szCs w:val="21"/>
                    </w:rPr>
                    <w:t>65</w:t>
                  </w:r>
                  <w:r>
                    <w:rPr>
                      <w:snapToGrid w:val="0"/>
                      <w:kern w:val="0"/>
                      <w:sz w:val="24"/>
                    </w:rPr>
                    <w:t>dB(A)</w:t>
                  </w:r>
                  <w:r>
                    <w:rPr>
                      <w:caps/>
                      <w:szCs w:val="21"/>
                    </w:rPr>
                    <w:t>、夜间55</w:t>
                  </w:r>
                  <w:r>
                    <w:rPr>
                      <w:snapToGrid w:val="0"/>
                      <w:kern w:val="0"/>
                      <w:sz w:val="24"/>
                    </w:rPr>
                    <w:t>dB(A)</w:t>
                  </w:r>
                  <w:r>
                    <w:rPr>
                      <w:szCs w:val="21"/>
                    </w:rPr>
                    <w:t>）</w:t>
                  </w:r>
                  <w:r>
                    <w:rPr>
                      <w:kern w:val="0"/>
                      <w:szCs w:val="21"/>
                    </w:rPr>
                    <w:t>。</w:t>
                  </w:r>
                </w:p>
              </w:tc>
            </w:tr>
          </w:tbl>
          <w:p>
            <w:pPr>
              <w:spacing w:line="360" w:lineRule="auto"/>
              <w:ind w:firstLine="480"/>
              <w:rPr>
                <w:sz w:val="24"/>
              </w:rPr>
            </w:pPr>
            <w:r>
              <w:rPr>
                <w:sz w:val="24"/>
              </w:rPr>
              <w:t>表4-10表明，建设项目厂界昼间环境噪声预测值均满足《工业企业厂界环境噪声排放标准》（GB12348—2008）中3类标准。项目周边50m范围内无敏感点，项目噪声对周边敏感点影响较小。在严格落实噪声防治措施后，项目运行对周围声环境无明显影响，不会发生扰民现象。</w:t>
            </w:r>
          </w:p>
          <w:p>
            <w:pPr>
              <w:tabs>
                <w:tab w:val="left" w:pos="5670"/>
              </w:tabs>
              <w:spacing w:line="360" w:lineRule="auto"/>
              <w:ind w:firstLine="480" w:firstLineChars="200"/>
              <w:rPr>
                <w:bCs/>
                <w:sz w:val="24"/>
              </w:rPr>
            </w:pPr>
            <w:r>
              <w:rPr>
                <w:bCs/>
                <w:sz w:val="24"/>
              </w:rPr>
              <w:t>3）监测要求</w:t>
            </w:r>
          </w:p>
          <w:p>
            <w:pPr>
              <w:tabs>
                <w:tab w:val="left" w:pos="5670"/>
              </w:tabs>
              <w:spacing w:line="360" w:lineRule="auto"/>
              <w:ind w:firstLine="480" w:firstLineChars="200"/>
              <w:rPr>
                <w:bCs/>
                <w:sz w:val="24"/>
              </w:rPr>
            </w:pPr>
            <w:r>
              <w:rPr>
                <w:sz w:val="24"/>
              </w:rPr>
              <w:t>根据《排污单位自行监测技术指南 总则》（HJ819）</w:t>
            </w:r>
            <w:r>
              <w:rPr>
                <w:sz w:val="24"/>
                <w:lang w:val="en-GB"/>
              </w:rPr>
              <w:t>制定，详见“环境监测计划”。</w:t>
            </w:r>
          </w:p>
          <w:p>
            <w:pPr>
              <w:tabs>
                <w:tab w:val="left" w:pos="5670"/>
              </w:tabs>
              <w:spacing w:line="360" w:lineRule="auto"/>
              <w:ind w:firstLine="480" w:firstLineChars="200"/>
              <w:rPr>
                <w:sz w:val="24"/>
              </w:rPr>
            </w:pPr>
            <w:r>
              <w:rPr>
                <w:sz w:val="24"/>
              </w:rPr>
              <w:t>综上所述，在严格采取上述隔声降噪措施后，经其距离衰减、厂界围墙隔声后，其厂界噪声可达到《工业企业厂界环境噪声排放标准》（GB 12348-2008）中3类标准昼间65dB（A）、夜间55dB（A）的要求，从而实现达标排放。</w:t>
            </w:r>
          </w:p>
          <w:p>
            <w:pPr>
              <w:tabs>
                <w:tab w:val="left" w:pos="5670"/>
              </w:tabs>
              <w:spacing w:line="360" w:lineRule="auto"/>
              <w:ind w:firstLine="569" w:firstLineChars="236"/>
              <w:rPr>
                <w:b/>
                <w:sz w:val="24"/>
              </w:rPr>
            </w:pPr>
            <w:r>
              <w:rPr>
                <w:b/>
                <w:sz w:val="24"/>
              </w:rPr>
              <w:t>4、运营期固体废弃物环境影响和保护措施</w:t>
            </w:r>
          </w:p>
          <w:p>
            <w:pPr>
              <w:spacing w:line="360" w:lineRule="auto"/>
              <w:ind w:firstLine="364" w:firstLineChars="152"/>
              <w:rPr>
                <w:sz w:val="24"/>
              </w:rPr>
            </w:pPr>
            <w:bookmarkStart w:id="25" w:name="_Hlk82695017"/>
            <w:r>
              <w:rPr>
                <w:sz w:val="24"/>
              </w:rPr>
              <w:t>本项目固体废物主要包括一般工业固体废物未燃尽垃圾、循环池污泥、废机油、人工分拣杂物、可燃物，生活垃圾等</w:t>
            </w:r>
            <w:bookmarkEnd w:id="25"/>
            <w:r>
              <w:rPr>
                <w:sz w:val="24"/>
              </w:rPr>
              <w:t>。项目固废产生情况如下：</w:t>
            </w:r>
          </w:p>
          <w:p>
            <w:pPr>
              <w:pStyle w:val="99"/>
              <w:numPr>
                <w:ilvl w:val="0"/>
                <w:numId w:val="4"/>
              </w:numPr>
              <w:snapToGrid w:val="0"/>
              <w:spacing w:line="348" w:lineRule="auto"/>
              <w:ind w:firstLineChars="0"/>
              <w:rPr>
                <w:sz w:val="24"/>
              </w:rPr>
            </w:pPr>
            <w:bookmarkStart w:id="26" w:name="_Hlk82695039"/>
            <w:r>
              <w:rPr>
                <w:sz w:val="24"/>
              </w:rPr>
              <w:t>一般工业固体废物</w:t>
            </w:r>
          </w:p>
          <w:p>
            <w:pPr>
              <w:spacing w:line="360" w:lineRule="auto"/>
              <w:ind w:firstLine="480" w:firstLineChars="200"/>
              <w:rPr>
                <w:sz w:val="24"/>
              </w:rPr>
            </w:pPr>
            <w:r>
              <w:rPr>
                <w:sz w:val="24"/>
              </w:rPr>
              <w:t>生产过程中产生的炉渣清理未燃尽生活垃圾：类比井研县生态环境局已批复建设项目《乐山深恒绿色环保科技有限公司乐山市生活垃圾焚烧发电炉渣综合利用项目环境影响报告表》，批复文号（井环复﹝2019﹞28号），类比项目炉渣来源同为乐山市城市生活垃圾环保发电项目炉渣，该项目与本项目炉渣来源、性质、行业类别、生产工艺、排放去向等与本项目一致，故而类比可行。</w:t>
            </w:r>
          </w:p>
          <w:tbl>
            <w:tblPr>
              <w:tblStyle w:val="3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5"/>
              <w:gridCol w:w="3199"/>
              <w:gridCol w:w="3598"/>
              <w:gridCol w:w="6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Align w:val="center"/>
                </w:tcPr>
                <w:p>
                  <w:pPr>
                    <w:jc w:val="center"/>
                  </w:pPr>
                  <w:r>
                    <w:t>特征</w:t>
                  </w:r>
                </w:p>
              </w:tc>
              <w:tc>
                <w:tcPr>
                  <w:tcW w:w="0" w:type="auto"/>
                  <w:vAlign w:val="center"/>
                </w:tcPr>
                <w:p>
                  <w:pPr>
                    <w:jc w:val="center"/>
                  </w:pPr>
                  <w:r>
                    <w:t>类比“乐山深恒”项目</w:t>
                  </w:r>
                </w:p>
              </w:tc>
              <w:tc>
                <w:tcPr>
                  <w:tcW w:w="3598" w:type="dxa"/>
                  <w:vAlign w:val="center"/>
                </w:tcPr>
                <w:p>
                  <w:pPr>
                    <w:jc w:val="center"/>
                  </w:pPr>
                  <w:r>
                    <w:t>本项目</w:t>
                  </w:r>
                </w:p>
              </w:tc>
              <w:tc>
                <w:tcPr>
                  <w:tcW w:w="641" w:type="dxa"/>
                  <w:vAlign w:val="center"/>
                </w:tcPr>
                <w:p>
                  <w:pPr>
                    <w:jc w:val="center"/>
                  </w:pPr>
                  <w:r>
                    <w:t>相似性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Align w:val="center"/>
                </w:tcPr>
                <w:p>
                  <w:pPr>
                    <w:jc w:val="center"/>
                  </w:pPr>
                  <w:r>
                    <w:t>性质</w:t>
                  </w:r>
                </w:p>
              </w:tc>
              <w:tc>
                <w:tcPr>
                  <w:tcW w:w="0" w:type="auto"/>
                  <w:vAlign w:val="center"/>
                </w:tcPr>
                <w:p>
                  <w:pPr>
                    <w:jc w:val="center"/>
                  </w:pPr>
                  <w:r>
                    <w:t>新建</w:t>
                  </w:r>
                </w:p>
              </w:tc>
              <w:tc>
                <w:tcPr>
                  <w:tcW w:w="3598" w:type="dxa"/>
                  <w:vAlign w:val="center"/>
                </w:tcPr>
                <w:p>
                  <w:pPr>
                    <w:jc w:val="center"/>
                  </w:pPr>
                  <w:r>
                    <w:t>新建</w:t>
                  </w:r>
                </w:p>
              </w:tc>
              <w:tc>
                <w:tcPr>
                  <w:tcW w:w="641" w:type="dxa"/>
                  <w:vAlign w:val="center"/>
                </w:tcPr>
                <w:p>
                  <w:pPr>
                    <w:jc w:val="center"/>
                  </w:pPr>
                  <w: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Align w:val="center"/>
                </w:tcPr>
                <w:p>
                  <w:pPr>
                    <w:jc w:val="center"/>
                  </w:pPr>
                  <w:r>
                    <w:t>行业类别</w:t>
                  </w:r>
                </w:p>
              </w:tc>
              <w:tc>
                <w:tcPr>
                  <w:tcW w:w="0" w:type="auto"/>
                  <w:vAlign w:val="center"/>
                </w:tcPr>
                <w:p>
                  <w:pPr>
                    <w:jc w:val="center"/>
                  </w:pPr>
                  <w:r>
                    <w:t>N7723固体废物治理</w:t>
                  </w:r>
                </w:p>
              </w:tc>
              <w:tc>
                <w:tcPr>
                  <w:tcW w:w="3598" w:type="dxa"/>
                  <w:vAlign w:val="center"/>
                </w:tcPr>
                <w:p>
                  <w:pPr>
                    <w:jc w:val="center"/>
                  </w:pPr>
                  <w:r>
                    <w:t>N7723 固体废物治理</w:t>
                  </w:r>
                </w:p>
              </w:tc>
              <w:tc>
                <w:tcPr>
                  <w:tcW w:w="641" w:type="dxa"/>
                  <w:vAlign w:val="center"/>
                </w:tcPr>
                <w:p>
                  <w:pPr>
                    <w:jc w:val="center"/>
                  </w:pPr>
                  <w: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Align w:val="center"/>
                </w:tcPr>
                <w:p>
                  <w:pPr>
                    <w:jc w:val="center"/>
                  </w:pPr>
                  <w:r>
                    <w:t>规模</w:t>
                  </w:r>
                </w:p>
              </w:tc>
              <w:tc>
                <w:tcPr>
                  <w:tcW w:w="0" w:type="auto"/>
                  <w:vAlign w:val="center"/>
                </w:tcPr>
                <w:p>
                  <w:pPr>
                    <w:jc w:val="center"/>
                  </w:pPr>
                  <w:r>
                    <w:t>年处理炉渣99000t</w:t>
                  </w:r>
                </w:p>
              </w:tc>
              <w:tc>
                <w:tcPr>
                  <w:tcW w:w="3598" w:type="dxa"/>
                  <w:vAlign w:val="center"/>
                </w:tcPr>
                <w:p>
                  <w:pPr>
                    <w:jc w:val="center"/>
                  </w:pPr>
                  <w:r>
                    <w:t>年处理炉渣146000t</w:t>
                  </w:r>
                </w:p>
              </w:tc>
              <w:tc>
                <w:tcPr>
                  <w:tcW w:w="641" w:type="dxa"/>
                  <w:vAlign w:val="center"/>
                </w:tcPr>
                <w:p>
                  <w:pPr>
                    <w:jc w:val="center"/>
                  </w:pPr>
                  <w:r>
                    <w:t>相似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Align w:val="center"/>
                </w:tcPr>
                <w:p>
                  <w:pPr>
                    <w:jc w:val="center"/>
                  </w:pPr>
                  <w:r>
                    <w:t>产品结构</w:t>
                  </w:r>
                </w:p>
              </w:tc>
              <w:tc>
                <w:tcPr>
                  <w:tcW w:w="0" w:type="auto"/>
                  <w:vAlign w:val="center"/>
                </w:tcPr>
                <w:p>
                  <w:pPr>
                    <w:jc w:val="center"/>
                  </w:pPr>
                  <w:r>
                    <w:t>金属砂、金属铁、金属铝、砂（粗骨料、细骨料）、循环水池污泥、炉渣清理未燃尽生活垃圾（少量未完全燃烧）</w:t>
                  </w:r>
                </w:p>
              </w:tc>
              <w:tc>
                <w:tcPr>
                  <w:tcW w:w="3598" w:type="dxa"/>
                  <w:vAlign w:val="center"/>
                </w:tcPr>
                <w:p>
                  <w:pPr>
                    <w:jc w:val="center"/>
                  </w:pPr>
                  <w:r>
                    <w:t>细骨料（砂）、废旧金属-强磁性金属（铁）、废旧金属-铝、废旧金属-金属砂、工业黏土（污泥压滤副产品）、骨料（沙）、石粉料</w:t>
                  </w:r>
                </w:p>
              </w:tc>
              <w:tc>
                <w:tcPr>
                  <w:tcW w:w="641" w:type="dxa"/>
                  <w:vAlign w:val="center"/>
                </w:tcPr>
                <w:p>
                  <w:pPr>
                    <w:jc w:val="center"/>
                  </w:pPr>
                  <w:r>
                    <w:t>几乎一致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Align w:val="center"/>
                </w:tcPr>
                <w:p>
                  <w:pPr>
                    <w:jc w:val="center"/>
                  </w:pPr>
                  <w:r>
                    <w:t>生产工艺</w:t>
                  </w:r>
                </w:p>
              </w:tc>
              <w:tc>
                <w:tcPr>
                  <w:tcW w:w="0" w:type="auto"/>
                  <w:vAlign w:val="center"/>
                </w:tcPr>
                <w:p>
                  <w:pPr>
                    <w:jc w:val="center"/>
                  </w:pPr>
                  <w:r>
                    <w:t>筛选、磁选、破碎等</w:t>
                  </w:r>
                </w:p>
              </w:tc>
              <w:tc>
                <w:tcPr>
                  <w:tcW w:w="3598" w:type="dxa"/>
                  <w:vAlign w:val="center"/>
                </w:tcPr>
                <w:p>
                  <w:pPr>
                    <w:jc w:val="center"/>
                  </w:pPr>
                  <w:r>
                    <w:t>筛选、磁选、破碎等</w:t>
                  </w:r>
                </w:p>
              </w:tc>
              <w:tc>
                <w:tcPr>
                  <w:tcW w:w="641" w:type="dxa"/>
                  <w:vAlign w:val="center"/>
                </w:tcPr>
                <w:p>
                  <w:pPr>
                    <w:jc w:val="center"/>
                  </w:pPr>
                  <w: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Align w:val="center"/>
                </w:tcPr>
                <w:p>
                  <w:pPr>
                    <w:jc w:val="center"/>
                  </w:pPr>
                  <w:r>
                    <w:t>原料来源与成分</w:t>
                  </w:r>
                </w:p>
              </w:tc>
              <w:tc>
                <w:tcPr>
                  <w:tcW w:w="0" w:type="auto"/>
                  <w:vAlign w:val="center"/>
                </w:tcPr>
                <w:p>
                  <w:pPr>
                    <w:jc w:val="center"/>
                  </w:pPr>
                  <w:r>
                    <w:t>乐山市城市生活垃圾环保发电项目炉渣（光大环保能源（乐山）有限公司）</w:t>
                  </w:r>
                </w:p>
              </w:tc>
              <w:tc>
                <w:tcPr>
                  <w:tcW w:w="3598" w:type="dxa"/>
                  <w:vAlign w:val="center"/>
                </w:tcPr>
                <w:p>
                  <w:pPr>
                    <w:jc w:val="center"/>
                  </w:pPr>
                  <w:r>
                    <w:t>乐山市生活垃圾焚烧发电厂（光大环保能源（乐山）有限公司）</w:t>
                  </w:r>
                </w:p>
              </w:tc>
              <w:tc>
                <w:tcPr>
                  <w:tcW w:w="641" w:type="dxa"/>
                  <w:vAlign w:val="center"/>
                </w:tcPr>
                <w:p>
                  <w:pPr>
                    <w:jc w:val="center"/>
                  </w:pPr>
                  <w:r>
                    <w:t>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Align w:val="center"/>
                </w:tcPr>
                <w:p>
                  <w:pPr>
                    <w:jc w:val="center"/>
                  </w:pPr>
                  <w:r>
                    <w:t>排放去向</w:t>
                  </w:r>
                </w:p>
              </w:tc>
              <w:tc>
                <w:tcPr>
                  <w:tcW w:w="0" w:type="auto"/>
                  <w:vAlign w:val="center"/>
                </w:tcPr>
                <w:p>
                  <w:pPr>
                    <w:jc w:val="center"/>
                  </w:pPr>
                  <w:r>
                    <w:t>定期转运至乐山市生活垃圾焚烧发电厂焚烧处理</w:t>
                  </w:r>
                </w:p>
              </w:tc>
              <w:tc>
                <w:tcPr>
                  <w:tcW w:w="3598" w:type="dxa"/>
                  <w:vAlign w:val="center"/>
                </w:tcPr>
                <w:p>
                  <w:pPr>
                    <w:jc w:val="center"/>
                  </w:pPr>
                  <w:r>
                    <w:t>期转运至乐山市生活垃圾焚烧发电厂焚烧处理</w:t>
                  </w:r>
                </w:p>
              </w:tc>
              <w:tc>
                <w:tcPr>
                  <w:tcW w:w="641" w:type="dxa"/>
                  <w:vAlign w:val="center"/>
                </w:tcPr>
                <w:p>
                  <w:pPr>
                    <w:jc w:val="center"/>
                  </w:pPr>
                  <w:r>
                    <w:t>一致</w:t>
                  </w:r>
                </w:p>
              </w:tc>
            </w:tr>
          </w:tbl>
          <w:p>
            <w:pPr>
              <w:spacing w:line="360" w:lineRule="auto"/>
              <w:ind w:firstLine="480" w:firstLineChars="200"/>
              <w:rPr>
                <w:sz w:val="24"/>
              </w:rPr>
            </w:pPr>
            <w:r>
              <w:rPr>
                <w:sz w:val="24"/>
              </w:rPr>
              <w:t>由类比项目可知，炉渣中未燃尽垃圾约占2.1%，本项目清理未燃尽垃圾量约3066t/a，日产生量约9.29t，该部分垃圾集中堆置于回炉炉渣堆棚，定期转运至乐山市生活垃圾焚烧发电厂焚烧处理；</w:t>
            </w:r>
            <w:r>
              <w:rPr>
                <w:sz w:val="24"/>
                <w:lang w:bidi="ar"/>
              </w:rPr>
              <w:t>项目生产过程中工艺废水全部进入循环水池自然沉淀处理，废水中SS浓度约1500mg/L，按照工艺废水量300m</w:t>
            </w:r>
            <w:r>
              <w:rPr>
                <w:sz w:val="24"/>
                <w:vertAlign w:val="superscript"/>
                <w:lang w:bidi="ar"/>
              </w:rPr>
              <w:t>3</w:t>
            </w:r>
            <w:r>
              <w:rPr>
                <w:sz w:val="24"/>
                <w:lang w:bidi="ar"/>
              </w:rPr>
              <w:t>/h、SS全部沉淀核算，污泥产生量约4380t/a，沉淀池污泥为一般固废，经压滤机压滤后作为副产品工业黏土</w:t>
            </w:r>
            <w:r>
              <w:rPr>
                <w:sz w:val="24"/>
              </w:rPr>
              <w:t>，定期外售；项目建筑垃圾资源化利用生产线产生人工分拣物、可燃物等约150t/a，皆堆置于回炉炉渣堆棚，定期转运至乐山市生活垃圾焚烧发电厂焚烧处理；</w:t>
            </w:r>
          </w:p>
          <w:p>
            <w:pPr>
              <w:pStyle w:val="99"/>
              <w:numPr>
                <w:ilvl w:val="0"/>
                <w:numId w:val="4"/>
              </w:numPr>
              <w:snapToGrid w:val="0"/>
              <w:spacing w:line="348" w:lineRule="auto"/>
              <w:ind w:firstLineChars="0"/>
              <w:rPr>
                <w:sz w:val="24"/>
              </w:rPr>
            </w:pPr>
            <w:r>
              <w:rPr>
                <w:sz w:val="24"/>
              </w:rPr>
              <w:t>生活垃圾</w:t>
            </w:r>
          </w:p>
          <w:p>
            <w:pPr>
              <w:snapToGrid w:val="0"/>
              <w:spacing w:line="348" w:lineRule="auto"/>
              <w:ind w:firstLine="480" w:firstLineChars="200"/>
              <w:rPr>
                <w:sz w:val="24"/>
              </w:rPr>
            </w:pPr>
            <w:r>
              <w:rPr>
                <w:sz w:val="24"/>
              </w:rPr>
              <w:t>本项目工作人员25人，按0.5kg/人·天计算，产生量为0.0125t/d、4.125t/a，定期由当地环卫部门清运</w:t>
            </w:r>
            <w:r>
              <w:rPr>
                <w:rFonts w:hint="eastAsia"/>
                <w:sz w:val="24"/>
              </w:rPr>
              <w:t>，送至周边垃圾焚烧厂处理</w:t>
            </w:r>
            <w:r>
              <w:rPr>
                <w:sz w:val="24"/>
              </w:rPr>
              <w:t>。</w:t>
            </w:r>
          </w:p>
          <w:bookmarkEnd w:id="26"/>
          <w:p>
            <w:pPr>
              <w:spacing w:line="360" w:lineRule="auto"/>
              <w:ind w:firstLine="364" w:firstLineChars="152"/>
              <w:rPr>
                <w:sz w:val="24"/>
              </w:rPr>
            </w:pPr>
            <w:r>
              <w:rPr>
                <w:sz w:val="24"/>
              </w:rPr>
              <w:t>环评要求：项目一般固废分区暂存，由专人管理，及时清理，避免长时间堆放，未燃尽垃圾，人工分拣杂物废弃物等日产日清，不得对环境造成影响。</w:t>
            </w:r>
          </w:p>
          <w:p>
            <w:pPr>
              <w:adjustRightInd w:val="0"/>
              <w:snapToGrid w:val="0"/>
              <w:spacing w:line="360" w:lineRule="auto"/>
              <w:ind w:firstLine="480"/>
              <w:rPr>
                <w:sz w:val="24"/>
              </w:rPr>
            </w:pPr>
            <w:r>
              <w:rPr>
                <w:rFonts w:hint="eastAsia" w:ascii="宋体" w:hAnsi="宋体" w:cs="宋体"/>
                <w:sz w:val="24"/>
              </w:rPr>
              <w:t>③</w:t>
            </w:r>
            <w:r>
              <w:rPr>
                <w:sz w:val="24"/>
              </w:rPr>
              <w:t>危险废物</w:t>
            </w:r>
          </w:p>
          <w:p>
            <w:pPr>
              <w:adjustRightInd w:val="0"/>
              <w:snapToGrid w:val="0"/>
              <w:spacing w:line="360" w:lineRule="auto"/>
              <w:ind w:firstLine="480" w:firstLineChars="200"/>
              <w:rPr>
                <w:sz w:val="24"/>
              </w:rPr>
            </w:pPr>
            <w:r>
              <w:rPr>
                <w:sz w:val="24"/>
              </w:rPr>
              <w:t>项目机械设备维修将产生少量废油及含油抹布等，产生量分别约0.1t/a、0.05t/a。</w:t>
            </w:r>
          </w:p>
          <w:p>
            <w:pPr>
              <w:adjustRightInd w:val="0"/>
              <w:snapToGrid w:val="0"/>
              <w:spacing w:line="360" w:lineRule="auto"/>
              <w:ind w:firstLine="480" w:firstLineChars="200"/>
              <w:rPr>
                <w:sz w:val="24"/>
              </w:rPr>
            </w:pPr>
            <w:r>
              <w:rPr>
                <w:sz w:val="24"/>
              </w:rPr>
              <w:t>根据《国家危险废物名录》(2021版)，废油（HW08废矿物油与含矿物油废物  900-214-08）含油抹布(HW49其他废物  900-041-49)，皆临时贮存在危废暂存间中，最终交由具有危险废物处置资质的单位妥善处置。</w:t>
            </w:r>
          </w:p>
          <w:p>
            <w:pPr>
              <w:adjustRightInd w:val="0"/>
              <w:snapToGrid w:val="0"/>
              <w:spacing w:line="360" w:lineRule="auto"/>
              <w:ind w:firstLine="480" w:firstLineChars="200"/>
              <w:rPr>
                <w:sz w:val="24"/>
              </w:rPr>
            </w:pPr>
            <w:r>
              <w:rPr>
                <w:sz w:val="24"/>
              </w:rPr>
              <w:t>项目固废产生量及处置措施见表4-11。</w:t>
            </w:r>
          </w:p>
          <w:p>
            <w:pPr>
              <w:tabs>
                <w:tab w:val="left" w:pos="5670"/>
              </w:tabs>
              <w:spacing w:line="360" w:lineRule="auto"/>
              <w:ind w:firstLine="480" w:firstLineChars="200"/>
              <w:jc w:val="center"/>
              <w:rPr>
                <w:snapToGrid w:val="0"/>
                <w:kern w:val="0"/>
                <w:sz w:val="24"/>
              </w:rPr>
            </w:pPr>
            <w:r>
              <w:rPr>
                <w:snapToGrid w:val="0"/>
                <w:kern w:val="0"/>
                <w:sz w:val="24"/>
              </w:rPr>
              <w:t>表4-11  项目营运期主要固废产生情况及治理措施</w:t>
            </w:r>
          </w:p>
          <w:tbl>
            <w:tblPr>
              <w:tblStyle w:val="38"/>
              <w:tblW w:w="0" w:type="auto"/>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594"/>
              <w:gridCol w:w="1296"/>
              <w:gridCol w:w="1114"/>
              <w:gridCol w:w="1134"/>
              <w:gridCol w:w="709"/>
              <w:gridCol w:w="850"/>
              <w:gridCol w:w="2496"/>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198" w:hRule="atLeast"/>
                <w:jc w:val="center"/>
              </w:trPr>
              <w:tc>
                <w:tcPr>
                  <w:tcW w:w="594" w:type="dxa"/>
                  <w:vAlign w:val="center"/>
                </w:tcPr>
                <w:p>
                  <w:pPr>
                    <w:widowControl/>
                    <w:jc w:val="center"/>
                    <w:rPr>
                      <w:b/>
                      <w:bCs/>
                      <w:szCs w:val="21"/>
                    </w:rPr>
                  </w:pPr>
                  <w:bookmarkStart w:id="27" w:name="_Hlk94022050"/>
                  <w:r>
                    <w:rPr>
                      <w:b/>
                      <w:bCs/>
                      <w:szCs w:val="21"/>
                    </w:rPr>
                    <w:t>序号</w:t>
                  </w:r>
                </w:p>
              </w:tc>
              <w:tc>
                <w:tcPr>
                  <w:tcW w:w="1296" w:type="dxa"/>
                  <w:vAlign w:val="center"/>
                </w:tcPr>
                <w:p>
                  <w:pPr>
                    <w:widowControl/>
                    <w:jc w:val="center"/>
                    <w:rPr>
                      <w:b/>
                      <w:bCs/>
                      <w:szCs w:val="21"/>
                    </w:rPr>
                  </w:pPr>
                  <w:r>
                    <w:rPr>
                      <w:b/>
                      <w:bCs/>
                      <w:szCs w:val="21"/>
                    </w:rPr>
                    <w:t>污染物</w:t>
                  </w:r>
                </w:p>
              </w:tc>
              <w:tc>
                <w:tcPr>
                  <w:tcW w:w="1114" w:type="dxa"/>
                  <w:vAlign w:val="center"/>
                </w:tcPr>
                <w:p>
                  <w:pPr>
                    <w:widowControl/>
                    <w:jc w:val="center"/>
                    <w:rPr>
                      <w:b/>
                      <w:bCs/>
                      <w:szCs w:val="21"/>
                    </w:rPr>
                  </w:pPr>
                  <w:r>
                    <w:rPr>
                      <w:b/>
                      <w:bCs/>
                      <w:szCs w:val="21"/>
                    </w:rPr>
                    <w:t>产生位置</w:t>
                  </w:r>
                </w:p>
              </w:tc>
              <w:tc>
                <w:tcPr>
                  <w:tcW w:w="1134" w:type="dxa"/>
                  <w:vAlign w:val="center"/>
                </w:tcPr>
                <w:p>
                  <w:pPr>
                    <w:widowControl/>
                    <w:jc w:val="center"/>
                    <w:rPr>
                      <w:b/>
                      <w:bCs/>
                      <w:szCs w:val="21"/>
                    </w:rPr>
                  </w:pPr>
                  <w:r>
                    <w:rPr>
                      <w:b/>
                      <w:bCs/>
                      <w:szCs w:val="21"/>
                    </w:rPr>
                    <w:t>产生规律</w:t>
                  </w:r>
                </w:p>
              </w:tc>
              <w:tc>
                <w:tcPr>
                  <w:tcW w:w="709" w:type="dxa"/>
                  <w:vAlign w:val="center"/>
                </w:tcPr>
                <w:p>
                  <w:pPr>
                    <w:widowControl/>
                    <w:jc w:val="center"/>
                    <w:rPr>
                      <w:b/>
                      <w:bCs/>
                      <w:szCs w:val="21"/>
                    </w:rPr>
                  </w:pPr>
                  <w:r>
                    <w:rPr>
                      <w:b/>
                      <w:bCs/>
                      <w:szCs w:val="21"/>
                    </w:rPr>
                    <w:t>单位</w:t>
                  </w:r>
                </w:p>
              </w:tc>
              <w:tc>
                <w:tcPr>
                  <w:tcW w:w="850" w:type="dxa"/>
                  <w:vAlign w:val="center"/>
                </w:tcPr>
                <w:p>
                  <w:pPr>
                    <w:widowControl/>
                    <w:ind w:left="103" w:hanging="118" w:hangingChars="49"/>
                    <w:jc w:val="center"/>
                    <w:rPr>
                      <w:b/>
                      <w:bCs/>
                      <w:szCs w:val="21"/>
                    </w:rPr>
                  </w:pPr>
                  <w:r>
                    <w:rPr>
                      <w:b/>
                      <w:bCs/>
                      <w:szCs w:val="21"/>
                    </w:rPr>
                    <w:t>产生量</w:t>
                  </w:r>
                </w:p>
              </w:tc>
              <w:tc>
                <w:tcPr>
                  <w:tcW w:w="2496" w:type="dxa"/>
                  <w:vAlign w:val="center"/>
                </w:tcPr>
                <w:p>
                  <w:pPr>
                    <w:widowControl/>
                    <w:jc w:val="center"/>
                    <w:rPr>
                      <w:b/>
                      <w:bCs/>
                      <w:szCs w:val="21"/>
                    </w:rPr>
                  </w:pPr>
                  <w:r>
                    <w:rPr>
                      <w:b/>
                      <w:bCs/>
                      <w:szCs w:val="21"/>
                    </w:rPr>
                    <w:t>排放去向</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198" w:hRule="atLeast"/>
                <w:jc w:val="center"/>
              </w:trPr>
              <w:tc>
                <w:tcPr>
                  <w:tcW w:w="594" w:type="dxa"/>
                  <w:vAlign w:val="center"/>
                </w:tcPr>
                <w:p>
                  <w:pPr>
                    <w:widowControl/>
                    <w:jc w:val="center"/>
                    <w:rPr>
                      <w:bCs/>
                      <w:szCs w:val="21"/>
                    </w:rPr>
                  </w:pPr>
                  <w:r>
                    <w:rPr>
                      <w:bCs/>
                      <w:szCs w:val="21"/>
                    </w:rPr>
                    <w:t>1</w:t>
                  </w:r>
                </w:p>
              </w:tc>
              <w:tc>
                <w:tcPr>
                  <w:tcW w:w="1296" w:type="dxa"/>
                  <w:vAlign w:val="center"/>
                </w:tcPr>
                <w:p>
                  <w:pPr>
                    <w:widowControl/>
                    <w:jc w:val="center"/>
                    <w:rPr>
                      <w:bCs/>
                      <w:szCs w:val="21"/>
                    </w:rPr>
                  </w:pPr>
                  <w:r>
                    <w:rPr>
                      <w:szCs w:val="21"/>
                    </w:rPr>
                    <w:t>未燃尽生活垃圾</w:t>
                  </w:r>
                </w:p>
              </w:tc>
              <w:tc>
                <w:tcPr>
                  <w:tcW w:w="1114" w:type="dxa"/>
                  <w:vMerge w:val="restart"/>
                  <w:vAlign w:val="center"/>
                </w:tcPr>
                <w:p>
                  <w:pPr>
                    <w:widowControl/>
                    <w:jc w:val="center"/>
                    <w:rPr>
                      <w:bCs/>
                      <w:szCs w:val="21"/>
                    </w:rPr>
                  </w:pPr>
                  <w:r>
                    <w:rPr>
                      <w:bCs/>
                      <w:szCs w:val="21"/>
                    </w:rPr>
                    <w:t>生产车间</w:t>
                  </w:r>
                </w:p>
              </w:tc>
              <w:tc>
                <w:tcPr>
                  <w:tcW w:w="1134" w:type="dxa"/>
                  <w:vAlign w:val="center"/>
                </w:tcPr>
                <w:p>
                  <w:pPr>
                    <w:widowControl/>
                    <w:jc w:val="center"/>
                    <w:rPr>
                      <w:bCs/>
                      <w:szCs w:val="21"/>
                    </w:rPr>
                  </w:pPr>
                  <w:r>
                    <w:rPr>
                      <w:bCs/>
                      <w:szCs w:val="21"/>
                    </w:rPr>
                    <w:t>间歇</w:t>
                  </w:r>
                </w:p>
              </w:tc>
              <w:tc>
                <w:tcPr>
                  <w:tcW w:w="709" w:type="dxa"/>
                  <w:vAlign w:val="center"/>
                </w:tcPr>
                <w:p>
                  <w:pPr>
                    <w:widowControl/>
                    <w:jc w:val="center"/>
                    <w:rPr>
                      <w:bCs/>
                      <w:szCs w:val="21"/>
                    </w:rPr>
                  </w:pPr>
                  <w:r>
                    <w:rPr>
                      <w:bCs/>
                      <w:szCs w:val="21"/>
                    </w:rPr>
                    <w:t>t/a</w:t>
                  </w:r>
                </w:p>
              </w:tc>
              <w:tc>
                <w:tcPr>
                  <w:tcW w:w="850" w:type="dxa"/>
                  <w:vAlign w:val="center"/>
                </w:tcPr>
                <w:p>
                  <w:pPr>
                    <w:widowControl/>
                    <w:ind w:left="103" w:hanging="117" w:hangingChars="49"/>
                    <w:jc w:val="center"/>
                    <w:rPr>
                      <w:bCs/>
                      <w:szCs w:val="21"/>
                    </w:rPr>
                  </w:pPr>
                  <w:r>
                    <w:rPr>
                      <w:bCs/>
                      <w:szCs w:val="21"/>
                    </w:rPr>
                    <w:t>3066</w:t>
                  </w:r>
                </w:p>
              </w:tc>
              <w:tc>
                <w:tcPr>
                  <w:tcW w:w="2496" w:type="dxa"/>
                  <w:vMerge w:val="restart"/>
                  <w:vAlign w:val="center"/>
                </w:tcPr>
                <w:p>
                  <w:pPr>
                    <w:widowControl/>
                    <w:jc w:val="center"/>
                    <w:rPr>
                      <w:bCs/>
                      <w:szCs w:val="21"/>
                    </w:rPr>
                  </w:pPr>
                  <w:r>
                    <w:rPr>
                      <w:bCs/>
                      <w:szCs w:val="21"/>
                    </w:rPr>
                    <w:t>临时贮存于厂区生产车间分类仓中，外售综合利用，不产生二次污染</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198" w:hRule="atLeast"/>
                <w:jc w:val="center"/>
              </w:trPr>
              <w:tc>
                <w:tcPr>
                  <w:tcW w:w="594" w:type="dxa"/>
                  <w:vAlign w:val="center"/>
                </w:tcPr>
                <w:p>
                  <w:pPr>
                    <w:widowControl/>
                    <w:jc w:val="center"/>
                    <w:rPr>
                      <w:bCs/>
                      <w:szCs w:val="21"/>
                    </w:rPr>
                  </w:pPr>
                  <w:r>
                    <w:rPr>
                      <w:bCs/>
                      <w:szCs w:val="21"/>
                    </w:rPr>
                    <w:t>2</w:t>
                  </w:r>
                </w:p>
              </w:tc>
              <w:tc>
                <w:tcPr>
                  <w:tcW w:w="1296" w:type="dxa"/>
                  <w:vAlign w:val="center"/>
                </w:tcPr>
                <w:p>
                  <w:pPr>
                    <w:widowControl/>
                    <w:jc w:val="center"/>
                    <w:rPr>
                      <w:bCs/>
                      <w:szCs w:val="21"/>
                    </w:rPr>
                  </w:pPr>
                  <w:r>
                    <w:rPr>
                      <w:szCs w:val="21"/>
                    </w:rPr>
                    <w:t>循环池污泥</w:t>
                  </w:r>
                </w:p>
              </w:tc>
              <w:tc>
                <w:tcPr>
                  <w:tcW w:w="1114" w:type="dxa"/>
                  <w:vMerge w:val="continue"/>
                  <w:vAlign w:val="center"/>
                </w:tcPr>
                <w:p>
                  <w:pPr>
                    <w:jc w:val="center"/>
                    <w:rPr>
                      <w:bCs/>
                      <w:szCs w:val="21"/>
                    </w:rPr>
                  </w:pPr>
                </w:p>
              </w:tc>
              <w:tc>
                <w:tcPr>
                  <w:tcW w:w="1134" w:type="dxa"/>
                  <w:vAlign w:val="center"/>
                </w:tcPr>
                <w:p>
                  <w:pPr>
                    <w:widowControl/>
                    <w:jc w:val="center"/>
                    <w:rPr>
                      <w:bCs/>
                      <w:szCs w:val="21"/>
                    </w:rPr>
                  </w:pPr>
                  <w:r>
                    <w:rPr>
                      <w:bCs/>
                      <w:szCs w:val="21"/>
                    </w:rPr>
                    <w:t>间歇</w:t>
                  </w:r>
                </w:p>
              </w:tc>
              <w:tc>
                <w:tcPr>
                  <w:tcW w:w="709" w:type="dxa"/>
                  <w:vAlign w:val="center"/>
                </w:tcPr>
                <w:p>
                  <w:pPr>
                    <w:widowControl/>
                    <w:jc w:val="center"/>
                    <w:rPr>
                      <w:bCs/>
                      <w:szCs w:val="21"/>
                    </w:rPr>
                  </w:pPr>
                  <w:r>
                    <w:rPr>
                      <w:bCs/>
                      <w:szCs w:val="21"/>
                    </w:rPr>
                    <w:t>t/a</w:t>
                  </w:r>
                </w:p>
              </w:tc>
              <w:tc>
                <w:tcPr>
                  <w:tcW w:w="850" w:type="dxa"/>
                  <w:vAlign w:val="center"/>
                </w:tcPr>
                <w:p>
                  <w:pPr>
                    <w:widowControl/>
                    <w:ind w:left="103" w:hanging="117" w:hangingChars="49"/>
                    <w:jc w:val="center"/>
                    <w:rPr>
                      <w:bCs/>
                      <w:szCs w:val="21"/>
                    </w:rPr>
                  </w:pPr>
                  <w:r>
                    <w:rPr>
                      <w:bCs/>
                      <w:szCs w:val="21"/>
                    </w:rPr>
                    <w:t>4380</w:t>
                  </w:r>
                </w:p>
              </w:tc>
              <w:tc>
                <w:tcPr>
                  <w:tcW w:w="2496" w:type="dxa"/>
                  <w:vMerge w:val="continue"/>
                  <w:vAlign w:val="center"/>
                </w:tcPr>
                <w:p>
                  <w:pPr>
                    <w:widowControl/>
                    <w:jc w:val="center"/>
                    <w:rPr>
                      <w:bCs/>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198" w:hRule="atLeast"/>
                <w:jc w:val="center"/>
              </w:trPr>
              <w:tc>
                <w:tcPr>
                  <w:tcW w:w="594" w:type="dxa"/>
                  <w:vAlign w:val="center"/>
                </w:tcPr>
                <w:p>
                  <w:pPr>
                    <w:widowControl/>
                    <w:jc w:val="center"/>
                    <w:rPr>
                      <w:bCs/>
                      <w:szCs w:val="21"/>
                    </w:rPr>
                  </w:pPr>
                  <w:r>
                    <w:rPr>
                      <w:bCs/>
                      <w:szCs w:val="21"/>
                    </w:rPr>
                    <w:t>3</w:t>
                  </w:r>
                </w:p>
              </w:tc>
              <w:tc>
                <w:tcPr>
                  <w:tcW w:w="1296" w:type="dxa"/>
                  <w:vAlign w:val="center"/>
                </w:tcPr>
                <w:p>
                  <w:pPr>
                    <w:widowControl/>
                    <w:jc w:val="center"/>
                    <w:rPr>
                      <w:bCs/>
                      <w:szCs w:val="21"/>
                    </w:rPr>
                  </w:pPr>
                  <w:r>
                    <w:rPr>
                      <w:szCs w:val="21"/>
                    </w:rPr>
                    <w:t>人工分拣物、可燃物</w:t>
                  </w:r>
                </w:p>
              </w:tc>
              <w:tc>
                <w:tcPr>
                  <w:tcW w:w="1114" w:type="dxa"/>
                  <w:vMerge w:val="continue"/>
                  <w:vAlign w:val="center"/>
                </w:tcPr>
                <w:p>
                  <w:pPr>
                    <w:jc w:val="center"/>
                    <w:rPr>
                      <w:bCs/>
                      <w:szCs w:val="21"/>
                    </w:rPr>
                  </w:pPr>
                </w:p>
              </w:tc>
              <w:tc>
                <w:tcPr>
                  <w:tcW w:w="1134" w:type="dxa"/>
                  <w:vAlign w:val="center"/>
                </w:tcPr>
                <w:p>
                  <w:pPr>
                    <w:widowControl/>
                    <w:jc w:val="center"/>
                    <w:rPr>
                      <w:bCs/>
                      <w:szCs w:val="21"/>
                    </w:rPr>
                  </w:pPr>
                  <w:r>
                    <w:rPr>
                      <w:bCs/>
                      <w:szCs w:val="21"/>
                    </w:rPr>
                    <w:t>间歇</w:t>
                  </w:r>
                </w:p>
              </w:tc>
              <w:tc>
                <w:tcPr>
                  <w:tcW w:w="709" w:type="dxa"/>
                  <w:vAlign w:val="center"/>
                </w:tcPr>
                <w:p>
                  <w:pPr>
                    <w:widowControl/>
                    <w:jc w:val="center"/>
                    <w:rPr>
                      <w:bCs/>
                      <w:szCs w:val="21"/>
                    </w:rPr>
                  </w:pPr>
                  <w:r>
                    <w:rPr>
                      <w:bCs/>
                      <w:szCs w:val="21"/>
                    </w:rPr>
                    <w:t>t/a</w:t>
                  </w:r>
                </w:p>
              </w:tc>
              <w:tc>
                <w:tcPr>
                  <w:tcW w:w="850" w:type="dxa"/>
                  <w:vAlign w:val="center"/>
                </w:tcPr>
                <w:p>
                  <w:pPr>
                    <w:widowControl/>
                    <w:ind w:left="103" w:hanging="117" w:hangingChars="49"/>
                    <w:jc w:val="center"/>
                    <w:rPr>
                      <w:bCs/>
                      <w:szCs w:val="21"/>
                    </w:rPr>
                  </w:pPr>
                  <w:r>
                    <w:rPr>
                      <w:bCs/>
                      <w:szCs w:val="21"/>
                    </w:rPr>
                    <w:t>150</w:t>
                  </w:r>
                </w:p>
              </w:tc>
              <w:tc>
                <w:tcPr>
                  <w:tcW w:w="2496" w:type="dxa"/>
                  <w:vMerge w:val="continue"/>
                  <w:vAlign w:val="center"/>
                </w:tcPr>
                <w:p>
                  <w:pPr>
                    <w:widowControl/>
                    <w:jc w:val="center"/>
                    <w:rPr>
                      <w:bCs/>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198" w:hRule="atLeast"/>
                <w:jc w:val="center"/>
              </w:trPr>
              <w:tc>
                <w:tcPr>
                  <w:tcW w:w="594" w:type="dxa"/>
                  <w:vAlign w:val="center"/>
                </w:tcPr>
                <w:p>
                  <w:pPr>
                    <w:widowControl/>
                    <w:jc w:val="center"/>
                    <w:rPr>
                      <w:bCs/>
                      <w:szCs w:val="21"/>
                    </w:rPr>
                  </w:pPr>
                  <w:r>
                    <w:rPr>
                      <w:bCs/>
                      <w:szCs w:val="21"/>
                    </w:rPr>
                    <w:t>4</w:t>
                  </w:r>
                </w:p>
              </w:tc>
              <w:tc>
                <w:tcPr>
                  <w:tcW w:w="1296" w:type="dxa"/>
                  <w:vAlign w:val="center"/>
                </w:tcPr>
                <w:p>
                  <w:pPr>
                    <w:widowControl/>
                    <w:jc w:val="center"/>
                    <w:rPr>
                      <w:bCs/>
                      <w:szCs w:val="21"/>
                    </w:rPr>
                  </w:pPr>
                  <w:r>
                    <w:rPr>
                      <w:szCs w:val="21"/>
                    </w:rPr>
                    <w:t>生活垃圾</w:t>
                  </w:r>
                </w:p>
              </w:tc>
              <w:tc>
                <w:tcPr>
                  <w:tcW w:w="1114" w:type="dxa"/>
                  <w:vAlign w:val="center"/>
                </w:tcPr>
                <w:p>
                  <w:pPr>
                    <w:jc w:val="center"/>
                    <w:rPr>
                      <w:bCs/>
                      <w:szCs w:val="21"/>
                    </w:rPr>
                  </w:pPr>
                  <w:r>
                    <w:rPr>
                      <w:bCs/>
                      <w:szCs w:val="21"/>
                    </w:rPr>
                    <w:t>办公区</w:t>
                  </w:r>
                </w:p>
              </w:tc>
              <w:tc>
                <w:tcPr>
                  <w:tcW w:w="1134" w:type="dxa"/>
                  <w:vAlign w:val="center"/>
                </w:tcPr>
                <w:p>
                  <w:pPr>
                    <w:widowControl/>
                    <w:jc w:val="center"/>
                    <w:rPr>
                      <w:bCs/>
                      <w:szCs w:val="21"/>
                    </w:rPr>
                  </w:pPr>
                  <w:r>
                    <w:rPr>
                      <w:bCs/>
                      <w:szCs w:val="21"/>
                    </w:rPr>
                    <w:t>间歇</w:t>
                  </w:r>
                </w:p>
              </w:tc>
              <w:tc>
                <w:tcPr>
                  <w:tcW w:w="709" w:type="dxa"/>
                  <w:vAlign w:val="center"/>
                </w:tcPr>
                <w:p>
                  <w:pPr>
                    <w:widowControl/>
                    <w:jc w:val="center"/>
                    <w:rPr>
                      <w:bCs/>
                      <w:szCs w:val="21"/>
                    </w:rPr>
                  </w:pPr>
                  <w:r>
                    <w:rPr>
                      <w:bCs/>
                      <w:szCs w:val="21"/>
                    </w:rPr>
                    <w:t>t/a</w:t>
                  </w:r>
                </w:p>
              </w:tc>
              <w:tc>
                <w:tcPr>
                  <w:tcW w:w="850" w:type="dxa"/>
                  <w:vAlign w:val="center"/>
                </w:tcPr>
                <w:p>
                  <w:pPr>
                    <w:widowControl/>
                    <w:ind w:left="103" w:hanging="117" w:hangingChars="49"/>
                    <w:jc w:val="center"/>
                    <w:rPr>
                      <w:bCs/>
                      <w:szCs w:val="21"/>
                    </w:rPr>
                  </w:pPr>
                  <w:r>
                    <w:rPr>
                      <w:bCs/>
                      <w:szCs w:val="21"/>
                    </w:rPr>
                    <w:t>4.125</w:t>
                  </w:r>
                </w:p>
              </w:tc>
              <w:tc>
                <w:tcPr>
                  <w:tcW w:w="2496" w:type="dxa"/>
                  <w:vAlign w:val="center"/>
                </w:tcPr>
                <w:p>
                  <w:pPr>
                    <w:widowControl/>
                    <w:jc w:val="center"/>
                    <w:rPr>
                      <w:bCs/>
                      <w:szCs w:val="21"/>
                    </w:rPr>
                  </w:pPr>
                  <w:r>
                    <w:rPr>
                      <w:kern w:val="0"/>
                      <w:szCs w:val="21"/>
                    </w:rPr>
                    <w:t>集中收集后由当地环卫部门定期运出处置</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198" w:hRule="atLeast"/>
                <w:jc w:val="center"/>
              </w:trPr>
              <w:tc>
                <w:tcPr>
                  <w:tcW w:w="594" w:type="dxa"/>
                  <w:tcBorders>
                    <w:bottom w:val="single" w:color="auto" w:sz="12" w:space="0"/>
                  </w:tcBorders>
                  <w:vAlign w:val="center"/>
                </w:tcPr>
                <w:p>
                  <w:pPr>
                    <w:widowControl/>
                    <w:jc w:val="center"/>
                    <w:rPr>
                      <w:bCs/>
                      <w:szCs w:val="21"/>
                    </w:rPr>
                  </w:pPr>
                  <w:r>
                    <w:rPr>
                      <w:bCs/>
                      <w:szCs w:val="21"/>
                    </w:rPr>
                    <w:t>5</w:t>
                  </w:r>
                </w:p>
              </w:tc>
              <w:tc>
                <w:tcPr>
                  <w:tcW w:w="1296" w:type="dxa"/>
                  <w:tcBorders>
                    <w:bottom w:val="single" w:color="auto" w:sz="12" w:space="0"/>
                  </w:tcBorders>
                  <w:vAlign w:val="center"/>
                </w:tcPr>
                <w:p>
                  <w:pPr>
                    <w:widowControl/>
                    <w:jc w:val="center"/>
                    <w:rPr>
                      <w:szCs w:val="21"/>
                    </w:rPr>
                  </w:pPr>
                  <w:r>
                    <w:rPr>
                      <w:szCs w:val="21"/>
                    </w:rPr>
                    <w:t>危险废物</w:t>
                  </w:r>
                </w:p>
              </w:tc>
              <w:tc>
                <w:tcPr>
                  <w:tcW w:w="1114" w:type="dxa"/>
                  <w:tcBorders>
                    <w:bottom w:val="single" w:color="auto" w:sz="12" w:space="0"/>
                  </w:tcBorders>
                  <w:vAlign w:val="center"/>
                </w:tcPr>
                <w:p>
                  <w:pPr>
                    <w:jc w:val="center"/>
                    <w:rPr>
                      <w:bCs/>
                      <w:szCs w:val="21"/>
                    </w:rPr>
                  </w:pPr>
                  <w:r>
                    <w:rPr>
                      <w:bCs/>
                      <w:szCs w:val="21"/>
                    </w:rPr>
                    <w:t>生产车间</w:t>
                  </w:r>
                </w:p>
              </w:tc>
              <w:tc>
                <w:tcPr>
                  <w:tcW w:w="1134" w:type="dxa"/>
                  <w:tcBorders>
                    <w:bottom w:val="single" w:color="auto" w:sz="12" w:space="0"/>
                  </w:tcBorders>
                  <w:vAlign w:val="center"/>
                </w:tcPr>
                <w:p>
                  <w:pPr>
                    <w:widowControl/>
                    <w:jc w:val="center"/>
                    <w:rPr>
                      <w:bCs/>
                      <w:szCs w:val="21"/>
                    </w:rPr>
                  </w:pPr>
                  <w:r>
                    <w:rPr>
                      <w:bCs/>
                      <w:szCs w:val="21"/>
                    </w:rPr>
                    <w:t>间歇</w:t>
                  </w:r>
                </w:p>
              </w:tc>
              <w:tc>
                <w:tcPr>
                  <w:tcW w:w="709" w:type="dxa"/>
                  <w:tcBorders>
                    <w:bottom w:val="single" w:color="auto" w:sz="12" w:space="0"/>
                  </w:tcBorders>
                  <w:vAlign w:val="center"/>
                </w:tcPr>
                <w:p>
                  <w:pPr>
                    <w:widowControl/>
                    <w:jc w:val="center"/>
                    <w:rPr>
                      <w:bCs/>
                      <w:szCs w:val="21"/>
                    </w:rPr>
                  </w:pPr>
                  <w:r>
                    <w:rPr>
                      <w:bCs/>
                      <w:szCs w:val="21"/>
                    </w:rPr>
                    <w:t>t/a</w:t>
                  </w:r>
                </w:p>
              </w:tc>
              <w:tc>
                <w:tcPr>
                  <w:tcW w:w="850" w:type="dxa"/>
                  <w:tcBorders>
                    <w:bottom w:val="single" w:color="auto" w:sz="12" w:space="0"/>
                  </w:tcBorders>
                  <w:vAlign w:val="center"/>
                </w:tcPr>
                <w:p>
                  <w:pPr>
                    <w:widowControl/>
                    <w:ind w:left="103" w:hanging="117" w:hangingChars="49"/>
                    <w:jc w:val="center"/>
                    <w:rPr>
                      <w:bCs/>
                      <w:szCs w:val="21"/>
                    </w:rPr>
                  </w:pPr>
                  <w:r>
                    <w:rPr>
                      <w:bCs/>
                      <w:szCs w:val="21"/>
                    </w:rPr>
                    <w:t>0.15</w:t>
                  </w:r>
                </w:p>
              </w:tc>
              <w:tc>
                <w:tcPr>
                  <w:tcW w:w="2496" w:type="dxa"/>
                  <w:tcBorders>
                    <w:bottom w:val="single" w:color="auto" w:sz="12" w:space="0"/>
                  </w:tcBorders>
                  <w:vAlign w:val="center"/>
                </w:tcPr>
                <w:p>
                  <w:pPr>
                    <w:widowControl/>
                    <w:jc w:val="center"/>
                    <w:rPr>
                      <w:kern w:val="0"/>
                      <w:szCs w:val="21"/>
                    </w:rPr>
                  </w:pPr>
                  <w:r>
                    <w:rPr>
                      <w:kern w:val="0"/>
                      <w:szCs w:val="21"/>
                    </w:rPr>
                    <w:t>暂存于危废暂存间，委托有资质单位处理、处置</w:t>
                  </w:r>
                </w:p>
              </w:tc>
            </w:tr>
            <w:bookmarkEnd w:id="27"/>
          </w:tbl>
          <w:p>
            <w:pPr>
              <w:tabs>
                <w:tab w:val="left" w:pos="5670"/>
              </w:tabs>
              <w:spacing w:line="480" w:lineRule="exact"/>
              <w:ind w:firstLine="480" w:firstLineChars="200"/>
              <w:jc w:val="center"/>
              <w:rPr>
                <w:snapToGrid w:val="0"/>
                <w:kern w:val="0"/>
                <w:sz w:val="24"/>
              </w:rPr>
            </w:pPr>
            <w:r>
              <w:rPr>
                <w:snapToGrid w:val="0"/>
                <w:kern w:val="0"/>
                <w:sz w:val="24"/>
              </w:rPr>
              <w:t>表4-12  本项目危废汇总情况一览表</w:t>
            </w:r>
          </w:p>
          <w:tbl>
            <w:tblPr>
              <w:tblStyle w:val="39"/>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468"/>
              <w:gridCol w:w="512"/>
              <w:gridCol w:w="893"/>
              <w:gridCol w:w="1351"/>
              <w:gridCol w:w="879"/>
              <w:gridCol w:w="523"/>
              <w:gridCol w:w="468"/>
              <w:gridCol w:w="490"/>
              <w:gridCol w:w="490"/>
              <w:gridCol w:w="493"/>
              <w:gridCol w:w="655"/>
              <w:gridCol w:w="97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0" w:type="auto"/>
                  <w:vAlign w:val="center"/>
                </w:tcPr>
                <w:p>
                  <w:pPr>
                    <w:jc w:val="center"/>
                    <w:rPr>
                      <w:b/>
                      <w:szCs w:val="16"/>
                    </w:rPr>
                  </w:pPr>
                  <w:r>
                    <w:rPr>
                      <w:b/>
                      <w:szCs w:val="16"/>
                    </w:rPr>
                    <w:t>序号</w:t>
                  </w:r>
                </w:p>
              </w:tc>
              <w:tc>
                <w:tcPr>
                  <w:tcW w:w="0" w:type="auto"/>
                  <w:vAlign w:val="center"/>
                </w:tcPr>
                <w:p>
                  <w:pPr>
                    <w:jc w:val="center"/>
                    <w:rPr>
                      <w:b/>
                      <w:szCs w:val="16"/>
                    </w:rPr>
                  </w:pPr>
                  <w:r>
                    <w:rPr>
                      <w:b/>
                      <w:szCs w:val="16"/>
                    </w:rPr>
                    <w:t>危险废物名称</w:t>
                  </w:r>
                </w:p>
              </w:tc>
              <w:tc>
                <w:tcPr>
                  <w:tcW w:w="0" w:type="auto"/>
                  <w:vAlign w:val="center"/>
                </w:tcPr>
                <w:p>
                  <w:pPr>
                    <w:jc w:val="center"/>
                    <w:rPr>
                      <w:b/>
                      <w:szCs w:val="16"/>
                    </w:rPr>
                  </w:pPr>
                  <w:r>
                    <w:rPr>
                      <w:b/>
                      <w:szCs w:val="16"/>
                    </w:rPr>
                    <w:t>危险废物类别</w:t>
                  </w:r>
                </w:p>
              </w:tc>
              <w:tc>
                <w:tcPr>
                  <w:tcW w:w="0" w:type="auto"/>
                  <w:vAlign w:val="center"/>
                </w:tcPr>
                <w:p>
                  <w:pPr>
                    <w:jc w:val="center"/>
                    <w:rPr>
                      <w:b/>
                      <w:szCs w:val="16"/>
                    </w:rPr>
                  </w:pPr>
                  <w:r>
                    <w:rPr>
                      <w:b/>
                      <w:szCs w:val="16"/>
                    </w:rPr>
                    <w:t>危险废物代码</w:t>
                  </w:r>
                </w:p>
              </w:tc>
              <w:tc>
                <w:tcPr>
                  <w:tcW w:w="0" w:type="auto"/>
                  <w:vAlign w:val="center"/>
                </w:tcPr>
                <w:p>
                  <w:pPr>
                    <w:jc w:val="center"/>
                    <w:rPr>
                      <w:b/>
                      <w:szCs w:val="16"/>
                    </w:rPr>
                  </w:pPr>
                  <w:r>
                    <w:rPr>
                      <w:b/>
                      <w:szCs w:val="16"/>
                    </w:rPr>
                    <w:t>产生量</w:t>
                  </w:r>
                </w:p>
              </w:tc>
              <w:tc>
                <w:tcPr>
                  <w:tcW w:w="0" w:type="auto"/>
                  <w:vAlign w:val="center"/>
                </w:tcPr>
                <w:p>
                  <w:pPr>
                    <w:jc w:val="center"/>
                    <w:rPr>
                      <w:b/>
                      <w:szCs w:val="16"/>
                    </w:rPr>
                  </w:pPr>
                  <w:r>
                    <w:rPr>
                      <w:b/>
                      <w:szCs w:val="16"/>
                    </w:rPr>
                    <w:t>产生工序及装置</w:t>
                  </w:r>
                </w:p>
              </w:tc>
              <w:tc>
                <w:tcPr>
                  <w:tcW w:w="0" w:type="auto"/>
                  <w:vAlign w:val="center"/>
                </w:tcPr>
                <w:p>
                  <w:pPr>
                    <w:jc w:val="center"/>
                    <w:rPr>
                      <w:b/>
                      <w:szCs w:val="16"/>
                    </w:rPr>
                  </w:pPr>
                  <w:r>
                    <w:rPr>
                      <w:b/>
                      <w:szCs w:val="16"/>
                    </w:rPr>
                    <w:t>形态</w:t>
                  </w:r>
                </w:p>
              </w:tc>
              <w:tc>
                <w:tcPr>
                  <w:tcW w:w="0" w:type="auto"/>
                  <w:vAlign w:val="center"/>
                </w:tcPr>
                <w:p>
                  <w:pPr>
                    <w:jc w:val="center"/>
                    <w:rPr>
                      <w:b/>
                      <w:szCs w:val="16"/>
                    </w:rPr>
                  </w:pPr>
                  <w:r>
                    <w:rPr>
                      <w:b/>
                      <w:szCs w:val="16"/>
                    </w:rPr>
                    <w:t>主要成分</w:t>
                  </w:r>
                </w:p>
              </w:tc>
              <w:tc>
                <w:tcPr>
                  <w:tcW w:w="0" w:type="auto"/>
                  <w:vAlign w:val="center"/>
                </w:tcPr>
                <w:p>
                  <w:pPr>
                    <w:jc w:val="center"/>
                    <w:rPr>
                      <w:b/>
                      <w:szCs w:val="16"/>
                    </w:rPr>
                  </w:pPr>
                  <w:r>
                    <w:rPr>
                      <w:b/>
                      <w:szCs w:val="16"/>
                    </w:rPr>
                    <w:t>有害成分</w:t>
                  </w:r>
                </w:p>
              </w:tc>
              <w:tc>
                <w:tcPr>
                  <w:tcW w:w="0" w:type="auto"/>
                  <w:vAlign w:val="center"/>
                </w:tcPr>
                <w:p>
                  <w:pPr>
                    <w:jc w:val="center"/>
                    <w:rPr>
                      <w:b/>
                      <w:szCs w:val="16"/>
                    </w:rPr>
                  </w:pPr>
                  <w:r>
                    <w:rPr>
                      <w:b/>
                      <w:szCs w:val="16"/>
                    </w:rPr>
                    <w:t>产废周期</w:t>
                  </w:r>
                </w:p>
              </w:tc>
              <w:tc>
                <w:tcPr>
                  <w:tcW w:w="0" w:type="auto"/>
                  <w:vAlign w:val="center"/>
                </w:tcPr>
                <w:p>
                  <w:pPr>
                    <w:jc w:val="center"/>
                    <w:rPr>
                      <w:b/>
                      <w:szCs w:val="16"/>
                    </w:rPr>
                  </w:pPr>
                  <w:r>
                    <w:rPr>
                      <w:b/>
                      <w:szCs w:val="16"/>
                    </w:rPr>
                    <w:t>危险特性</w:t>
                  </w:r>
                </w:p>
              </w:tc>
              <w:tc>
                <w:tcPr>
                  <w:tcW w:w="0" w:type="auto"/>
                  <w:vAlign w:val="center"/>
                </w:tcPr>
                <w:p>
                  <w:pPr>
                    <w:jc w:val="center"/>
                    <w:rPr>
                      <w:b/>
                      <w:szCs w:val="16"/>
                    </w:rPr>
                  </w:pPr>
                  <w:r>
                    <w:rPr>
                      <w:b/>
                      <w:szCs w:val="16"/>
                    </w:rPr>
                    <w:t>污染防治措施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c>
                <w:tcPr>
                  <w:tcW w:w="0" w:type="auto"/>
                  <w:vAlign w:val="center"/>
                </w:tcPr>
                <w:p>
                  <w:pPr>
                    <w:jc w:val="center"/>
                    <w:rPr>
                      <w:bCs/>
                      <w:szCs w:val="16"/>
                    </w:rPr>
                  </w:pPr>
                  <w:r>
                    <w:rPr>
                      <w:bCs/>
                      <w:szCs w:val="16"/>
                    </w:rPr>
                    <w:t>1</w:t>
                  </w:r>
                </w:p>
              </w:tc>
              <w:tc>
                <w:tcPr>
                  <w:tcW w:w="0" w:type="auto"/>
                  <w:vAlign w:val="center"/>
                </w:tcPr>
                <w:p>
                  <w:pPr>
                    <w:jc w:val="center"/>
                    <w:rPr>
                      <w:bCs/>
                      <w:szCs w:val="16"/>
                    </w:rPr>
                  </w:pPr>
                  <w:r>
                    <w:t>废油</w:t>
                  </w:r>
                </w:p>
              </w:tc>
              <w:tc>
                <w:tcPr>
                  <w:tcW w:w="0" w:type="auto"/>
                  <w:vAlign w:val="center"/>
                </w:tcPr>
                <w:p>
                  <w:pPr>
                    <w:jc w:val="center"/>
                    <w:rPr>
                      <w:bCs/>
                      <w:szCs w:val="16"/>
                    </w:rPr>
                  </w:pPr>
                  <w:r>
                    <w:t>HW08</w:t>
                  </w:r>
                </w:p>
              </w:tc>
              <w:tc>
                <w:tcPr>
                  <w:tcW w:w="0" w:type="auto"/>
                  <w:vAlign w:val="center"/>
                </w:tcPr>
                <w:p>
                  <w:pPr>
                    <w:jc w:val="center"/>
                    <w:rPr>
                      <w:bCs/>
                      <w:szCs w:val="16"/>
                    </w:rPr>
                  </w:pPr>
                  <w:r>
                    <w:t>900-214-08</w:t>
                  </w:r>
                </w:p>
              </w:tc>
              <w:tc>
                <w:tcPr>
                  <w:tcW w:w="0" w:type="auto"/>
                  <w:vAlign w:val="center"/>
                </w:tcPr>
                <w:p>
                  <w:pPr>
                    <w:jc w:val="center"/>
                    <w:rPr>
                      <w:bCs/>
                      <w:szCs w:val="16"/>
                    </w:rPr>
                  </w:pPr>
                  <w:r>
                    <w:t>0.1t/a</w:t>
                  </w:r>
                </w:p>
              </w:tc>
              <w:tc>
                <w:tcPr>
                  <w:tcW w:w="0" w:type="auto"/>
                  <w:vAlign w:val="center"/>
                </w:tcPr>
                <w:p>
                  <w:pPr>
                    <w:jc w:val="center"/>
                    <w:rPr>
                      <w:bCs/>
                      <w:szCs w:val="16"/>
                    </w:rPr>
                  </w:pPr>
                  <w:r>
                    <w:t>设备</w:t>
                  </w:r>
                </w:p>
              </w:tc>
              <w:tc>
                <w:tcPr>
                  <w:tcW w:w="0" w:type="auto"/>
                  <w:vAlign w:val="center"/>
                </w:tcPr>
                <w:p>
                  <w:pPr>
                    <w:jc w:val="center"/>
                    <w:rPr>
                      <w:bCs/>
                      <w:szCs w:val="16"/>
                    </w:rPr>
                  </w:pPr>
                  <w:r>
                    <w:t>固态</w:t>
                  </w:r>
                </w:p>
              </w:tc>
              <w:tc>
                <w:tcPr>
                  <w:tcW w:w="0" w:type="auto"/>
                  <w:vAlign w:val="center"/>
                </w:tcPr>
                <w:p>
                  <w:pPr>
                    <w:jc w:val="center"/>
                    <w:rPr>
                      <w:bCs/>
                      <w:szCs w:val="16"/>
                    </w:rPr>
                  </w:pPr>
                  <w:r>
                    <w:t>油类物质</w:t>
                  </w:r>
                </w:p>
              </w:tc>
              <w:tc>
                <w:tcPr>
                  <w:tcW w:w="0" w:type="auto"/>
                  <w:vAlign w:val="center"/>
                </w:tcPr>
                <w:p>
                  <w:pPr>
                    <w:jc w:val="center"/>
                    <w:rPr>
                      <w:bCs/>
                      <w:szCs w:val="16"/>
                    </w:rPr>
                  </w:pPr>
                  <w:r>
                    <w:t>油类物质</w:t>
                  </w:r>
                </w:p>
              </w:tc>
              <w:tc>
                <w:tcPr>
                  <w:tcW w:w="0" w:type="auto"/>
                  <w:vAlign w:val="center"/>
                </w:tcPr>
                <w:p>
                  <w:pPr>
                    <w:jc w:val="center"/>
                    <w:rPr>
                      <w:bCs/>
                      <w:szCs w:val="16"/>
                    </w:rPr>
                  </w:pPr>
                  <w:r>
                    <w:t>每季度/次</w:t>
                  </w:r>
                </w:p>
              </w:tc>
              <w:tc>
                <w:tcPr>
                  <w:tcW w:w="0" w:type="auto"/>
                  <w:vAlign w:val="center"/>
                </w:tcPr>
                <w:p>
                  <w:pPr>
                    <w:jc w:val="center"/>
                    <w:rPr>
                      <w:bCs/>
                      <w:szCs w:val="16"/>
                    </w:rPr>
                  </w:pPr>
                  <w:r>
                    <w:t>T，I</w:t>
                  </w:r>
                </w:p>
              </w:tc>
              <w:tc>
                <w:tcPr>
                  <w:tcW w:w="0" w:type="auto"/>
                  <w:vMerge w:val="restart"/>
                  <w:vAlign w:val="center"/>
                </w:tcPr>
                <w:p>
                  <w:pPr>
                    <w:jc w:val="center"/>
                    <w:rPr>
                      <w:bCs/>
                      <w:szCs w:val="16"/>
                    </w:rPr>
                  </w:pPr>
                  <w:r>
                    <w:rPr>
                      <w:bCs/>
                      <w:szCs w:val="16"/>
                    </w:rPr>
                    <w:t>建设危废暂存间，分区存放，三防处理，委托有资质单位处理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0" w:type="auto"/>
                  <w:vAlign w:val="center"/>
                </w:tcPr>
                <w:p>
                  <w:pPr>
                    <w:jc w:val="center"/>
                    <w:rPr>
                      <w:bCs/>
                      <w:szCs w:val="16"/>
                    </w:rPr>
                  </w:pPr>
                  <w:r>
                    <w:rPr>
                      <w:bCs/>
                      <w:szCs w:val="16"/>
                    </w:rPr>
                    <w:t xml:space="preserve">2 </w:t>
                  </w:r>
                </w:p>
              </w:tc>
              <w:tc>
                <w:tcPr>
                  <w:tcW w:w="0" w:type="auto"/>
                  <w:vAlign w:val="center"/>
                </w:tcPr>
                <w:p>
                  <w:pPr>
                    <w:jc w:val="center"/>
                  </w:pPr>
                  <w:r>
                    <w:rPr>
                      <w:bCs/>
                      <w:szCs w:val="16"/>
                    </w:rPr>
                    <w:t>含油抹布</w:t>
                  </w:r>
                </w:p>
              </w:tc>
              <w:tc>
                <w:tcPr>
                  <w:tcW w:w="0" w:type="auto"/>
                  <w:vAlign w:val="center"/>
                </w:tcPr>
                <w:p>
                  <w:pPr>
                    <w:jc w:val="center"/>
                  </w:pPr>
                  <w:r>
                    <w:t>H49</w:t>
                  </w:r>
                </w:p>
              </w:tc>
              <w:tc>
                <w:tcPr>
                  <w:tcW w:w="0" w:type="auto"/>
                  <w:vAlign w:val="center"/>
                </w:tcPr>
                <w:p>
                  <w:pPr>
                    <w:jc w:val="center"/>
                  </w:pPr>
                  <w:r>
                    <w:t>900-041-49</w:t>
                  </w:r>
                </w:p>
              </w:tc>
              <w:tc>
                <w:tcPr>
                  <w:tcW w:w="0" w:type="auto"/>
                  <w:vAlign w:val="center"/>
                </w:tcPr>
                <w:p>
                  <w:pPr>
                    <w:jc w:val="center"/>
                  </w:pPr>
                  <w:r>
                    <w:t>0.05t/a</w:t>
                  </w:r>
                </w:p>
              </w:tc>
              <w:tc>
                <w:tcPr>
                  <w:tcW w:w="0" w:type="auto"/>
                  <w:vAlign w:val="center"/>
                </w:tcPr>
                <w:p>
                  <w:pPr>
                    <w:jc w:val="center"/>
                  </w:pPr>
                  <w:r>
                    <w:t>设备维修</w:t>
                  </w:r>
                </w:p>
              </w:tc>
              <w:tc>
                <w:tcPr>
                  <w:tcW w:w="0" w:type="auto"/>
                  <w:vAlign w:val="center"/>
                </w:tcPr>
                <w:p>
                  <w:pPr>
                    <w:jc w:val="center"/>
                  </w:pPr>
                  <w:r>
                    <w:t>固态</w:t>
                  </w:r>
                </w:p>
              </w:tc>
              <w:tc>
                <w:tcPr>
                  <w:tcW w:w="0" w:type="auto"/>
                  <w:vAlign w:val="center"/>
                </w:tcPr>
                <w:p>
                  <w:pPr>
                    <w:jc w:val="center"/>
                  </w:pPr>
                  <w:r>
                    <w:t>油类物质</w:t>
                  </w:r>
                </w:p>
              </w:tc>
              <w:tc>
                <w:tcPr>
                  <w:tcW w:w="0" w:type="auto"/>
                  <w:vAlign w:val="center"/>
                </w:tcPr>
                <w:p>
                  <w:pPr>
                    <w:jc w:val="center"/>
                  </w:pPr>
                  <w:r>
                    <w:t>油类物质</w:t>
                  </w:r>
                </w:p>
              </w:tc>
              <w:tc>
                <w:tcPr>
                  <w:tcW w:w="0" w:type="auto"/>
                  <w:vAlign w:val="center"/>
                </w:tcPr>
                <w:p>
                  <w:pPr>
                    <w:jc w:val="center"/>
                  </w:pPr>
                  <w:r>
                    <w:t>每季度/次</w:t>
                  </w:r>
                </w:p>
              </w:tc>
              <w:tc>
                <w:tcPr>
                  <w:tcW w:w="0" w:type="auto"/>
                  <w:vAlign w:val="center"/>
                </w:tcPr>
                <w:p>
                  <w:pPr>
                    <w:jc w:val="center"/>
                  </w:pPr>
                  <w:r>
                    <w:t>T/In</w:t>
                  </w:r>
                </w:p>
              </w:tc>
              <w:tc>
                <w:tcPr>
                  <w:tcW w:w="0" w:type="auto"/>
                  <w:vMerge w:val="continue"/>
                  <w:vAlign w:val="center"/>
                </w:tcPr>
                <w:p>
                  <w:pPr>
                    <w:jc w:val="center"/>
                    <w:rPr>
                      <w:bCs/>
                      <w:szCs w:val="16"/>
                    </w:rPr>
                  </w:pPr>
                </w:p>
              </w:tc>
            </w:tr>
          </w:tbl>
          <w:p>
            <w:pPr>
              <w:snapToGrid w:val="0"/>
              <w:spacing w:line="360" w:lineRule="auto"/>
              <w:ind w:firstLine="482" w:firstLineChars="200"/>
              <w:rPr>
                <w:b/>
                <w:bCs/>
                <w:kern w:val="0"/>
                <w:sz w:val="24"/>
              </w:rPr>
            </w:pPr>
            <w:r>
              <w:rPr>
                <w:b/>
                <w:bCs/>
                <w:kern w:val="0"/>
                <w:sz w:val="24"/>
              </w:rPr>
              <w:t>固废管理要求：</w:t>
            </w:r>
          </w:p>
          <w:p>
            <w:pPr>
              <w:snapToGrid w:val="0"/>
              <w:spacing w:line="360" w:lineRule="auto"/>
              <w:ind w:firstLine="480" w:firstLineChars="200"/>
              <w:rPr>
                <w:sz w:val="24"/>
              </w:rPr>
            </w:pPr>
            <w:r>
              <w:rPr>
                <w:sz w:val="24"/>
              </w:rPr>
              <w:t>根据《中华人民共和国固体废物污染环境防治法》第四十条：“产生工业固体废物的单位应当根据经济、技术条件对工业固体废物加以利用；对暂时不利用或者不能利用的，应当按照国务院生态环境等主管部门的规定建设贮存设施、场所，安全分类存放，或者采取无害化处置措施。贮存工业固体废物应当采取符合国家环境保护标准的防护措施”，第四十一条：“产生工业固体废物的单位终止的，应当在终止前对工业固体废物的贮存、处置的设施、场所采取污染防治措施，并对未处置的工业固体废物作出妥善处置，防止污染环境”。</w:t>
            </w:r>
          </w:p>
          <w:p>
            <w:pPr>
              <w:adjustRightInd w:val="0"/>
              <w:snapToGrid w:val="0"/>
              <w:spacing w:line="360" w:lineRule="auto"/>
              <w:ind w:firstLine="482" w:firstLineChars="200"/>
              <w:jc w:val="left"/>
              <w:rPr>
                <w:sz w:val="24"/>
              </w:rPr>
            </w:pPr>
            <w:r>
              <w:rPr>
                <w:b/>
                <w:bCs/>
                <w:sz w:val="24"/>
                <w:u w:val="single"/>
              </w:rPr>
              <w:t>本评价要求</w:t>
            </w:r>
            <w:r>
              <w:rPr>
                <w:sz w:val="24"/>
                <w:u w:val="single"/>
              </w:rPr>
              <w:t>：建设单位按照固废的性质分类收集、分质处理；按照《一般工业固体废物贮存和填埋污染控制标准》（GB18599-2020）的要求建设一般固废仓库；项目终止时按照《中华人民共和国固体废物污染环境防治法》四十一条的规定做好固废污染防治</w:t>
            </w:r>
            <w:r>
              <w:rPr>
                <w:sz w:val="24"/>
              </w:rPr>
              <w:t>。</w:t>
            </w:r>
          </w:p>
          <w:p>
            <w:pPr>
              <w:adjustRightInd w:val="0"/>
              <w:snapToGrid w:val="0"/>
              <w:spacing w:line="360" w:lineRule="auto"/>
              <w:ind w:firstLine="482" w:firstLineChars="200"/>
              <w:jc w:val="left"/>
              <w:rPr>
                <w:b/>
                <w:sz w:val="24"/>
              </w:rPr>
            </w:pPr>
            <w:r>
              <w:rPr>
                <w:b/>
                <w:sz w:val="24"/>
              </w:rPr>
              <w:t>危险废物暂存间建设要求：</w:t>
            </w:r>
          </w:p>
          <w:p>
            <w:pPr>
              <w:adjustRightInd w:val="0"/>
              <w:snapToGrid w:val="0"/>
              <w:spacing w:line="360" w:lineRule="auto"/>
              <w:ind w:firstLine="480" w:firstLineChars="200"/>
              <w:jc w:val="left"/>
              <w:rPr>
                <w:bCs/>
                <w:sz w:val="24"/>
              </w:rPr>
            </w:pPr>
            <w:r>
              <w:rPr>
                <w:bCs/>
                <w:sz w:val="24"/>
              </w:rPr>
              <w:t>危险废物暂存间</w:t>
            </w:r>
            <w:r>
              <w:rPr>
                <w:sz w:val="24"/>
              </w:rPr>
              <w:t>应按照《危险废物贮存污染控制标准》（GB18597-2001）及2013修改清单要求建设，主要做好以下几点：</w:t>
            </w:r>
          </w:p>
          <w:p>
            <w:pPr>
              <w:adjustRightInd w:val="0"/>
              <w:snapToGrid w:val="0"/>
              <w:spacing w:line="360" w:lineRule="auto"/>
              <w:ind w:firstLine="480" w:firstLineChars="200"/>
              <w:jc w:val="left"/>
              <w:rPr>
                <w:sz w:val="24"/>
              </w:rPr>
            </w:pPr>
            <w:r>
              <w:rPr>
                <w:sz w:val="24"/>
              </w:rPr>
              <w:fldChar w:fldCharType="begin"/>
            </w:r>
            <w:r>
              <w:rPr>
                <w:sz w:val="24"/>
              </w:rPr>
              <w:instrText xml:space="preserve"> = 1 \* roman </w:instrText>
            </w:r>
            <w:r>
              <w:rPr>
                <w:sz w:val="24"/>
              </w:rPr>
              <w:fldChar w:fldCharType="separate"/>
            </w:r>
            <w:r>
              <w:rPr>
                <w:sz w:val="24"/>
              </w:rPr>
              <w:t>i</w:t>
            </w:r>
            <w:r>
              <w:rPr>
                <w:sz w:val="24"/>
              </w:rPr>
              <w:fldChar w:fldCharType="end"/>
            </w:r>
            <w:r>
              <w:rPr>
                <w:sz w:val="24"/>
              </w:rPr>
              <w:t>. 基础必须防渗，防渗层为至少1m厚粘土层（渗透系数≤10</w:t>
            </w:r>
            <w:r>
              <w:rPr>
                <w:sz w:val="24"/>
                <w:vertAlign w:val="superscript"/>
              </w:rPr>
              <w:t>-7</w:t>
            </w:r>
            <w:r>
              <w:rPr>
                <w:sz w:val="24"/>
              </w:rPr>
              <w:t>cm/s），或2mm厚高密度聚乙烯，或至少2mm厚的其它人工材料，渗透系数≤10</w:t>
            </w:r>
            <w:r>
              <w:rPr>
                <w:sz w:val="24"/>
                <w:vertAlign w:val="superscript"/>
              </w:rPr>
              <w:t>-10</w:t>
            </w:r>
            <w:r>
              <w:rPr>
                <w:sz w:val="24"/>
              </w:rPr>
              <w:t>cm/s；设置围堰、地沟，量少的情况下可用托盘放置在危险废物下方。</w:t>
            </w:r>
          </w:p>
          <w:p>
            <w:pPr>
              <w:adjustRightInd w:val="0"/>
              <w:snapToGrid w:val="0"/>
              <w:spacing w:line="360" w:lineRule="auto"/>
              <w:ind w:firstLine="480" w:firstLineChars="200"/>
              <w:jc w:val="left"/>
              <w:rPr>
                <w:sz w:val="24"/>
              </w:rPr>
            </w:pPr>
            <w:r>
              <w:rPr>
                <w:sz w:val="24"/>
              </w:rPr>
              <w:fldChar w:fldCharType="begin"/>
            </w:r>
            <w:r>
              <w:rPr>
                <w:sz w:val="24"/>
              </w:rPr>
              <w:instrText xml:space="preserve"> = 2 \* roman </w:instrText>
            </w:r>
            <w:r>
              <w:rPr>
                <w:sz w:val="24"/>
              </w:rPr>
              <w:fldChar w:fldCharType="separate"/>
            </w:r>
            <w:r>
              <w:rPr>
                <w:sz w:val="24"/>
              </w:rPr>
              <w:t>ii</w:t>
            </w:r>
            <w:r>
              <w:rPr>
                <w:sz w:val="24"/>
              </w:rPr>
              <w:fldChar w:fldCharType="end"/>
            </w:r>
            <w:r>
              <w:rPr>
                <w:sz w:val="24"/>
              </w:rPr>
              <w:t>. 要防风、防雨、防晒；</w:t>
            </w:r>
          </w:p>
          <w:p>
            <w:pPr>
              <w:adjustRightInd w:val="0"/>
              <w:snapToGrid w:val="0"/>
              <w:spacing w:line="360" w:lineRule="auto"/>
              <w:ind w:firstLine="480" w:firstLineChars="200"/>
              <w:jc w:val="left"/>
              <w:rPr>
                <w:sz w:val="24"/>
              </w:rPr>
            </w:pPr>
            <w:r>
              <w:rPr>
                <w:sz w:val="24"/>
              </w:rPr>
              <w:fldChar w:fldCharType="begin"/>
            </w:r>
            <w:r>
              <w:rPr>
                <w:sz w:val="24"/>
              </w:rPr>
              <w:instrText xml:space="preserve"> = 3 \* roman </w:instrText>
            </w:r>
            <w:r>
              <w:rPr>
                <w:sz w:val="24"/>
              </w:rPr>
              <w:fldChar w:fldCharType="separate"/>
            </w:r>
            <w:r>
              <w:rPr>
                <w:sz w:val="24"/>
              </w:rPr>
              <w:t>iii</w:t>
            </w:r>
            <w:r>
              <w:rPr>
                <w:sz w:val="24"/>
              </w:rPr>
              <w:fldChar w:fldCharType="end"/>
            </w:r>
            <w:r>
              <w:rPr>
                <w:sz w:val="24"/>
              </w:rPr>
              <w:t>. 要设置隔断，将不同性质的危险废物分区存放，每个区域都应有防漏裙脚或储漏盘，其材质要与危险废物相容；</w:t>
            </w:r>
          </w:p>
          <w:p>
            <w:pPr>
              <w:adjustRightInd w:val="0"/>
              <w:snapToGrid w:val="0"/>
              <w:spacing w:line="360" w:lineRule="auto"/>
              <w:ind w:firstLine="480" w:firstLineChars="200"/>
              <w:jc w:val="left"/>
              <w:rPr>
                <w:sz w:val="24"/>
              </w:rPr>
            </w:pPr>
            <w:r>
              <w:rPr>
                <w:sz w:val="24"/>
              </w:rPr>
              <w:fldChar w:fldCharType="begin"/>
            </w:r>
            <w:r>
              <w:rPr>
                <w:sz w:val="24"/>
              </w:rPr>
              <w:instrText xml:space="preserve"> = 4 \* roman </w:instrText>
            </w:r>
            <w:r>
              <w:rPr>
                <w:sz w:val="24"/>
              </w:rPr>
              <w:fldChar w:fldCharType="separate"/>
            </w:r>
            <w:r>
              <w:rPr>
                <w:sz w:val="24"/>
              </w:rPr>
              <w:t>iv</w:t>
            </w:r>
            <w:r>
              <w:rPr>
                <w:sz w:val="24"/>
              </w:rPr>
              <w:fldChar w:fldCharType="end"/>
            </w:r>
            <w:r>
              <w:rPr>
                <w:sz w:val="24"/>
              </w:rPr>
              <w:t>. 做好台账记录，台账上须注明危险废物的名称、来源、数量、特性和包装容器的类别、入库日期、存放库位、废物出库日期及接受单位名称；</w:t>
            </w:r>
          </w:p>
          <w:p>
            <w:pPr>
              <w:adjustRightInd w:val="0"/>
              <w:snapToGrid w:val="0"/>
              <w:spacing w:line="360" w:lineRule="auto"/>
              <w:ind w:firstLine="480" w:firstLineChars="200"/>
              <w:jc w:val="left"/>
              <w:rPr>
                <w:sz w:val="24"/>
              </w:rPr>
            </w:pPr>
            <w:r>
              <w:rPr>
                <w:sz w:val="24"/>
              </w:rPr>
              <w:fldChar w:fldCharType="begin"/>
            </w:r>
            <w:r>
              <w:rPr>
                <w:sz w:val="24"/>
              </w:rPr>
              <w:instrText xml:space="preserve"> = 5 \* roman </w:instrText>
            </w:r>
            <w:r>
              <w:rPr>
                <w:sz w:val="24"/>
              </w:rPr>
              <w:fldChar w:fldCharType="separate"/>
            </w:r>
            <w:r>
              <w:rPr>
                <w:sz w:val="24"/>
              </w:rPr>
              <w:t>v</w:t>
            </w:r>
            <w:r>
              <w:rPr>
                <w:sz w:val="24"/>
              </w:rPr>
              <w:fldChar w:fldCharType="end"/>
            </w:r>
            <w:r>
              <w:rPr>
                <w:sz w:val="24"/>
              </w:rPr>
              <w:t>. 定期对贮存的危险废物包装容器及贮存设施进行检查，发现破损，应及时采取措施清理更换；</w:t>
            </w:r>
          </w:p>
          <w:p>
            <w:pPr>
              <w:adjustRightInd w:val="0"/>
              <w:snapToGrid w:val="0"/>
              <w:spacing w:line="360" w:lineRule="auto"/>
              <w:ind w:firstLine="480" w:firstLineChars="200"/>
              <w:jc w:val="left"/>
              <w:rPr>
                <w:sz w:val="24"/>
              </w:rPr>
            </w:pPr>
            <w:r>
              <w:rPr>
                <w:sz w:val="24"/>
              </w:rPr>
              <w:fldChar w:fldCharType="begin"/>
            </w:r>
            <w:r>
              <w:rPr>
                <w:sz w:val="24"/>
              </w:rPr>
              <w:instrText xml:space="preserve"> = 6 \* roman </w:instrText>
            </w:r>
            <w:r>
              <w:rPr>
                <w:sz w:val="24"/>
              </w:rPr>
              <w:fldChar w:fldCharType="separate"/>
            </w:r>
            <w:r>
              <w:rPr>
                <w:sz w:val="24"/>
              </w:rPr>
              <w:t>vi</w:t>
            </w:r>
            <w:r>
              <w:rPr>
                <w:sz w:val="24"/>
              </w:rPr>
              <w:fldChar w:fldCharType="end"/>
            </w:r>
            <w:r>
              <w:rPr>
                <w:sz w:val="24"/>
              </w:rPr>
              <w:t>. 须按照GB15562.2的规定设置警示标志；同时危险废物污染防治责任制度上墙；</w:t>
            </w:r>
          </w:p>
          <w:p>
            <w:pPr>
              <w:pStyle w:val="11"/>
              <w:adjustRightInd w:val="0"/>
              <w:snapToGrid w:val="0"/>
              <w:spacing w:line="360" w:lineRule="auto"/>
              <w:ind w:firstLine="480" w:firstLineChars="200"/>
            </w:pPr>
            <w:r>
              <w:fldChar w:fldCharType="begin"/>
            </w:r>
            <w:r>
              <w:instrText xml:space="preserve"> = 7 \* roman </w:instrText>
            </w:r>
            <w:r>
              <w:fldChar w:fldCharType="separate"/>
            </w:r>
            <w:r>
              <w:t>vii</w:t>
            </w:r>
            <w:r>
              <w:fldChar w:fldCharType="end"/>
            </w:r>
            <w:r>
              <w:t>. 须和具有相应处置资质的单位签订委托协议，并严格执行转运联单制度。</w:t>
            </w:r>
          </w:p>
          <w:p>
            <w:pPr>
              <w:pStyle w:val="11"/>
              <w:adjustRightInd w:val="0"/>
              <w:snapToGrid w:val="0"/>
              <w:spacing w:line="360" w:lineRule="auto"/>
              <w:ind w:firstLine="482" w:firstLineChars="200"/>
              <w:rPr>
                <w:szCs w:val="24"/>
              </w:rPr>
            </w:pPr>
            <w:r>
              <w:rPr>
                <w:b/>
                <w:szCs w:val="24"/>
              </w:rPr>
              <w:t>针对危险废物暂存间标识标牌提出以下具体要求</w:t>
            </w:r>
            <w:r>
              <w:rPr>
                <w:szCs w:val="24"/>
              </w:rPr>
              <w:t>：</w:t>
            </w:r>
          </w:p>
          <w:p>
            <w:pPr>
              <w:spacing w:line="360" w:lineRule="auto"/>
              <w:ind w:firstLine="364" w:firstLineChars="152"/>
              <w:rPr>
                <w:sz w:val="24"/>
              </w:rPr>
            </w:pPr>
            <w:r>
              <w:rPr>
                <w:sz w:val="24"/>
              </w:rPr>
              <w:t>危险废物暂存间按照《环境保护图形标志-固体废物贮存（处置）场》（GB15562.2）要求设置警示标志。</w:t>
            </w:r>
          </w:p>
          <w:tbl>
            <w:tblPr>
              <w:tblStyle w:val="3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97" w:type="dxa"/>
                  <w:vAlign w:val="center"/>
                </w:tcPr>
                <w:p>
                  <w:pPr>
                    <w:pStyle w:val="11"/>
                    <w:adjustRightInd w:val="0"/>
                    <w:snapToGrid w:val="0"/>
                    <w:jc w:val="center"/>
                    <w:rPr>
                      <w:szCs w:val="24"/>
                    </w:rPr>
                  </w:pPr>
                  <w:r>
                    <w:drawing>
                      <wp:inline distT="0" distB="0" distL="0" distR="0">
                        <wp:extent cx="4923155" cy="1708785"/>
                        <wp:effectExtent l="0" t="0" r="10795" b="571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4923155" cy="170878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297" w:type="dxa"/>
                  <w:vAlign w:val="center"/>
                </w:tcPr>
                <w:p>
                  <w:pPr>
                    <w:pStyle w:val="11"/>
                    <w:adjustRightInd w:val="0"/>
                    <w:snapToGrid w:val="0"/>
                    <w:jc w:val="center"/>
                    <w:rPr>
                      <w:szCs w:val="21"/>
                    </w:rPr>
                  </w:pPr>
                  <w:r>
                    <w:rPr>
                      <w:szCs w:val="21"/>
                    </w:rPr>
                    <w:t>危险废物警告标志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97" w:type="dxa"/>
                  <w:vAlign w:val="center"/>
                </w:tcPr>
                <w:p>
                  <w:pPr>
                    <w:pStyle w:val="11"/>
                    <w:adjustRightInd w:val="0"/>
                    <w:snapToGrid w:val="0"/>
                    <w:jc w:val="center"/>
                    <w:rPr>
                      <w:szCs w:val="21"/>
                    </w:rPr>
                  </w:pPr>
                  <w:r>
                    <w:drawing>
                      <wp:inline distT="0" distB="0" distL="0" distR="0">
                        <wp:extent cx="4913630" cy="1635125"/>
                        <wp:effectExtent l="0" t="0" r="1270" b="317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4913630" cy="163512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97" w:type="dxa"/>
                  <w:vAlign w:val="center"/>
                </w:tcPr>
                <w:p>
                  <w:pPr>
                    <w:pStyle w:val="11"/>
                    <w:adjustRightInd w:val="0"/>
                    <w:snapToGrid w:val="0"/>
                    <w:jc w:val="center"/>
                    <w:rPr>
                      <w:szCs w:val="21"/>
                    </w:rPr>
                  </w:pPr>
                  <w:r>
                    <w:rPr>
                      <w:szCs w:val="21"/>
                    </w:rPr>
                    <w:t>粘贴于危险废物储存容器上的危险废物标签</w:t>
                  </w:r>
                </w:p>
              </w:tc>
            </w:tr>
          </w:tbl>
          <w:p>
            <w:pPr>
              <w:adjustRightInd w:val="0"/>
              <w:snapToGrid w:val="0"/>
              <w:spacing w:line="360" w:lineRule="auto"/>
              <w:ind w:firstLine="482" w:firstLineChars="200"/>
              <w:jc w:val="left"/>
              <w:rPr>
                <w:b/>
                <w:sz w:val="24"/>
              </w:rPr>
            </w:pPr>
            <w:r>
              <w:rPr>
                <w:b/>
                <w:sz w:val="24"/>
              </w:rPr>
              <w:t>一般工业固废暂存间建设要求（《一般工业固废贮存和填埋污染控制标准》（GB18599-2020））：</w:t>
            </w:r>
          </w:p>
          <w:p>
            <w:pPr>
              <w:adjustRightInd w:val="0"/>
              <w:snapToGrid w:val="0"/>
              <w:spacing w:line="360" w:lineRule="auto"/>
              <w:ind w:firstLine="480" w:firstLineChars="200"/>
              <w:jc w:val="left"/>
              <w:rPr>
                <w:sz w:val="24"/>
              </w:rPr>
            </w:pPr>
            <w:r>
              <w:rPr>
                <w:sz w:val="24"/>
              </w:rPr>
              <w:fldChar w:fldCharType="begin"/>
            </w:r>
            <w:r>
              <w:rPr>
                <w:sz w:val="24"/>
              </w:rPr>
              <w:instrText xml:space="preserve"> = 1 \* roman </w:instrText>
            </w:r>
            <w:r>
              <w:rPr>
                <w:sz w:val="24"/>
              </w:rPr>
              <w:fldChar w:fldCharType="separate"/>
            </w:r>
            <w:r>
              <w:rPr>
                <w:sz w:val="24"/>
              </w:rPr>
              <w:t>i</w:t>
            </w:r>
            <w:r>
              <w:rPr>
                <w:sz w:val="24"/>
              </w:rPr>
              <w:fldChar w:fldCharType="end"/>
            </w:r>
            <w:r>
              <w:rPr>
                <w:sz w:val="24"/>
              </w:rPr>
              <w:t>.</w:t>
            </w:r>
            <w:r>
              <w:t xml:space="preserve"> </w:t>
            </w:r>
            <w:r>
              <w:rPr>
                <w:sz w:val="24"/>
              </w:rPr>
              <w:t>贮存场的防洪标准应按重现期不小于 50 年一遇的洪水位设计；</w:t>
            </w:r>
          </w:p>
          <w:p>
            <w:pPr>
              <w:adjustRightInd w:val="0"/>
              <w:snapToGrid w:val="0"/>
              <w:spacing w:line="360" w:lineRule="auto"/>
              <w:ind w:firstLine="480" w:firstLineChars="200"/>
              <w:jc w:val="left"/>
              <w:rPr>
                <w:sz w:val="24"/>
              </w:rPr>
            </w:pPr>
            <w:r>
              <w:rPr>
                <w:sz w:val="24"/>
              </w:rPr>
              <w:fldChar w:fldCharType="begin"/>
            </w:r>
            <w:r>
              <w:rPr>
                <w:sz w:val="24"/>
              </w:rPr>
              <w:instrText xml:space="preserve"> = 2 \* roman </w:instrText>
            </w:r>
            <w:r>
              <w:rPr>
                <w:sz w:val="24"/>
              </w:rPr>
              <w:fldChar w:fldCharType="separate"/>
            </w:r>
            <w:r>
              <w:rPr>
                <w:sz w:val="24"/>
              </w:rPr>
              <w:t>ii</w:t>
            </w:r>
            <w:r>
              <w:rPr>
                <w:sz w:val="24"/>
              </w:rPr>
              <w:fldChar w:fldCharType="end"/>
            </w:r>
            <w:r>
              <w:rPr>
                <w:sz w:val="24"/>
              </w:rPr>
              <w:t xml:space="preserve">.做好防渗措施，其防渗性能应至少相当于渗透系数为 1.0×10 </w:t>
            </w:r>
            <w:r>
              <w:rPr>
                <w:sz w:val="24"/>
                <w:vertAlign w:val="superscript"/>
              </w:rPr>
              <w:t>-5</w:t>
            </w:r>
            <w:r>
              <w:rPr>
                <w:sz w:val="24"/>
              </w:rPr>
              <w:t xml:space="preserve"> cm/s 且厚度为0.75 m的天然基础层；</w:t>
            </w:r>
          </w:p>
          <w:p>
            <w:pPr>
              <w:adjustRightInd w:val="0"/>
              <w:snapToGrid w:val="0"/>
              <w:spacing w:line="360" w:lineRule="auto"/>
              <w:ind w:firstLine="480" w:firstLineChars="200"/>
              <w:jc w:val="left"/>
              <w:rPr>
                <w:sz w:val="24"/>
              </w:rPr>
            </w:pPr>
            <w:r>
              <w:rPr>
                <w:sz w:val="24"/>
              </w:rPr>
              <w:fldChar w:fldCharType="begin"/>
            </w:r>
            <w:r>
              <w:rPr>
                <w:sz w:val="24"/>
              </w:rPr>
              <w:instrText xml:space="preserve"> = 3 \* roman </w:instrText>
            </w:r>
            <w:r>
              <w:rPr>
                <w:sz w:val="24"/>
              </w:rPr>
              <w:fldChar w:fldCharType="separate"/>
            </w:r>
            <w:r>
              <w:rPr>
                <w:sz w:val="24"/>
              </w:rPr>
              <w:t>iii</w:t>
            </w:r>
            <w:r>
              <w:rPr>
                <w:sz w:val="24"/>
              </w:rPr>
              <w:fldChar w:fldCharType="end"/>
            </w:r>
            <w:r>
              <w:rPr>
                <w:sz w:val="24"/>
              </w:rPr>
              <w:t>.固废应分类分区存放，性质不相容的固废应做好隔离措施；</w:t>
            </w:r>
          </w:p>
          <w:p>
            <w:pPr>
              <w:adjustRightInd w:val="0"/>
              <w:snapToGrid w:val="0"/>
              <w:spacing w:line="360" w:lineRule="auto"/>
              <w:ind w:firstLine="480" w:firstLineChars="200"/>
              <w:jc w:val="left"/>
              <w:rPr>
                <w:sz w:val="24"/>
              </w:rPr>
            </w:pPr>
            <w:r>
              <w:rPr>
                <w:sz w:val="24"/>
              </w:rPr>
              <w:fldChar w:fldCharType="begin"/>
            </w:r>
            <w:r>
              <w:rPr>
                <w:sz w:val="24"/>
              </w:rPr>
              <w:instrText xml:space="preserve"> = 4 \* roman </w:instrText>
            </w:r>
            <w:r>
              <w:rPr>
                <w:sz w:val="24"/>
              </w:rPr>
              <w:fldChar w:fldCharType="separate"/>
            </w:r>
            <w:r>
              <w:rPr>
                <w:sz w:val="24"/>
              </w:rPr>
              <w:t>iv</w:t>
            </w:r>
            <w:r>
              <w:rPr>
                <w:sz w:val="24"/>
              </w:rPr>
              <w:fldChar w:fldCharType="end"/>
            </w:r>
            <w:r>
              <w:rPr>
                <w:sz w:val="24"/>
              </w:rPr>
              <w:t>. 应采取防风、防雨措施，并按照GB15562.2的规定设置标志标牌。</w:t>
            </w:r>
          </w:p>
          <w:p>
            <w:pPr>
              <w:adjustRightInd w:val="0"/>
              <w:snapToGrid w:val="0"/>
              <w:spacing w:line="360" w:lineRule="auto"/>
              <w:ind w:firstLine="480" w:firstLineChars="200"/>
              <w:rPr>
                <w:sz w:val="24"/>
              </w:rPr>
            </w:pPr>
            <w:r>
              <w:rPr>
                <w:sz w:val="24"/>
              </w:rPr>
              <w:t>综上所述，建设单位必须按照《一般工业固废贮存和填埋污染控制标准》（GB18599-2020）将各固体废物属性分类收集、分别处置，并按相关标准建立固体废物临时堆放场地，不得到处堆放。各固体废物的清理或外运应及时彻底，采取以上措施后，本工程固体废物均可得到妥善处理，对周围环境影响较小。</w:t>
            </w:r>
          </w:p>
          <w:p>
            <w:pPr>
              <w:tabs>
                <w:tab w:val="left" w:pos="5670"/>
              </w:tabs>
              <w:spacing w:line="360" w:lineRule="auto"/>
              <w:ind w:firstLine="569" w:firstLineChars="236"/>
              <w:rPr>
                <w:b/>
                <w:sz w:val="24"/>
              </w:rPr>
            </w:pPr>
            <w:r>
              <w:rPr>
                <w:b/>
                <w:sz w:val="24"/>
              </w:rPr>
              <w:t>5、运营期地下水和土壤环境影响和保护措施</w:t>
            </w:r>
          </w:p>
          <w:p>
            <w:pPr>
              <w:adjustRightInd w:val="0"/>
              <w:snapToGrid w:val="0"/>
              <w:spacing w:line="360" w:lineRule="auto"/>
              <w:ind w:firstLine="424" w:firstLineChars="177"/>
              <w:rPr>
                <w:sz w:val="24"/>
              </w:rPr>
            </w:pPr>
            <w:r>
              <w:rPr>
                <w:sz w:val="24"/>
              </w:rPr>
              <w:t>根据建设项目对土壤环境影响的程度，本项目为污染影响型项目。项目占地面积10486平方米，占地规模属于小型（≤5hm</w:t>
            </w:r>
            <w:r>
              <w:rPr>
                <w:sz w:val="24"/>
                <w:vertAlign w:val="superscript"/>
              </w:rPr>
              <w:t>2</w:t>
            </w:r>
            <w:r>
              <w:rPr>
                <w:sz w:val="24"/>
              </w:rPr>
              <w:t>）。同时，根据项目所在地周边的土壤敏感程度确定本项目所在地属于“不敏感”。结合《环境影响评价技术导则  土壤环境》（附录A），本项目属于“其他行业”属于“Ⅳ类项目”。</w:t>
            </w:r>
          </w:p>
          <w:p>
            <w:pPr>
              <w:adjustRightInd w:val="0"/>
              <w:snapToGrid w:val="0"/>
              <w:spacing w:line="360" w:lineRule="auto"/>
              <w:ind w:firstLine="424" w:firstLineChars="177"/>
              <w:rPr>
                <w:sz w:val="24"/>
              </w:rPr>
            </w:pPr>
            <w:r>
              <w:rPr>
                <w:sz w:val="24"/>
              </w:rPr>
              <w:t>综上，土壤环境影响可不展开评价。</w:t>
            </w:r>
          </w:p>
          <w:p>
            <w:pPr>
              <w:spacing w:line="360" w:lineRule="auto"/>
              <w:ind w:firstLine="480" w:firstLineChars="200"/>
              <w:rPr>
                <w:sz w:val="24"/>
              </w:rPr>
            </w:pPr>
            <w:r>
              <w:rPr>
                <w:sz w:val="24"/>
              </w:rPr>
              <w:t>地下水污染防治措施坚持“源头控制、末端防治、污染监控、应急响应相结合”的原则，即采取主动控制和被动控制相结合的措施。为更好防止项目对下水污染的可能性，本次评价参照《环境影响评价导则 地下水环境》（HJ610-2016）中表7要求，提出防渗要求，项目分区防渗。</w:t>
            </w:r>
          </w:p>
          <w:p>
            <w:pPr>
              <w:spacing w:line="360" w:lineRule="auto"/>
              <w:ind w:firstLine="480" w:firstLineChars="200"/>
              <w:rPr>
                <w:sz w:val="24"/>
              </w:rPr>
            </w:pPr>
            <w:r>
              <w:rPr>
                <w:sz w:val="24"/>
              </w:rPr>
              <w:t>（1）源项分析</w:t>
            </w:r>
          </w:p>
          <w:p>
            <w:pPr>
              <w:spacing w:line="360" w:lineRule="auto"/>
              <w:ind w:firstLine="480" w:firstLineChars="200"/>
              <w:rPr>
                <w:sz w:val="24"/>
              </w:rPr>
            </w:pPr>
            <w:r>
              <w:rPr>
                <w:sz w:val="24"/>
              </w:rPr>
              <w:t>本项目地下水和土壤污染的污染源主要为废水、机械润滑油；本项目不涉及重金属和剧毒物质，主要污染物为耗氧量、氨氮等，污染途径为垂直下渗。</w:t>
            </w:r>
          </w:p>
          <w:p>
            <w:pPr>
              <w:spacing w:line="360" w:lineRule="auto"/>
              <w:ind w:firstLine="480" w:firstLineChars="200"/>
              <w:rPr>
                <w:sz w:val="24"/>
              </w:rPr>
            </w:pPr>
            <w:r>
              <w:rPr>
                <w:sz w:val="24"/>
              </w:rPr>
              <w:t>（2）防治措施</w:t>
            </w:r>
          </w:p>
          <w:p>
            <w:pPr>
              <w:spacing w:line="360" w:lineRule="auto"/>
              <w:ind w:firstLine="480" w:firstLineChars="200"/>
              <w:rPr>
                <w:sz w:val="24"/>
              </w:rPr>
            </w:pPr>
            <w:r>
              <w:rPr>
                <w:sz w:val="24"/>
              </w:rPr>
              <w:fldChar w:fldCharType="begin"/>
            </w:r>
            <w:r>
              <w:rPr>
                <w:sz w:val="24"/>
              </w:rPr>
              <w:instrText xml:space="preserve"> = 1 \* GB3 </w:instrText>
            </w:r>
            <w:r>
              <w:rPr>
                <w:sz w:val="24"/>
              </w:rPr>
              <w:fldChar w:fldCharType="separate"/>
            </w:r>
            <w:r>
              <w:rPr>
                <w:rFonts w:hint="eastAsia" w:ascii="宋体" w:hAnsi="宋体" w:cs="宋体"/>
                <w:sz w:val="24"/>
              </w:rPr>
              <w:t>①</w:t>
            </w:r>
            <w:r>
              <w:rPr>
                <w:sz w:val="24"/>
              </w:rPr>
              <w:fldChar w:fldCharType="end"/>
            </w:r>
            <w:r>
              <w:rPr>
                <w:sz w:val="24"/>
              </w:rPr>
              <w:t>厂区采取分区防渗，车间废水收集沟管、循环处理池、危废暂存间等区域等风险较大区域进行重点防渗；普通生产车间、原辅料仓、仓库等区域进行一般防渗；办公生活区、厂区地面进行简单防渗。</w:t>
            </w:r>
          </w:p>
          <w:p>
            <w:pPr>
              <w:spacing w:line="360" w:lineRule="auto"/>
              <w:ind w:firstLine="480" w:firstLineChars="200"/>
              <w:rPr>
                <w:sz w:val="24"/>
              </w:rPr>
            </w:pPr>
            <w:r>
              <w:rPr>
                <w:sz w:val="24"/>
              </w:rPr>
              <w:fldChar w:fldCharType="begin"/>
            </w:r>
            <w:r>
              <w:rPr>
                <w:sz w:val="24"/>
              </w:rPr>
              <w:instrText xml:space="preserve"> = 2 \* GB3 </w:instrText>
            </w:r>
            <w:r>
              <w:rPr>
                <w:sz w:val="24"/>
              </w:rPr>
              <w:fldChar w:fldCharType="separate"/>
            </w:r>
            <w:r>
              <w:rPr>
                <w:rFonts w:hint="eastAsia" w:ascii="宋体" w:hAnsi="宋体" w:cs="宋体"/>
                <w:sz w:val="24"/>
              </w:rPr>
              <w:t>②</w:t>
            </w:r>
            <w:r>
              <w:rPr>
                <w:sz w:val="24"/>
              </w:rPr>
              <w:fldChar w:fldCharType="end"/>
            </w:r>
            <w:r>
              <w:rPr>
                <w:sz w:val="24"/>
              </w:rPr>
              <w:t>采取清洁生产措施，增加水的重复利用率，减少各类化学药品的用量和仓库暂存量，从源头上减少污染物的排放量。</w:t>
            </w:r>
          </w:p>
          <w:p>
            <w:pPr>
              <w:spacing w:line="360" w:lineRule="auto"/>
              <w:ind w:firstLine="480" w:firstLineChars="200"/>
              <w:rPr>
                <w:sz w:val="24"/>
              </w:rPr>
            </w:pPr>
            <w:r>
              <w:rPr>
                <w:sz w:val="24"/>
              </w:rPr>
              <w:fldChar w:fldCharType="begin"/>
            </w:r>
            <w:r>
              <w:rPr>
                <w:sz w:val="24"/>
              </w:rPr>
              <w:instrText xml:space="preserve"> = 3 \* GB3 </w:instrText>
            </w:r>
            <w:r>
              <w:rPr>
                <w:sz w:val="24"/>
              </w:rPr>
              <w:fldChar w:fldCharType="separate"/>
            </w:r>
            <w:r>
              <w:rPr>
                <w:rFonts w:hint="eastAsia" w:ascii="宋体" w:hAnsi="宋体" w:cs="宋体"/>
                <w:sz w:val="24"/>
              </w:rPr>
              <w:t>③</w:t>
            </w:r>
            <w:r>
              <w:rPr>
                <w:sz w:val="24"/>
              </w:rPr>
              <w:fldChar w:fldCharType="end"/>
            </w:r>
            <w:r>
              <w:rPr>
                <w:sz w:val="24"/>
              </w:rPr>
              <w:t>采用质量较好的建筑材料，延长防渗层和管道的使用时间，减少泄露事故发生的频次。</w:t>
            </w:r>
          </w:p>
          <w:p>
            <w:pPr>
              <w:spacing w:line="360" w:lineRule="auto"/>
              <w:ind w:firstLine="480" w:firstLineChars="200"/>
              <w:rPr>
                <w:sz w:val="24"/>
              </w:rPr>
            </w:pPr>
            <w:r>
              <w:rPr>
                <w:sz w:val="24"/>
              </w:rPr>
              <w:fldChar w:fldCharType="begin"/>
            </w:r>
            <w:r>
              <w:rPr>
                <w:sz w:val="24"/>
              </w:rPr>
              <w:instrText xml:space="preserve"> = 4 \* GB3 </w:instrText>
            </w:r>
            <w:r>
              <w:rPr>
                <w:sz w:val="24"/>
              </w:rPr>
              <w:fldChar w:fldCharType="separate"/>
            </w:r>
            <w:r>
              <w:rPr>
                <w:rFonts w:hint="eastAsia" w:ascii="宋体" w:hAnsi="宋体" w:cs="宋体"/>
                <w:sz w:val="24"/>
              </w:rPr>
              <w:t>④</w:t>
            </w:r>
            <w:r>
              <w:rPr>
                <w:sz w:val="24"/>
              </w:rPr>
              <w:fldChar w:fldCharType="end"/>
            </w:r>
            <w:r>
              <w:rPr>
                <w:sz w:val="24"/>
              </w:rPr>
              <w:t>污水管线应地上敷设，若确实需要地下敷设时，管沟应做防渗处理并设置检查井；工艺管线除与阀门、仪表、设备等连接可以采用法兰环，应尽量采用焊接。</w:t>
            </w:r>
          </w:p>
          <w:p>
            <w:pPr>
              <w:spacing w:line="360" w:lineRule="auto"/>
              <w:ind w:firstLine="480" w:firstLineChars="200"/>
              <w:rPr>
                <w:sz w:val="24"/>
              </w:rPr>
            </w:pPr>
            <w:r>
              <w:rPr>
                <w:sz w:val="24"/>
              </w:rPr>
              <w:fldChar w:fldCharType="begin"/>
            </w:r>
            <w:r>
              <w:rPr>
                <w:sz w:val="24"/>
              </w:rPr>
              <w:instrText xml:space="preserve"> = 5 \* GB3 </w:instrText>
            </w:r>
            <w:r>
              <w:rPr>
                <w:sz w:val="24"/>
              </w:rPr>
              <w:fldChar w:fldCharType="separate"/>
            </w:r>
            <w:r>
              <w:rPr>
                <w:rFonts w:hint="eastAsia" w:ascii="宋体" w:hAnsi="宋体" w:cs="宋体"/>
                <w:sz w:val="24"/>
              </w:rPr>
              <w:t>⑤</w:t>
            </w:r>
            <w:r>
              <w:rPr>
                <w:sz w:val="24"/>
              </w:rPr>
              <w:fldChar w:fldCharType="end"/>
            </w:r>
            <w:r>
              <w:rPr>
                <w:sz w:val="24"/>
              </w:rPr>
              <w:t>车间周围设置集水沟，避免液体物质泄露时外溢。</w:t>
            </w:r>
          </w:p>
          <w:p>
            <w:pPr>
              <w:spacing w:line="360" w:lineRule="auto"/>
              <w:ind w:firstLine="480" w:firstLineChars="200"/>
              <w:rPr>
                <w:sz w:val="24"/>
              </w:rPr>
            </w:pPr>
            <w:r>
              <w:rPr>
                <w:sz w:val="24"/>
              </w:rPr>
              <w:fldChar w:fldCharType="begin"/>
            </w:r>
            <w:r>
              <w:rPr>
                <w:sz w:val="24"/>
              </w:rPr>
              <w:instrText xml:space="preserve"> = 6 \* GB3 </w:instrText>
            </w:r>
            <w:r>
              <w:rPr>
                <w:sz w:val="24"/>
              </w:rPr>
              <w:fldChar w:fldCharType="separate"/>
            </w:r>
            <w:r>
              <w:rPr>
                <w:rFonts w:hint="eastAsia" w:ascii="宋体" w:hAnsi="宋体" w:cs="宋体"/>
                <w:sz w:val="24"/>
              </w:rPr>
              <w:t>⑥</w:t>
            </w:r>
            <w:r>
              <w:rPr>
                <w:sz w:val="24"/>
              </w:rPr>
              <w:fldChar w:fldCharType="end"/>
            </w:r>
            <w:r>
              <w:rPr>
                <w:sz w:val="24"/>
              </w:rPr>
              <w:t>对涉及易泄露物质的各生产线采取沟管收集，以便于及时发现泄漏，并在车间四周设置沟槽收集泄露的废水废液。</w:t>
            </w:r>
          </w:p>
          <w:p>
            <w:pPr>
              <w:spacing w:line="360" w:lineRule="auto"/>
              <w:ind w:firstLine="480" w:firstLineChars="200"/>
              <w:rPr>
                <w:sz w:val="24"/>
              </w:rPr>
            </w:pPr>
            <w:r>
              <w:rPr>
                <w:sz w:val="24"/>
              </w:rPr>
              <w:fldChar w:fldCharType="begin"/>
            </w:r>
            <w:r>
              <w:rPr>
                <w:sz w:val="24"/>
              </w:rPr>
              <w:instrText xml:space="preserve"> = 7 \* GB3 </w:instrText>
            </w:r>
            <w:r>
              <w:rPr>
                <w:sz w:val="24"/>
              </w:rPr>
              <w:fldChar w:fldCharType="separate"/>
            </w:r>
            <w:r>
              <w:rPr>
                <w:rFonts w:hint="eastAsia" w:ascii="宋体" w:hAnsi="宋体" w:cs="宋体"/>
                <w:sz w:val="24"/>
              </w:rPr>
              <w:t>⑦</w:t>
            </w:r>
            <w:r>
              <w:rPr>
                <w:sz w:val="24"/>
              </w:rPr>
              <w:fldChar w:fldCharType="end"/>
            </w:r>
            <w:r>
              <w:rPr>
                <w:sz w:val="24"/>
              </w:rPr>
              <w:t>加强管理，加强对设备设施的维护保养和安全巡查，防止污染物的跑、冒、漏、滴，将污染物的泄露的环境风险降到最低。</w:t>
            </w:r>
          </w:p>
          <w:p>
            <w:pPr>
              <w:spacing w:line="360" w:lineRule="auto"/>
              <w:ind w:firstLine="480" w:firstLineChars="200"/>
              <w:rPr>
                <w:sz w:val="24"/>
              </w:rPr>
            </w:pPr>
            <w:r>
              <w:rPr>
                <w:sz w:val="24"/>
              </w:rPr>
              <w:t>项目分区及防渗情况见表4-12。</w:t>
            </w:r>
          </w:p>
          <w:p>
            <w:pPr>
              <w:spacing w:line="360" w:lineRule="auto"/>
              <w:ind w:firstLine="480" w:firstLineChars="200"/>
              <w:jc w:val="center"/>
              <w:rPr>
                <w:sz w:val="24"/>
              </w:rPr>
            </w:pPr>
            <w:r>
              <w:rPr>
                <w:snapToGrid w:val="0"/>
                <w:kern w:val="0"/>
                <w:sz w:val="24"/>
              </w:rPr>
              <w:t>表4-12  项目地下水污染分区情况一览表</w:t>
            </w:r>
          </w:p>
          <w:tbl>
            <w:tblPr>
              <w:tblStyle w:val="38"/>
              <w:tblW w:w="5000" w:type="pct"/>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457"/>
              <w:gridCol w:w="3509"/>
              <w:gridCol w:w="874"/>
              <w:gridCol w:w="3353"/>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271" w:type="pct"/>
                  <w:vAlign w:val="center"/>
                </w:tcPr>
                <w:p>
                  <w:pPr>
                    <w:autoSpaceDE w:val="0"/>
                    <w:autoSpaceDN w:val="0"/>
                    <w:adjustRightInd w:val="0"/>
                    <w:snapToGrid w:val="0"/>
                    <w:jc w:val="center"/>
                    <w:rPr>
                      <w:b/>
                      <w:szCs w:val="21"/>
                    </w:rPr>
                  </w:pPr>
                  <w:r>
                    <w:rPr>
                      <w:b/>
                      <w:szCs w:val="21"/>
                    </w:rPr>
                    <w:t>序号</w:t>
                  </w:r>
                </w:p>
              </w:tc>
              <w:tc>
                <w:tcPr>
                  <w:tcW w:w="2144" w:type="pct"/>
                  <w:vAlign w:val="center"/>
                </w:tcPr>
                <w:p>
                  <w:pPr>
                    <w:autoSpaceDE w:val="0"/>
                    <w:autoSpaceDN w:val="0"/>
                    <w:adjustRightInd w:val="0"/>
                    <w:snapToGrid w:val="0"/>
                    <w:jc w:val="center"/>
                    <w:rPr>
                      <w:b/>
                      <w:szCs w:val="21"/>
                    </w:rPr>
                  </w:pPr>
                  <w:r>
                    <w:rPr>
                      <w:b/>
                      <w:szCs w:val="21"/>
                    </w:rPr>
                    <w:t>构筑物</w:t>
                  </w:r>
                </w:p>
              </w:tc>
              <w:tc>
                <w:tcPr>
                  <w:tcW w:w="536" w:type="pct"/>
                  <w:vAlign w:val="center"/>
                </w:tcPr>
                <w:p>
                  <w:pPr>
                    <w:autoSpaceDE w:val="0"/>
                    <w:autoSpaceDN w:val="0"/>
                    <w:adjustRightInd w:val="0"/>
                    <w:snapToGrid w:val="0"/>
                    <w:jc w:val="center"/>
                    <w:rPr>
                      <w:b/>
                      <w:szCs w:val="21"/>
                    </w:rPr>
                  </w:pPr>
                  <w:r>
                    <w:rPr>
                      <w:b/>
                      <w:szCs w:val="21"/>
                    </w:rPr>
                    <w:t>分区类别</w:t>
                  </w:r>
                </w:p>
              </w:tc>
              <w:tc>
                <w:tcPr>
                  <w:tcW w:w="2049" w:type="pct"/>
                  <w:vAlign w:val="center"/>
                </w:tcPr>
                <w:p>
                  <w:pPr>
                    <w:autoSpaceDE w:val="0"/>
                    <w:autoSpaceDN w:val="0"/>
                    <w:adjustRightInd w:val="0"/>
                    <w:snapToGrid w:val="0"/>
                    <w:jc w:val="center"/>
                    <w:rPr>
                      <w:b/>
                      <w:szCs w:val="21"/>
                    </w:rPr>
                  </w:pPr>
                  <w:r>
                    <w:rPr>
                      <w:b/>
                      <w:szCs w:val="21"/>
                    </w:rPr>
                    <w:t>防渗措施</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271" w:type="pct"/>
                  <w:vAlign w:val="center"/>
                </w:tcPr>
                <w:p>
                  <w:pPr>
                    <w:autoSpaceDE w:val="0"/>
                    <w:autoSpaceDN w:val="0"/>
                    <w:adjustRightInd w:val="0"/>
                    <w:snapToGrid w:val="0"/>
                    <w:jc w:val="center"/>
                    <w:rPr>
                      <w:bCs/>
                      <w:szCs w:val="21"/>
                    </w:rPr>
                  </w:pPr>
                  <w:r>
                    <w:rPr>
                      <w:bCs/>
                      <w:szCs w:val="21"/>
                    </w:rPr>
                    <w:t>1</w:t>
                  </w:r>
                </w:p>
              </w:tc>
              <w:tc>
                <w:tcPr>
                  <w:tcW w:w="2144" w:type="pct"/>
                  <w:vAlign w:val="center"/>
                </w:tcPr>
                <w:p>
                  <w:pPr>
                    <w:autoSpaceDE w:val="0"/>
                    <w:autoSpaceDN w:val="0"/>
                    <w:adjustRightInd w:val="0"/>
                    <w:snapToGrid w:val="0"/>
                    <w:jc w:val="center"/>
                    <w:rPr>
                      <w:bCs/>
                      <w:szCs w:val="21"/>
                    </w:rPr>
                  </w:pPr>
                  <w:r>
                    <w:rPr>
                      <w:szCs w:val="21"/>
                    </w:rPr>
                    <w:t>车间废水收集沟管、循环处理池、危废暂存间等区域</w:t>
                  </w:r>
                </w:p>
              </w:tc>
              <w:tc>
                <w:tcPr>
                  <w:tcW w:w="536" w:type="pct"/>
                  <w:vAlign w:val="center"/>
                </w:tcPr>
                <w:p>
                  <w:pPr>
                    <w:autoSpaceDE w:val="0"/>
                    <w:autoSpaceDN w:val="0"/>
                    <w:adjustRightInd w:val="0"/>
                    <w:snapToGrid w:val="0"/>
                    <w:jc w:val="center"/>
                    <w:rPr>
                      <w:bCs/>
                      <w:szCs w:val="21"/>
                    </w:rPr>
                  </w:pPr>
                  <w:r>
                    <w:rPr>
                      <w:szCs w:val="21"/>
                    </w:rPr>
                    <w:t>重点防渗区</w:t>
                  </w:r>
                </w:p>
              </w:tc>
              <w:tc>
                <w:tcPr>
                  <w:tcW w:w="2049" w:type="pct"/>
                  <w:vAlign w:val="center"/>
                </w:tcPr>
                <w:p>
                  <w:pPr>
                    <w:autoSpaceDE w:val="0"/>
                    <w:autoSpaceDN w:val="0"/>
                    <w:adjustRightInd w:val="0"/>
                    <w:snapToGrid w:val="0"/>
                    <w:jc w:val="center"/>
                    <w:rPr>
                      <w:bCs/>
                      <w:szCs w:val="21"/>
                    </w:rPr>
                  </w:pPr>
                  <w:r>
                    <w:rPr>
                      <w:szCs w:val="21"/>
                    </w:rPr>
                    <w:t>水泥硬化地面上，涂高密度聚乙烯膜防渗，其防渗性能应相当于渗透系数1.0×10</w:t>
                  </w:r>
                  <w:r>
                    <w:rPr>
                      <w:szCs w:val="21"/>
                      <w:vertAlign w:val="superscript"/>
                    </w:rPr>
                    <w:t>-10</w:t>
                  </w:r>
                  <w:r>
                    <w:rPr>
                      <w:szCs w:val="21"/>
                    </w:rPr>
                    <w:t>cm/s和厚度6m的粘土层的防渗性能</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271" w:type="pct"/>
                  <w:vAlign w:val="center"/>
                </w:tcPr>
                <w:p>
                  <w:pPr>
                    <w:autoSpaceDE w:val="0"/>
                    <w:autoSpaceDN w:val="0"/>
                    <w:adjustRightInd w:val="0"/>
                    <w:snapToGrid w:val="0"/>
                    <w:jc w:val="center"/>
                    <w:rPr>
                      <w:szCs w:val="21"/>
                    </w:rPr>
                  </w:pPr>
                  <w:r>
                    <w:rPr>
                      <w:szCs w:val="21"/>
                    </w:rPr>
                    <w:t>2</w:t>
                  </w:r>
                </w:p>
              </w:tc>
              <w:tc>
                <w:tcPr>
                  <w:tcW w:w="2144" w:type="pct"/>
                  <w:vAlign w:val="center"/>
                </w:tcPr>
                <w:p>
                  <w:pPr>
                    <w:autoSpaceDE w:val="0"/>
                    <w:autoSpaceDN w:val="0"/>
                    <w:adjustRightInd w:val="0"/>
                    <w:snapToGrid w:val="0"/>
                    <w:jc w:val="center"/>
                    <w:rPr>
                      <w:szCs w:val="21"/>
                    </w:rPr>
                  </w:pPr>
                  <w:r>
                    <w:rPr>
                      <w:szCs w:val="21"/>
                    </w:rPr>
                    <w:t>各普通生产车间、各原料、成品仓库</w:t>
                  </w:r>
                </w:p>
              </w:tc>
              <w:tc>
                <w:tcPr>
                  <w:tcW w:w="536" w:type="pct"/>
                  <w:vAlign w:val="center"/>
                </w:tcPr>
                <w:p>
                  <w:pPr>
                    <w:autoSpaceDE w:val="0"/>
                    <w:autoSpaceDN w:val="0"/>
                    <w:adjustRightInd w:val="0"/>
                    <w:snapToGrid w:val="0"/>
                    <w:jc w:val="center"/>
                    <w:rPr>
                      <w:szCs w:val="21"/>
                    </w:rPr>
                  </w:pPr>
                  <w:r>
                    <w:rPr>
                      <w:szCs w:val="21"/>
                    </w:rPr>
                    <w:t>一般防渗区</w:t>
                  </w:r>
                </w:p>
              </w:tc>
              <w:tc>
                <w:tcPr>
                  <w:tcW w:w="2049" w:type="pct"/>
                  <w:vAlign w:val="center"/>
                </w:tcPr>
                <w:p>
                  <w:pPr>
                    <w:autoSpaceDE w:val="0"/>
                    <w:autoSpaceDN w:val="0"/>
                    <w:adjustRightInd w:val="0"/>
                    <w:snapToGrid w:val="0"/>
                    <w:jc w:val="center"/>
                    <w:rPr>
                      <w:szCs w:val="21"/>
                    </w:rPr>
                  </w:pPr>
                  <w:r>
                    <w:rPr>
                      <w:szCs w:val="21"/>
                    </w:rPr>
                    <w:t>水泥硬化地面，上涂环氧树脂漆防腐、防渗，其防渗性能应相当于渗透系数1.0×10</w:t>
                  </w:r>
                  <w:r>
                    <w:rPr>
                      <w:szCs w:val="21"/>
                      <w:vertAlign w:val="superscript"/>
                    </w:rPr>
                    <w:t>-7</w:t>
                  </w:r>
                  <w:r>
                    <w:rPr>
                      <w:szCs w:val="21"/>
                    </w:rPr>
                    <w:t>cm/s和厚度15m的粘土层的防渗性能</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271" w:type="pct"/>
                  <w:vAlign w:val="center"/>
                </w:tcPr>
                <w:p>
                  <w:pPr>
                    <w:autoSpaceDE w:val="0"/>
                    <w:autoSpaceDN w:val="0"/>
                    <w:adjustRightInd w:val="0"/>
                    <w:snapToGrid w:val="0"/>
                    <w:jc w:val="center"/>
                    <w:rPr>
                      <w:szCs w:val="21"/>
                    </w:rPr>
                  </w:pPr>
                  <w:r>
                    <w:rPr>
                      <w:szCs w:val="21"/>
                    </w:rPr>
                    <w:t>3</w:t>
                  </w:r>
                </w:p>
              </w:tc>
              <w:tc>
                <w:tcPr>
                  <w:tcW w:w="2144" w:type="pct"/>
                  <w:vAlign w:val="center"/>
                </w:tcPr>
                <w:p>
                  <w:pPr>
                    <w:autoSpaceDE w:val="0"/>
                    <w:autoSpaceDN w:val="0"/>
                    <w:adjustRightInd w:val="0"/>
                    <w:snapToGrid w:val="0"/>
                    <w:jc w:val="center"/>
                    <w:rPr>
                      <w:szCs w:val="21"/>
                    </w:rPr>
                  </w:pPr>
                  <w:r>
                    <w:rPr>
                      <w:szCs w:val="21"/>
                    </w:rPr>
                    <w:t>办公生活区、厂区道路等</w:t>
                  </w:r>
                </w:p>
              </w:tc>
              <w:tc>
                <w:tcPr>
                  <w:tcW w:w="536" w:type="pct"/>
                  <w:vAlign w:val="center"/>
                </w:tcPr>
                <w:p>
                  <w:pPr>
                    <w:autoSpaceDE w:val="0"/>
                    <w:autoSpaceDN w:val="0"/>
                    <w:adjustRightInd w:val="0"/>
                    <w:snapToGrid w:val="0"/>
                    <w:jc w:val="center"/>
                    <w:rPr>
                      <w:szCs w:val="21"/>
                    </w:rPr>
                  </w:pPr>
                  <w:r>
                    <w:rPr>
                      <w:szCs w:val="21"/>
                    </w:rPr>
                    <w:t>简单防渗区</w:t>
                  </w:r>
                </w:p>
              </w:tc>
              <w:tc>
                <w:tcPr>
                  <w:tcW w:w="2049" w:type="pct"/>
                  <w:vAlign w:val="center"/>
                </w:tcPr>
                <w:p>
                  <w:pPr>
                    <w:autoSpaceDE w:val="0"/>
                    <w:autoSpaceDN w:val="0"/>
                    <w:adjustRightInd w:val="0"/>
                    <w:snapToGrid w:val="0"/>
                    <w:jc w:val="center"/>
                    <w:rPr>
                      <w:szCs w:val="21"/>
                    </w:rPr>
                  </w:pPr>
                  <w:r>
                    <w:rPr>
                      <w:szCs w:val="21"/>
                    </w:rPr>
                    <w:t>一般地面硬化</w:t>
                  </w:r>
                </w:p>
              </w:tc>
            </w:tr>
          </w:tbl>
          <w:p>
            <w:pPr>
              <w:snapToGrid w:val="0"/>
              <w:spacing w:line="360" w:lineRule="auto"/>
              <w:ind w:firstLine="480" w:firstLineChars="200"/>
              <w:rPr>
                <w:sz w:val="24"/>
              </w:rPr>
            </w:pPr>
            <w:r>
              <w:rPr>
                <w:sz w:val="24"/>
              </w:rPr>
              <w:t>防渗工程技术要求：</w:t>
            </w:r>
          </w:p>
          <w:p>
            <w:pPr>
              <w:snapToGrid w:val="0"/>
              <w:spacing w:line="360" w:lineRule="auto"/>
              <w:ind w:firstLine="480" w:firstLineChars="200"/>
              <w:rPr>
                <w:sz w:val="24"/>
              </w:rPr>
            </w:pPr>
            <w:r>
              <w:rPr>
                <w:sz w:val="24"/>
              </w:rPr>
              <w:t>防渗工程设计使用年限与生产装置使用年限相同。</w:t>
            </w:r>
          </w:p>
          <w:p>
            <w:pPr>
              <w:snapToGrid w:val="0"/>
              <w:spacing w:line="360" w:lineRule="auto"/>
              <w:ind w:firstLine="480" w:firstLineChars="200"/>
              <w:rPr>
                <w:sz w:val="24"/>
              </w:rPr>
            </w:pPr>
            <w:r>
              <w:rPr>
                <w:sz w:val="24"/>
              </w:rPr>
              <w:t>一般固废仓库防渗按照《一般工业固体废物贮存和填埋污染控制标准》（GB18599-2020）要求设计；危险废物仓库防渗按照《危险废物贮存污染控制标准》要求设计。</w:t>
            </w:r>
          </w:p>
          <w:p>
            <w:pPr>
              <w:adjustRightInd w:val="0"/>
              <w:snapToGrid w:val="0"/>
              <w:spacing w:line="360" w:lineRule="auto"/>
              <w:ind w:firstLine="424" w:firstLineChars="177"/>
              <w:rPr>
                <w:sz w:val="24"/>
              </w:rPr>
            </w:pPr>
            <w:r>
              <w:rPr>
                <w:sz w:val="24"/>
              </w:rPr>
              <w:t>综上，经分区防渗治理，本项目建设对地下水、土壤环境影响小。</w:t>
            </w:r>
          </w:p>
          <w:p>
            <w:pPr>
              <w:adjustRightInd w:val="0"/>
              <w:snapToGrid w:val="0"/>
              <w:spacing w:line="360" w:lineRule="auto"/>
              <w:ind w:firstLine="426" w:firstLineChars="177"/>
              <w:rPr>
                <w:b/>
                <w:sz w:val="24"/>
              </w:rPr>
            </w:pPr>
            <w:r>
              <w:rPr>
                <w:b/>
                <w:sz w:val="24"/>
              </w:rPr>
              <w:t>6、环境风险</w:t>
            </w:r>
          </w:p>
          <w:p>
            <w:pPr>
              <w:spacing w:line="360" w:lineRule="auto"/>
              <w:ind w:firstLine="480" w:firstLineChars="200"/>
              <w:rPr>
                <w:bCs/>
                <w:sz w:val="24"/>
              </w:rPr>
            </w:pPr>
            <w:r>
              <w:rPr>
                <w:bCs/>
                <w:sz w:val="24"/>
              </w:rPr>
              <w:t>环境风险评价是环境影响评价领域中的一个重要组成部分，伴随着人们对环境危险及其灾变的认识日益增强和环境影响评价工作的深入开展，人们已经逐渐从正常事件转移到对偶然事件发生可能性的环境影响进行风险研究。</w:t>
            </w:r>
          </w:p>
          <w:p>
            <w:pPr>
              <w:spacing w:line="360" w:lineRule="auto"/>
              <w:ind w:firstLine="480" w:firstLineChars="200"/>
              <w:rPr>
                <w:bCs/>
                <w:sz w:val="24"/>
              </w:rPr>
            </w:pPr>
            <w:r>
              <w:rPr>
                <w:bCs/>
                <w:sz w:val="24"/>
              </w:rPr>
              <w:t>环境风险评价的目的，就是找出事故隐患，提供切合实际的安全对策，使区域环境系统达到最大的安全度，使公众的健康和设备财产受到的危害降到最低水平。并通过分析运营期可能发生的事故及其影响程度和范围，为工程设计提供反馈意见。</w:t>
            </w:r>
          </w:p>
          <w:p>
            <w:pPr>
              <w:pStyle w:val="8"/>
              <w:adjustRightInd w:val="0"/>
              <w:snapToGrid w:val="0"/>
              <w:spacing w:line="360" w:lineRule="auto"/>
              <w:ind w:firstLine="480" w:firstLineChars="200"/>
              <w:rPr>
                <w:kern w:val="0"/>
                <w:sz w:val="24"/>
                <w:szCs w:val="24"/>
              </w:rPr>
            </w:pPr>
            <w:r>
              <w:rPr>
                <w:kern w:val="0"/>
                <w:sz w:val="24"/>
                <w:szCs w:val="24"/>
              </w:rPr>
              <w:t>（1）风险调查及评价等级</w:t>
            </w:r>
          </w:p>
          <w:p>
            <w:pPr>
              <w:spacing w:line="360" w:lineRule="auto"/>
              <w:ind w:firstLine="480" w:firstLineChars="200"/>
              <w:rPr>
                <w:kern w:val="0"/>
                <w:sz w:val="24"/>
              </w:rPr>
            </w:pPr>
            <w:r>
              <w:rPr>
                <w:bCs/>
                <w:sz w:val="24"/>
              </w:rPr>
              <w:t>本建设项目所涉及原辅料包含润滑油等，根据</w:t>
            </w:r>
            <w:r>
              <w:rPr>
                <w:kern w:val="0"/>
                <w:sz w:val="24"/>
              </w:rPr>
              <w:t>《建设项目环境风险评价技术导则》（HJ169-2018）附录重点关注危险物质。</w:t>
            </w:r>
          </w:p>
          <w:p>
            <w:pPr>
              <w:pStyle w:val="8"/>
              <w:adjustRightInd w:val="0"/>
              <w:snapToGrid w:val="0"/>
              <w:spacing w:line="360" w:lineRule="auto"/>
              <w:ind w:firstLine="480" w:firstLineChars="200"/>
              <w:jc w:val="center"/>
              <w:rPr>
                <w:sz w:val="24"/>
              </w:rPr>
            </w:pPr>
            <w:r>
              <w:rPr>
                <w:kern w:val="0"/>
                <w:sz w:val="24"/>
              </w:rPr>
              <w:t>表4-13  突发环境事件风险物质及临界量</w:t>
            </w:r>
          </w:p>
          <w:tbl>
            <w:tblPr>
              <w:tblStyle w:val="38"/>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744"/>
              <w:gridCol w:w="2360"/>
              <w:gridCol w:w="1272"/>
              <w:gridCol w:w="1273"/>
              <w:gridCol w:w="1109"/>
              <w:gridCol w:w="1435"/>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90" w:hRule="atLeast"/>
                <w:jc w:val="center"/>
              </w:trPr>
              <w:tc>
                <w:tcPr>
                  <w:tcW w:w="454" w:type="pct"/>
                  <w:shd w:val="clear" w:color="auto" w:fill="auto"/>
                  <w:vAlign w:val="center"/>
                </w:tcPr>
                <w:p>
                  <w:pPr>
                    <w:autoSpaceDE w:val="0"/>
                    <w:autoSpaceDN w:val="0"/>
                    <w:adjustRightInd w:val="0"/>
                    <w:jc w:val="center"/>
                    <w:rPr>
                      <w:kern w:val="0"/>
                      <w:szCs w:val="21"/>
                    </w:rPr>
                  </w:pPr>
                  <w:r>
                    <w:rPr>
                      <w:kern w:val="0"/>
                      <w:szCs w:val="21"/>
                    </w:rPr>
                    <w:t>序号</w:t>
                  </w:r>
                </w:p>
              </w:tc>
              <w:tc>
                <w:tcPr>
                  <w:tcW w:w="1440" w:type="pct"/>
                  <w:shd w:val="clear" w:color="auto" w:fill="auto"/>
                  <w:vAlign w:val="center"/>
                </w:tcPr>
                <w:p>
                  <w:pPr>
                    <w:autoSpaceDE w:val="0"/>
                    <w:autoSpaceDN w:val="0"/>
                    <w:adjustRightInd w:val="0"/>
                    <w:jc w:val="center"/>
                    <w:rPr>
                      <w:kern w:val="0"/>
                      <w:szCs w:val="21"/>
                    </w:rPr>
                  </w:pPr>
                  <w:r>
                    <w:rPr>
                      <w:kern w:val="0"/>
                      <w:szCs w:val="21"/>
                    </w:rPr>
                    <w:t>环境风险物质名称</w:t>
                  </w:r>
                </w:p>
              </w:tc>
              <w:tc>
                <w:tcPr>
                  <w:tcW w:w="776" w:type="pct"/>
                  <w:shd w:val="clear" w:color="auto" w:fill="auto"/>
                  <w:vAlign w:val="center"/>
                </w:tcPr>
                <w:p>
                  <w:pPr>
                    <w:autoSpaceDE w:val="0"/>
                    <w:autoSpaceDN w:val="0"/>
                    <w:adjustRightInd w:val="0"/>
                    <w:jc w:val="center"/>
                    <w:rPr>
                      <w:kern w:val="0"/>
                      <w:szCs w:val="21"/>
                    </w:rPr>
                  </w:pPr>
                  <w:r>
                    <w:rPr>
                      <w:kern w:val="0"/>
                      <w:szCs w:val="21"/>
                    </w:rPr>
                    <w:t>实际最大存储量（t）</w:t>
                  </w:r>
                </w:p>
              </w:tc>
              <w:tc>
                <w:tcPr>
                  <w:tcW w:w="777" w:type="pct"/>
                  <w:vAlign w:val="center"/>
                </w:tcPr>
                <w:p>
                  <w:pPr>
                    <w:autoSpaceDE w:val="0"/>
                    <w:autoSpaceDN w:val="0"/>
                    <w:adjustRightInd w:val="0"/>
                    <w:jc w:val="center"/>
                    <w:rPr>
                      <w:kern w:val="0"/>
                      <w:szCs w:val="21"/>
                    </w:rPr>
                  </w:pPr>
                  <w:r>
                    <w:rPr>
                      <w:kern w:val="0"/>
                      <w:szCs w:val="21"/>
                    </w:rPr>
                    <w:t>临界值（t）</w:t>
                  </w:r>
                </w:p>
              </w:tc>
              <w:tc>
                <w:tcPr>
                  <w:tcW w:w="677" w:type="pct"/>
                  <w:shd w:val="clear" w:color="auto" w:fill="auto"/>
                  <w:vAlign w:val="center"/>
                </w:tcPr>
                <w:p>
                  <w:pPr>
                    <w:autoSpaceDE w:val="0"/>
                    <w:autoSpaceDN w:val="0"/>
                    <w:adjustRightInd w:val="0"/>
                    <w:jc w:val="center"/>
                    <w:rPr>
                      <w:kern w:val="0"/>
                      <w:szCs w:val="21"/>
                    </w:rPr>
                  </w:pPr>
                  <w:r>
                    <w:rPr>
                      <w:kern w:val="0"/>
                      <w:szCs w:val="21"/>
                    </w:rPr>
                    <w:t>q</w:t>
                  </w:r>
                  <w:r>
                    <w:rPr>
                      <w:kern w:val="0"/>
                      <w:szCs w:val="21"/>
                      <w:vertAlign w:val="subscript"/>
                    </w:rPr>
                    <w:t>i</w:t>
                  </w:r>
                  <w:r>
                    <w:rPr>
                      <w:kern w:val="0"/>
                      <w:szCs w:val="21"/>
                    </w:rPr>
                    <w:t>/Q</w:t>
                  </w:r>
                  <w:r>
                    <w:rPr>
                      <w:kern w:val="0"/>
                      <w:szCs w:val="21"/>
                      <w:vertAlign w:val="subscript"/>
                    </w:rPr>
                    <w:t>i</w:t>
                  </w:r>
                </w:p>
              </w:tc>
              <w:tc>
                <w:tcPr>
                  <w:tcW w:w="876" w:type="pct"/>
                  <w:shd w:val="clear" w:color="auto" w:fill="auto"/>
                  <w:vAlign w:val="center"/>
                </w:tcPr>
                <w:p>
                  <w:pPr>
                    <w:autoSpaceDE w:val="0"/>
                    <w:autoSpaceDN w:val="0"/>
                    <w:adjustRightInd w:val="0"/>
                    <w:jc w:val="center"/>
                    <w:rPr>
                      <w:kern w:val="0"/>
                      <w:szCs w:val="21"/>
                    </w:rPr>
                  </w:pPr>
                  <w:r>
                    <w:rPr>
                      <w:kern w:val="0"/>
                      <w:position w:val="-28"/>
                      <w:szCs w:val="21"/>
                    </w:rPr>
                    <w:object>
                      <v:shape id="_x0000_i1035" o:spt="75" type="#_x0000_t75" style="height:37.6pt;width:22.4pt;" o:ole="t" filled="f" o:preferrelative="t" stroked="f" coordsize="21600,21600">
                        <v:path/>
                        <v:fill on="f" focussize="0,0"/>
                        <v:stroke on="f" joinstyle="miter"/>
                        <v:imagedata r:id="rId75" o:title=""/>
                        <o:lock v:ext="edit" aspectratio="t"/>
                        <w10:wrap type="none"/>
                        <w10:anchorlock/>
                      </v:shape>
                      <o:OLEObject Type="Embed" ProgID="Equation.3" ShapeID="_x0000_i1035" DrawAspect="Content" ObjectID="_1468075735" r:id="rId74">
                        <o:LockedField>false</o:LockedField>
                      </o:OLEObject>
                    </w:object>
                  </w:r>
                  <w:r>
                    <w:rPr>
                      <w:kern w:val="0"/>
                      <w:szCs w:val="21"/>
                    </w:rPr>
                    <w:t>q</w:t>
                  </w:r>
                  <w:r>
                    <w:rPr>
                      <w:kern w:val="0"/>
                      <w:szCs w:val="21"/>
                      <w:vertAlign w:val="subscript"/>
                    </w:rPr>
                    <w:t>i</w:t>
                  </w:r>
                  <w:r>
                    <w:rPr>
                      <w:kern w:val="0"/>
                      <w:szCs w:val="21"/>
                    </w:rPr>
                    <w:t>/Q</w:t>
                  </w:r>
                  <w:r>
                    <w:rPr>
                      <w:kern w:val="0"/>
                      <w:szCs w:val="21"/>
                      <w:vertAlign w:val="subscript"/>
                    </w:rPr>
                    <w:t>i</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454" w:type="pct"/>
                  <w:shd w:val="clear" w:color="auto" w:fill="auto"/>
                  <w:vAlign w:val="center"/>
                </w:tcPr>
                <w:p>
                  <w:pPr>
                    <w:autoSpaceDE w:val="0"/>
                    <w:autoSpaceDN w:val="0"/>
                    <w:adjustRightInd w:val="0"/>
                    <w:jc w:val="center"/>
                    <w:rPr>
                      <w:kern w:val="0"/>
                      <w:szCs w:val="21"/>
                    </w:rPr>
                  </w:pPr>
                  <w:r>
                    <w:rPr>
                      <w:kern w:val="0"/>
                      <w:szCs w:val="21"/>
                    </w:rPr>
                    <w:t>1</w:t>
                  </w:r>
                </w:p>
              </w:tc>
              <w:tc>
                <w:tcPr>
                  <w:tcW w:w="1440" w:type="pct"/>
                  <w:shd w:val="clear" w:color="auto" w:fill="auto"/>
                  <w:vAlign w:val="center"/>
                </w:tcPr>
                <w:p>
                  <w:pPr>
                    <w:autoSpaceDE w:val="0"/>
                    <w:autoSpaceDN w:val="0"/>
                    <w:adjustRightInd w:val="0"/>
                    <w:jc w:val="center"/>
                    <w:rPr>
                      <w:szCs w:val="21"/>
                    </w:rPr>
                  </w:pPr>
                  <w:r>
                    <w:rPr>
                      <w:szCs w:val="21"/>
                    </w:rPr>
                    <w:t>油类物质</w:t>
                  </w:r>
                </w:p>
              </w:tc>
              <w:tc>
                <w:tcPr>
                  <w:tcW w:w="776" w:type="pct"/>
                  <w:shd w:val="clear" w:color="auto" w:fill="auto"/>
                  <w:vAlign w:val="center"/>
                </w:tcPr>
                <w:p>
                  <w:pPr>
                    <w:autoSpaceDE w:val="0"/>
                    <w:autoSpaceDN w:val="0"/>
                    <w:adjustRightInd w:val="0"/>
                    <w:jc w:val="center"/>
                    <w:rPr>
                      <w:szCs w:val="21"/>
                    </w:rPr>
                  </w:pPr>
                  <w:r>
                    <w:rPr>
                      <w:bCs/>
                      <w:szCs w:val="21"/>
                    </w:rPr>
                    <w:t>0.05</w:t>
                  </w:r>
                </w:p>
              </w:tc>
              <w:tc>
                <w:tcPr>
                  <w:tcW w:w="777" w:type="pct"/>
                  <w:vAlign w:val="center"/>
                </w:tcPr>
                <w:p>
                  <w:pPr>
                    <w:autoSpaceDE w:val="0"/>
                    <w:autoSpaceDN w:val="0"/>
                    <w:adjustRightInd w:val="0"/>
                    <w:jc w:val="center"/>
                  </w:pPr>
                  <w:r>
                    <w:rPr>
                      <w:szCs w:val="21"/>
                    </w:rPr>
                    <w:t>2500</w:t>
                  </w:r>
                  <w:r>
                    <w:rPr>
                      <w:bCs/>
                      <w:szCs w:val="21"/>
                    </w:rPr>
                    <w:t>t</w:t>
                  </w:r>
                </w:p>
              </w:tc>
              <w:tc>
                <w:tcPr>
                  <w:tcW w:w="677" w:type="pct"/>
                  <w:shd w:val="clear" w:color="auto" w:fill="auto"/>
                  <w:vAlign w:val="center"/>
                </w:tcPr>
                <w:p>
                  <w:pPr>
                    <w:autoSpaceDE w:val="0"/>
                    <w:autoSpaceDN w:val="0"/>
                    <w:adjustRightInd w:val="0"/>
                    <w:jc w:val="center"/>
                  </w:pPr>
                  <w:r>
                    <w:rPr>
                      <w:szCs w:val="21"/>
                    </w:rPr>
                    <w:t>0.00002</w:t>
                  </w:r>
                </w:p>
              </w:tc>
              <w:tc>
                <w:tcPr>
                  <w:tcW w:w="876" w:type="pct"/>
                  <w:shd w:val="clear" w:color="auto" w:fill="auto"/>
                  <w:vAlign w:val="center"/>
                </w:tcPr>
                <w:p>
                  <w:pPr>
                    <w:autoSpaceDE w:val="0"/>
                    <w:autoSpaceDN w:val="0"/>
                    <w:adjustRightInd w:val="0"/>
                    <w:jc w:val="center"/>
                  </w:pPr>
                  <w:r>
                    <w:rPr>
                      <w:szCs w:val="21"/>
                    </w:rPr>
                    <w:t>0.00002</w:t>
                  </w:r>
                </w:p>
              </w:tc>
            </w:tr>
          </w:tbl>
          <w:p>
            <w:pPr>
              <w:spacing w:line="360" w:lineRule="auto"/>
              <w:ind w:firstLine="480" w:firstLineChars="200"/>
              <w:rPr>
                <w:b/>
                <w:sz w:val="24"/>
              </w:rPr>
            </w:pPr>
            <w:r>
              <w:rPr>
                <w:bCs/>
                <w:sz w:val="24"/>
              </w:rPr>
              <w:t>计算可知：</w:t>
            </w:r>
            <w:r>
              <w:rPr>
                <w:kern w:val="0"/>
                <w:sz w:val="24"/>
              </w:rPr>
              <w:t>项目</w:t>
            </w:r>
            <w:r>
              <w:rPr>
                <w:bCs/>
                <w:sz w:val="24"/>
              </w:rPr>
              <w:t>Q＜1，因此确定本项目环境风险潜势为Ⅰ。</w:t>
            </w:r>
          </w:p>
          <w:p>
            <w:pPr>
              <w:pStyle w:val="8"/>
              <w:adjustRightInd w:val="0"/>
              <w:snapToGrid w:val="0"/>
              <w:spacing w:line="480" w:lineRule="exact"/>
              <w:ind w:firstLine="480" w:firstLineChars="200"/>
              <w:rPr>
                <w:kern w:val="0"/>
                <w:sz w:val="24"/>
              </w:rPr>
            </w:pPr>
            <w:r>
              <w:rPr>
                <w:kern w:val="0"/>
                <w:sz w:val="24"/>
              </w:rPr>
              <w:t>根据《建设项目环境风险评价技术导则》（HJ 169-2018），建设项目环境风险评价工作等级划分原则详见下表4-14。</w:t>
            </w:r>
          </w:p>
          <w:p>
            <w:pPr>
              <w:adjustRightInd w:val="0"/>
              <w:snapToGrid w:val="0"/>
              <w:spacing w:line="480" w:lineRule="exact"/>
              <w:jc w:val="center"/>
              <w:rPr>
                <w:bCs/>
                <w:sz w:val="24"/>
              </w:rPr>
            </w:pPr>
            <w:r>
              <w:rPr>
                <w:bCs/>
                <w:sz w:val="24"/>
              </w:rPr>
              <w:t>表4-14  评价工作等级划分</w:t>
            </w:r>
          </w:p>
          <w:tbl>
            <w:tblPr>
              <w:tblStyle w:val="38"/>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1690"/>
              <w:gridCol w:w="1721"/>
              <w:gridCol w:w="1693"/>
              <w:gridCol w:w="1693"/>
              <w:gridCol w:w="1396"/>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PrEx>
              <w:trPr>
                <w:trHeight w:val="356" w:hRule="atLeast"/>
                <w:jc w:val="center"/>
              </w:trPr>
              <w:tc>
                <w:tcPr>
                  <w:tcW w:w="1032" w:type="pct"/>
                  <w:shd w:val="clear" w:color="auto" w:fill="auto"/>
                  <w:vAlign w:val="center"/>
                </w:tcPr>
                <w:p>
                  <w:pPr>
                    <w:adjustRightInd w:val="0"/>
                    <w:snapToGrid w:val="0"/>
                    <w:jc w:val="center"/>
                    <w:rPr>
                      <w:b/>
                      <w:spacing w:val="-2"/>
                    </w:rPr>
                  </w:pPr>
                  <w:r>
                    <w:rPr>
                      <w:b/>
                      <w:spacing w:val="-2"/>
                    </w:rPr>
                    <w:t>环境风险潜势</w:t>
                  </w:r>
                </w:p>
              </w:tc>
              <w:tc>
                <w:tcPr>
                  <w:tcW w:w="1050" w:type="pct"/>
                  <w:shd w:val="clear" w:color="auto" w:fill="auto"/>
                  <w:vAlign w:val="center"/>
                </w:tcPr>
                <w:p>
                  <w:pPr>
                    <w:adjustRightInd w:val="0"/>
                    <w:snapToGrid w:val="0"/>
                    <w:jc w:val="center"/>
                    <w:rPr>
                      <w:bCs/>
                      <w:spacing w:val="-2"/>
                    </w:rPr>
                  </w:pPr>
                  <w:r>
                    <w:rPr>
                      <w:bCs/>
                      <w:spacing w:val="-2"/>
                    </w:rPr>
                    <w:t>Ⅳ、Ⅳ</w:t>
                  </w:r>
                  <w:r>
                    <w:rPr>
                      <w:bCs/>
                      <w:spacing w:val="-2"/>
                      <w:vertAlign w:val="superscript"/>
                    </w:rPr>
                    <w:t>+</w:t>
                  </w:r>
                </w:p>
              </w:tc>
              <w:tc>
                <w:tcPr>
                  <w:tcW w:w="1033" w:type="pct"/>
                  <w:shd w:val="clear" w:color="auto" w:fill="auto"/>
                  <w:vAlign w:val="center"/>
                </w:tcPr>
                <w:p>
                  <w:pPr>
                    <w:adjustRightInd w:val="0"/>
                    <w:snapToGrid w:val="0"/>
                    <w:jc w:val="center"/>
                    <w:rPr>
                      <w:bCs/>
                      <w:spacing w:val="-2"/>
                    </w:rPr>
                  </w:pPr>
                  <w:r>
                    <w:rPr>
                      <w:bCs/>
                      <w:spacing w:val="-2"/>
                    </w:rPr>
                    <w:t>Ⅲ</w:t>
                  </w:r>
                </w:p>
              </w:tc>
              <w:tc>
                <w:tcPr>
                  <w:tcW w:w="1033" w:type="pct"/>
                  <w:shd w:val="clear" w:color="auto" w:fill="auto"/>
                  <w:vAlign w:val="center"/>
                </w:tcPr>
                <w:p>
                  <w:pPr>
                    <w:adjustRightInd w:val="0"/>
                    <w:snapToGrid w:val="0"/>
                    <w:jc w:val="center"/>
                    <w:rPr>
                      <w:bCs/>
                      <w:spacing w:val="-2"/>
                    </w:rPr>
                  </w:pPr>
                  <w:r>
                    <w:rPr>
                      <w:bCs/>
                      <w:spacing w:val="-2"/>
                    </w:rPr>
                    <w:t>Ⅱ</w:t>
                  </w:r>
                </w:p>
              </w:tc>
              <w:tc>
                <w:tcPr>
                  <w:tcW w:w="852" w:type="pct"/>
                  <w:shd w:val="clear" w:color="auto" w:fill="AEAAAA" w:themeFill="background2" w:themeFillShade="BF"/>
                  <w:vAlign w:val="center"/>
                </w:tcPr>
                <w:p>
                  <w:pPr>
                    <w:adjustRightInd w:val="0"/>
                    <w:snapToGrid w:val="0"/>
                    <w:jc w:val="center"/>
                    <w:rPr>
                      <w:bCs/>
                      <w:spacing w:val="-2"/>
                    </w:rPr>
                  </w:pPr>
                  <w:r>
                    <w:rPr>
                      <w:bCs/>
                      <w:spacing w:val="-2"/>
                    </w:rPr>
                    <w:t>Ⅰ</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17" w:hRule="atLeast"/>
                <w:jc w:val="center"/>
              </w:trPr>
              <w:tc>
                <w:tcPr>
                  <w:tcW w:w="1032" w:type="pct"/>
                  <w:shd w:val="clear" w:color="auto" w:fill="auto"/>
                  <w:vAlign w:val="center"/>
                </w:tcPr>
                <w:p>
                  <w:pPr>
                    <w:adjustRightInd w:val="0"/>
                    <w:snapToGrid w:val="0"/>
                    <w:jc w:val="center"/>
                    <w:rPr>
                      <w:b/>
                      <w:spacing w:val="-2"/>
                    </w:rPr>
                  </w:pPr>
                  <w:r>
                    <w:rPr>
                      <w:b/>
                      <w:spacing w:val="-2"/>
                    </w:rPr>
                    <w:t>评价工作等级</w:t>
                  </w:r>
                </w:p>
              </w:tc>
              <w:tc>
                <w:tcPr>
                  <w:tcW w:w="1050" w:type="pct"/>
                  <w:shd w:val="clear" w:color="auto" w:fill="auto"/>
                  <w:vAlign w:val="center"/>
                </w:tcPr>
                <w:p>
                  <w:pPr>
                    <w:adjustRightInd w:val="0"/>
                    <w:snapToGrid w:val="0"/>
                    <w:jc w:val="center"/>
                    <w:rPr>
                      <w:bCs/>
                      <w:spacing w:val="-2"/>
                    </w:rPr>
                  </w:pPr>
                  <w:r>
                    <w:rPr>
                      <w:bCs/>
                      <w:spacing w:val="-2"/>
                    </w:rPr>
                    <w:t>一</w:t>
                  </w:r>
                </w:p>
              </w:tc>
              <w:tc>
                <w:tcPr>
                  <w:tcW w:w="1033" w:type="pct"/>
                  <w:shd w:val="clear" w:color="auto" w:fill="auto"/>
                  <w:vAlign w:val="center"/>
                </w:tcPr>
                <w:p>
                  <w:pPr>
                    <w:adjustRightInd w:val="0"/>
                    <w:snapToGrid w:val="0"/>
                    <w:jc w:val="center"/>
                    <w:rPr>
                      <w:bCs/>
                      <w:spacing w:val="-2"/>
                    </w:rPr>
                  </w:pPr>
                  <w:r>
                    <w:rPr>
                      <w:bCs/>
                      <w:spacing w:val="-2"/>
                    </w:rPr>
                    <w:t>二</w:t>
                  </w:r>
                </w:p>
              </w:tc>
              <w:tc>
                <w:tcPr>
                  <w:tcW w:w="1033" w:type="pct"/>
                  <w:shd w:val="clear" w:color="auto" w:fill="auto"/>
                  <w:vAlign w:val="center"/>
                </w:tcPr>
                <w:p>
                  <w:pPr>
                    <w:adjustRightInd w:val="0"/>
                    <w:snapToGrid w:val="0"/>
                    <w:jc w:val="center"/>
                    <w:rPr>
                      <w:bCs/>
                      <w:spacing w:val="-2"/>
                    </w:rPr>
                  </w:pPr>
                  <w:r>
                    <w:rPr>
                      <w:bCs/>
                      <w:spacing w:val="-2"/>
                    </w:rPr>
                    <w:t>三</w:t>
                  </w:r>
                </w:p>
              </w:tc>
              <w:tc>
                <w:tcPr>
                  <w:tcW w:w="852" w:type="pct"/>
                  <w:shd w:val="clear" w:color="auto" w:fill="AEAAAA" w:themeFill="background2" w:themeFillShade="BF"/>
                  <w:vAlign w:val="center"/>
                </w:tcPr>
                <w:p>
                  <w:pPr>
                    <w:adjustRightInd w:val="0"/>
                    <w:snapToGrid w:val="0"/>
                    <w:jc w:val="center"/>
                    <w:rPr>
                      <w:bCs/>
                      <w:spacing w:val="-2"/>
                    </w:rPr>
                  </w:pPr>
                  <w:r>
                    <w:rPr>
                      <w:bCs/>
                      <w:spacing w:val="-2"/>
                    </w:rPr>
                    <w:t>简单分析</w:t>
                  </w:r>
                  <w:r>
                    <w:rPr>
                      <w:bCs/>
                      <w:spacing w:val="-2"/>
                      <w:vertAlign w:val="superscript"/>
                    </w:rPr>
                    <w:t>a</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29" w:hRule="atLeast"/>
                <w:jc w:val="center"/>
              </w:trPr>
              <w:tc>
                <w:tcPr>
                  <w:tcW w:w="5000" w:type="pct"/>
                  <w:gridSpan w:val="5"/>
                  <w:vAlign w:val="center"/>
                </w:tcPr>
                <w:p>
                  <w:pPr>
                    <w:adjustRightInd w:val="0"/>
                    <w:snapToGrid w:val="0"/>
                    <w:jc w:val="left"/>
                    <w:rPr>
                      <w:b/>
                      <w:spacing w:val="-2"/>
                    </w:rPr>
                  </w:pPr>
                  <w:r>
                    <w:rPr>
                      <w:bCs/>
                      <w:spacing w:val="-2"/>
                      <w:vertAlign w:val="superscript"/>
                    </w:rPr>
                    <w:t xml:space="preserve">a </w:t>
                  </w:r>
                  <w:r>
                    <w:rPr>
                      <w:bCs/>
                      <w:spacing w:val="-2"/>
                    </w:rPr>
                    <w:t>是相对于详细评价工作内容而言，在描述危险物质、换金影响途径、环境危害后果、风险防范措施等方面给出定性的说明。</w:t>
                  </w:r>
                </w:p>
              </w:tc>
            </w:tr>
          </w:tbl>
          <w:p>
            <w:pPr>
              <w:pStyle w:val="8"/>
              <w:adjustRightInd w:val="0"/>
              <w:snapToGrid w:val="0"/>
              <w:spacing w:line="360" w:lineRule="auto"/>
              <w:ind w:firstLine="480" w:firstLineChars="200"/>
              <w:rPr>
                <w:kern w:val="0"/>
                <w:sz w:val="24"/>
              </w:rPr>
            </w:pPr>
            <w:r>
              <w:rPr>
                <w:kern w:val="0"/>
                <w:sz w:val="24"/>
              </w:rPr>
              <w:t>确定本项目环境风险等级为简单分析，按导则要求对环境影响后果进行定性分析。</w:t>
            </w:r>
          </w:p>
          <w:p>
            <w:pPr>
              <w:spacing w:line="360" w:lineRule="auto"/>
              <w:ind w:firstLine="480" w:firstLineChars="200"/>
              <w:rPr>
                <w:bCs/>
                <w:sz w:val="24"/>
              </w:rPr>
            </w:pPr>
            <w:r>
              <w:rPr>
                <w:bCs/>
                <w:sz w:val="24"/>
              </w:rPr>
              <w:t>（2）风险识别</w:t>
            </w:r>
          </w:p>
          <w:p>
            <w:pPr>
              <w:spacing w:line="360" w:lineRule="auto"/>
              <w:ind w:firstLine="480" w:firstLineChars="200"/>
              <w:rPr>
                <w:bCs/>
                <w:sz w:val="24"/>
              </w:rPr>
            </w:pPr>
            <w:r>
              <w:rPr>
                <w:bCs/>
                <w:sz w:val="24"/>
              </w:rPr>
              <w:t>1）风险物质识别</w:t>
            </w:r>
          </w:p>
          <w:p>
            <w:pPr>
              <w:spacing w:line="360" w:lineRule="auto"/>
              <w:ind w:firstLine="480" w:firstLineChars="200"/>
              <w:rPr>
                <w:bCs/>
                <w:sz w:val="24"/>
              </w:rPr>
            </w:pPr>
            <w:r>
              <w:rPr>
                <w:bCs/>
                <w:sz w:val="24"/>
              </w:rPr>
              <w:t>本项目生产过程中涉及的生产废水、废气，</w:t>
            </w:r>
            <w:r>
              <w:rPr>
                <w:sz w:val="24"/>
              </w:rPr>
              <w:t>润滑油、危废泄露，遇明火发生火灾、爆炸事故</w:t>
            </w:r>
            <w:r>
              <w:rPr>
                <w:bCs/>
                <w:sz w:val="24"/>
              </w:rPr>
              <w:t>等。</w:t>
            </w:r>
          </w:p>
          <w:p>
            <w:pPr>
              <w:spacing w:line="360" w:lineRule="auto"/>
              <w:ind w:firstLine="480" w:firstLineChars="200"/>
              <w:rPr>
                <w:bCs/>
                <w:sz w:val="24"/>
              </w:rPr>
            </w:pPr>
            <w:r>
              <w:rPr>
                <w:bCs/>
                <w:sz w:val="24"/>
              </w:rPr>
              <w:t>2)生产系统危险性识别</w:t>
            </w:r>
          </w:p>
          <w:p>
            <w:pPr>
              <w:spacing w:line="360" w:lineRule="auto"/>
              <w:ind w:firstLine="480" w:firstLineChars="200"/>
              <w:rPr>
                <w:bCs/>
                <w:sz w:val="24"/>
              </w:rPr>
            </w:pPr>
            <w:r>
              <w:rPr>
                <w:bCs/>
                <w:sz w:val="24"/>
              </w:rPr>
              <w:t>本项目生产过程中存在的主要危险有害因素为:废水、生产废气、</w:t>
            </w:r>
            <w:r>
              <w:rPr>
                <w:sz w:val="24"/>
              </w:rPr>
              <w:t>润滑油、危废</w:t>
            </w:r>
            <w:r>
              <w:rPr>
                <w:bCs/>
                <w:sz w:val="24"/>
              </w:rPr>
              <w:t>泄露等。</w:t>
            </w:r>
          </w:p>
          <w:p>
            <w:pPr>
              <w:spacing w:line="360" w:lineRule="auto"/>
              <w:ind w:firstLine="480" w:firstLineChars="200"/>
              <w:rPr>
                <w:bCs/>
                <w:sz w:val="24"/>
              </w:rPr>
            </w:pPr>
            <w:r>
              <w:rPr>
                <w:rFonts w:hint="eastAsia" w:ascii="宋体" w:hAnsi="宋体" w:cs="宋体"/>
                <w:bCs/>
                <w:sz w:val="24"/>
              </w:rPr>
              <w:t>①</w:t>
            </w:r>
            <w:r>
              <w:rPr>
                <w:bCs/>
                <w:sz w:val="24"/>
              </w:rPr>
              <w:t>因生产操作失误，生产设备故障引起生产废水等溢流，污水处理系统故障，废水未得到处理，直接外排，导致废水超标排放，对地下水、土壤环境及地表水体造成严重影响。</w:t>
            </w:r>
          </w:p>
          <w:p>
            <w:pPr>
              <w:spacing w:line="360" w:lineRule="auto"/>
              <w:ind w:firstLine="480" w:firstLineChars="200"/>
              <w:rPr>
                <w:bCs/>
                <w:sz w:val="24"/>
              </w:rPr>
            </w:pPr>
            <w:r>
              <w:rPr>
                <w:rFonts w:hint="eastAsia" w:ascii="宋体" w:hAnsi="宋体" w:cs="宋体"/>
                <w:bCs/>
                <w:sz w:val="24"/>
              </w:rPr>
              <w:t>②</w:t>
            </w:r>
            <w:r>
              <w:rPr>
                <w:bCs/>
                <w:sz w:val="24"/>
              </w:rPr>
              <w:t>车间抽排风系统发生故障，造成废气在生产车间内累积，最终对工作人员的身体健康造成不利影响。从技术上分析，抽风机排放系统设备出现故障导致完全失效的概率很小。</w:t>
            </w:r>
          </w:p>
          <w:p>
            <w:pPr>
              <w:spacing w:line="360" w:lineRule="auto"/>
              <w:ind w:firstLine="480"/>
              <w:rPr>
                <w:bCs/>
                <w:sz w:val="24"/>
              </w:rPr>
            </w:pPr>
            <w:r>
              <w:rPr>
                <w:rFonts w:hint="eastAsia" w:ascii="宋体" w:hAnsi="宋体" w:cs="宋体"/>
                <w:bCs/>
                <w:sz w:val="24"/>
              </w:rPr>
              <w:t>③</w:t>
            </w:r>
            <w:r>
              <w:rPr>
                <w:bCs/>
                <w:sz w:val="24"/>
              </w:rPr>
              <w:t>一般固废在贮存和运输过程中，因意外事故造成泄露，会对周围环境产生一定的影响。特别是在运输途中因意外交通事故造成运输车辆翻覆，包装破损，会造成一定程度的环境污染，但一般情况下破损的包装有限，只要不逢雨天和夏季高温天气，一般不会形成大面积的污染。</w:t>
            </w:r>
          </w:p>
          <w:p>
            <w:pPr>
              <w:spacing w:line="360" w:lineRule="auto"/>
              <w:ind w:firstLine="480" w:firstLineChars="200"/>
              <w:rPr>
                <w:bCs/>
                <w:sz w:val="24"/>
              </w:rPr>
            </w:pPr>
            <w:r>
              <w:rPr>
                <w:rFonts w:hint="eastAsia" w:ascii="宋体" w:hAnsi="宋体" w:cs="宋体"/>
                <w:bCs/>
                <w:sz w:val="24"/>
              </w:rPr>
              <w:t>④</w:t>
            </w:r>
            <w:r>
              <w:rPr>
                <w:bCs/>
                <w:sz w:val="24"/>
              </w:rPr>
              <w:t>发生火灾会给企业带来重大损失，危及职工生命和企业财产的安全。必须加强生产管理，做好消防安全工作。</w:t>
            </w:r>
          </w:p>
          <w:p>
            <w:pPr>
              <w:spacing w:line="360" w:lineRule="auto"/>
              <w:ind w:firstLine="480" w:firstLineChars="200"/>
              <w:rPr>
                <w:bCs/>
                <w:sz w:val="24"/>
              </w:rPr>
            </w:pPr>
            <w:r>
              <w:rPr>
                <w:bCs/>
                <w:sz w:val="24"/>
              </w:rPr>
              <w:t>（3）风险事故分析</w:t>
            </w:r>
          </w:p>
          <w:p>
            <w:pPr>
              <w:spacing w:line="360" w:lineRule="auto"/>
              <w:ind w:firstLine="480" w:firstLineChars="200"/>
              <w:rPr>
                <w:bCs/>
                <w:sz w:val="24"/>
              </w:rPr>
            </w:pPr>
            <w:r>
              <w:rPr>
                <w:bCs/>
                <w:sz w:val="24"/>
              </w:rPr>
              <w:t>1)泄露事故</w:t>
            </w:r>
          </w:p>
          <w:p>
            <w:pPr>
              <w:spacing w:line="360" w:lineRule="auto"/>
              <w:ind w:firstLine="480" w:firstLineChars="200"/>
              <w:rPr>
                <w:bCs/>
                <w:sz w:val="24"/>
              </w:rPr>
            </w:pPr>
            <w:r>
              <w:rPr>
                <w:bCs/>
                <w:sz w:val="24"/>
              </w:rPr>
              <w:t>泄漏事故主要包含两种情形，一种是由于生产区及污水处理站等在运行过程中操作管理不当导致废水泄漏。二是因</w:t>
            </w:r>
            <w:r>
              <w:rPr>
                <w:sz w:val="24"/>
              </w:rPr>
              <w:t>润滑油、危废</w:t>
            </w:r>
            <w:r>
              <w:rPr>
                <w:bCs/>
                <w:sz w:val="24"/>
              </w:rPr>
              <w:t>，运输过程中由于容器破裂、交通事故等问题导致物料的泄漏。</w:t>
            </w:r>
          </w:p>
          <w:p>
            <w:pPr>
              <w:spacing w:line="360" w:lineRule="auto"/>
              <w:ind w:firstLine="480" w:firstLineChars="200"/>
              <w:rPr>
                <w:bCs/>
                <w:sz w:val="24"/>
              </w:rPr>
            </w:pPr>
            <w:r>
              <w:rPr>
                <w:bCs/>
                <w:sz w:val="24"/>
              </w:rPr>
              <w:t>2)火灾事故</w:t>
            </w:r>
          </w:p>
          <w:p>
            <w:pPr>
              <w:spacing w:line="360" w:lineRule="auto"/>
              <w:ind w:firstLine="480" w:firstLineChars="200"/>
              <w:rPr>
                <w:bCs/>
                <w:sz w:val="24"/>
              </w:rPr>
            </w:pPr>
            <w:r>
              <w:rPr>
                <w:bCs/>
                <w:sz w:val="24"/>
              </w:rPr>
              <w:t>火灾事故主要为生产场所的火灾，若生产过程中操作不当，容易导致火灾事故。此外，易燃矿物油和开关、插座、照明灯具、电动机等电气设备及其配线均有可能因短路、过载和接触不良等原因引起火灾、电气火灾与爆炸事故除可能造成人身伤亡和设备损坏外，还可能造成大规模、长时间停电。火灾事故一旦发生，燃烧产生的废气将影响周围的空气质量，另外，灭火过程中产生的废水含有大量的有机物，如不能完全收集处理，则会进入地表水环境中，造成地表水水质污染。</w:t>
            </w:r>
          </w:p>
          <w:p>
            <w:pPr>
              <w:spacing w:line="360" w:lineRule="auto"/>
              <w:ind w:firstLine="480" w:firstLineChars="200"/>
              <w:rPr>
                <w:bCs/>
                <w:sz w:val="24"/>
              </w:rPr>
            </w:pPr>
            <w:r>
              <w:rPr>
                <w:bCs/>
                <w:sz w:val="24"/>
              </w:rPr>
              <w:t>（4）风险管理及防范措施</w:t>
            </w:r>
          </w:p>
          <w:p>
            <w:pPr>
              <w:adjustRightInd w:val="0"/>
              <w:snapToGrid w:val="0"/>
              <w:spacing w:line="360" w:lineRule="auto"/>
              <w:ind w:firstLine="480" w:firstLineChars="200"/>
              <w:rPr>
                <w:bCs/>
                <w:sz w:val="24"/>
              </w:rPr>
            </w:pPr>
            <w:r>
              <w:rPr>
                <w:bCs/>
                <w:sz w:val="24"/>
              </w:rPr>
              <w:fldChar w:fldCharType="begin"/>
            </w:r>
            <w:r>
              <w:rPr>
                <w:bCs/>
                <w:sz w:val="24"/>
              </w:rPr>
              <w:instrText xml:space="preserve"> = 1 \* GB3 </w:instrText>
            </w:r>
            <w:r>
              <w:rPr>
                <w:bCs/>
                <w:sz w:val="24"/>
              </w:rPr>
              <w:fldChar w:fldCharType="separate"/>
            </w:r>
            <w:r>
              <w:rPr>
                <w:rFonts w:hint="eastAsia" w:ascii="宋体" w:hAnsi="宋体" w:cs="宋体"/>
                <w:bCs/>
                <w:sz w:val="24"/>
              </w:rPr>
              <w:t>①</w:t>
            </w:r>
            <w:r>
              <w:rPr>
                <w:bCs/>
                <w:sz w:val="24"/>
              </w:rPr>
              <w:fldChar w:fldCharType="end"/>
            </w:r>
            <w:r>
              <w:rPr>
                <w:bCs/>
                <w:sz w:val="24"/>
              </w:rPr>
              <w:t>减少风险物质的厂区暂存量，从源头减少风险的发生。</w:t>
            </w:r>
          </w:p>
          <w:p>
            <w:pPr>
              <w:adjustRightInd w:val="0"/>
              <w:snapToGrid w:val="0"/>
              <w:spacing w:line="360" w:lineRule="auto"/>
              <w:ind w:firstLine="480" w:firstLineChars="200"/>
              <w:rPr>
                <w:bCs/>
                <w:sz w:val="24"/>
              </w:rPr>
            </w:pPr>
            <w:r>
              <w:rPr>
                <w:bCs/>
                <w:sz w:val="24"/>
              </w:rPr>
              <w:fldChar w:fldCharType="begin"/>
            </w:r>
            <w:r>
              <w:rPr>
                <w:bCs/>
                <w:sz w:val="24"/>
              </w:rPr>
              <w:instrText xml:space="preserve"> = 2 \* GB3 </w:instrText>
            </w:r>
            <w:r>
              <w:rPr>
                <w:bCs/>
                <w:sz w:val="24"/>
              </w:rPr>
              <w:fldChar w:fldCharType="separate"/>
            </w:r>
            <w:r>
              <w:rPr>
                <w:rFonts w:hint="eastAsia" w:ascii="宋体" w:hAnsi="宋体" w:cs="宋体"/>
                <w:bCs/>
                <w:sz w:val="24"/>
              </w:rPr>
              <w:t>②</w:t>
            </w:r>
            <w:r>
              <w:rPr>
                <w:bCs/>
                <w:sz w:val="24"/>
              </w:rPr>
              <w:fldChar w:fldCharType="end"/>
            </w:r>
            <w:r>
              <w:rPr>
                <w:bCs/>
                <w:sz w:val="24"/>
              </w:rPr>
              <w:t>做好分区防渗工作，重点防渗区应满足相关技术规范要求，并做好维护和保养，确保防渗层的使用寿命。</w:t>
            </w:r>
          </w:p>
          <w:p>
            <w:pPr>
              <w:adjustRightInd w:val="0"/>
              <w:snapToGrid w:val="0"/>
              <w:spacing w:line="360" w:lineRule="auto"/>
              <w:ind w:firstLine="480" w:firstLineChars="200"/>
              <w:rPr>
                <w:bCs/>
                <w:sz w:val="24"/>
              </w:rPr>
            </w:pPr>
            <w:r>
              <w:rPr>
                <w:bCs/>
                <w:sz w:val="24"/>
              </w:rPr>
              <w:fldChar w:fldCharType="begin"/>
            </w:r>
            <w:r>
              <w:rPr>
                <w:bCs/>
                <w:sz w:val="24"/>
              </w:rPr>
              <w:instrText xml:space="preserve"> = 3 \* GB3 </w:instrText>
            </w:r>
            <w:r>
              <w:rPr>
                <w:bCs/>
                <w:sz w:val="24"/>
              </w:rPr>
              <w:fldChar w:fldCharType="separate"/>
            </w:r>
            <w:r>
              <w:rPr>
                <w:rFonts w:hint="eastAsia" w:ascii="宋体" w:hAnsi="宋体" w:cs="宋体"/>
                <w:bCs/>
                <w:sz w:val="24"/>
              </w:rPr>
              <w:t>③</w:t>
            </w:r>
            <w:r>
              <w:rPr>
                <w:bCs/>
                <w:sz w:val="24"/>
              </w:rPr>
              <w:fldChar w:fldCharType="end"/>
            </w:r>
            <w:r>
              <w:rPr>
                <w:bCs/>
                <w:sz w:val="24"/>
              </w:rPr>
              <w:t>加强对固体废弃物的管理，按照</w:t>
            </w:r>
            <w:r>
              <w:rPr>
                <w:sz w:val="24"/>
              </w:rPr>
              <w:t>《中华人民共和国固体废物污染环境防治法》</w:t>
            </w:r>
            <w:r>
              <w:rPr>
                <w:bCs/>
                <w:sz w:val="24"/>
              </w:rPr>
              <w:t>等相关法律法规和技术规范的要求建设。</w:t>
            </w:r>
          </w:p>
          <w:p>
            <w:pPr>
              <w:adjustRightInd w:val="0"/>
              <w:snapToGrid w:val="0"/>
              <w:spacing w:line="360" w:lineRule="auto"/>
              <w:ind w:firstLine="480" w:firstLineChars="200"/>
              <w:rPr>
                <w:bCs/>
                <w:sz w:val="24"/>
              </w:rPr>
            </w:pPr>
            <w:r>
              <w:rPr>
                <w:bCs/>
                <w:sz w:val="24"/>
              </w:rPr>
              <w:fldChar w:fldCharType="begin"/>
            </w:r>
            <w:r>
              <w:rPr>
                <w:bCs/>
                <w:sz w:val="24"/>
              </w:rPr>
              <w:instrText xml:space="preserve"> = 4 \* GB3 </w:instrText>
            </w:r>
            <w:r>
              <w:rPr>
                <w:bCs/>
                <w:sz w:val="24"/>
              </w:rPr>
              <w:fldChar w:fldCharType="separate"/>
            </w:r>
            <w:r>
              <w:rPr>
                <w:rFonts w:hint="eastAsia" w:ascii="宋体" w:hAnsi="宋体" w:cs="宋体"/>
                <w:bCs/>
                <w:sz w:val="24"/>
              </w:rPr>
              <w:t>④</w:t>
            </w:r>
            <w:r>
              <w:rPr>
                <w:bCs/>
                <w:sz w:val="24"/>
              </w:rPr>
              <w:fldChar w:fldCharType="end"/>
            </w:r>
            <w:r>
              <w:rPr>
                <w:bCs/>
                <w:sz w:val="24"/>
              </w:rPr>
              <w:t>加强对生产设施和公辅设施的巡查和维护保养，避免废水和液体原辅料“跑冒滴漏”，并设置事故应急池，杜绝事故排放。</w:t>
            </w:r>
          </w:p>
          <w:p>
            <w:pPr>
              <w:spacing w:line="360" w:lineRule="auto"/>
              <w:ind w:firstLine="480" w:firstLineChars="200"/>
              <w:rPr>
                <w:bCs/>
                <w:sz w:val="24"/>
              </w:rPr>
            </w:pPr>
            <w:r>
              <w:rPr>
                <w:bCs/>
                <w:sz w:val="24"/>
              </w:rPr>
              <w:fldChar w:fldCharType="begin"/>
            </w:r>
            <w:r>
              <w:rPr>
                <w:bCs/>
                <w:sz w:val="24"/>
              </w:rPr>
              <w:instrText xml:space="preserve"> = 5 \* GB3 </w:instrText>
            </w:r>
            <w:r>
              <w:rPr>
                <w:bCs/>
                <w:sz w:val="24"/>
              </w:rPr>
              <w:fldChar w:fldCharType="separate"/>
            </w:r>
            <w:r>
              <w:rPr>
                <w:rFonts w:hint="eastAsia" w:ascii="宋体" w:hAnsi="宋体" w:cs="宋体"/>
                <w:bCs/>
                <w:sz w:val="24"/>
              </w:rPr>
              <w:t>⑤</w:t>
            </w:r>
            <w:r>
              <w:rPr>
                <w:bCs/>
                <w:sz w:val="24"/>
              </w:rPr>
              <w:fldChar w:fldCharType="end"/>
            </w:r>
            <w:r>
              <w:rPr>
                <w:bCs/>
                <w:sz w:val="24"/>
              </w:rPr>
              <w:t>严格落实安全设计及安全评价要求，做好消防安全工作。</w:t>
            </w:r>
          </w:p>
          <w:p>
            <w:pPr>
              <w:spacing w:line="360" w:lineRule="auto"/>
              <w:ind w:firstLine="480" w:firstLineChars="200"/>
              <w:rPr>
                <w:bCs/>
                <w:sz w:val="24"/>
              </w:rPr>
            </w:pPr>
            <w:r>
              <w:rPr>
                <w:bCs/>
                <w:sz w:val="24"/>
              </w:rPr>
              <w:fldChar w:fldCharType="begin"/>
            </w:r>
            <w:r>
              <w:rPr>
                <w:bCs/>
                <w:sz w:val="24"/>
              </w:rPr>
              <w:instrText xml:space="preserve"> = 6 \* GB3 </w:instrText>
            </w:r>
            <w:r>
              <w:rPr>
                <w:bCs/>
                <w:sz w:val="24"/>
              </w:rPr>
              <w:fldChar w:fldCharType="separate"/>
            </w:r>
            <w:r>
              <w:rPr>
                <w:rFonts w:hint="eastAsia" w:ascii="宋体" w:hAnsi="宋体" w:cs="宋体"/>
                <w:bCs/>
                <w:sz w:val="24"/>
              </w:rPr>
              <w:t>⑥</w:t>
            </w:r>
            <w:r>
              <w:rPr>
                <w:bCs/>
                <w:sz w:val="24"/>
              </w:rPr>
              <w:fldChar w:fldCharType="end"/>
            </w:r>
            <w:r>
              <w:rPr>
                <w:bCs/>
                <w:sz w:val="24"/>
              </w:rPr>
              <w:t>委托具有相关经营许可的运输单位运输化学药品和试剂，并要求其做好输运过程中的安全防范措施。</w:t>
            </w:r>
          </w:p>
          <w:p>
            <w:pPr>
              <w:adjustRightInd w:val="0"/>
              <w:snapToGrid w:val="0"/>
              <w:spacing w:line="360" w:lineRule="auto"/>
              <w:ind w:firstLine="480" w:firstLineChars="200"/>
              <w:rPr>
                <w:kern w:val="0"/>
                <w:sz w:val="24"/>
                <w:szCs w:val="20"/>
              </w:rPr>
            </w:pPr>
            <w:r>
              <w:rPr>
                <w:sz w:val="24"/>
              </w:rPr>
              <w:fldChar w:fldCharType="begin"/>
            </w:r>
            <w:r>
              <w:rPr>
                <w:sz w:val="24"/>
              </w:rPr>
              <w:instrText xml:space="preserve"> = 7 \* GB3 </w:instrText>
            </w:r>
            <w:r>
              <w:rPr>
                <w:sz w:val="24"/>
              </w:rPr>
              <w:fldChar w:fldCharType="separate"/>
            </w:r>
            <w:r>
              <w:rPr>
                <w:rFonts w:hint="eastAsia" w:ascii="宋体" w:hAnsi="宋体" w:cs="宋体"/>
                <w:sz w:val="24"/>
              </w:rPr>
              <w:t>⑦</w:t>
            </w:r>
            <w:r>
              <w:rPr>
                <w:sz w:val="24"/>
              </w:rPr>
              <w:fldChar w:fldCharType="end"/>
            </w:r>
            <w:r>
              <w:rPr>
                <w:sz w:val="24"/>
              </w:rPr>
              <w:t>建设单位应加强管理，加大对安全、环保知识的宣传和培训，加强应急演练。按照</w:t>
            </w:r>
            <w:r>
              <w:rPr>
                <w:kern w:val="0"/>
                <w:sz w:val="24"/>
                <w:szCs w:val="20"/>
              </w:rPr>
              <w:t>《建设项目环境风险评价技术导则》（HJ169-2018）、</w:t>
            </w:r>
            <w:r>
              <w:rPr>
                <w:sz w:val="24"/>
              </w:rPr>
              <w:t>《突发环境事件应急预案管理办法（试行）》的规定，编制突发环境事件应急预案，报送生态环境主管部门备案</w:t>
            </w:r>
            <w:r>
              <w:rPr>
                <w:kern w:val="0"/>
                <w:sz w:val="24"/>
                <w:szCs w:val="20"/>
              </w:rPr>
              <w:t>，一旦发生风险事故，应立即启动预案计划。</w:t>
            </w:r>
          </w:p>
          <w:p>
            <w:pPr>
              <w:adjustRightInd w:val="0"/>
              <w:snapToGrid w:val="0"/>
              <w:spacing w:line="480" w:lineRule="exact"/>
              <w:ind w:firstLine="480" w:firstLineChars="200"/>
              <w:rPr>
                <w:kern w:val="0"/>
                <w:sz w:val="24"/>
                <w:szCs w:val="20"/>
              </w:rPr>
            </w:pPr>
            <w:r>
              <w:rPr>
                <w:kern w:val="0"/>
                <w:sz w:val="24"/>
                <w:szCs w:val="20"/>
              </w:rPr>
              <w:t>综上所述，在严格落实本报告提出的各项事故防范和应急措施、加强管理的前提下，可最大限度地减少可能发生的环境风险，并在风险事故发生后，及时采取风险防范措施及应急预案，可以使风险事故对环境的危害得到有效控制，将事故风险控制在可以接受的范围内。</w:t>
            </w:r>
          </w:p>
          <w:p>
            <w:pPr>
              <w:spacing w:line="360" w:lineRule="auto"/>
              <w:contextualSpacing/>
              <w:jc w:val="center"/>
              <w:rPr>
                <w:bCs/>
                <w:kern w:val="28"/>
                <w:sz w:val="24"/>
              </w:rPr>
            </w:pPr>
            <w:r>
              <w:rPr>
                <w:bCs/>
                <w:sz w:val="24"/>
              </w:rPr>
              <w:t>表4-15 项目环境风险应急预案内容表</w:t>
            </w:r>
          </w:p>
          <w:tbl>
            <w:tblPr>
              <w:tblStyle w:val="38"/>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2014"/>
              <w:gridCol w:w="547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blHeader/>
                <w:jc w:val="center"/>
              </w:trPr>
              <w:tc>
                <w:tcPr>
                  <w:tcW w:w="430" w:type="pct"/>
                  <w:vAlign w:val="center"/>
                </w:tcPr>
                <w:p>
                  <w:pPr>
                    <w:jc w:val="center"/>
                    <w:rPr>
                      <w:b/>
                      <w:kern w:val="28"/>
                      <w:szCs w:val="21"/>
                    </w:rPr>
                  </w:pPr>
                  <w:r>
                    <w:rPr>
                      <w:b/>
                      <w:kern w:val="28"/>
                      <w:szCs w:val="21"/>
                    </w:rPr>
                    <w:t>序号</w:t>
                  </w:r>
                </w:p>
              </w:tc>
              <w:tc>
                <w:tcPr>
                  <w:tcW w:w="1229" w:type="pct"/>
                  <w:vAlign w:val="center"/>
                </w:tcPr>
                <w:p>
                  <w:pPr>
                    <w:jc w:val="center"/>
                    <w:rPr>
                      <w:b/>
                      <w:kern w:val="28"/>
                      <w:szCs w:val="21"/>
                    </w:rPr>
                  </w:pPr>
                  <w:r>
                    <w:rPr>
                      <w:b/>
                      <w:kern w:val="28"/>
                      <w:szCs w:val="21"/>
                    </w:rPr>
                    <w:t>项目</w:t>
                  </w:r>
                </w:p>
              </w:tc>
              <w:tc>
                <w:tcPr>
                  <w:tcW w:w="3341" w:type="pct"/>
                  <w:vAlign w:val="center"/>
                </w:tcPr>
                <w:p>
                  <w:pPr>
                    <w:jc w:val="center"/>
                    <w:rPr>
                      <w:b/>
                      <w:kern w:val="28"/>
                      <w:szCs w:val="21"/>
                    </w:rPr>
                  </w:pPr>
                  <w:r>
                    <w:rPr>
                      <w:b/>
                      <w:kern w:val="28"/>
                      <w:szCs w:val="21"/>
                    </w:rPr>
                    <w:t>内容及要求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30" w:type="pct"/>
                  <w:vAlign w:val="center"/>
                </w:tcPr>
                <w:p>
                  <w:pPr>
                    <w:jc w:val="center"/>
                    <w:rPr>
                      <w:kern w:val="28"/>
                      <w:szCs w:val="21"/>
                    </w:rPr>
                  </w:pPr>
                  <w:r>
                    <w:rPr>
                      <w:kern w:val="28"/>
                      <w:szCs w:val="21"/>
                    </w:rPr>
                    <w:t>1</w:t>
                  </w:r>
                </w:p>
              </w:tc>
              <w:tc>
                <w:tcPr>
                  <w:tcW w:w="1229" w:type="pct"/>
                  <w:vAlign w:val="center"/>
                </w:tcPr>
                <w:p>
                  <w:pPr>
                    <w:jc w:val="center"/>
                    <w:rPr>
                      <w:kern w:val="28"/>
                      <w:szCs w:val="21"/>
                    </w:rPr>
                  </w:pPr>
                  <w:r>
                    <w:rPr>
                      <w:kern w:val="28"/>
                      <w:szCs w:val="21"/>
                    </w:rPr>
                    <w:t>应急计划区</w:t>
                  </w:r>
                </w:p>
              </w:tc>
              <w:tc>
                <w:tcPr>
                  <w:tcW w:w="3341" w:type="pct"/>
                  <w:vAlign w:val="center"/>
                </w:tcPr>
                <w:p>
                  <w:pPr>
                    <w:rPr>
                      <w:kern w:val="28"/>
                      <w:szCs w:val="21"/>
                    </w:rPr>
                  </w:pPr>
                  <w:r>
                    <w:rPr>
                      <w:kern w:val="28"/>
                      <w:szCs w:val="21"/>
                    </w:rPr>
                    <w:t>危险目标：集污池、环境敏感目标（关注饮用水污染）</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30" w:type="pct"/>
                  <w:vAlign w:val="center"/>
                </w:tcPr>
                <w:p>
                  <w:pPr>
                    <w:jc w:val="center"/>
                    <w:rPr>
                      <w:kern w:val="28"/>
                      <w:szCs w:val="21"/>
                    </w:rPr>
                  </w:pPr>
                  <w:r>
                    <w:rPr>
                      <w:kern w:val="28"/>
                      <w:szCs w:val="21"/>
                    </w:rPr>
                    <w:t>2</w:t>
                  </w:r>
                </w:p>
              </w:tc>
              <w:tc>
                <w:tcPr>
                  <w:tcW w:w="1229" w:type="pct"/>
                  <w:vAlign w:val="center"/>
                </w:tcPr>
                <w:p>
                  <w:pPr>
                    <w:jc w:val="center"/>
                    <w:rPr>
                      <w:kern w:val="28"/>
                      <w:szCs w:val="21"/>
                    </w:rPr>
                  </w:pPr>
                  <w:r>
                    <w:rPr>
                      <w:kern w:val="28"/>
                      <w:szCs w:val="21"/>
                    </w:rPr>
                    <w:t>应急组织机构和人员</w:t>
                  </w:r>
                </w:p>
              </w:tc>
              <w:tc>
                <w:tcPr>
                  <w:tcW w:w="3341" w:type="pct"/>
                  <w:vAlign w:val="center"/>
                </w:tcPr>
                <w:p>
                  <w:pPr>
                    <w:rPr>
                      <w:kern w:val="28"/>
                      <w:szCs w:val="21"/>
                    </w:rPr>
                  </w:pPr>
                  <w:r>
                    <w:rPr>
                      <w:kern w:val="28"/>
                      <w:szCs w:val="21"/>
                    </w:rPr>
                    <w:t>公司应急委员会和员工、开发区环境风险应急组织机构和人员。公司应急委员会应成立环境风险应急处置小组，包括环境风险源控制组、救援组、警戒和疏散组、环境监测组等，并任命专人负责事故的记录和报告。</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30" w:type="pct"/>
                  <w:vAlign w:val="center"/>
                </w:tcPr>
                <w:p>
                  <w:pPr>
                    <w:jc w:val="center"/>
                    <w:rPr>
                      <w:kern w:val="28"/>
                      <w:szCs w:val="21"/>
                    </w:rPr>
                  </w:pPr>
                  <w:r>
                    <w:rPr>
                      <w:kern w:val="28"/>
                      <w:szCs w:val="21"/>
                    </w:rPr>
                    <w:t>3</w:t>
                  </w:r>
                </w:p>
              </w:tc>
              <w:tc>
                <w:tcPr>
                  <w:tcW w:w="1229" w:type="pct"/>
                  <w:vAlign w:val="center"/>
                </w:tcPr>
                <w:p>
                  <w:pPr>
                    <w:jc w:val="center"/>
                    <w:rPr>
                      <w:kern w:val="28"/>
                      <w:szCs w:val="21"/>
                    </w:rPr>
                  </w:pPr>
                  <w:r>
                    <w:rPr>
                      <w:kern w:val="28"/>
                      <w:szCs w:val="21"/>
                    </w:rPr>
                    <w:t>预案分级响应条件</w:t>
                  </w:r>
                </w:p>
              </w:tc>
              <w:tc>
                <w:tcPr>
                  <w:tcW w:w="3341" w:type="pct"/>
                  <w:vAlign w:val="center"/>
                </w:tcPr>
                <w:p>
                  <w:pPr>
                    <w:rPr>
                      <w:kern w:val="28"/>
                      <w:szCs w:val="21"/>
                    </w:rPr>
                  </w:pPr>
                  <w:r>
                    <w:rPr>
                      <w:kern w:val="28"/>
                      <w:szCs w:val="21"/>
                    </w:rPr>
                    <w:t>规定预案的级别及分级响应程序，根据环境风险事故可能产生的环境影响，对事故预警进行分级，并根据事态发展调整事故应急响应程序。应急响应程序启动后应按照应急预案的规定内容开展应急处置并及时报告相关情况。</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30" w:type="pct"/>
                  <w:vAlign w:val="center"/>
                </w:tcPr>
                <w:p>
                  <w:pPr>
                    <w:jc w:val="center"/>
                    <w:rPr>
                      <w:kern w:val="28"/>
                      <w:szCs w:val="21"/>
                    </w:rPr>
                  </w:pPr>
                  <w:r>
                    <w:rPr>
                      <w:kern w:val="28"/>
                      <w:szCs w:val="21"/>
                    </w:rPr>
                    <w:t>4</w:t>
                  </w:r>
                </w:p>
              </w:tc>
              <w:tc>
                <w:tcPr>
                  <w:tcW w:w="1229" w:type="pct"/>
                  <w:vAlign w:val="center"/>
                </w:tcPr>
                <w:p>
                  <w:pPr>
                    <w:jc w:val="center"/>
                    <w:rPr>
                      <w:kern w:val="28"/>
                      <w:szCs w:val="21"/>
                    </w:rPr>
                  </w:pPr>
                  <w:r>
                    <w:rPr>
                      <w:kern w:val="28"/>
                      <w:szCs w:val="21"/>
                    </w:rPr>
                    <w:t>应急救援保障</w:t>
                  </w:r>
                </w:p>
              </w:tc>
              <w:tc>
                <w:tcPr>
                  <w:tcW w:w="3341" w:type="pct"/>
                  <w:vAlign w:val="center"/>
                </w:tcPr>
                <w:p>
                  <w:pPr>
                    <w:rPr>
                      <w:kern w:val="28"/>
                      <w:szCs w:val="21"/>
                    </w:rPr>
                  </w:pPr>
                  <w:r>
                    <w:rPr>
                      <w:kern w:val="28"/>
                      <w:szCs w:val="21"/>
                    </w:rPr>
                    <w:t>消防沙、灭火器、事故应急池、消火栓等</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30" w:type="pct"/>
                  <w:vAlign w:val="center"/>
                </w:tcPr>
                <w:p>
                  <w:pPr>
                    <w:jc w:val="center"/>
                    <w:rPr>
                      <w:kern w:val="28"/>
                      <w:szCs w:val="21"/>
                    </w:rPr>
                  </w:pPr>
                  <w:r>
                    <w:rPr>
                      <w:kern w:val="28"/>
                      <w:szCs w:val="21"/>
                    </w:rPr>
                    <w:t>5</w:t>
                  </w:r>
                </w:p>
              </w:tc>
              <w:tc>
                <w:tcPr>
                  <w:tcW w:w="1229" w:type="pct"/>
                  <w:vAlign w:val="center"/>
                </w:tcPr>
                <w:p>
                  <w:pPr>
                    <w:jc w:val="center"/>
                    <w:rPr>
                      <w:kern w:val="28"/>
                      <w:szCs w:val="21"/>
                    </w:rPr>
                  </w:pPr>
                  <w:r>
                    <w:rPr>
                      <w:kern w:val="28"/>
                      <w:szCs w:val="21"/>
                    </w:rPr>
                    <w:t>报警、通讯联络方式</w:t>
                  </w:r>
                </w:p>
              </w:tc>
              <w:tc>
                <w:tcPr>
                  <w:tcW w:w="3341" w:type="pct"/>
                  <w:vAlign w:val="center"/>
                </w:tcPr>
                <w:p>
                  <w:pPr>
                    <w:rPr>
                      <w:kern w:val="28"/>
                      <w:szCs w:val="21"/>
                    </w:rPr>
                  </w:pPr>
                  <w:r>
                    <w:rPr>
                      <w:kern w:val="28"/>
                      <w:szCs w:val="21"/>
                    </w:rPr>
                    <w:t>规定应急状态下的报警通讯方式、通知方式和交通保障、管制</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30" w:type="pct"/>
                  <w:vAlign w:val="center"/>
                </w:tcPr>
                <w:p>
                  <w:pPr>
                    <w:jc w:val="center"/>
                    <w:rPr>
                      <w:kern w:val="28"/>
                      <w:szCs w:val="21"/>
                    </w:rPr>
                  </w:pPr>
                  <w:r>
                    <w:rPr>
                      <w:kern w:val="28"/>
                      <w:szCs w:val="21"/>
                    </w:rPr>
                    <w:t>6</w:t>
                  </w:r>
                </w:p>
              </w:tc>
              <w:tc>
                <w:tcPr>
                  <w:tcW w:w="1229" w:type="pct"/>
                  <w:vAlign w:val="center"/>
                </w:tcPr>
                <w:p>
                  <w:pPr>
                    <w:jc w:val="center"/>
                    <w:rPr>
                      <w:kern w:val="28"/>
                      <w:szCs w:val="21"/>
                    </w:rPr>
                  </w:pPr>
                  <w:r>
                    <w:rPr>
                      <w:kern w:val="28"/>
                      <w:szCs w:val="21"/>
                    </w:rPr>
                    <w:t>应急环境监测、抢险、救援及控制措施</w:t>
                  </w:r>
                </w:p>
              </w:tc>
              <w:tc>
                <w:tcPr>
                  <w:tcW w:w="3341" w:type="pct"/>
                  <w:vAlign w:val="center"/>
                </w:tcPr>
                <w:p>
                  <w:pPr>
                    <w:rPr>
                      <w:kern w:val="28"/>
                      <w:szCs w:val="21"/>
                    </w:rPr>
                  </w:pPr>
                  <w:r>
                    <w:rPr>
                      <w:kern w:val="28"/>
                      <w:szCs w:val="21"/>
                    </w:rPr>
                    <w:t>由市、区环境监测站负责对事故现场进行侦察监测，对事故性质、参数与后果进行评估，为指挥部门提供决策依据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30" w:type="pct"/>
                  <w:vAlign w:val="center"/>
                </w:tcPr>
                <w:p>
                  <w:pPr>
                    <w:jc w:val="center"/>
                    <w:rPr>
                      <w:kern w:val="28"/>
                      <w:szCs w:val="21"/>
                    </w:rPr>
                  </w:pPr>
                  <w:r>
                    <w:rPr>
                      <w:kern w:val="28"/>
                      <w:szCs w:val="21"/>
                    </w:rPr>
                    <w:t>7</w:t>
                  </w:r>
                </w:p>
              </w:tc>
              <w:tc>
                <w:tcPr>
                  <w:tcW w:w="1229" w:type="pct"/>
                  <w:vAlign w:val="center"/>
                </w:tcPr>
                <w:p>
                  <w:pPr>
                    <w:jc w:val="center"/>
                    <w:rPr>
                      <w:kern w:val="28"/>
                      <w:szCs w:val="21"/>
                    </w:rPr>
                  </w:pPr>
                  <w:r>
                    <w:rPr>
                      <w:kern w:val="28"/>
                      <w:szCs w:val="21"/>
                    </w:rPr>
                    <w:t>应急检测、防护措施、清除泄漏措施和器材</w:t>
                  </w:r>
                </w:p>
              </w:tc>
              <w:tc>
                <w:tcPr>
                  <w:tcW w:w="3341" w:type="pct"/>
                  <w:vAlign w:val="center"/>
                </w:tcPr>
                <w:p>
                  <w:pPr>
                    <w:rPr>
                      <w:kern w:val="28"/>
                      <w:szCs w:val="21"/>
                    </w:rPr>
                  </w:pPr>
                  <w:r>
                    <w:rPr>
                      <w:kern w:val="28"/>
                      <w:szCs w:val="21"/>
                    </w:rPr>
                    <w:t>事故现场、邻近区域、控制防火区域，控制和清除污染措施及相应设备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30" w:type="pct"/>
                  <w:vAlign w:val="center"/>
                </w:tcPr>
                <w:p>
                  <w:pPr>
                    <w:jc w:val="center"/>
                    <w:rPr>
                      <w:kern w:val="28"/>
                      <w:szCs w:val="21"/>
                    </w:rPr>
                  </w:pPr>
                  <w:r>
                    <w:rPr>
                      <w:kern w:val="28"/>
                      <w:szCs w:val="21"/>
                    </w:rPr>
                    <w:t>8</w:t>
                  </w:r>
                </w:p>
              </w:tc>
              <w:tc>
                <w:tcPr>
                  <w:tcW w:w="1229" w:type="pct"/>
                  <w:vAlign w:val="center"/>
                </w:tcPr>
                <w:p>
                  <w:pPr>
                    <w:jc w:val="center"/>
                    <w:rPr>
                      <w:kern w:val="28"/>
                      <w:szCs w:val="21"/>
                    </w:rPr>
                  </w:pPr>
                  <w:r>
                    <w:rPr>
                      <w:kern w:val="28"/>
                      <w:szCs w:val="21"/>
                    </w:rPr>
                    <w:t>人员紧急撤离、疏散，应急剂量控制、撤离组织计划</w:t>
                  </w:r>
                </w:p>
              </w:tc>
              <w:tc>
                <w:tcPr>
                  <w:tcW w:w="3341" w:type="pct"/>
                  <w:vAlign w:val="center"/>
                </w:tcPr>
                <w:p>
                  <w:pPr>
                    <w:rPr>
                      <w:kern w:val="28"/>
                      <w:szCs w:val="21"/>
                    </w:rPr>
                  </w:pPr>
                  <w:r>
                    <w:rPr>
                      <w:kern w:val="28"/>
                      <w:szCs w:val="21"/>
                    </w:rPr>
                    <w:t>事故现场、项目邻近区、受事故影响的区域人员及公众对毒物应急剂量控制规定，撤离组织计划及救护，医疗救护与公众健康</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30" w:type="pct"/>
                  <w:vAlign w:val="center"/>
                </w:tcPr>
                <w:p>
                  <w:pPr>
                    <w:jc w:val="center"/>
                    <w:rPr>
                      <w:kern w:val="28"/>
                      <w:szCs w:val="21"/>
                    </w:rPr>
                  </w:pPr>
                  <w:r>
                    <w:rPr>
                      <w:kern w:val="28"/>
                      <w:szCs w:val="21"/>
                    </w:rPr>
                    <w:t>9</w:t>
                  </w:r>
                </w:p>
              </w:tc>
              <w:tc>
                <w:tcPr>
                  <w:tcW w:w="1229" w:type="pct"/>
                  <w:vAlign w:val="center"/>
                </w:tcPr>
                <w:p>
                  <w:pPr>
                    <w:jc w:val="center"/>
                    <w:rPr>
                      <w:kern w:val="28"/>
                      <w:szCs w:val="21"/>
                    </w:rPr>
                  </w:pPr>
                  <w:r>
                    <w:rPr>
                      <w:kern w:val="28"/>
                      <w:szCs w:val="21"/>
                    </w:rPr>
                    <w:t>事故应急救援关闭程序与恢复措施</w:t>
                  </w:r>
                </w:p>
              </w:tc>
              <w:tc>
                <w:tcPr>
                  <w:tcW w:w="3341" w:type="pct"/>
                  <w:vAlign w:val="center"/>
                </w:tcPr>
                <w:p>
                  <w:pPr>
                    <w:rPr>
                      <w:kern w:val="28"/>
                      <w:szCs w:val="21"/>
                    </w:rPr>
                  </w:pPr>
                  <w:r>
                    <w:rPr>
                      <w:kern w:val="28"/>
                      <w:szCs w:val="21"/>
                    </w:rPr>
                    <w:t>规定应急状态终止程序事故现场善后处理，恢复措施邻近区域解除事故警戒及善后恢复措施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30" w:type="pct"/>
                  <w:vAlign w:val="center"/>
                </w:tcPr>
                <w:p>
                  <w:pPr>
                    <w:jc w:val="center"/>
                    <w:rPr>
                      <w:kern w:val="28"/>
                      <w:szCs w:val="21"/>
                    </w:rPr>
                  </w:pPr>
                  <w:r>
                    <w:rPr>
                      <w:kern w:val="28"/>
                      <w:szCs w:val="21"/>
                    </w:rPr>
                    <w:t>10</w:t>
                  </w:r>
                </w:p>
              </w:tc>
              <w:tc>
                <w:tcPr>
                  <w:tcW w:w="1229" w:type="pct"/>
                  <w:vAlign w:val="center"/>
                </w:tcPr>
                <w:p>
                  <w:pPr>
                    <w:jc w:val="center"/>
                    <w:rPr>
                      <w:kern w:val="28"/>
                      <w:szCs w:val="21"/>
                    </w:rPr>
                  </w:pPr>
                  <w:r>
                    <w:rPr>
                      <w:kern w:val="28"/>
                      <w:szCs w:val="21"/>
                    </w:rPr>
                    <w:t>应急培训计划</w:t>
                  </w:r>
                </w:p>
              </w:tc>
              <w:tc>
                <w:tcPr>
                  <w:tcW w:w="3341" w:type="pct"/>
                  <w:vAlign w:val="center"/>
                </w:tcPr>
                <w:p>
                  <w:pPr>
                    <w:rPr>
                      <w:kern w:val="28"/>
                      <w:szCs w:val="21"/>
                    </w:rPr>
                  </w:pPr>
                  <w:r>
                    <w:rPr>
                      <w:kern w:val="28"/>
                      <w:szCs w:val="21"/>
                    </w:rPr>
                    <w:t>应急计划制定后，平时安排人员培训与演练</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30" w:type="pct"/>
                  <w:vAlign w:val="center"/>
                </w:tcPr>
                <w:p>
                  <w:pPr>
                    <w:jc w:val="center"/>
                    <w:rPr>
                      <w:kern w:val="28"/>
                      <w:szCs w:val="21"/>
                    </w:rPr>
                  </w:pPr>
                  <w:r>
                    <w:rPr>
                      <w:kern w:val="28"/>
                      <w:szCs w:val="21"/>
                    </w:rPr>
                    <w:t>11</w:t>
                  </w:r>
                </w:p>
              </w:tc>
              <w:tc>
                <w:tcPr>
                  <w:tcW w:w="1229" w:type="pct"/>
                  <w:vAlign w:val="center"/>
                </w:tcPr>
                <w:p>
                  <w:pPr>
                    <w:jc w:val="center"/>
                    <w:rPr>
                      <w:kern w:val="28"/>
                      <w:szCs w:val="21"/>
                    </w:rPr>
                  </w:pPr>
                  <w:r>
                    <w:rPr>
                      <w:kern w:val="28"/>
                      <w:szCs w:val="21"/>
                    </w:rPr>
                    <w:t>公众教育和信息</w:t>
                  </w:r>
                </w:p>
              </w:tc>
              <w:tc>
                <w:tcPr>
                  <w:tcW w:w="3341" w:type="pct"/>
                  <w:vAlign w:val="center"/>
                </w:tcPr>
                <w:p>
                  <w:pPr>
                    <w:rPr>
                      <w:kern w:val="28"/>
                      <w:szCs w:val="21"/>
                    </w:rPr>
                  </w:pPr>
                  <w:r>
                    <w:rPr>
                      <w:kern w:val="28"/>
                      <w:szCs w:val="21"/>
                    </w:rPr>
                    <w:t>对项目邻近地区开展公众教育、培训和发布有关信息</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30" w:type="pct"/>
                  <w:vAlign w:val="center"/>
                </w:tcPr>
                <w:p>
                  <w:pPr>
                    <w:jc w:val="center"/>
                    <w:rPr>
                      <w:kern w:val="28"/>
                      <w:szCs w:val="21"/>
                    </w:rPr>
                  </w:pPr>
                  <w:r>
                    <w:rPr>
                      <w:kern w:val="28"/>
                      <w:szCs w:val="21"/>
                    </w:rPr>
                    <w:t>12</w:t>
                  </w:r>
                </w:p>
              </w:tc>
              <w:tc>
                <w:tcPr>
                  <w:tcW w:w="1229" w:type="pct"/>
                  <w:vAlign w:val="center"/>
                </w:tcPr>
                <w:p>
                  <w:pPr>
                    <w:jc w:val="center"/>
                    <w:rPr>
                      <w:kern w:val="28"/>
                      <w:szCs w:val="21"/>
                    </w:rPr>
                  </w:pPr>
                  <w:r>
                    <w:rPr>
                      <w:kern w:val="28"/>
                      <w:szCs w:val="21"/>
                    </w:rPr>
                    <w:t>记录和报告</w:t>
                  </w:r>
                </w:p>
              </w:tc>
              <w:tc>
                <w:tcPr>
                  <w:tcW w:w="3341" w:type="pct"/>
                  <w:vAlign w:val="center"/>
                </w:tcPr>
                <w:p>
                  <w:pPr>
                    <w:rPr>
                      <w:kern w:val="28"/>
                      <w:szCs w:val="21"/>
                    </w:rPr>
                  </w:pPr>
                  <w:r>
                    <w:rPr>
                      <w:kern w:val="28"/>
                      <w:szCs w:val="21"/>
                    </w:rPr>
                    <w:t>设置环境风险事故应急处置记录，建立档案和报告制度，设专门人员负责管理。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430" w:type="pct"/>
                  <w:vAlign w:val="center"/>
                </w:tcPr>
                <w:p>
                  <w:pPr>
                    <w:jc w:val="center"/>
                    <w:rPr>
                      <w:kern w:val="28"/>
                      <w:szCs w:val="21"/>
                    </w:rPr>
                  </w:pPr>
                  <w:r>
                    <w:rPr>
                      <w:kern w:val="28"/>
                      <w:szCs w:val="21"/>
                    </w:rPr>
                    <w:t>13</w:t>
                  </w:r>
                </w:p>
              </w:tc>
              <w:tc>
                <w:tcPr>
                  <w:tcW w:w="1229" w:type="pct"/>
                  <w:vAlign w:val="center"/>
                </w:tcPr>
                <w:p>
                  <w:pPr>
                    <w:jc w:val="center"/>
                    <w:rPr>
                      <w:kern w:val="28"/>
                      <w:szCs w:val="21"/>
                    </w:rPr>
                  </w:pPr>
                  <w:r>
                    <w:rPr>
                      <w:kern w:val="28"/>
                      <w:szCs w:val="21"/>
                    </w:rPr>
                    <w:t>附件</w:t>
                  </w:r>
                </w:p>
              </w:tc>
              <w:tc>
                <w:tcPr>
                  <w:tcW w:w="3341" w:type="pct"/>
                  <w:vAlign w:val="center"/>
                </w:tcPr>
                <w:p>
                  <w:pPr>
                    <w:rPr>
                      <w:kern w:val="28"/>
                      <w:szCs w:val="21"/>
                    </w:rPr>
                  </w:pPr>
                  <w:r>
                    <w:rPr>
                      <w:kern w:val="28"/>
                      <w:szCs w:val="21"/>
                    </w:rPr>
                    <w:t>拟建主要负责人联系方式、主要医院联系方式、平面布置图纸、基建图、管线布置图、环保、安监和消防部门联系方式。</w:t>
                  </w:r>
                </w:p>
              </w:tc>
            </w:tr>
          </w:tbl>
          <w:p>
            <w:pPr>
              <w:spacing w:line="360" w:lineRule="auto"/>
              <w:ind w:firstLine="480" w:firstLineChars="200"/>
              <w:rPr>
                <w:bCs/>
                <w:sz w:val="24"/>
              </w:rPr>
            </w:pPr>
            <w:r>
              <w:rPr>
                <w:bCs/>
                <w:sz w:val="24"/>
              </w:rPr>
              <w:t>（6）风险结论</w:t>
            </w:r>
          </w:p>
          <w:p>
            <w:pPr>
              <w:adjustRightInd w:val="0"/>
              <w:snapToGrid w:val="0"/>
              <w:spacing w:line="360" w:lineRule="auto"/>
              <w:ind w:firstLine="482"/>
              <w:jc w:val="left"/>
              <w:textAlignment w:val="baseline"/>
              <w:rPr>
                <w:kern w:val="0"/>
                <w:sz w:val="24"/>
              </w:rPr>
            </w:pPr>
            <w:r>
              <w:rPr>
                <w:bCs/>
                <w:sz w:val="24"/>
              </w:rPr>
              <w:t>本项目Q＜1，环境风险较小。</w:t>
            </w:r>
            <w:r>
              <w:rPr>
                <w:kern w:val="0"/>
                <w:sz w:val="24"/>
              </w:rPr>
              <w:t>经识别，本项目风险事故发生率低，只要按照使用规范及安全要求进行厂房设计和生产管理，加强人员教育，严格执行安全生产管理制度和完善操作规程，保证安全设施的正常运行，就可以避免风险事故的发生。且本项目所在地属非敏感区域，本项目使用的危险化学品不构成重大危险源。因此。在确保各项风险防范措施得到有效实施的情况下，本项目处于风险处于可接受水平，其风险管理措施，有效、可靠，从环境风险角度而言是可行的。</w:t>
            </w:r>
          </w:p>
          <w:p>
            <w:pPr>
              <w:spacing w:line="360" w:lineRule="auto"/>
              <w:ind w:firstLine="480" w:firstLineChars="200"/>
              <w:jc w:val="left"/>
              <w:rPr>
                <w:kern w:val="0"/>
                <w:sz w:val="24"/>
              </w:rPr>
            </w:pPr>
            <w:r>
              <w:rPr>
                <w:kern w:val="0"/>
                <w:sz w:val="24"/>
              </w:rPr>
              <w:t>同时，环评要求企业定期进行风险评估，更新项目应急预案，做好突发环境事件风险防范措施。</w:t>
            </w:r>
          </w:p>
          <w:p>
            <w:pPr>
              <w:spacing w:line="360" w:lineRule="auto"/>
              <w:jc w:val="center"/>
              <w:rPr>
                <w:bCs/>
                <w:sz w:val="24"/>
              </w:rPr>
            </w:pPr>
            <w:r>
              <w:rPr>
                <w:bCs/>
                <w:sz w:val="24"/>
              </w:rPr>
              <w:t>表4-16 项目环境风险简单分析内容表</w:t>
            </w:r>
          </w:p>
          <w:tbl>
            <w:tblPr>
              <w:tblStyle w:val="39"/>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22"/>
              <w:gridCol w:w="456"/>
              <w:gridCol w:w="2103"/>
              <w:gridCol w:w="1029"/>
              <w:gridCol w:w="318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452" w:type="dxa"/>
                  <w:vAlign w:val="center"/>
                </w:tcPr>
                <w:p>
                  <w:pPr>
                    <w:jc w:val="center"/>
                    <w:rPr>
                      <w:bCs/>
                      <w:szCs w:val="21"/>
                    </w:rPr>
                  </w:pPr>
                  <w:r>
                    <w:rPr>
                      <w:bCs/>
                      <w:szCs w:val="21"/>
                    </w:rPr>
                    <w:t>项目名称</w:t>
                  </w:r>
                </w:p>
              </w:tc>
              <w:tc>
                <w:tcPr>
                  <w:tcW w:w="6741" w:type="dxa"/>
                  <w:gridSpan w:val="4"/>
                  <w:vAlign w:val="center"/>
                </w:tcPr>
                <w:p>
                  <w:pPr>
                    <w:jc w:val="center"/>
                    <w:rPr>
                      <w:bCs/>
                      <w:szCs w:val="21"/>
                    </w:rPr>
                  </w:pPr>
                  <w:r>
                    <w:rPr>
                      <w:bCs/>
                      <w:szCs w:val="21"/>
                    </w:rPr>
                    <w:t>乐山市建筑垃圾资源化利用及炉渣综合利用项目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452" w:type="dxa"/>
                  <w:vAlign w:val="center"/>
                </w:tcPr>
                <w:p>
                  <w:pPr>
                    <w:jc w:val="center"/>
                    <w:rPr>
                      <w:bCs/>
                      <w:szCs w:val="21"/>
                    </w:rPr>
                  </w:pPr>
                  <w:r>
                    <w:rPr>
                      <w:bCs/>
                      <w:szCs w:val="21"/>
                    </w:rPr>
                    <w:t>建设地点</w:t>
                  </w:r>
                </w:p>
              </w:tc>
              <w:tc>
                <w:tcPr>
                  <w:tcW w:w="6741" w:type="dxa"/>
                  <w:gridSpan w:val="4"/>
                  <w:vAlign w:val="center"/>
                </w:tcPr>
                <w:p>
                  <w:pPr>
                    <w:jc w:val="center"/>
                    <w:rPr>
                      <w:bCs/>
                      <w:szCs w:val="21"/>
                    </w:rPr>
                  </w:pPr>
                  <w:r>
                    <w:rPr>
                      <w:szCs w:val="21"/>
                    </w:rPr>
                    <w:t>四川省（自治区）乐山市市中区（县）茅桥镇（街道）迎阳村乐山市环保发电厂旁</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452" w:type="dxa"/>
                  <w:vAlign w:val="center"/>
                </w:tcPr>
                <w:p>
                  <w:pPr>
                    <w:jc w:val="center"/>
                    <w:rPr>
                      <w:bCs/>
                      <w:szCs w:val="21"/>
                    </w:rPr>
                  </w:pPr>
                  <w:r>
                    <w:rPr>
                      <w:bCs/>
                      <w:szCs w:val="21"/>
                    </w:rPr>
                    <w:t>地理坐标</w:t>
                  </w:r>
                </w:p>
              </w:tc>
              <w:tc>
                <w:tcPr>
                  <w:tcW w:w="301" w:type="dxa"/>
                  <w:vAlign w:val="center"/>
                </w:tcPr>
                <w:p>
                  <w:pPr>
                    <w:jc w:val="center"/>
                    <w:rPr>
                      <w:bCs/>
                      <w:szCs w:val="21"/>
                    </w:rPr>
                  </w:pPr>
                  <w:r>
                    <w:rPr>
                      <w:bCs/>
                      <w:szCs w:val="21"/>
                    </w:rPr>
                    <w:t>经度</w:t>
                  </w:r>
                </w:p>
              </w:tc>
              <w:tc>
                <w:tcPr>
                  <w:tcW w:w="2141" w:type="dxa"/>
                  <w:vAlign w:val="center"/>
                </w:tcPr>
                <w:p>
                  <w:pPr>
                    <w:jc w:val="center"/>
                    <w:rPr>
                      <w:bCs/>
                      <w:szCs w:val="21"/>
                    </w:rPr>
                  </w:pPr>
                  <w:r>
                    <w:rPr>
                      <w:bCs/>
                      <w:szCs w:val="21"/>
                    </w:rPr>
                    <w:t>103 度 52 分 15.960 秒</w:t>
                  </w:r>
                </w:p>
              </w:tc>
              <w:tc>
                <w:tcPr>
                  <w:tcW w:w="1046" w:type="dxa"/>
                  <w:vAlign w:val="center"/>
                </w:tcPr>
                <w:p>
                  <w:pPr>
                    <w:jc w:val="center"/>
                    <w:rPr>
                      <w:bCs/>
                      <w:szCs w:val="21"/>
                    </w:rPr>
                  </w:pPr>
                  <w:r>
                    <w:rPr>
                      <w:bCs/>
                      <w:szCs w:val="21"/>
                    </w:rPr>
                    <w:t>纬度</w:t>
                  </w:r>
                </w:p>
              </w:tc>
              <w:tc>
                <w:tcPr>
                  <w:tcW w:w="3253" w:type="dxa"/>
                  <w:vAlign w:val="center"/>
                </w:tcPr>
                <w:p>
                  <w:pPr>
                    <w:jc w:val="center"/>
                    <w:rPr>
                      <w:bCs/>
                      <w:szCs w:val="21"/>
                    </w:rPr>
                  </w:pPr>
                  <w:r>
                    <w:rPr>
                      <w:bCs/>
                      <w:szCs w:val="21"/>
                    </w:rPr>
                    <w:t>29 度 34 分 41.879 秒</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452" w:type="dxa"/>
                  <w:vAlign w:val="center"/>
                </w:tcPr>
                <w:p>
                  <w:pPr>
                    <w:jc w:val="center"/>
                    <w:rPr>
                      <w:bCs/>
                      <w:szCs w:val="21"/>
                    </w:rPr>
                  </w:pPr>
                  <w:r>
                    <w:rPr>
                      <w:bCs/>
                      <w:szCs w:val="21"/>
                    </w:rPr>
                    <w:t>主要危险物质及分布</w:t>
                  </w:r>
                </w:p>
              </w:tc>
              <w:tc>
                <w:tcPr>
                  <w:tcW w:w="6741" w:type="dxa"/>
                  <w:gridSpan w:val="4"/>
                  <w:vAlign w:val="center"/>
                </w:tcPr>
                <w:p>
                  <w:pPr>
                    <w:jc w:val="left"/>
                    <w:rPr>
                      <w:bCs/>
                      <w:szCs w:val="21"/>
                    </w:rPr>
                  </w:pPr>
                  <w:r>
                    <w:rPr>
                      <w:bCs/>
                      <w:szCs w:val="21"/>
                    </w:rPr>
                    <w:t>1、污水处理站；</w:t>
                  </w:r>
                </w:p>
                <w:p>
                  <w:pPr>
                    <w:jc w:val="left"/>
                    <w:rPr>
                      <w:bCs/>
                      <w:szCs w:val="21"/>
                    </w:rPr>
                  </w:pPr>
                  <w:r>
                    <w:rPr>
                      <w:bCs/>
                      <w:szCs w:val="21"/>
                    </w:rPr>
                    <w:t>2、仓库；</w:t>
                  </w:r>
                </w:p>
                <w:p>
                  <w:pPr>
                    <w:jc w:val="left"/>
                    <w:rPr>
                      <w:bCs/>
                      <w:szCs w:val="21"/>
                    </w:rPr>
                  </w:pPr>
                  <w:r>
                    <w:rPr>
                      <w:bCs/>
                      <w:szCs w:val="21"/>
                    </w:rPr>
                    <w:t>3、危废暂存间。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452" w:type="dxa"/>
                  <w:vAlign w:val="center"/>
                </w:tcPr>
                <w:p>
                  <w:pPr>
                    <w:jc w:val="center"/>
                    <w:rPr>
                      <w:bCs/>
                      <w:szCs w:val="21"/>
                    </w:rPr>
                  </w:pPr>
                  <w:r>
                    <w:rPr>
                      <w:bCs/>
                      <w:szCs w:val="21"/>
                    </w:rPr>
                    <w:t>环境影响途径及危害后果</w:t>
                  </w:r>
                </w:p>
              </w:tc>
              <w:tc>
                <w:tcPr>
                  <w:tcW w:w="6741" w:type="dxa"/>
                  <w:gridSpan w:val="4"/>
                  <w:vAlign w:val="center"/>
                </w:tcPr>
                <w:p>
                  <w:pPr>
                    <w:rPr>
                      <w:bCs/>
                      <w:szCs w:val="21"/>
                    </w:rPr>
                  </w:pPr>
                  <w:r>
                    <w:rPr>
                      <w:bCs/>
                      <w:szCs w:val="21"/>
                    </w:rPr>
                    <w:t>生产废水、生活污水泄露或事故排放；发生火灾；润滑油、危废泄露后产生的环境影响。</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452" w:type="dxa"/>
                  <w:vAlign w:val="center"/>
                </w:tcPr>
                <w:p>
                  <w:pPr>
                    <w:jc w:val="center"/>
                    <w:rPr>
                      <w:bCs/>
                      <w:szCs w:val="21"/>
                    </w:rPr>
                  </w:pPr>
                  <w:r>
                    <w:rPr>
                      <w:bCs/>
                      <w:szCs w:val="21"/>
                    </w:rPr>
                    <w:t>风险防范措施要求</w:t>
                  </w:r>
                </w:p>
              </w:tc>
              <w:tc>
                <w:tcPr>
                  <w:tcW w:w="6741" w:type="dxa"/>
                  <w:gridSpan w:val="4"/>
                  <w:vAlign w:val="center"/>
                </w:tcPr>
                <w:p>
                  <w:pPr>
                    <w:rPr>
                      <w:bCs/>
                      <w:szCs w:val="21"/>
                    </w:rPr>
                  </w:pPr>
                  <w:r>
                    <w:rPr>
                      <w:bCs/>
                      <w:szCs w:val="21"/>
                    </w:rPr>
                    <w:t>1、减少风险物质的厂区暂存量，从源头减少风险的发生。</w:t>
                  </w:r>
                </w:p>
                <w:p>
                  <w:pPr>
                    <w:rPr>
                      <w:bCs/>
                      <w:szCs w:val="21"/>
                    </w:rPr>
                  </w:pPr>
                  <w:r>
                    <w:rPr>
                      <w:bCs/>
                      <w:szCs w:val="21"/>
                    </w:rPr>
                    <w:t>2、做好分区防渗工作，重点防渗区应满足相关技术规范要求，并做好维护和保养，确保防渗层的使用寿命。</w:t>
                  </w:r>
                </w:p>
                <w:p>
                  <w:pPr>
                    <w:rPr>
                      <w:bCs/>
                      <w:szCs w:val="21"/>
                    </w:rPr>
                  </w:pPr>
                  <w:r>
                    <w:rPr>
                      <w:bCs/>
                      <w:szCs w:val="21"/>
                    </w:rPr>
                    <w:t>3、加强对固废的管理，按照《中华人民共和国固体废物污染环境防治法》等相关法律法规和技术规范的要求。</w:t>
                  </w:r>
                </w:p>
                <w:p>
                  <w:pPr>
                    <w:rPr>
                      <w:bCs/>
                      <w:szCs w:val="21"/>
                    </w:rPr>
                  </w:pPr>
                  <w:r>
                    <w:rPr>
                      <w:bCs/>
                      <w:szCs w:val="21"/>
                    </w:rPr>
                    <w:t>4、加强对生产设施和公辅设施的巡查和维护保养，避免废水和液体原辅料“跑冒滴漏”，并设置事故应急池，杜绝事故排放。</w:t>
                  </w:r>
                </w:p>
                <w:p>
                  <w:pPr>
                    <w:rPr>
                      <w:bCs/>
                      <w:szCs w:val="21"/>
                    </w:rPr>
                  </w:pPr>
                  <w:r>
                    <w:rPr>
                      <w:bCs/>
                      <w:szCs w:val="21"/>
                    </w:rPr>
                    <w:t>5、严格落实安全设计及安全评价要求，做好消防安全工作。</w:t>
                  </w:r>
                </w:p>
                <w:p>
                  <w:pPr>
                    <w:rPr>
                      <w:bCs/>
                      <w:szCs w:val="21"/>
                    </w:rPr>
                  </w:pPr>
                  <w:r>
                    <w:rPr>
                      <w:bCs/>
                      <w:szCs w:val="21"/>
                    </w:rPr>
                    <w:t>6、委托具有相关经营许可的运输单位运输化学药品和试剂，并要求其做好输运过程中的安全防范措施。</w:t>
                  </w:r>
                </w:p>
                <w:p>
                  <w:pPr>
                    <w:rPr>
                      <w:bCs/>
                      <w:szCs w:val="21"/>
                    </w:rPr>
                  </w:pPr>
                  <w:r>
                    <w:rPr>
                      <w:bCs/>
                      <w:szCs w:val="21"/>
                    </w:rPr>
                    <w:t>7、建设单位应加强管理，加大对安全、环保知识的宣传和培训，加强应急演练。按照《突发环境事件应急预案管理办法（试行）》的规定，编制突发环境事件应急预案，报送生态环境主管部门备案。</w:t>
                  </w:r>
                </w:p>
              </w:tc>
            </w:tr>
          </w:tbl>
          <w:p>
            <w:pPr>
              <w:adjustRightInd w:val="0"/>
              <w:snapToGrid w:val="0"/>
              <w:spacing w:line="360" w:lineRule="auto"/>
              <w:ind w:firstLine="426" w:firstLineChars="177"/>
              <w:rPr>
                <w:b/>
                <w:sz w:val="24"/>
              </w:rPr>
            </w:pPr>
            <w:r>
              <w:rPr>
                <w:b/>
                <w:sz w:val="24"/>
              </w:rPr>
              <w:t>7、环境管理</w:t>
            </w:r>
          </w:p>
          <w:p>
            <w:pPr>
              <w:adjustRightInd w:val="0"/>
              <w:snapToGrid w:val="0"/>
              <w:spacing w:line="360" w:lineRule="auto"/>
              <w:ind w:firstLine="424" w:firstLineChars="177"/>
              <w:rPr>
                <w:sz w:val="24"/>
              </w:rPr>
            </w:pPr>
            <w:r>
              <w:rPr>
                <w:sz w:val="24"/>
              </w:rPr>
              <w:t>环境管理与环保治理措施一样重要，是保证建设项目排污达到相应标准、控制建设地周围区域环境质量不下降的一个重要技术手段。</w:t>
            </w:r>
          </w:p>
          <w:p>
            <w:pPr>
              <w:adjustRightInd w:val="0"/>
              <w:snapToGrid w:val="0"/>
              <w:spacing w:line="360" w:lineRule="auto"/>
              <w:ind w:firstLine="424" w:firstLineChars="177"/>
              <w:rPr>
                <w:sz w:val="24"/>
              </w:rPr>
            </w:pPr>
            <w:r>
              <w:rPr>
                <w:sz w:val="24"/>
              </w:rPr>
              <w:t>（1）建立健全的环境管理制度。制定《关于对污染源加强管理治理污染反弹的目标责任书》、《环保领导责任制度》（环保工作管理制度）等管理制度，并设置专人检查制度，将环境管理纳入企业生产管理和经济考核体系，对由于工作人员的过失和失误造成企业环保出现严重问题的应处以罚款的处罚；制定环境保护安装生产制度和防止污染事故应急措施。</w:t>
            </w:r>
          </w:p>
          <w:p>
            <w:pPr>
              <w:adjustRightInd w:val="0"/>
              <w:snapToGrid w:val="0"/>
              <w:spacing w:line="360" w:lineRule="auto"/>
              <w:ind w:firstLine="424" w:firstLineChars="177"/>
              <w:rPr>
                <w:sz w:val="24"/>
              </w:rPr>
            </w:pPr>
            <w:r>
              <w:rPr>
                <w:sz w:val="24"/>
              </w:rPr>
              <w:t>（2）设立环境管理部门。项目建成后，项目应设立环境管理组织，负责整个加工区的环保工作，至少配置管理人员l人，对项目废气、废水、噪声和固体废物处理处置情况进行监督管理，对外的环保协调工作，履行环境管理和环境监控职责，现分述如下：</w:t>
            </w:r>
          </w:p>
          <w:p>
            <w:pPr>
              <w:adjustRightInd w:val="0"/>
              <w:snapToGrid w:val="0"/>
              <w:spacing w:line="360" w:lineRule="auto"/>
              <w:ind w:firstLine="424" w:firstLineChars="177"/>
              <w:rPr>
                <w:sz w:val="24"/>
              </w:rPr>
            </w:pPr>
            <w:r>
              <w:rPr>
                <w:sz w:val="24"/>
              </w:rPr>
              <w:t>1）环境管理职责</w:t>
            </w:r>
          </w:p>
          <w:p>
            <w:pPr>
              <w:adjustRightInd w:val="0"/>
              <w:snapToGrid w:val="0"/>
              <w:spacing w:line="360" w:lineRule="auto"/>
              <w:ind w:firstLine="424" w:firstLineChars="177"/>
              <w:rPr>
                <w:sz w:val="24"/>
              </w:rPr>
            </w:pPr>
            <w:r>
              <w:rPr>
                <w:rFonts w:hint="eastAsia" w:ascii="宋体" w:hAnsi="宋体" w:cs="宋体"/>
                <w:sz w:val="24"/>
              </w:rPr>
              <w:t>①</w:t>
            </w:r>
            <w:r>
              <w:rPr>
                <w:sz w:val="24"/>
              </w:rPr>
              <w:t>贯彻执行环境保护法规和标准；</w:t>
            </w:r>
          </w:p>
          <w:p>
            <w:pPr>
              <w:adjustRightInd w:val="0"/>
              <w:snapToGrid w:val="0"/>
              <w:spacing w:line="360" w:lineRule="auto"/>
              <w:ind w:firstLine="424" w:firstLineChars="177"/>
              <w:rPr>
                <w:sz w:val="24"/>
              </w:rPr>
            </w:pPr>
            <w:r>
              <w:rPr>
                <w:rFonts w:hint="eastAsia" w:ascii="宋体" w:hAnsi="宋体" w:cs="宋体"/>
                <w:sz w:val="24"/>
              </w:rPr>
              <w:t>②</w:t>
            </w:r>
            <w:r>
              <w:rPr>
                <w:sz w:val="24"/>
              </w:rPr>
              <w:t>建立各种环境管理制度，并经常检查监督；</w:t>
            </w:r>
          </w:p>
          <w:p>
            <w:pPr>
              <w:adjustRightInd w:val="0"/>
              <w:snapToGrid w:val="0"/>
              <w:spacing w:line="360" w:lineRule="auto"/>
              <w:ind w:firstLine="424" w:firstLineChars="177"/>
              <w:rPr>
                <w:sz w:val="24"/>
              </w:rPr>
            </w:pPr>
            <w:r>
              <w:rPr>
                <w:rFonts w:hint="eastAsia" w:ascii="宋体" w:hAnsi="宋体" w:cs="宋体"/>
                <w:sz w:val="24"/>
              </w:rPr>
              <w:t>③</w:t>
            </w:r>
            <w:r>
              <w:rPr>
                <w:sz w:val="24"/>
              </w:rPr>
              <w:t>编制项目环境保护规划并组织实施；</w:t>
            </w:r>
          </w:p>
          <w:p>
            <w:pPr>
              <w:adjustRightInd w:val="0"/>
              <w:snapToGrid w:val="0"/>
              <w:spacing w:line="360" w:lineRule="auto"/>
              <w:ind w:firstLine="424" w:firstLineChars="177"/>
              <w:rPr>
                <w:sz w:val="24"/>
              </w:rPr>
            </w:pPr>
            <w:r>
              <w:rPr>
                <w:rFonts w:hint="eastAsia" w:ascii="宋体" w:hAnsi="宋体" w:cs="宋体"/>
                <w:sz w:val="24"/>
              </w:rPr>
              <w:t>④</w:t>
            </w:r>
            <w:r>
              <w:rPr>
                <w:sz w:val="24"/>
              </w:rPr>
              <w:t>领导并组织实施项目的环境监测工作，做好各类环境管理台账；</w:t>
            </w:r>
          </w:p>
          <w:p>
            <w:pPr>
              <w:adjustRightInd w:val="0"/>
              <w:snapToGrid w:val="0"/>
              <w:spacing w:line="360" w:lineRule="auto"/>
              <w:ind w:firstLine="424" w:firstLineChars="177"/>
              <w:rPr>
                <w:sz w:val="24"/>
              </w:rPr>
            </w:pPr>
            <w:r>
              <w:rPr>
                <w:rFonts w:hint="eastAsia" w:ascii="宋体" w:hAnsi="宋体" w:cs="宋体"/>
                <w:sz w:val="24"/>
              </w:rPr>
              <w:t>⑤</w:t>
            </w:r>
            <w:r>
              <w:rPr>
                <w:sz w:val="24"/>
              </w:rPr>
              <w:t>抓好环境教育和技术培训工作，提高员工素质；</w:t>
            </w:r>
          </w:p>
          <w:p>
            <w:pPr>
              <w:adjustRightInd w:val="0"/>
              <w:snapToGrid w:val="0"/>
              <w:spacing w:line="360" w:lineRule="auto"/>
              <w:ind w:firstLine="424" w:firstLineChars="177"/>
              <w:rPr>
                <w:sz w:val="24"/>
              </w:rPr>
            </w:pPr>
            <w:r>
              <w:rPr>
                <w:rFonts w:hint="eastAsia" w:ascii="宋体" w:hAnsi="宋体" w:cs="宋体"/>
                <w:sz w:val="24"/>
              </w:rPr>
              <w:t>⑥</w:t>
            </w:r>
            <w:r>
              <w:rPr>
                <w:sz w:val="24"/>
              </w:rPr>
              <w:t>建立项目有关污染物排放和环保设施运转的规章制度；</w:t>
            </w:r>
          </w:p>
          <w:p>
            <w:pPr>
              <w:adjustRightInd w:val="0"/>
              <w:snapToGrid w:val="0"/>
              <w:spacing w:line="360" w:lineRule="auto"/>
              <w:ind w:firstLine="424" w:firstLineChars="177"/>
              <w:rPr>
                <w:sz w:val="24"/>
              </w:rPr>
            </w:pPr>
            <w:r>
              <w:rPr>
                <w:rFonts w:hint="eastAsia" w:ascii="宋体" w:hAnsi="宋体" w:cs="宋体"/>
                <w:sz w:val="24"/>
              </w:rPr>
              <w:t>⑦</w:t>
            </w:r>
            <w:r>
              <w:rPr>
                <w:sz w:val="24"/>
              </w:rPr>
              <w:t>负责日常环境管理工作，并配合环保管理部门做好与其它社会各界有关环保问题的协调工作；</w:t>
            </w:r>
          </w:p>
          <w:p>
            <w:pPr>
              <w:adjustRightInd w:val="0"/>
              <w:snapToGrid w:val="0"/>
              <w:spacing w:line="360" w:lineRule="auto"/>
              <w:ind w:firstLine="424" w:firstLineChars="177"/>
              <w:rPr>
                <w:sz w:val="24"/>
              </w:rPr>
            </w:pPr>
            <w:r>
              <w:rPr>
                <w:rFonts w:hint="eastAsia" w:ascii="宋体" w:hAnsi="宋体" w:cs="宋体"/>
                <w:sz w:val="24"/>
              </w:rPr>
              <w:t>⑧</w:t>
            </w:r>
            <w:r>
              <w:rPr>
                <w:sz w:val="24"/>
              </w:rPr>
              <w:t>制定突发性事故的应急处理方案并参与突发性事故的应急处理工作；</w:t>
            </w:r>
          </w:p>
          <w:p>
            <w:pPr>
              <w:adjustRightInd w:val="0"/>
              <w:snapToGrid w:val="0"/>
              <w:spacing w:line="360" w:lineRule="auto"/>
              <w:ind w:firstLine="424" w:firstLineChars="177"/>
              <w:rPr>
                <w:sz w:val="24"/>
              </w:rPr>
            </w:pPr>
            <w:r>
              <w:rPr>
                <w:rFonts w:hint="eastAsia" w:ascii="宋体" w:hAnsi="宋体" w:cs="宋体"/>
                <w:sz w:val="24"/>
              </w:rPr>
              <w:t>⑨</w:t>
            </w:r>
            <w:r>
              <w:rPr>
                <w:sz w:val="24"/>
              </w:rPr>
              <w:t>定期检查监督环保法规执行情况，及时和有关部门联系落实各方面的环保措施，使之正常运行。</w:t>
            </w:r>
          </w:p>
          <w:p>
            <w:pPr>
              <w:adjustRightInd w:val="0"/>
              <w:snapToGrid w:val="0"/>
              <w:spacing w:line="360" w:lineRule="auto"/>
              <w:ind w:firstLine="424" w:firstLineChars="177"/>
              <w:rPr>
                <w:sz w:val="24"/>
              </w:rPr>
            </w:pPr>
            <w:r>
              <w:rPr>
                <w:sz w:val="24"/>
              </w:rPr>
              <w:t>2）环境监控职责</w:t>
            </w:r>
          </w:p>
          <w:p>
            <w:pPr>
              <w:adjustRightInd w:val="0"/>
              <w:snapToGrid w:val="0"/>
              <w:spacing w:line="360" w:lineRule="auto"/>
              <w:ind w:firstLine="424" w:firstLineChars="177"/>
              <w:rPr>
                <w:sz w:val="24"/>
              </w:rPr>
            </w:pPr>
            <w:r>
              <w:rPr>
                <w:rFonts w:hint="eastAsia" w:ascii="宋体" w:hAnsi="宋体" w:cs="宋体"/>
                <w:sz w:val="24"/>
              </w:rPr>
              <w:t>①</w:t>
            </w:r>
            <w:r>
              <w:rPr>
                <w:sz w:val="24"/>
              </w:rPr>
              <w:t>制定环境监测年度计划和实施方案，并加以落实；</w:t>
            </w:r>
          </w:p>
          <w:p>
            <w:pPr>
              <w:adjustRightInd w:val="0"/>
              <w:snapToGrid w:val="0"/>
              <w:spacing w:line="360" w:lineRule="auto"/>
              <w:ind w:firstLine="424" w:firstLineChars="177"/>
              <w:rPr>
                <w:sz w:val="24"/>
              </w:rPr>
            </w:pPr>
            <w:r>
              <w:rPr>
                <w:rFonts w:hint="eastAsia" w:ascii="宋体" w:hAnsi="宋体" w:cs="宋体"/>
                <w:sz w:val="24"/>
              </w:rPr>
              <w:t>②</w:t>
            </w:r>
            <w:r>
              <w:rPr>
                <w:sz w:val="24"/>
              </w:rPr>
              <w:t>按照生态环境主管部门的要求填报各类环保材料；</w:t>
            </w:r>
          </w:p>
          <w:p>
            <w:pPr>
              <w:adjustRightInd w:val="0"/>
              <w:snapToGrid w:val="0"/>
              <w:spacing w:line="360" w:lineRule="auto"/>
              <w:ind w:firstLine="424" w:firstLineChars="177"/>
              <w:rPr>
                <w:sz w:val="24"/>
              </w:rPr>
            </w:pPr>
            <w:r>
              <w:rPr>
                <w:rFonts w:hint="eastAsia" w:ascii="宋体" w:hAnsi="宋体" w:cs="宋体"/>
                <w:sz w:val="24"/>
              </w:rPr>
              <w:t>③</w:t>
            </w:r>
            <w:r>
              <w:rPr>
                <w:sz w:val="24"/>
              </w:rPr>
              <w:t>在项目出现突发性污染事故时，积极参与事故的调查和处理工作；</w:t>
            </w:r>
          </w:p>
          <w:p>
            <w:pPr>
              <w:adjustRightInd w:val="0"/>
              <w:snapToGrid w:val="0"/>
              <w:spacing w:line="360" w:lineRule="auto"/>
              <w:ind w:firstLine="424" w:firstLineChars="177"/>
              <w:rPr>
                <w:sz w:val="24"/>
              </w:rPr>
            </w:pPr>
            <w:r>
              <w:rPr>
                <w:rFonts w:hint="eastAsia" w:ascii="宋体" w:hAnsi="宋体" w:cs="宋体"/>
                <w:sz w:val="24"/>
              </w:rPr>
              <w:t>④</w:t>
            </w:r>
            <w:r>
              <w:rPr>
                <w:sz w:val="24"/>
              </w:rPr>
              <w:t>在环境监测基础上，建立项目的污染源档案，了解项目污染物排放量、排放源强、排放规律及相关的污染治理、综合利用情况。</w:t>
            </w:r>
          </w:p>
          <w:p>
            <w:pPr>
              <w:adjustRightInd w:val="0"/>
              <w:snapToGrid w:val="0"/>
              <w:spacing w:line="360" w:lineRule="auto"/>
              <w:ind w:firstLine="424" w:firstLineChars="177"/>
              <w:rPr>
                <w:sz w:val="24"/>
              </w:rPr>
            </w:pPr>
            <w:r>
              <w:rPr>
                <w:sz w:val="24"/>
              </w:rPr>
              <w:t>3）环境监测计划</w:t>
            </w:r>
          </w:p>
          <w:p>
            <w:pPr>
              <w:adjustRightInd w:val="0"/>
              <w:snapToGrid w:val="0"/>
              <w:spacing w:line="360" w:lineRule="auto"/>
              <w:ind w:firstLine="424" w:firstLineChars="177"/>
              <w:rPr>
                <w:sz w:val="24"/>
              </w:rPr>
            </w:pPr>
            <w:r>
              <w:rPr>
                <w:sz w:val="24"/>
              </w:rPr>
              <w:t>制定环境监测计划的目的是为了监督各项环保措施的落实执行情况，根据监测结果适时调整环境保护计划，为环保措施的实施时间和周期提供依据，为项目的后评估提供依据。</w:t>
            </w:r>
          </w:p>
          <w:p>
            <w:pPr>
              <w:adjustRightInd w:val="0"/>
              <w:snapToGrid w:val="0"/>
              <w:spacing w:line="360" w:lineRule="auto"/>
              <w:ind w:firstLine="424" w:firstLineChars="177"/>
              <w:rPr>
                <w:sz w:val="24"/>
              </w:rPr>
            </w:pPr>
            <w:r>
              <w:rPr>
                <w:sz w:val="24"/>
              </w:rPr>
              <w:t>制定的原则是根据《排污单位自行监测技术指南 总则》（HJ819）、《排污许可证申请与核发技术规范  废弃资源加工工业》（HJ1034-2019）以及生态环境主管部门的要求监测计划</w:t>
            </w:r>
            <w:r>
              <w:rPr>
                <w:sz w:val="24"/>
                <w:lang w:val="en-GB"/>
              </w:rPr>
              <w:t>，结合本项目的污染物排放特点来看，具体监测计划见下表</w:t>
            </w:r>
            <w:r>
              <w:rPr>
                <w:sz w:val="24"/>
              </w:rPr>
              <w:t>。</w:t>
            </w:r>
          </w:p>
          <w:p>
            <w:pPr>
              <w:widowControl/>
              <w:adjustRightInd w:val="0"/>
              <w:snapToGrid w:val="0"/>
              <w:spacing w:line="480" w:lineRule="exact"/>
              <w:ind w:right="106" w:rightChars="44"/>
              <w:jc w:val="center"/>
              <w:rPr>
                <w:bCs/>
                <w:sz w:val="24"/>
              </w:rPr>
            </w:pPr>
            <w:r>
              <w:rPr>
                <w:bCs/>
                <w:sz w:val="24"/>
              </w:rPr>
              <w:t>表4-17  本项目监测计划</w:t>
            </w:r>
          </w:p>
          <w:tbl>
            <w:tblPr>
              <w:tblStyle w:val="38"/>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2019"/>
              <w:gridCol w:w="2235"/>
              <w:gridCol w:w="2507"/>
              <w:gridCol w:w="143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4" w:hRule="atLeast"/>
                <w:jc w:val="center"/>
              </w:trPr>
              <w:tc>
                <w:tcPr>
                  <w:tcW w:w="1232" w:type="pct"/>
                  <w:vAlign w:val="center"/>
                </w:tcPr>
                <w:p>
                  <w:pPr>
                    <w:spacing w:line="320" w:lineRule="exact"/>
                    <w:jc w:val="center"/>
                    <w:rPr>
                      <w:b/>
                      <w:bCs/>
                      <w:szCs w:val="21"/>
                    </w:rPr>
                  </w:pPr>
                  <w:r>
                    <w:rPr>
                      <w:b/>
                      <w:bCs/>
                      <w:szCs w:val="21"/>
                    </w:rPr>
                    <w:t>监测点位</w:t>
                  </w:r>
                </w:p>
              </w:tc>
              <w:tc>
                <w:tcPr>
                  <w:tcW w:w="1364" w:type="pct"/>
                  <w:vAlign w:val="center"/>
                </w:tcPr>
                <w:p>
                  <w:pPr>
                    <w:spacing w:line="320" w:lineRule="exact"/>
                    <w:jc w:val="center"/>
                    <w:rPr>
                      <w:b/>
                      <w:bCs/>
                      <w:szCs w:val="21"/>
                    </w:rPr>
                  </w:pPr>
                  <w:r>
                    <w:rPr>
                      <w:b/>
                      <w:bCs/>
                      <w:szCs w:val="21"/>
                    </w:rPr>
                    <w:t>点位数</w:t>
                  </w:r>
                </w:p>
              </w:tc>
              <w:tc>
                <w:tcPr>
                  <w:tcW w:w="1530" w:type="pct"/>
                  <w:vAlign w:val="center"/>
                </w:tcPr>
                <w:p>
                  <w:pPr>
                    <w:spacing w:line="320" w:lineRule="exact"/>
                    <w:jc w:val="center"/>
                    <w:rPr>
                      <w:b/>
                      <w:bCs/>
                      <w:szCs w:val="21"/>
                    </w:rPr>
                  </w:pPr>
                  <w:r>
                    <w:rPr>
                      <w:b/>
                      <w:bCs/>
                      <w:szCs w:val="21"/>
                    </w:rPr>
                    <w:t>监测项目</w:t>
                  </w:r>
                </w:p>
              </w:tc>
              <w:tc>
                <w:tcPr>
                  <w:tcW w:w="874" w:type="pct"/>
                  <w:vAlign w:val="center"/>
                </w:tcPr>
                <w:p>
                  <w:pPr>
                    <w:spacing w:line="320" w:lineRule="exact"/>
                    <w:jc w:val="center"/>
                    <w:rPr>
                      <w:b/>
                      <w:bCs/>
                      <w:szCs w:val="21"/>
                    </w:rPr>
                  </w:pPr>
                  <w:r>
                    <w:rPr>
                      <w:b/>
                      <w:bCs/>
                      <w:szCs w:val="21"/>
                    </w:rPr>
                    <w:t>监测频次</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284" w:hRule="atLeast"/>
                <w:jc w:val="center"/>
              </w:trPr>
              <w:tc>
                <w:tcPr>
                  <w:tcW w:w="5000" w:type="pct"/>
                  <w:gridSpan w:val="4"/>
                  <w:vAlign w:val="center"/>
                </w:tcPr>
                <w:p>
                  <w:pPr>
                    <w:spacing w:line="320" w:lineRule="exact"/>
                    <w:jc w:val="center"/>
                    <w:rPr>
                      <w:szCs w:val="21"/>
                    </w:rPr>
                  </w:pPr>
                  <w:r>
                    <w:rPr>
                      <w:szCs w:val="21"/>
                    </w:rPr>
                    <w:t>大气污染物监测</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81" w:hRule="atLeast"/>
                <w:jc w:val="center"/>
              </w:trPr>
              <w:tc>
                <w:tcPr>
                  <w:tcW w:w="1232" w:type="pct"/>
                  <w:vAlign w:val="center"/>
                </w:tcPr>
                <w:p>
                  <w:pPr>
                    <w:spacing w:line="320" w:lineRule="exact"/>
                    <w:jc w:val="center"/>
                    <w:rPr>
                      <w:szCs w:val="21"/>
                    </w:rPr>
                  </w:pPr>
                  <w:r>
                    <w:rPr>
                      <w:szCs w:val="21"/>
                    </w:rPr>
                    <w:t>厂界无组织监控点</w:t>
                  </w:r>
                  <w:r>
                    <w:rPr>
                      <w:szCs w:val="21"/>
                      <w:vertAlign w:val="superscript"/>
                    </w:rPr>
                    <w:t>a</w:t>
                  </w:r>
                </w:p>
              </w:tc>
              <w:tc>
                <w:tcPr>
                  <w:tcW w:w="1364" w:type="pct"/>
                  <w:vAlign w:val="center"/>
                </w:tcPr>
                <w:p>
                  <w:pPr>
                    <w:spacing w:line="320" w:lineRule="exact"/>
                    <w:jc w:val="center"/>
                    <w:rPr>
                      <w:szCs w:val="21"/>
                    </w:rPr>
                  </w:pPr>
                  <w:r>
                    <w:rPr>
                      <w:szCs w:val="21"/>
                    </w:rPr>
                    <w:t>4</w:t>
                  </w:r>
                </w:p>
              </w:tc>
              <w:tc>
                <w:tcPr>
                  <w:tcW w:w="1530" w:type="pct"/>
                  <w:vAlign w:val="center"/>
                </w:tcPr>
                <w:p>
                  <w:pPr>
                    <w:spacing w:line="320" w:lineRule="exact"/>
                    <w:jc w:val="center"/>
                    <w:rPr>
                      <w:szCs w:val="21"/>
                    </w:rPr>
                  </w:pPr>
                  <w:r>
                    <w:rPr>
                      <w:szCs w:val="21"/>
                    </w:rPr>
                    <w:t>颗粒物</w:t>
                  </w:r>
                </w:p>
              </w:tc>
              <w:tc>
                <w:tcPr>
                  <w:tcW w:w="874" w:type="pct"/>
                  <w:vAlign w:val="center"/>
                </w:tcPr>
                <w:p>
                  <w:pPr>
                    <w:spacing w:line="320" w:lineRule="exact"/>
                    <w:jc w:val="center"/>
                    <w:rPr>
                      <w:szCs w:val="21"/>
                    </w:rPr>
                  </w:pPr>
                  <w:r>
                    <w:rPr>
                      <w:szCs w:val="21"/>
                    </w:rPr>
                    <w:t>一次/年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4" w:hRule="atLeast"/>
                <w:jc w:val="center"/>
              </w:trPr>
              <w:tc>
                <w:tcPr>
                  <w:tcW w:w="5000" w:type="pct"/>
                  <w:gridSpan w:val="4"/>
                  <w:vAlign w:val="center"/>
                </w:tcPr>
                <w:p>
                  <w:pPr>
                    <w:spacing w:line="320" w:lineRule="exact"/>
                    <w:jc w:val="center"/>
                    <w:rPr>
                      <w:szCs w:val="21"/>
                    </w:rPr>
                  </w:pPr>
                  <w:r>
                    <w:rPr>
                      <w:szCs w:val="21"/>
                    </w:rPr>
                    <w:t>噪声监测</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4" w:hRule="atLeast"/>
                <w:jc w:val="center"/>
              </w:trPr>
              <w:tc>
                <w:tcPr>
                  <w:tcW w:w="1232" w:type="pct"/>
                  <w:vAlign w:val="center"/>
                </w:tcPr>
                <w:p>
                  <w:pPr>
                    <w:spacing w:line="320" w:lineRule="exact"/>
                    <w:jc w:val="center"/>
                    <w:rPr>
                      <w:szCs w:val="21"/>
                    </w:rPr>
                  </w:pPr>
                  <w:r>
                    <w:rPr>
                      <w:szCs w:val="21"/>
                    </w:rPr>
                    <w:t>厂界噪声监测点位</w:t>
                  </w:r>
                </w:p>
              </w:tc>
              <w:tc>
                <w:tcPr>
                  <w:tcW w:w="1364" w:type="pct"/>
                  <w:vAlign w:val="center"/>
                </w:tcPr>
                <w:p>
                  <w:pPr>
                    <w:spacing w:line="320" w:lineRule="exact"/>
                    <w:jc w:val="center"/>
                    <w:rPr>
                      <w:szCs w:val="21"/>
                    </w:rPr>
                  </w:pPr>
                  <w:r>
                    <w:rPr>
                      <w:szCs w:val="21"/>
                    </w:rPr>
                    <w:t>4</w:t>
                  </w:r>
                </w:p>
              </w:tc>
              <w:tc>
                <w:tcPr>
                  <w:tcW w:w="1530" w:type="pct"/>
                  <w:vAlign w:val="center"/>
                </w:tcPr>
                <w:p>
                  <w:pPr>
                    <w:spacing w:line="320" w:lineRule="exact"/>
                    <w:jc w:val="center"/>
                    <w:rPr>
                      <w:szCs w:val="21"/>
                    </w:rPr>
                  </w:pPr>
                  <w:r>
                    <w:rPr>
                      <w:szCs w:val="21"/>
                    </w:rPr>
                    <w:t>设备噪声及厂界噪声</w:t>
                  </w:r>
                </w:p>
              </w:tc>
              <w:tc>
                <w:tcPr>
                  <w:tcW w:w="874" w:type="pct"/>
                  <w:vAlign w:val="center"/>
                </w:tcPr>
                <w:p>
                  <w:pPr>
                    <w:spacing w:line="320" w:lineRule="exact"/>
                    <w:jc w:val="center"/>
                    <w:rPr>
                      <w:szCs w:val="21"/>
                    </w:rPr>
                  </w:pPr>
                  <w:r>
                    <w:rPr>
                      <w:szCs w:val="21"/>
                    </w:rPr>
                    <w:t>一次/季度</w:t>
                  </w:r>
                </w:p>
              </w:tc>
            </w:tr>
          </w:tbl>
          <w:p>
            <w:pPr>
              <w:pStyle w:val="8"/>
              <w:adjustRightInd w:val="0"/>
              <w:snapToGrid w:val="0"/>
              <w:spacing w:line="360" w:lineRule="auto"/>
              <w:ind w:firstLine="480" w:firstLineChars="200"/>
              <w:rPr>
                <w:kern w:val="0"/>
                <w:sz w:val="24"/>
                <w:szCs w:val="24"/>
              </w:rPr>
            </w:pPr>
            <w:r>
              <w:rPr>
                <w:kern w:val="0"/>
                <w:sz w:val="24"/>
                <w:szCs w:val="24"/>
              </w:rPr>
              <w:t>注：</w:t>
            </w:r>
            <w:r>
              <w:rPr>
                <w:kern w:val="0"/>
                <w:sz w:val="24"/>
                <w:szCs w:val="24"/>
                <w:vertAlign w:val="superscript"/>
              </w:rPr>
              <w:t>a</w:t>
            </w:r>
            <w:r>
              <w:rPr>
                <w:kern w:val="0"/>
                <w:sz w:val="24"/>
                <w:szCs w:val="24"/>
              </w:rPr>
              <w:t>其他废弃资源加工工业排污单位应根据实际情况增加废气监测指标。</w:t>
            </w:r>
          </w:p>
          <w:p>
            <w:pPr>
              <w:pStyle w:val="8"/>
              <w:adjustRightInd w:val="0"/>
              <w:snapToGrid w:val="0"/>
              <w:spacing w:line="360" w:lineRule="auto"/>
              <w:ind w:firstLine="480" w:firstLineChars="200"/>
              <w:rPr>
                <w:kern w:val="0"/>
                <w:sz w:val="24"/>
                <w:szCs w:val="24"/>
              </w:rPr>
            </w:pPr>
            <w:r>
              <w:rPr>
                <w:kern w:val="0"/>
                <w:sz w:val="24"/>
                <w:szCs w:val="24"/>
              </w:rPr>
              <w:t>同时，根据《排污单位自行监测技术指南总则》，建设项目应设环境管理机构，营运期要确保环保设施的运行，并定期检查其效果，了解建设项目的污染因子的变化情况，建立健全环保档案，为保护和改善区域环境质量作好组织和监督工作，环境管理具体内容如下：</w:t>
            </w:r>
          </w:p>
          <w:p>
            <w:pPr>
              <w:pStyle w:val="8"/>
              <w:adjustRightInd w:val="0"/>
              <w:snapToGrid w:val="0"/>
              <w:spacing w:line="360" w:lineRule="auto"/>
              <w:ind w:firstLine="480" w:firstLineChars="200"/>
              <w:rPr>
                <w:kern w:val="0"/>
                <w:sz w:val="24"/>
                <w:szCs w:val="24"/>
              </w:rPr>
            </w:pPr>
            <w:r>
              <w:rPr>
                <w:kern w:val="0"/>
                <w:sz w:val="24"/>
                <w:szCs w:val="24"/>
              </w:rPr>
              <w:t>（1）严格执行国家环境保护有关政策和法规，项目建成后及时协助有关环保部门进行建设工程项目环境保护设施的验收工作。</w:t>
            </w:r>
          </w:p>
          <w:p>
            <w:pPr>
              <w:pStyle w:val="8"/>
              <w:adjustRightInd w:val="0"/>
              <w:snapToGrid w:val="0"/>
              <w:spacing w:line="360" w:lineRule="auto"/>
              <w:ind w:firstLine="480" w:firstLineChars="200"/>
              <w:rPr>
                <w:b/>
                <w:sz w:val="28"/>
                <w:szCs w:val="28"/>
              </w:rPr>
            </w:pPr>
            <w:r>
              <w:rPr>
                <w:kern w:val="0"/>
                <w:sz w:val="24"/>
                <w:szCs w:val="24"/>
              </w:rPr>
              <w:t>（2）建立健全环境管理制度，设置专职或兼职环保人员，负责日常环保安全，定期检查环保管理和环境监测工作。</w:t>
            </w:r>
          </w:p>
          <w:p>
            <w:pPr>
              <w:adjustRightInd w:val="0"/>
              <w:snapToGrid w:val="0"/>
              <w:spacing w:line="360" w:lineRule="auto"/>
              <w:ind w:firstLine="426" w:firstLineChars="177"/>
              <w:rPr>
                <w:b/>
                <w:sz w:val="24"/>
              </w:rPr>
            </w:pPr>
            <w:r>
              <w:rPr>
                <w:b/>
                <w:sz w:val="24"/>
              </w:rPr>
              <w:t>8、环保竣工验收</w:t>
            </w:r>
          </w:p>
          <w:p>
            <w:pPr>
              <w:pStyle w:val="142"/>
              <w:ind w:firstLine="480"/>
              <w:rPr>
                <w:sz w:val="24"/>
                <w:szCs w:val="24"/>
              </w:rPr>
            </w:pPr>
            <w:r>
              <w:rPr>
                <w:sz w:val="24"/>
                <w:szCs w:val="24"/>
              </w:rPr>
              <w:t>根据2017年11月20日环境保护部“关于发布《建设项目竣工环境保护验收暂行办法》的公告”（国环规环评【2017】4号）文相关要求，项目建设单位在项目建成投运后，应及时组织环保设施竣工验收。主要验收内容见下表。</w:t>
            </w:r>
          </w:p>
          <w:p>
            <w:pPr>
              <w:widowControl/>
              <w:adjustRightInd w:val="0"/>
              <w:snapToGrid w:val="0"/>
              <w:spacing w:line="360" w:lineRule="auto"/>
              <w:ind w:right="106" w:rightChars="44"/>
              <w:jc w:val="center"/>
              <w:rPr>
                <w:bCs/>
                <w:sz w:val="24"/>
              </w:rPr>
            </w:pPr>
            <w:r>
              <w:rPr>
                <w:bCs/>
                <w:sz w:val="24"/>
              </w:rPr>
              <w:t>表4-18 环保竣工验收一览表</w:t>
            </w:r>
          </w:p>
          <w:tbl>
            <w:tblPr>
              <w:tblStyle w:val="38"/>
              <w:tblW w:w="0" w:type="auto"/>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544"/>
              <w:gridCol w:w="874"/>
              <w:gridCol w:w="697"/>
              <w:gridCol w:w="1100"/>
              <w:gridCol w:w="1222"/>
              <w:gridCol w:w="2701"/>
              <w:gridCol w:w="1055"/>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0" w:type="auto"/>
                  <w:vAlign w:val="center"/>
                </w:tcPr>
                <w:p>
                  <w:pPr>
                    <w:adjustRightInd w:val="0"/>
                    <w:snapToGrid w:val="0"/>
                    <w:ind w:right="48" w:rightChars="20"/>
                    <w:jc w:val="center"/>
                    <w:rPr>
                      <w:b/>
                      <w:bCs/>
                      <w:kern w:val="0"/>
                      <w:szCs w:val="21"/>
                    </w:rPr>
                  </w:pPr>
                  <w:r>
                    <w:rPr>
                      <w:b/>
                      <w:bCs/>
                      <w:kern w:val="0"/>
                      <w:szCs w:val="21"/>
                    </w:rPr>
                    <w:t>验收项目</w:t>
                  </w:r>
                </w:p>
              </w:tc>
              <w:tc>
                <w:tcPr>
                  <w:tcW w:w="0" w:type="auto"/>
                  <w:vAlign w:val="center"/>
                </w:tcPr>
                <w:p>
                  <w:pPr>
                    <w:adjustRightInd w:val="0"/>
                    <w:snapToGrid w:val="0"/>
                    <w:ind w:right="48" w:rightChars="20"/>
                    <w:jc w:val="center"/>
                    <w:rPr>
                      <w:b/>
                      <w:bCs/>
                      <w:kern w:val="0"/>
                      <w:szCs w:val="21"/>
                    </w:rPr>
                  </w:pPr>
                  <w:r>
                    <w:rPr>
                      <w:b/>
                      <w:bCs/>
                      <w:kern w:val="0"/>
                      <w:szCs w:val="21"/>
                    </w:rPr>
                    <w:t>污染源</w:t>
                  </w:r>
                </w:p>
              </w:tc>
              <w:tc>
                <w:tcPr>
                  <w:tcW w:w="0" w:type="auto"/>
                  <w:vAlign w:val="center"/>
                </w:tcPr>
                <w:p>
                  <w:pPr>
                    <w:adjustRightInd w:val="0"/>
                    <w:snapToGrid w:val="0"/>
                    <w:ind w:right="48" w:rightChars="20"/>
                    <w:jc w:val="center"/>
                    <w:rPr>
                      <w:b/>
                      <w:bCs/>
                      <w:kern w:val="0"/>
                      <w:szCs w:val="21"/>
                    </w:rPr>
                  </w:pPr>
                  <w:r>
                    <w:rPr>
                      <w:b/>
                      <w:bCs/>
                      <w:kern w:val="0"/>
                      <w:szCs w:val="21"/>
                    </w:rPr>
                    <w:t>验收点位</w:t>
                  </w:r>
                </w:p>
              </w:tc>
              <w:tc>
                <w:tcPr>
                  <w:tcW w:w="0" w:type="auto"/>
                  <w:vAlign w:val="center"/>
                </w:tcPr>
                <w:p>
                  <w:pPr>
                    <w:adjustRightInd w:val="0"/>
                    <w:snapToGrid w:val="0"/>
                    <w:ind w:right="48" w:rightChars="20"/>
                    <w:jc w:val="center"/>
                    <w:rPr>
                      <w:b/>
                      <w:bCs/>
                      <w:kern w:val="0"/>
                      <w:szCs w:val="21"/>
                    </w:rPr>
                  </w:pPr>
                  <w:r>
                    <w:rPr>
                      <w:b/>
                      <w:bCs/>
                      <w:kern w:val="0"/>
                      <w:szCs w:val="21"/>
                    </w:rPr>
                    <w:t>验收因子</w:t>
                  </w:r>
                </w:p>
              </w:tc>
              <w:tc>
                <w:tcPr>
                  <w:tcW w:w="0" w:type="auto"/>
                  <w:vAlign w:val="center"/>
                </w:tcPr>
                <w:p>
                  <w:pPr>
                    <w:adjustRightInd w:val="0"/>
                    <w:snapToGrid w:val="0"/>
                    <w:ind w:right="48" w:rightChars="20"/>
                    <w:jc w:val="center"/>
                    <w:rPr>
                      <w:b/>
                      <w:bCs/>
                      <w:kern w:val="0"/>
                      <w:szCs w:val="21"/>
                    </w:rPr>
                  </w:pPr>
                  <w:r>
                    <w:rPr>
                      <w:b/>
                      <w:bCs/>
                      <w:kern w:val="0"/>
                      <w:szCs w:val="21"/>
                    </w:rPr>
                    <w:t>环保设施及措施</w:t>
                  </w:r>
                </w:p>
              </w:tc>
              <w:tc>
                <w:tcPr>
                  <w:tcW w:w="0" w:type="auto"/>
                  <w:vAlign w:val="center"/>
                </w:tcPr>
                <w:p>
                  <w:pPr>
                    <w:adjustRightInd w:val="0"/>
                    <w:snapToGrid w:val="0"/>
                    <w:ind w:right="48" w:rightChars="20"/>
                    <w:jc w:val="center"/>
                    <w:rPr>
                      <w:b/>
                      <w:bCs/>
                      <w:kern w:val="0"/>
                      <w:szCs w:val="21"/>
                    </w:rPr>
                  </w:pPr>
                  <w:r>
                    <w:rPr>
                      <w:b/>
                      <w:bCs/>
                      <w:kern w:val="0"/>
                      <w:szCs w:val="21"/>
                    </w:rPr>
                    <w:t>执行标准</w:t>
                  </w:r>
                </w:p>
              </w:tc>
              <w:tc>
                <w:tcPr>
                  <w:tcW w:w="0" w:type="auto"/>
                  <w:vAlign w:val="center"/>
                </w:tcPr>
                <w:p>
                  <w:pPr>
                    <w:adjustRightInd w:val="0"/>
                    <w:snapToGrid w:val="0"/>
                    <w:ind w:right="48" w:rightChars="20"/>
                    <w:jc w:val="center"/>
                    <w:rPr>
                      <w:b/>
                      <w:bCs/>
                      <w:kern w:val="0"/>
                      <w:szCs w:val="21"/>
                    </w:rPr>
                  </w:pPr>
                  <w:r>
                    <w:rPr>
                      <w:b/>
                      <w:bCs/>
                      <w:kern w:val="0"/>
                      <w:szCs w:val="21"/>
                    </w:rPr>
                    <w:t>验收要求及总量指标</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0" w:type="auto"/>
                  <w:vAlign w:val="center"/>
                </w:tcPr>
                <w:p>
                  <w:pPr>
                    <w:adjustRightInd w:val="0"/>
                    <w:snapToGrid w:val="0"/>
                    <w:ind w:right="48" w:rightChars="20"/>
                    <w:jc w:val="center"/>
                    <w:rPr>
                      <w:kern w:val="0"/>
                      <w:szCs w:val="21"/>
                    </w:rPr>
                  </w:pPr>
                  <w:r>
                    <w:rPr>
                      <w:kern w:val="0"/>
                      <w:szCs w:val="21"/>
                    </w:rPr>
                    <w:t>废气</w:t>
                  </w:r>
                </w:p>
              </w:tc>
              <w:tc>
                <w:tcPr>
                  <w:tcW w:w="0" w:type="auto"/>
                  <w:vAlign w:val="center"/>
                </w:tcPr>
                <w:p>
                  <w:pPr>
                    <w:adjustRightInd w:val="0"/>
                    <w:snapToGrid w:val="0"/>
                    <w:ind w:right="48" w:rightChars="20"/>
                    <w:jc w:val="center"/>
                    <w:rPr>
                      <w:kern w:val="0"/>
                      <w:szCs w:val="21"/>
                    </w:rPr>
                  </w:pPr>
                  <w:r>
                    <w:rPr>
                      <w:kern w:val="0"/>
                      <w:szCs w:val="21"/>
                    </w:rPr>
                    <w:t>生产过程</w:t>
                  </w:r>
                </w:p>
              </w:tc>
              <w:tc>
                <w:tcPr>
                  <w:tcW w:w="0" w:type="auto"/>
                  <w:vAlign w:val="center"/>
                </w:tcPr>
                <w:p>
                  <w:pPr>
                    <w:adjustRightInd w:val="0"/>
                    <w:snapToGrid w:val="0"/>
                    <w:ind w:right="48" w:rightChars="20"/>
                    <w:jc w:val="center"/>
                    <w:rPr>
                      <w:kern w:val="0"/>
                      <w:szCs w:val="21"/>
                    </w:rPr>
                  </w:pPr>
                  <w:r>
                    <w:rPr>
                      <w:kern w:val="0"/>
                      <w:szCs w:val="21"/>
                    </w:rPr>
                    <w:t>厂界</w:t>
                  </w:r>
                </w:p>
              </w:tc>
              <w:tc>
                <w:tcPr>
                  <w:tcW w:w="0" w:type="auto"/>
                  <w:vAlign w:val="center"/>
                </w:tcPr>
                <w:p>
                  <w:pPr>
                    <w:adjustRightInd w:val="0"/>
                    <w:snapToGrid w:val="0"/>
                    <w:ind w:right="48" w:rightChars="20"/>
                    <w:jc w:val="center"/>
                    <w:rPr>
                      <w:kern w:val="0"/>
                      <w:szCs w:val="21"/>
                    </w:rPr>
                  </w:pPr>
                  <w:r>
                    <w:rPr>
                      <w:kern w:val="0"/>
                      <w:szCs w:val="21"/>
                    </w:rPr>
                    <w:t>颗粒物</w:t>
                  </w:r>
                </w:p>
              </w:tc>
              <w:tc>
                <w:tcPr>
                  <w:tcW w:w="0" w:type="auto"/>
                  <w:vAlign w:val="center"/>
                </w:tcPr>
                <w:p>
                  <w:pPr>
                    <w:adjustRightInd w:val="0"/>
                    <w:snapToGrid w:val="0"/>
                    <w:ind w:right="48" w:rightChars="20"/>
                    <w:jc w:val="center"/>
                    <w:rPr>
                      <w:kern w:val="0"/>
                      <w:szCs w:val="21"/>
                    </w:rPr>
                  </w:pPr>
                  <w:r>
                    <w:rPr>
                      <w:kern w:val="0"/>
                      <w:szCs w:val="21"/>
                    </w:rPr>
                    <w:t>车间密闭、洒水降尘、湿法作业等</w:t>
                  </w:r>
                </w:p>
              </w:tc>
              <w:tc>
                <w:tcPr>
                  <w:tcW w:w="0" w:type="auto"/>
                  <w:vAlign w:val="center"/>
                </w:tcPr>
                <w:p>
                  <w:pPr>
                    <w:adjustRightInd w:val="0"/>
                    <w:snapToGrid w:val="0"/>
                    <w:ind w:right="48" w:rightChars="20"/>
                    <w:jc w:val="center"/>
                    <w:rPr>
                      <w:kern w:val="0"/>
                      <w:szCs w:val="21"/>
                    </w:rPr>
                  </w:pPr>
                  <w:r>
                    <w:rPr>
                      <w:szCs w:val="21"/>
                    </w:rPr>
                    <w:t>《大气污染物综合排放标准》（GB16297-1996）</w:t>
                  </w:r>
                </w:p>
              </w:tc>
              <w:tc>
                <w:tcPr>
                  <w:tcW w:w="0" w:type="auto"/>
                  <w:vAlign w:val="center"/>
                </w:tcPr>
                <w:p>
                  <w:pPr>
                    <w:adjustRightInd w:val="0"/>
                    <w:snapToGrid w:val="0"/>
                    <w:ind w:right="48" w:rightChars="20"/>
                    <w:jc w:val="center"/>
                    <w:rPr>
                      <w:kern w:val="0"/>
                      <w:szCs w:val="21"/>
                    </w:rPr>
                  </w:pPr>
                  <w:r>
                    <w:rPr>
                      <w:kern w:val="0"/>
                      <w:szCs w:val="21"/>
                    </w:rPr>
                    <w:t>达标排放</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PrEx>
              <w:tc>
                <w:tcPr>
                  <w:tcW w:w="0" w:type="auto"/>
                  <w:vAlign w:val="center"/>
                </w:tcPr>
                <w:p>
                  <w:pPr>
                    <w:adjustRightInd w:val="0"/>
                    <w:snapToGrid w:val="0"/>
                    <w:ind w:right="48" w:rightChars="20"/>
                    <w:jc w:val="center"/>
                    <w:rPr>
                      <w:kern w:val="0"/>
                      <w:szCs w:val="21"/>
                    </w:rPr>
                  </w:pPr>
                  <w:r>
                    <w:rPr>
                      <w:kern w:val="0"/>
                      <w:szCs w:val="21"/>
                    </w:rPr>
                    <w:t>噪声</w:t>
                  </w:r>
                </w:p>
              </w:tc>
              <w:tc>
                <w:tcPr>
                  <w:tcW w:w="0" w:type="auto"/>
                  <w:vAlign w:val="center"/>
                </w:tcPr>
                <w:p>
                  <w:pPr>
                    <w:adjustRightInd w:val="0"/>
                    <w:snapToGrid w:val="0"/>
                    <w:ind w:right="48" w:rightChars="20"/>
                    <w:jc w:val="center"/>
                    <w:rPr>
                      <w:kern w:val="0"/>
                      <w:szCs w:val="21"/>
                    </w:rPr>
                  </w:pPr>
                  <w:r>
                    <w:rPr>
                      <w:kern w:val="0"/>
                      <w:szCs w:val="21"/>
                    </w:rPr>
                    <w:t>生产车间</w:t>
                  </w:r>
                </w:p>
              </w:tc>
              <w:tc>
                <w:tcPr>
                  <w:tcW w:w="0" w:type="auto"/>
                  <w:vAlign w:val="center"/>
                </w:tcPr>
                <w:p>
                  <w:pPr>
                    <w:adjustRightInd w:val="0"/>
                    <w:snapToGrid w:val="0"/>
                    <w:ind w:right="48" w:rightChars="20"/>
                    <w:jc w:val="center"/>
                    <w:rPr>
                      <w:kern w:val="0"/>
                      <w:szCs w:val="21"/>
                    </w:rPr>
                  </w:pPr>
                  <w:r>
                    <w:rPr>
                      <w:kern w:val="0"/>
                      <w:szCs w:val="21"/>
                    </w:rPr>
                    <w:t>厂界外1m</w:t>
                  </w:r>
                </w:p>
              </w:tc>
              <w:tc>
                <w:tcPr>
                  <w:tcW w:w="0" w:type="auto"/>
                  <w:vAlign w:val="center"/>
                </w:tcPr>
                <w:p>
                  <w:pPr>
                    <w:adjustRightInd w:val="0"/>
                    <w:snapToGrid w:val="0"/>
                    <w:ind w:right="48" w:rightChars="20"/>
                    <w:jc w:val="center"/>
                    <w:rPr>
                      <w:kern w:val="0"/>
                      <w:szCs w:val="21"/>
                    </w:rPr>
                  </w:pPr>
                  <w:r>
                    <w:rPr>
                      <w:kern w:val="0"/>
                      <w:szCs w:val="21"/>
                    </w:rPr>
                    <w:t>噪声</w:t>
                  </w:r>
                </w:p>
              </w:tc>
              <w:tc>
                <w:tcPr>
                  <w:tcW w:w="0" w:type="auto"/>
                  <w:vAlign w:val="center"/>
                </w:tcPr>
                <w:p>
                  <w:pPr>
                    <w:adjustRightInd w:val="0"/>
                    <w:snapToGrid w:val="0"/>
                    <w:ind w:right="48" w:rightChars="20"/>
                    <w:jc w:val="center"/>
                    <w:rPr>
                      <w:kern w:val="0"/>
                      <w:szCs w:val="21"/>
                    </w:rPr>
                  </w:pPr>
                  <w:r>
                    <w:rPr>
                      <w:kern w:val="0"/>
                      <w:szCs w:val="21"/>
                    </w:rPr>
                    <w:t>采取隔声、减震措施，确保厂界达标，加强厂区绿化。</w:t>
                  </w:r>
                </w:p>
              </w:tc>
              <w:tc>
                <w:tcPr>
                  <w:tcW w:w="0" w:type="auto"/>
                  <w:vAlign w:val="center"/>
                </w:tcPr>
                <w:p>
                  <w:pPr>
                    <w:adjustRightInd w:val="0"/>
                    <w:snapToGrid w:val="0"/>
                    <w:ind w:right="48" w:rightChars="20"/>
                    <w:jc w:val="center"/>
                    <w:rPr>
                      <w:kern w:val="0"/>
                      <w:szCs w:val="21"/>
                    </w:rPr>
                  </w:pPr>
                  <w:r>
                    <w:rPr>
                      <w:kern w:val="0"/>
                      <w:szCs w:val="21"/>
                    </w:rPr>
                    <w:t>《工业企业厂界环境噪声排放标准》(GB12348-2008)中的3类标准</w:t>
                  </w:r>
                </w:p>
              </w:tc>
              <w:tc>
                <w:tcPr>
                  <w:tcW w:w="0" w:type="auto"/>
                  <w:vAlign w:val="center"/>
                </w:tcPr>
                <w:p>
                  <w:pPr>
                    <w:adjustRightInd w:val="0"/>
                    <w:snapToGrid w:val="0"/>
                    <w:ind w:right="48" w:rightChars="20"/>
                    <w:jc w:val="center"/>
                    <w:rPr>
                      <w:kern w:val="0"/>
                      <w:szCs w:val="21"/>
                    </w:rPr>
                  </w:pPr>
                  <w:r>
                    <w:rPr>
                      <w:kern w:val="0"/>
                      <w:szCs w:val="21"/>
                    </w:rPr>
                    <w:t>达标排放</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0" w:type="auto"/>
                  <w:vMerge w:val="restart"/>
                  <w:vAlign w:val="center"/>
                </w:tcPr>
                <w:p>
                  <w:pPr>
                    <w:adjustRightInd w:val="0"/>
                    <w:snapToGrid w:val="0"/>
                    <w:ind w:right="48" w:rightChars="20"/>
                    <w:jc w:val="center"/>
                    <w:rPr>
                      <w:kern w:val="0"/>
                      <w:szCs w:val="21"/>
                    </w:rPr>
                  </w:pPr>
                  <w:r>
                    <w:rPr>
                      <w:kern w:val="0"/>
                      <w:szCs w:val="21"/>
                    </w:rPr>
                    <w:t>废水</w:t>
                  </w:r>
                </w:p>
              </w:tc>
              <w:tc>
                <w:tcPr>
                  <w:tcW w:w="0" w:type="auto"/>
                  <w:vAlign w:val="center"/>
                </w:tcPr>
                <w:p>
                  <w:pPr>
                    <w:adjustRightInd w:val="0"/>
                    <w:snapToGrid w:val="0"/>
                    <w:ind w:right="48" w:rightChars="20"/>
                    <w:jc w:val="center"/>
                    <w:rPr>
                      <w:kern w:val="0"/>
                      <w:szCs w:val="21"/>
                    </w:rPr>
                  </w:pPr>
                  <w:r>
                    <w:rPr>
                      <w:kern w:val="0"/>
                      <w:szCs w:val="21"/>
                    </w:rPr>
                    <w:t>生产车间</w:t>
                  </w:r>
                </w:p>
              </w:tc>
              <w:tc>
                <w:tcPr>
                  <w:tcW w:w="0" w:type="auto"/>
                  <w:vAlign w:val="center"/>
                </w:tcPr>
                <w:p>
                  <w:pPr>
                    <w:adjustRightInd w:val="0"/>
                    <w:snapToGrid w:val="0"/>
                    <w:ind w:right="48" w:rightChars="20"/>
                    <w:jc w:val="center"/>
                    <w:rPr>
                      <w:kern w:val="0"/>
                      <w:szCs w:val="21"/>
                    </w:rPr>
                  </w:pPr>
                  <w:r>
                    <w:rPr>
                      <w:kern w:val="0"/>
                      <w:szCs w:val="21"/>
                    </w:rPr>
                    <w:t>污水循环池</w:t>
                  </w:r>
                </w:p>
              </w:tc>
              <w:tc>
                <w:tcPr>
                  <w:tcW w:w="0" w:type="auto"/>
                  <w:vAlign w:val="center"/>
                </w:tcPr>
                <w:p>
                  <w:pPr>
                    <w:adjustRightInd w:val="0"/>
                    <w:snapToGrid w:val="0"/>
                    <w:ind w:right="48" w:rightChars="20"/>
                    <w:jc w:val="center"/>
                    <w:rPr>
                      <w:kern w:val="0"/>
                      <w:szCs w:val="21"/>
                    </w:rPr>
                  </w:pPr>
                  <w:r>
                    <w:rPr>
                      <w:kern w:val="0"/>
                      <w:szCs w:val="21"/>
                    </w:rPr>
                    <w:t>/</w:t>
                  </w:r>
                </w:p>
              </w:tc>
              <w:tc>
                <w:tcPr>
                  <w:tcW w:w="0" w:type="auto"/>
                  <w:vAlign w:val="center"/>
                </w:tcPr>
                <w:p>
                  <w:pPr>
                    <w:adjustRightInd w:val="0"/>
                    <w:snapToGrid w:val="0"/>
                    <w:ind w:right="48" w:rightChars="20"/>
                    <w:jc w:val="center"/>
                    <w:rPr>
                      <w:kern w:val="0"/>
                      <w:szCs w:val="21"/>
                    </w:rPr>
                  </w:pPr>
                  <w:r>
                    <w:rPr>
                      <w:kern w:val="0"/>
                      <w:szCs w:val="21"/>
                    </w:rPr>
                    <w:t>循环使用不外排</w:t>
                  </w:r>
                </w:p>
              </w:tc>
              <w:tc>
                <w:tcPr>
                  <w:tcW w:w="0" w:type="auto"/>
                  <w:vAlign w:val="center"/>
                </w:tcPr>
                <w:p>
                  <w:pPr>
                    <w:adjustRightInd w:val="0"/>
                    <w:snapToGrid w:val="0"/>
                    <w:ind w:right="48" w:rightChars="20"/>
                    <w:jc w:val="center"/>
                    <w:rPr>
                      <w:kern w:val="0"/>
                      <w:szCs w:val="21"/>
                    </w:rPr>
                  </w:pPr>
                  <w:r>
                    <w:rPr>
                      <w:kern w:val="0"/>
                      <w:szCs w:val="21"/>
                    </w:rPr>
                    <w:t>/</w:t>
                  </w:r>
                </w:p>
              </w:tc>
              <w:tc>
                <w:tcPr>
                  <w:tcW w:w="0" w:type="auto"/>
                  <w:vAlign w:val="center"/>
                </w:tcPr>
                <w:p>
                  <w:pPr>
                    <w:adjustRightInd w:val="0"/>
                    <w:snapToGrid w:val="0"/>
                    <w:ind w:right="48" w:rightChars="20"/>
                    <w:jc w:val="center"/>
                    <w:rPr>
                      <w:kern w:val="0"/>
                      <w:szCs w:val="21"/>
                    </w:rPr>
                  </w:pPr>
                  <w:r>
                    <w:rPr>
                      <w:kern w:val="0"/>
                      <w:szCs w:val="21"/>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0" w:type="auto"/>
                  <w:vMerge w:val="continue"/>
                  <w:vAlign w:val="center"/>
                </w:tcPr>
                <w:p>
                  <w:pPr>
                    <w:adjustRightInd w:val="0"/>
                    <w:snapToGrid w:val="0"/>
                    <w:ind w:right="48" w:rightChars="20"/>
                    <w:jc w:val="center"/>
                    <w:rPr>
                      <w:kern w:val="0"/>
                      <w:szCs w:val="21"/>
                    </w:rPr>
                  </w:pPr>
                </w:p>
              </w:tc>
              <w:tc>
                <w:tcPr>
                  <w:tcW w:w="0" w:type="auto"/>
                  <w:vAlign w:val="center"/>
                </w:tcPr>
                <w:p>
                  <w:pPr>
                    <w:adjustRightInd w:val="0"/>
                    <w:snapToGrid w:val="0"/>
                    <w:ind w:right="48" w:rightChars="20"/>
                    <w:jc w:val="center"/>
                    <w:rPr>
                      <w:kern w:val="0"/>
                      <w:szCs w:val="21"/>
                    </w:rPr>
                  </w:pPr>
                  <w:r>
                    <w:rPr>
                      <w:kern w:val="0"/>
                      <w:szCs w:val="21"/>
                    </w:rPr>
                    <w:t>办公及生活区</w:t>
                  </w:r>
                </w:p>
              </w:tc>
              <w:tc>
                <w:tcPr>
                  <w:tcW w:w="0" w:type="auto"/>
                  <w:vAlign w:val="center"/>
                </w:tcPr>
                <w:p>
                  <w:pPr>
                    <w:adjustRightInd w:val="0"/>
                    <w:snapToGrid w:val="0"/>
                    <w:ind w:right="48" w:rightChars="20"/>
                    <w:jc w:val="center"/>
                    <w:rPr>
                      <w:kern w:val="0"/>
                      <w:szCs w:val="21"/>
                    </w:rPr>
                  </w:pPr>
                  <w:r>
                    <w:rPr>
                      <w:kern w:val="0"/>
                      <w:szCs w:val="21"/>
                    </w:rPr>
                    <w:t>生活污水一体化处理设施</w:t>
                  </w:r>
                </w:p>
              </w:tc>
              <w:tc>
                <w:tcPr>
                  <w:tcW w:w="0" w:type="auto"/>
                  <w:vAlign w:val="center"/>
                </w:tcPr>
                <w:p>
                  <w:pPr>
                    <w:adjustRightInd w:val="0"/>
                    <w:snapToGrid w:val="0"/>
                    <w:ind w:right="48" w:rightChars="20"/>
                    <w:jc w:val="center"/>
                    <w:rPr>
                      <w:szCs w:val="21"/>
                    </w:rPr>
                  </w:pPr>
                  <w:r>
                    <w:rPr>
                      <w:szCs w:val="21"/>
                    </w:rPr>
                    <w:t>pH值、化学需氧量、五日生化需氧量、悬浮物、氨氮、动植物油等</w:t>
                  </w:r>
                </w:p>
              </w:tc>
              <w:tc>
                <w:tcPr>
                  <w:tcW w:w="0" w:type="auto"/>
                  <w:vAlign w:val="center"/>
                </w:tcPr>
                <w:p>
                  <w:pPr>
                    <w:adjustRightInd w:val="0"/>
                    <w:snapToGrid w:val="0"/>
                    <w:ind w:right="48" w:rightChars="20"/>
                    <w:jc w:val="center"/>
                    <w:rPr>
                      <w:kern w:val="0"/>
                      <w:szCs w:val="21"/>
                    </w:rPr>
                  </w:pPr>
                  <w:r>
                    <w:rPr>
                      <w:kern w:val="0"/>
                      <w:szCs w:val="21"/>
                    </w:rPr>
                    <w:t>生活污水经一体化污水处理设施处理后回用生产，不外排</w:t>
                  </w:r>
                </w:p>
              </w:tc>
              <w:tc>
                <w:tcPr>
                  <w:tcW w:w="0" w:type="auto"/>
                  <w:vAlign w:val="center"/>
                </w:tcPr>
                <w:p>
                  <w:pPr>
                    <w:adjustRightInd w:val="0"/>
                    <w:snapToGrid w:val="0"/>
                    <w:ind w:right="48" w:rightChars="20"/>
                    <w:jc w:val="center"/>
                    <w:rPr>
                      <w:kern w:val="0"/>
                      <w:szCs w:val="21"/>
                    </w:rPr>
                  </w:pPr>
                  <w:r>
                    <w:rPr>
                      <w:kern w:val="0"/>
                      <w:szCs w:val="21"/>
                    </w:rPr>
                    <w:t>/</w:t>
                  </w:r>
                </w:p>
              </w:tc>
              <w:tc>
                <w:tcPr>
                  <w:tcW w:w="0" w:type="auto"/>
                  <w:vAlign w:val="center"/>
                </w:tcPr>
                <w:p>
                  <w:pPr>
                    <w:adjustRightInd w:val="0"/>
                    <w:snapToGrid w:val="0"/>
                    <w:ind w:right="48" w:rightChars="20"/>
                    <w:jc w:val="center"/>
                    <w:rPr>
                      <w:kern w:val="0"/>
                      <w:szCs w:val="21"/>
                    </w:rPr>
                  </w:pPr>
                  <w:r>
                    <w:rPr>
                      <w:kern w:val="0"/>
                      <w:szCs w:val="21"/>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0" w:type="auto"/>
                  <w:vMerge w:val="restart"/>
                  <w:vAlign w:val="center"/>
                </w:tcPr>
                <w:p>
                  <w:pPr>
                    <w:adjustRightInd w:val="0"/>
                    <w:snapToGrid w:val="0"/>
                    <w:ind w:right="48" w:rightChars="20"/>
                    <w:jc w:val="center"/>
                    <w:rPr>
                      <w:kern w:val="0"/>
                      <w:szCs w:val="21"/>
                    </w:rPr>
                  </w:pPr>
                  <w:r>
                    <w:rPr>
                      <w:kern w:val="0"/>
                      <w:szCs w:val="21"/>
                    </w:rPr>
                    <w:t>固废废物</w:t>
                  </w:r>
                </w:p>
              </w:tc>
              <w:tc>
                <w:tcPr>
                  <w:tcW w:w="0" w:type="auto"/>
                  <w:vAlign w:val="center"/>
                </w:tcPr>
                <w:p>
                  <w:pPr>
                    <w:adjustRightInd w:val="0"/>
                    <w:snapToGrid w:val="0"/>
                    <w:ind w:right="48" w:rightChars="20"/>
                    <w:jc w:val="center"/>
                    <w:rPr>
                      <w:kern w:val="0"/>
                      <w:szCs w:val="21"/>
                    </w:rPr>
                  </w:pPr>
                  <w:r>
                    <w:rPr>
                      <w:kern w:val="0"/>
                      <w:szCs w:val="21"/>
                    </w:rPr>
                    <w:t>办公区、生活区</w:t>
                  </w:r>
                </w:p>
              </w:tc>
              <w:tc>
                <w:tcPr>
                  <w:tcW w:w="0" w:type="auto"/>
                  <w:vAlign w:val="center"/>
                </w:tcPr>
                <w:p>
                  <w:pPr>
                    <w:adjustRightInd w:val="0"/>
                    <w:snapToGrid w:val="0"/>
                    <w:ind w:right="48" w:rightChars="20"/>
                    <w:jc w:val="center"/>
                    <w:rPr>
                      <w:kern w:val="0"/>
                      <w:szCs w:val="21"/>
                    </w:rPr>
                  </w:pPr>
                  <w:r>
                    <w:rPr>
                      <w:kern w:val="0"/>
                      <w:szCs w:val="21"/>
                    </w:rPr>
                    <w:t>垃圾桶</w:t>
                  </w:r>
                </w:p>
              </w:tc>
              <w:tc>
                <w:tcPr>
                  <w:tcW w:w="0" w:type="auto"/>
                  <w:vAlign w:val="center"/>
                </w:tcPr>
                <w:p>
                  <w:pPr>
                    <w:adjustRightInd w:val="0"/>
                    <w:snapToGrid w:val="0"/>
                    <w:ind w:right="48" w:rightChars="20"/>
                    <w:jc w:val="center"/>
                    <w:rPr>
                      <w:kern w:val="0"/>
                      <w:szCs w:val="21"/>
                    </w:rPr>
                  </w:pPr>
                  <w:r>
                    <w:rPr>
                      <w:kern w:val="0"/>
                      <w:szCs w:val="21"/>
                    </w:rPr>
                    <w:t>生活垃圾</w:t>
                  </w:r>
                </w:p>
              </w:tc>
              <w:tc>
                <w:tcPr>
                  <w:tcW w:w="0" w:type="auto"/>
                  <w:vAlign w:val="center"/>
                </w:tcPr>
                <w:p>
                  <w:pPr>
                    <w:adjustRightInd w:val="0"/>
                    <w:snapToGrid w:val="0"/>
                    <w:ind w:right="48" w:rightChars="20"/>
                    <w:jc w:val="center"/>
                    <w:rPr>
                      <w:kern w:val="0"/>
                      <w:szCs w:val="21"/>
                    </w:rPr>
                  </w:pPr>
                  <w:r>
                    <w:rPr>
                      <w:kern w:val="0"/>
                      <w:szCs w:val="21"/>
                    </w:rPr>
                    <w:t>分类收集后放于垃圾房的垃圾暂存处，由环卫部门定期清运处理</w:t>
                  </w:r>
                </w:p>
              </w:tc>
              <w:tc>
                <w:tcPr>
                  <w:tcW w:w="0" w:type="auto"/>
                  <w:vMerge w:val="restart"/>
                  <w:vAlign w:val="center"/>
                </w:tcPr>
                <w:p>
                  <w:pPr>
                    <w:adjustRightInd w:val="0"/>
                    <w:snapToGrid w:val="0"/>
                    <w:ind w:right="48" w:rightChars="20"/>
                    <w:jc w:val="center"/>
                    <w:rPr>
                      <w:kern w:val="0"/>
                      <w:szCs w:val="21"/>
                    </w:rPr>
                  </w:pPr>
                  <w:r>
                    <w:rPr>
                      <w:kern w:val="0"/>
                      <w:szCs w:val="21"/>
                    </w:rPr>
                    <w:t>《一般工业固体废物贮存和填埋污染控制标准》（GB18599-2020）</w:t>
                  </w:r>
                </w:p>
              </w:tc>
              <w:tc>
                <w:tcPr>
                  <w:tcW w:w="0" w:type="auto"/>
                  <w:vAlign w:val="center"/>
                </w:tcPr>
                <w:p>
                  <w:pPr>
                    <w:adjustRightInd w:val="0"/>
                    <w:snapToGrid w:val="0"/>
                    <w:ind w:right="48" w:rightChars="20"/>
                    <w:jc w:val="center"/>
                    <w:rPr>
                      <w:kern w:val="0"/>
                      <w:szCs w:val="21"/>
                    </w:rPr>
                  </w:pPr>
                  <w:r>
                    <w:rPr>
                      <w:kern w:val="0"/>
                      <w:szCs w:val="21"/>
                    </w:rPr>
                    <w:t>环卫部门清运</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0" w:type="auto"/>
                  <w:vMerge w:val="continue"/>
                  <w:vAlign w:val="center"/>
                </w:tcPr>
                <w:p>
                  <w:pPr>
                    <w:adjustRightInd w:val="0"/>
                    <w:snapToGrid w:val="0"/>
                    <w:ind w:right="48" w:rightChars="20"/>
                    <w:jc w:val="center"/>
                    <w:rPr>
                      <w:kern w:val="0"/>
                      <w:szCs w:val="21"/>
                    </w:rPr>
                  </w:pPr>
                </w:p>
              </w:tc>
              <w:tc>
                <w:tcPr>
                  <w:tcW w:w="0" w:type="auto"/>
                  <w:vAlign w:val="center"/>
                </w:tcPr>
                <w:p>
                  <w:pPr>
                    <w:adjustRightInd w:val="0"/>
                    <w:snapToGrid w:val="0"/>
                    <w:ind w:right="48" w:rightChars="20"/>
                    <w:jc w:val="center"/>
                    <w:rPr>
                      <w:kern w:val="0"/>
                      <w:szCs w:val="21"/>
                    </w:rPr>
                  </w:pPr>
                  <w:r>
                    <w:rPr>
                      <w:kern w:val="0"/>
                      <w:szCs w:val="21"/>
                    </w:rPr>
                    <w:t>一般固废</w:t>
                  </w:r>
                </w:p>
              </w:tc>
              <w:tc>
                <w:tcPr>
                  <w:tcW w:w="0" w:type="auto"/>
                  <w:gridSpan w:val="2"/>
                  <w:vAlign w:val="center"/>
                </w:tcPr>
                <w:p>
                  <w:pPr>
                    <w:adjustRightInd w:val="0"/>
                    <w:snapToGrid w:val="0"/>
                    <w:ind w:right="48" w:rightChars="20"/>
                    <w:jc w:val="center"/>
                    <w:rPr>
                      <w:kern w:val="0"/>
                      <w:szCs w:val="21"/>
                    </w:rPr>
                  </w:pPr>
                  <w:r>
                    <w:rPr>
                      <w:kern w:val="0"/>
                      <w:szCs w:val="21"/>
                    </w:rPr>
                    <w:t>一般固废</w:t>
                  </w:r>
                </w:p>
              </w:tc>
              <w:tc>
                <w:tcPr>
                  <w:tcW w:w="0" w:type="auto"/>
                  <w:vAlign w:val="center"/>
                </w:tcPr>
                <w:p>
                  <w:pPr>
                    <w:adjustRightInd w:val="0"/>
                    <w:snapToGrid w:val="0"/>
                    <w:ind w:right="48" w:rightChars="20"/>
                    <w:jc w:val="center"/>
                    <w:rPr>
                      <w:kern w:val="0"/>
                      <w:szCs w:val="21"/>
                    </w:rPr>
                  </w:pPr>
                  <w:r>
                    <w:rPr>
                      <w:szCs w:val="21"/>
                    </w:rPr>
                    <w:t>项目设立一般固废暂存区域，</w:t>
                  </w:r>
                  <w:r>
                    <w:rPr>
                      <w:kern w:val="0"/>
                      <w:szCs w:val="21"/>
                    </w:rPr>
                    <w:t>分类处置</w:t>
                  </w:r>
                </w:p>
              </w:tc>
              <w:tc>
                <w:tcPr>
                  <w:tcW w:w="0" w:type="auto"/>
                  <w:vMerge w:val="continue"/>
                  <w:vAlign w:val="center"/>
                </w:tcPr>
                <w:p>
                  <w:pPr>
                    <w:adjustRightInd w:val="0"/>
                    <w:snapToGrid w:val="0"/>
                    <w:ind w:right="48" w:rightChars="20"/>
                    <w:jc w:val="center"/>
                    <w:rPr>
                      <w:kern w:val="0"/>
                      <w:szCs w:val="21"/>
                    </w:rPr>
                  </w:pPr>
                </w:p>
              </w:tc>
              <w:tc>
                <w:tcPr>
                  <w:tcW w:w="0" w:type="auto"/>
                  <w:vAlign w:val="center"/>
                </w:tcPr>
                <w:p>
                  <w:pPr>
                    <w:adjustRightInd w:val="0"/>
                    <w:snapToGrid w:val="0"/>
                    <w:ind w:right="48" w:rightChars="20"/>
                    <w:jc w:val="center"/>
                    <w:rPr>
                      <w:kern w:val="0"/>
                      <w:szCs w:val="21"/>
                    </w:rPr>
                  </w:pPr>
                  <w:r>
                    <w:rPr>
                      <w:kern w:val="0"/>
                      <w:szCs w:val="21"/>
                    </w:rPr>
                    <w:t>分类处置，不得产生二次污染</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0" w:type="auto"/>
                  <w:vMerge w:val="continue"/>
                  <w:vAlign w:val="center"/>
                </w:tcPr>
                <w:p>
                  <w:pPr>
                    <w:adjustRightInd w:val="0"/>
                    <w:snapToGrid w:val="0"/>
                    <w:ind w:right="48" w:rightChars="20"/>
                    <w:jc w:val="center"/>
                    <w:rPr>
                      <w:kern w:val="0"/>
                      <w:szCs w:val="21"/>
                    </w:rPr>
                  </w:pPr>
                </w:p>
              </w:tc>
              <w:tc>
                <w:tcPr>
                  <w:tcW w:w="0" w:type="auto"/>
                  <w:vAlign w:val="center"/>
                </w:tcPr>
                <w:p>
                  <w:pPr>
                    <w:adjustRightInd w:val="0"/>
                    <w:snapToGrid w:val="0"/>
                    <w:ind w:right="48" w:rightChars="20"/>
                    <w:jc w:val="center"/>
                    <w:rPr>
                      <w:kern w:val="0"/>
                      <w:szCs w:val="21"/>
                    </w:rPr>
                  </w:pPr>
                  <w:r>
                    <w:rPr>
                      <w:kern w:val="0"/>
                      <w:szCs w:val="21"/>
                    </w:rPr>
                    <w:t>危险废物</w:t>
                  </w:r>
                </w:p>
              </w:tc>
              <w:tc>
                <w:tcPr>
                  <w:tcW w:w="0" w:type="auto"/>
                  <w:gridSpan w:val="2"/>
                  <w:vAlign w:val="center"/>
                </w:tcPr>
                <w:p>
                  <w:pPr>
                    <w:adjustRightInd w:val="0"/>
                    <w:snapToGrid w:val="0"/>
                    <w:ind w:right="48" w:rightChars="20"/>
                    <w:jc w:val="center"/>
                    <w:rPr>
                      <w:kern w:val="0"/>
                      <w:szCs w:val="21"/>
                    </w:rPr>
                  </w:pPr>
                  <w:r>
                    <w:rPr>
                      <w:kern w:val="0"/>
                      <w:szCs w:val="21"/>
                    </w:rPr>
                    <w:t>废油类物质等</w:t>
                  </w:r>
                </w:p>
              </w:tc>
              <w:tc>
                <w:tcPr>
                  <w:tcW w:w="0" w:type="auto"/>
                  <w:vAlign w:val="center"/>
                </w:tcPr>
                <w:p>
                  <w:pPr>
                    <w:adjustRightInd w:val="0"/>
                    <w:snapToGrid w:val="0"/>
                    <w:ind w:right="48" w:rightChars="20"/>
                    <w:jc w:val="center"/>
                    <w:rPr>
                      <w:kern w:val="0"/>
                      <w:szCs w:val="21"/>
                    </w:rPr>
                  </w:pPr>
                  <w:r>
                    <w:rPr>
                      <w:kern w:val="0"/>
                      <w:szCs w:val="21"/>
                    </w:rPr>
                    <w:t>暂存于危废暂存间，委托有资质单位处理</w:t>
                  </w:r>
                </w:p>
              </w:tc>
              <w:tc>
                <w:tcPr>
                  <w:tcW w:w="0" w:type="auto"/>
                  <w:vAlign w:val="center"/>
                </w:tcPr>
                <w:p>
                  <w:pPr>
                    <w:adjustRightInd w:val="0"/>
                    <w:snapToGrid w:val="0"/>
                    <w:ind w:right="48" w:rightChars="20"/>
                    <w:jc w:val="center"/>
                    <w:rPr>
                      <w:kern w:val="0"/>
                      <w:szCs w:val="21"/>
                    </w:rPr>
                  </w:pPr>
                  <w:r>
                    <w:rPr>
                      <w:kern w:val="0"/>
                      <w:szCs w:val="21"/>
                    </w:rPr>
                    <w:t>危险固体废物储存、处置按《危险废物贮存污染物控制标准》（GB 18597-2001）及2013年修改清单</w:t>
                  </w:r>
                </w:p>
              </w:tc>
              <w:tc>
                <w:tcPr>
                  <w:tcW w:w="0" w:type="auto"/>
                  <w:vAlign w:val="center"/>
                </w:tcPr>
                <w:p>
                  <w:pPr>
                    <w:adjustRightInd w:val="0"/>
                    <w:snapToGrid w:val="0"/>
                    <w:ind w:right="48" w:rightChars="20"/>
                    <w:jc w:val="center"/>
                    <w:rPr>
                      <w:kern w:val="0"/>
                      <w:szCs w:val="21"/>
                    </w:rPr>
                  </w:pPr>
                  <w:r>
                    <w:rPr>
                      <w:kern w:val="0"/>
                      <w:szCs w:val="21"/>
                    </w:rPr>
                    <w:t>项目危废于危险废物暂存间暂存，交有资质单位清运处理。</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0" w:type="auto"/>
                  <w:vAlign w:val="center"/>
                </w:tcPr>
                <w:p>
                  <w:pPr>
                    <w:adjustRightInd w:val="0"/>
                    <w:snapToGrid w:val="0"/>
                    <w:ind w:right="48" w:rightChars="20"/>
                    <w:jc w:val="center"/>
                    <w:rPr>
                      <w:kern w:val="0"/>
                      <w:szCs w:val="21"/>
                    </w:rPr>
                  </w:pPr>
                  <w:r>
                    <w:rPr>
                      <w:kern w:val="0"/>
                      <w:szCs w:val="21"/>
                    </w:rPr>
                    <w:t>环境风险</w:t>
                  </w:r>
                </w:p>
              </w:tc>
              <w:tc>
                <w:tcPr>
                  <w:tcW w:w="0" w:type="auto"/>
                  <w:vAlign w:val="center"/>
                </w:tcPr>
                <w:p>
                  <w:pPr>
                    <w:adjustRightInd w:val="0"/>
                    <w:snapToGrid w:val="0"/>
                    <w:ind w:right="48" w:rightChars="20"/>
                    <w:jc w:val="center"/>
                    <w:rPr>
                      <w:kern w:val="0"/>
                      <w:szCs w:val="21"/>
                    </w:rPr>
                  </w:pPr>
                  <w:r>
                    <w:rPr>
                      <w:kern w:val="0"/>
                      <w:szCs w:val="21"/>
                    </w:rPr>
                    <w:t>事故废水、危险物质泄漏等</w:t>
                  </w:r>
                </w:p>
              </w:tc>
              <w:tc>
                <w:tcPr>
                  <w:tcW w:w="0" w:type="auto"/>
                  <w:gridSpan w:val="2"/>
                  <w:vAlign w:val="center"/>
                </w:tcPr>
                <w:p>
                  <w:pPr>
                    <w:adjustRightInd w:val="0"/>
                    <w:snapToGrid w:val="0"/>
                    <w:ind w:right="48" w:rightChars="20"/>
                    <w:jc w:val="center"/>
                    <w:rPr>
                      <w:kern w:val="0"/>
                      <w:szCs w:val="21"/>
                    </w:rPr>
                  </w:pPr>
                  <w:r>
                    <w:rPr>
                      <w:kern w:val="0"/>
                      <w:szCs w:val="21"/>
                    </w:rPr>
                    <w:t>/</w:t>
                  </w:r>
                </w:p>
              </w:tc>
              <w:tc>
                <w:tcPr>
                  <w:tcW w:w="0" w:type="auto"/>
                  <w:vAlign w:val="center"/>
                </w:tcPr>
                <w:p>
                  <w:pPr>
                    <w:adjustRightInd w:val="0"/>
                    <w:snapToGrid w:val="0"/>
                    <w:ind w:right="48" w:rightChars="20"/>
                    <w:jc w:val="center"/>
                    <w:rPr>
                      <w:kern w:val="0"/>
                      <w:szCs w:val="21"/>
                    </w:rPr>
                  </w:pPr>
                  <w:r>
                    <w:rPr>
                      <w:kern w:val="0"/>
                      <w:szCs w:val="21"/>
                    </w:rPr>
                    <w:t>风险防范措施、防渗漏措施、泄漏预警装置等</w:t>
                  </w:r>
                </w:p>
              </w:tc>
              <w:tc>
                <w:tcPr>
                  <w:tcW w:w="0" w:type="auto"/>
                  <w:vAlign w:val="center"/>
                </w:tcPr>
                <w:p>
                  <w:pPr>
                    <w:adjustRightInd w:val="0"/>
                    <w:snapToGrid w:val="0"/>
                    <w:ind w:right="48" w:rightChars="20"/>
                    <w:jc w:val="center"/>
                    <w:rPr>
                      <w:kern w:val="0"/>
                      <w:szCs w:val="21"/>
                    </w:rPr>
                  </w:pPr>
                  <w:r>
                    <w:rPr>
                      <w:kern w:val="0"/>
                      <w:szCs w:val="21"/>
                    </w:rPr>
                    <w:t>/</w:t>
                  </w:r>
                </w:p>
              </w:tc>
              <w:tc>
                <w:tcPr>
                  <w:tcW w:w="0" w:type="auto"/>
                  <w:vAlign w:val="center"/>
                </w:tcPr>
                <w:p>
                  <w:pPr>
                    <w:adjustRightInd w:val="0"/>
                    <w:snapToGrid w:val="0"/>
                    <w:ind w:right="48" w:rightChars="20"/>
                    <w:jc w:val="center"/>
                    <w:rPr>
                      <w:kern w:val="0"/>
                      <w:szCs w:val="21"/>
                    </w:rPr>
                  </w:pPr>
                  <w:r>
                    <w:rPr>
                      <w:kern w:val="0"/>
                      <w:szCs w:val="21"/>
                    </w:rPr>
                    <w:t>分区防渗、泄漏预测、应急预案、安全评价等</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0" w:type="auto"/>
                  <w:vMerge w:val="restart"/>
                  <w:vAlign w:val="center"/>
                </w:tcPr>
                <w:p>
                  <w:pPr>
                    <w:adjustRightInd w:val="0"/>
                    <w:snapToGrid w:val="0"/>
                    <w:ind w:right="48" w:rightChars="20"/>
                    <w:jc w:val="center"/>
                    <w:rPr>
                      <w:kern w:val="0"/>
                      <w:szCs w:val="21"/>
                    </w:rPr>
                  </w:pPr>
                  <w:r>
                    <w:rPr>
                      <w:kern w:val="0"/>
                      <w:szCs w:val="21"/>
                    </w:rPr>
                    <w:t>环境管理</w:t>
                  </w:r>
                </w:p>
              </w:tc>
              <w:tc>
                <w:tcPr>
                  <w:tcW w:w="0" w:type="auto"/>
                  <w:vAlign w:val="center"/>
                </w:tcPr>
                <w:p>
                  <w:pPr>
                    <w:adjustRightInd w:val="0"/>
                    <w:snapToGrid w:val="0"/>
                    <w:ind w:right="48" w:rightChars="20"/>
                    <w:jc w:val="center"/>
                    <w:rPr>
                      <w:kern w:val="0"/>
                      <w:szCs w:val="21"/>
                    </w:rPr>
                  </w:pPr>
                  <w:r>
                    <w:rPr>
                      <w:kern w:val="0"/>
                      <w:szCs w:val="21"/>
                    </w:rPr>
                    <w:t>/</w:t>
                  </w:r>
                </w:p>
              </w:tc>
              <w:tc>
                <w:tcPr>
                  <w:tcW w:w="0" w:type="auto"/>
                  <w:gridSpan w:val="2"/>
                  <w:vAlign w:val="center"/>
                </w:tcPr>
                <w:p>
                  <w:pPr>
                    <w:adjustRightInd w:val="0"/>
                    <w:snapToGrid w:val="0"/>
                    <w:ind w:right="48" w:rightChars="20"/>
                    <w:jc w:val="center"/>
                    <w:rPr>
                      <w:kern w:val="0"/>
                      <w:szCs w:val="21"/>
                    </w:rPr>
                  </w:pPr>
                  <w:r>
                    <w:rPr>
                      <w:kern w:val="0"/>
                      <w:szCs w:val="21"/>
                    </w:rPr>
                    <w:t>/</w:t>
                  </w:r>
                </w:p>
              </w:tc>
              <w:tc>
                <w:tcPr>
                  <w:tcW w:w="0" w:type="auto"/>
                  <w:vAlign w:val="center"/>
                </w:tcPr>
                <w:p>
                  <w:pPr>
                    <w:adjustRightInd w:val="0"/>
                    <w:snapToGrid w:val="0"/>
                    <w:ind w:right="48" w:rightChars="20"/>
                    <w:jc w:val="center"/>
                    <w:rPr>
                      <w:kern w:val="0"/>
                      <w:szCs w:val="21"/>
                    </w:rPr>
                  </w:pPr>
                  <w:r>
                    <w:rPr>
                      <w:kern w:val="0"/>
                      <w:szCs w:val="21"/>
                    </w:rPr>
                    <w:t>执行环境影响评价制度、排污许可制度、环境保护“三同时”制度及环境保护竣工验收制度</w:t>
                  </w:r>
                </w:p>
              </w:tc>
              <w:tc>
                <w:tcPr>
                  <w:tcW w:w="0" w:type="auto"/>
                  <w:vAlign w:val="center"/>
                </w:tcPr>
                <w:p>
                  <w:pPr>
                    <w:adjustRightInd w:val="0"/>
                    <w:snapToGrid w:val="0"/>
                    <w:ind w:right="48" w:rightChars="20"/>
                    <w:jc w:val="center"/>
                    <w:rPr>
                      <w:kern w:val="0"/>
                      <w:szCs w:val="21"/>
                    </w:rPr>
                  </w:pPr>
                  <w:r>
                    <w:rPr>
                      <w:kern w:val="0"/>
                      <w:szCs w:val="21"/>
                    </w:rPr>
                    <w:t>/</w:t>
                  </w:r>
                </w:p>
              </w:tc>
              <w:tc>
                <w:tcPr>
                  <w:tcW w:w="0" w:type="auto"/>
                  <w:vAlign w:val="center"/>
                </w:tcPr>
                <w:p>
                  <w:pPr>
                    <w:adjustRightInd w:val="0"/>
                    <w:snapToGrid w:val="0"/>
                    <w:ind w:right="48" w:rightChars="20"/>
                    <w:jc w:val="center"/>
                    <w:rPr>
                      <w:kern w:val="0"/>
                      <w:szCs w:val="21"/>
                    </w:rPr>
                  </w:pPr>
                  <w:r>
                    <w:rPr>
                      <w:kern w:val="0"/>
                      <w:szCs w:val="21"/>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0" w:type="auto"/>
                  <w:vMerge w:val="continue"/>
                  <w:vAlign w:val="center"/>
                </w:tcPr>
                <w:p>
                  <w:pPr>
                    <w:adjustRightInd w:val="0"/>
                    <w:snapToGrid w:val="0"/>
                    <w:ind w:right="48" w:rightChars="20"/>
                    <w:jc w:val="center"/>
                    <w:rPr>
                      <w:kern w:val="0"/>
                      <w:szCs w:val="21"/>
                    </w:rPr>
                  </w:pPr>
                </w:p>
              </w:tc>
              <w:tc>
                <w:tcPr>
                  <w:tcW w:w="0" w:type="auto"/>
                  <w:gridSpan w:val="3"/>
                  <w:vAlign w:val="center"/>
                </w:tcPr>
                <w:p>
                  <w:pPr>
                    <w:adjustRightInd w:val="0"/>
                    <w:snapToGrid w:val="0"/>
                    <w:ind w:right="48" w:rightChars="20"/>
                    <w:jc w:val="center"/>
                    <w:rPr>
                      <w:kern w:val="0"/>
                      <w:szCs w:val="21"/>
                    </w:rPr>
                  </w:pPr>
                  <w:r>
                    <w:rPr>
                      <w:kern w:val="0"/>
                      <w:szCs w:val="21"/>
                    </w:rPr>
                    <w:t>加强管理</w:t>
                  </w:r>
                </w:p>
              </w:tc>
              <w:tc>
                <w:tcPr>
                  <w:tcW w:w="0" w:type="auto"/>
                  <w:vAlign w:val="center"/>
                </w:tcPr>
                <w:p>
                  <w:pPr>
                    <w:adjustRightInd w:val="0"/>
                    <w:snapToGrid w:val="0"/>
                    <w:ind w:right="48" w:rightChars="20"/>
                    <w:jc w:val="center"/>
                    <w:rPr>
                      <w:kern w:val="0"/>
                      <w:szCs w:val="21"/>
                    </w:rPr>
                  </w:pPr>
                  <w:r>
                    <w:rPr>
                      <w:kern w:val="0"/>
                      <w:szCs w:val="21"/>
                    </w:rPr>
                    <w:t>加强员工培训，做好突发环境事件应急预案</w:t>
                  </w:r>
                </w:p>
              </w:tc>
              <w:tc>
                <w:tcPr>
                  <w:tcW w:w="0" w:type="auto"/>
                  <w:vAlign w:val="center"/>
                </w:tcPr>
                <w:p>
                  <w:pPr>
                    <w:adjustRightInd w:val="0"/>
                    <w:snapToGrid w:val="0"/>
                    <w:ind w:right="48" w:rightChars="20"/>
                    <w:jc w:val="center"/>
                    <w:rPr>
                      <w:kern w:val="0"/>
                      <w:szCs w:val="21"/>
                    </w:rPr>
                  </w:pPr>
                  <w:r>
                    <w:rPr>
                      <w:kern w:val="0"/>
                      <w:szCs w:val="21"/>
                    </w:rPr>
                    <w:t>/</w:t>
                  </w:r>
                </w:p>
              </w:tc>
              <w:tc>
                <w:tcPr>
                  <w:tcW w:w="0" w:type="auto"/>
                  <w:vAlign w:val="center"/>
                </w:tcPr>
                <w:p>
                  <w:pPr>
                    <w:adjustRightInd w:val="0"/>
                    <w:snapToGrid w:val="0"/>
                    <w:ind w:right="48" w:rightChars="20"/>
                    <w:jc w:val="center"/>
                    <w:rPr>
                      <w:kern w:val="0"/>
                      <w:szCs w:val="21"/>
                    </w:rPr>
                  </w:pPr>
                  <w:r>
                    <w:rPr>
                      <w:kern w:val="0"/>
                      <w:szCs w:val="21"/>
                    </w:rPr>
                    <w:t>/</w:t>
                  </w:r>
                </w:p>
              </w:tc>
            </w:tr>
          </w:tbl>
          <w:p>
            <w:pPr>
              <w:adjustRightInd w:val="0"/>
              <w:snapToGrid w:val="0"/>
              <w:spacing w:line="360" w:lineRule="auto"/>
              <w:ind w:firstLine="426" w:firstLineChars="177"/>
              <w:rPr>
                <w:b/>
                <w:sz w:val="24"/>
              </w:rPr>
            </w:pPr>
            <w:r>
              <w:rPr>
                <w:b/>
                <w:sz w:val="24"/>
              </w:rPr>
              <w:t>10、环保投资估算一览表</w:t>
            </w:r>
          </w:p>
          <w:p>
            <w:pPr>
              <w:spacing w:line="400" w:lineRule="exact"/>
              <w:ind w:firstLine="480" w:firstLineChars="200"/>
              <w:jc w:val="left"/>
              <w:rPr>
                <w:sz w:val="24"/>
              </w:rPr>
            </w:pPr>
            <w:r>
              <w:rPr>
                <w:sz w:val="24"/>
              </w:rPr>
              <w:t>本项目总投资3500万元，项目为新建工程，为确保污染物达标排放，项目环保投资130.5万元，占总投资的3.7%。项目环保投资见表4-19。</w:t>
            </w:r>
          </w:p>
          <w:p>
            <w:pPr>
              <w:spacing w:line="276" w:lineRule="auto"/>
              <w:jc w:val="center"/>
              <w:rPr>
                <w:bCs/>
                <w:sz w:val="24"/>
              </w:rPr>
            </w:pPr>
            <w:r>
              <w:rPr>
                <w:bCs/>
                <w:sz w:val="24"/>
              </w:rPr>
              <w:t>表4-19 环保设施（措施）及投资估算一览表</w:t>
            </w:r>
          </w:p>
          <w:tbl>
            <w:tblPr>
              <w:tblStyle w:val="38"/>
              <w:tblW w:w="4992"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563"/>
              <w:gridCol w:w="703"/>
              <w:gridCol w:w="1402"/>
              <w:gridCol w:w="3326"/>
              <w:gridCol w:w="1006"/>
              <w:gridCol w:w="1180"/>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74" w:type="pct"/>
                  <w:gridSpan w:val="2"/>
                  <w:vAlign w:val="center"/>
                </w:tcPr>
                <w:p>
                  <w:pPr>
                    <w:widowControl/>
                    <w:ind w:firstLine="12" w:firstLineChars="5"/>
                    <w:jc w:val="center"/>
                    <w:rPr>
                      <w:b/>
                      <w:bCs/>
                      <w:kern w:val="0"/>
                      <w:szCs w:val="21"/>
                    </w:rPr>
                  </w:pPr>
                  <w:r>
                    <w:rPr>
                      <w:b/>
                      <w:bCs/>
                      <w:kern w:val="0"/>
                      <w:szCs w:val="21"/>
                    </w:rPr>
                    <w:t>项目</w:t>
                  </w:r>
                </w:p>
              </w:tc>
              <w:tc>
                <w:tcPr>
                  <w:tcW w:w="857" w:type="pct"/>
                  <w:vAlign w:val="center"/>
                </w:tcPr>
                <w:p>
                  <w:pPr>
                    <w:widowControl/>
                    <w:ind w:leftChars="-8" w:hanging="19" w:hangingChars="8"/>
                    <w:jc w:val="center"/>
                    <w:rPr>
                      <w:b/>
                      <w:bCs/>
                      <w:kern w:val="0"/>
                      <w:szCs w:val="21"/>
                    </w:rPr>
                  </w:pPr>
                  <w:r>
                    <w:rPr>
                      <w:b/>
                      <w:bCs/>
                      <w:kern w:val="0"/>
                      <w:szCs w:val="21"/>
                    </w:rPr>
                    <w:t>污染源</w:t>
                  </w:r>
                </w:p>
              </w:tc>
              <w:tc>
                <w:tcPr>
                  <w:tcW w:w="2033" w:type="pct"/>
                  <w:vAlign w:val="center"/>
                </w:tcPr>
                <w:p>
                  <w:pPr>
                    <w:widowControl/>
                    <w:ind w:firstLine="29" w:firstLineChars="12"/>
                    <w:jc w:val="center"/>
                    <w:rPr>
                      <w:b/>
                      <w:bCs/>
                      <w:kern w:val="0"/>
                      <w:szCs w:val="21"/>
                    </w:rPr>
                  </w:pPr>
                  <w:r>
                    <w:rPr>
                      <w:b/>
                      <w:bCs/>
                      <w:kern w:val="0"/>
                      <w:szCs w:val="21"/>
                    </w:rPr>
                    <w:t>治理措施</w:t>
                  </w:r>
                </w:p>
              </w:tc>
              <w:tc>
                <w:tcPr>
                  <w:tcW w:w="615" w:type="pct"/>
                  <w:vAlign w:val="center"/>
                </w:tcPr>
                <w:p>
                  <w:pPr>
                    <w:widowControl/>
                    <w:ind w:hanging="2"/>
                    <w:jc w:val="center"/>
                    <w:rPr>
                      <w:b/>
                      <w:bCs/>
                      <w:kern w:val="0"/>
                      <w:szCs w:val="21"/>
                    </w:rPr>
                  </w:pPr>
                  <w:r>
                    <w:rPr>
                      <w:b/>
                      <w:bCs/>
                      <w:kern w:val="0"/>
                      <w:szCs w:val="21"/>
                    </w:rPr>
                    <w:t>环保投资（万元）</w:t>
                  </w:r>
                </w:p>
              </w:tc>
              <w:tc>
                <w:tcPr>
                  <w:tcW w:w="721" w:type="pct"/>
                  <w:vAlign w:val="center"/>
                </w:tcPr>
                <w:p>
                  <w:pPr>
                    <w:widowControl/>
                    <w:ind w:hanging="2"/>
                    <w:jc w:val="center"/>
                    <w:rPr>
                      <w:b/>
                      <w:bCs/>
                      <w:kern w:val="0"/>
                      <w:szCs w:val="21"/>
                    </w:rPr>
                  </w:pPr>
                  <w:r>
                    <w:rPr>
                      <w:b/>
                      <w:bCs/>
                      <w:kern w:val="0"/>
                      <w:szCs w:val="21"/>
                    </w:rPr>
                    <w:t>备注</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44" w:type="pct"/>
                  <w:vMerge w:val="restart"/>
                  <w:vAlign w:val="center"/>
                </w:tcPr>
                <w:p>
                  <w:pPr>
                    <w:widowControl/>
                    <w:ind w:firstLine="16" w:firstLineChars="7"/>
                    <w:jc w:val="center"/>
                    <w:rPr>
                      <w:kern w:val="0"/>
                      <w:szCs w:val="21"/>
                    </w:rPr>
                  </w:pPr>
                  <w:r>
                    <w:rPr>
                      <w:kern w:val="0"/>
                      <w:szCs w:val="21"/>
                    </w:rPr>
                    <w:t>施工期</w:t>
                  </w:r>
                </w:p>
              </w:tc>
              <w:tc>
                <w:tcPr>
                  <w:tcW w:w="430" w:type="pct"/>
                  <w:vAlign w:val="center"/>
                </w:tcPr>
                <w:p>
                  <w:pPr>
                    <w:widowControl/>
                    <w:ind w:firstLine="33" w:firstLineChars="14"/>
                    <w:jc w:val="center"/>
                    <w:rPr>
                      <w:kern w:val="0"/>
                      <w:szCs w:val="21"/>
                    </w:rPr>
                  </w:pPr>
                  <w:r>
                    <w:rPr>
                      <w:kern w:val="0"/>
                      <w:szCs w:val="21"/>
                    </w:rPr>
                    <w:t>废气</w:t>
                  </w:r>
                </w:p>
              </w:tc>
              <w:tc>
                <w:tcPr>
                  <w:tcW w:w="857" w:type="pct"/>
                  <w:vAlign w:val="center"/>
                </w:tcPr>
                <w:p>
                  <w:pPr>
                    <w:jc w:val="center"/>
                    <w:rPr>
                      <w:kern w:val="0"/>
                      <w:szCs w:val="21"/>
                    </w:rPr>
                  </w:pPr>
                  <w:r>
                    <w:rPr>
                      <w:kern w:val="0"/>
                      <w:szCs w:val="21"/>
                    </w:rPr>
                    <w:t>设备安装、汽车尾气等</w:t>
                  </w:r>
                </w:p>
              </w:tc>
              <w:tc>
                <w:tcPr>
                  <w:tcW w:w="2033" w:type="pct"/>
                  <w:vAlign w:val="center"/>
                </w:tcPr>
                <w:p>
                  <w:pPr>
                    <w:widowControl/>
                    <w:ind w:firstLine="12" w:firstLineChars="5"/>
                    <w:jc w:val="center"/>
                    <w:rPr>
                      <w:kern w:val="0"/>
                      <w:szCs w:val="21"/>
                    </w:rPr>
                  </w:pPr>
                  <w:r>
                    <w:rPr>
                      <w:kern w:val="0"/>
                      <w:szCs w:val="21"/>
                    </w:rPr>
                    <w:t>施工工地做到“六个百分百”、加强通风等。</w:t>
                  </w:r>
                </w:p>
              </w:tc>
              <w:tc>
                <w:tcPr>
                  <w:tcW w:w="615" w:type="pct"/>
                  <w:vAlign w:val="center"/>
                </w:tcPr>
                <w:p>
                  <w:pPr>
                    <w:widowControl/>
                    <w:ind w:firstLine="12" w:firstLineChars="5"/>
                    <w:jc w:val="center"/>
                    <w:rPr>
                      <w:kern w:val="0"/>
                      <w:szCs w:val="21"/>
                    </w:rPr>
                  </w:pPr>
                  <w:r>
                    <w:rPr>
                      <w:kern w:val="0"/>
                      <w:szCs w:val="21"/>
                    </w:rPr>
                    <w:t>12</w:t>
                  </w:r>
                </w:p>
              </w:tc>
              <w:tc>
                <w:tcPr>
                  <w:tcW w:w="721" w:type="pct"/>
                  <w:vAlign w:val="center"/>
                </w:tcPr>
                <w:p>
                  <w:pPr>
                    <w:widowControl/>
                    <w:ind w:firstLine="12" w:firstLineChars="5"/>
                    <w:jc w:val="center"/>
                    <w:rPr>
                      <w:kern w:val="0"/>
                      <w:szCs w:val="21"/>
                    </w:rPr>
                  </w:pPr>
                  <w:r>
                    <w:rPr>
                      <w:kern w:val="0"/>
                      <w:szCs w:val="21"/>
                    </w:rPr>
                    <w:t>生产设备等计入主体工程</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44" w:type="pct"/>
                  <w:vMerge w:val="continue"/>
                  <w:vAlign w:val="center"/>
                </w:tcPr>
                <w:p>
                  <w:pPr>
                    <w:widowControl/>
                    <w:ind w:firstLine="16" w:firstLineChars="7"/>
                    <w:jc w:val="center"/>
                    <w:rPr>
                      <w:kern w:val="0"/>
                      <w:szCs w:val="21"/>
                    </w:rPr>
                  </w:pPr>
                </w:p>
              </w:tc>
              <w:tc>
                <w:tcPr>
                  <w:tcW w:w="430" w:type="pct"/>
                  <w:vAlign w:val="center"/>
                </w:tcPr>
                <w:p>
                  <w:pPr>
                    <w:widowControl/>
                    <w:ind w:firstLine="33" w:firstLineChars="14"/>
                    <w:jc w:val="center"/>
                    <w:rPr>
                      <w:kern w:val="0"/>
                      <w:szCs w:val="21"/>
                    </w:rPr>
                  </w:pPr>
                  <w:r>
                    <w:rPr>
                      <w:kern w:val="0"/>
                      <w:szCs w:val="21"/>
                    </w:rPr>
                    <w:t>固废</w:t>
                  </w:r>
                </w:p>
              </w:tc>
              <w:tc>
                <w:tcPr>
                  <w:tcW w:w="857" w:type="pct"/>
                  <w:vAlign w:val="center"/>
                </w:tcPr>
                <w:p>
                  <w:pPr>
                    <w:jc w:val="center"/>
                    <w:rPr>
                      <w:kern w:val="0"/>
                      <w:szCs w:val="21"/>
                    </w:rPr>
                  </w:pPr>
                  <w:r>
                    <w:rPr>
                      <w:kern w:val="0"/>
                      <w:szCs w:val="21"/>
                    </w:rPr>
                    <w:t>生活垃圾、建筑垃圾</w:t>
                  </w:r>
                </w:p>
              </w:tc>
              <w:tc>
                <w:tcPr>
                  <w:tcW w:w="2033" w:type="pct"/>
                  <w:vAlign w:val="center"/>
                </w:tcPr>
                <w:p>
                  <w:pPr>
                    <w:widowControl/>
                    <w:ind w:firstLine="12" w:firstLineChars="5"/>
                    <w:jc w:val="center"/>
                    <w:rPr>
                      <w:kern w:val="0"/>
                      <w:szCs w:val="21"/>
                    </w:rPr>
                  </w:pPr>
                  <w:r>
                    <w:rPr>
                      <w:kern w:val="0"/>
                      <w:szCs w:val="21"/>
                    </w:rPr>
                    <w:t>生活垃圾收集后，交当地环卫部门进行统一处理；建筑垃圾可回收部分经集中收集后外售废品收购站，不可回收部分定时清运到指定垃圾场。</w:t>
                  </w:r>
                </w:p>
              </w:tc>
              <w:tc>
                <w:tcPr>
                  <w:tcW w:w="615" w:type="pct"/>
                  <w:vAlign w:val="center"/>
                </w:tcPr>
                <w:p>
                  <w:pPr>
                    <w:widowControl/>
                    <w:ind w:firstLine="12" w:firstLineChars="5"/>
                    <w:jc w:val="center"/>
                    <w:rPr>
                      <w:kern w:val="0"/>
                      <w:szCs w:val="21"/>
                    </w:rPr>
                  </w:pPr>
                  <w:r>
                    <w:rPr>
                      <w:kern w:val="0"/>
                      <w:szCs w:val="21"/>
                    </w:rPr>
                    <w:t>20</w:t>
                  </w:r>
                </w:p>
              </w:tc>
              <w:tc>
                <w:tcPr>
                  <w:tcW w:w="721" w:type="pct"/>
                  <w:vAlign w:val="center"/>
                </w:tcPr>
                <w:p>
                  <w:pPr>
                    <w:widowControl/>
                    <w:ind w:firstLine="12" w:firstLineChars="5"/>
                    <w:jc w:val="center"/>
                    <w:rPr>
                      <w:kern w:val="0"/>
                      <w:szCs w:val="21"/>
                    </w:rPr>
                  </w:pPr>
                  <w:r>
                    <w:rPr>
                      <w:kern w:val="0"/>
                      <w:szCs w:val="21"/>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44" w:type="pct"/>
                  <w:vMerge w:val="continue"/>
                  <w:vAlign w:val="center"/>
                </w:tcPr>
                <w:p>
                  <w:pPr>
                    <w:widowControl/>
                    <w:ind w:firstLine="16" w:firstLineChars="7"/>
                    <w:jc w:val="center"/>
                    <w:rPr>
                      <w:kern w:val="0"/>
                      <w:szCs w:val="21"/>
                    </w:rPr>
                  </w:pPr>
                </w:p>
              </w:tc>
              <w:tc>
                <w:tcPr>
                  <w:tcW w:w="430" w:type="pct"/>
                  <w:vAlign w:val="center"/>
                </w:tcPr>
                <w:p>
                  <w:pPr>
                    <w:widowControl/>
                    <w:ind w:firstLine="33" w:firstLineChars="14"/>
                    <w:jc w:val="center"/>
                    <w:rPr>
                      <w:kern w:val="0"/>
                      <w:szCs w:val="21"/>
                    </w:rPr>
                  </w:pPr>
                  <w:r>
                    <w:rPr>
                      <w:kern w:val="0"/>
                      <w:szCs w:val="21"/>
                    </w:rPr>
                    <w:t>噪声</w:t>
                  </w:r>
                </w:p>
              </w:tc>
              <w:tc>
                <w:tcPr>
                  <w:tcW w:w="857" w:type="pct"/>
                  <w:vAlign w:val="center"/>
                </w:tcPr>
                <w:p>
                  <w:pPr>
                    <w:jc w:val="center"/>
                    <w:rPr>
                      <w:kern w:val="0"/>
                      <w:szCs w:val="21"/>
                    </w:rPr>
                  </w:pPr>
                  <w:r>
                    <w:rPr>
                      <w:kern w:val="0"/>
                      <w:szCs w:val="21"/>
                    </w:rPr>
                    <w:t>建筑机械、运输车辆</w:t>
                  </w:r>
                </w:p>
              </w:tc>
              <w:tc>
                <w:tcPr>
                  <w:tcW w:w="2033" w:type="pct"/>
                  <w:vAlign w:val="center"/>
                </w:tcPr>
                <w:p>
                  <w:pPr>
                    <w:widowControl/>
                    <w:ind w:firstLine="12" w:firstLineChars="5"/>
                    <w:jc w:val="center"/>
                    <w:rPr>
                      <w:kern w:val="0"/>
                      <w:szCs w:val="21"/>
                    </w:rPr>
                  </w:pPr>
                  <w:r>
                    <w:rPr>
                      <w:kern w:val="0"/>
                      <w:szCs w:val="21"/>
                    </w:rPr>
                    <w:t>采用低噪机具、围挡作业、特殊时间禁止施工。</w:t>
                  </w:r>
                </w:p>
              </w:tc>
              <w:tc>
                <w:tcPr>
                  <w:tcW w:w="615" w:type="pct"/>
                  <w:vAlign w:val="center"/>
                </w:tcPr>
                <w:p>
                  <w:pPr>
                    <w:widowControl/>
                    <w:ind w:firstLine="12" w:firstLineChars="5"/>
                    <w:jc w:val="center"/>
                    <w:rPr>
                      <w:kern w:val="0"/>
                      <w:szCs w:val="21"/>
                    </w:rPr>
                  </w:pPr>
                  <w:r>
                    <w:rPr>
                      <w:kern w:val="0"/>
                      <w:szCs w:val="21"/>
                    </w:rPr>
                    <w:t>/</w:t>
                  </w:r>
                </w:p>
              </w:tc>
              <w:tc>
                <w:tcPr>
                  <w:tcW w:w="721" w:type="pct"/>
                  <w:vAlign w:val="center"/>
                </w:tcPr>
                <w:p>
                  <w:pPr>
                    <w:widowControl/>
                    <w:ind w:firstLine="12" w:firstLineChars="5"/>
                    <w:jc w:val="center"/>
                    <w:rPr>
                      <w:kern w:val="0"/>
                      <w:szCs w:val="21"/>
                    </w:rPr>
                  </w:pPr>
                  <w:r>
                    <w:rPr>
                      <w:kern w:val="0"/>
                      <w:szCs w:val="21"/>
                    </w:rPr>
                    <w:t>无大型土建</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44" w:type="pct"/>
                  <w:vMerge w:val="continue"/>
                  <w:vAlign w:val="center"/>
                </w:tcPr>
                <w:p>
                  <w:pPr>
                    <w:widowControl/>
                    <w:ind w:firstLine="16" w:firstLineChars="7"/>
                    <w:jc w:val="center"/>
                    <w:rPr>
                      <w:kern w:val="0"/>
                      <w:szCs w:val="21"/>
                    </w:rPr>
                  </w:pPr>
                </w:p>
              </w:tc>
              <w:tc>
                <w:tcPr>
                  <w:tcW w:w="430" w:type="pct"/>
                  <w:vAlign w:val="center"/>
                </w:tcPr>
                <w:p>
                  <w:pPr>
                    <w:widowControl/>
                    <w:ind w:firstLine="33" w:firstLineChars="14"/>
                    <w:jc w:val="center"/>
                    <w:rPr>
                      <w:kern w:val="0"/>
                      <w:szCs w:val="21"/>
                    </w:rPr>
                  </w:pPr>
                  <w:r>
                    <w:rPr>
                      <w:kern w:val="0"/>
                      <w:szCs w:val="21"/>
                    </w:rPr>
                    <w:t>废水</w:t>
                  </w:r>
                </w:p>
              </w:tc>
              <w:tc>
                <w:tcPr>
                  <w:tcW w:w="857" w:type="pct"/>
                  <w:vAlign w:val="center"/>
                </w:tcPr>
                <w:p>
                  <w:pPr>
                    <w:jc w:val="center"/>
                    <w:rPr>
                      <w:kern w:val="0"/>
                      <w:szCs w:val="21"/>
                    </w:rPr>
                  </w:pPr>
                  <w:r>
                    <w:rPr>
                      <w:kern w:val="0"/>
                      <w:szCs w:val="21"/>
                    </w:rPr>
                    <w:t>生活污水</w:t>
                  </w:r>
                </w:p>
              </w:tc>
              <w:tc>
                <w:tcPr>
                  <w:tcW w:w="2033" w:type="pct"/>
                  <w:vAlign w:val="center"/>
                </w:tcPr>
                <w:p>
                  <w:pPr>
                    <w:widowControl/>
                    <w:ind w:firstLine="12" w:firstLineChars="5"/>
                    <w:jc w:val="center"/>
                    <w:rPr>
                      <w:kern w:val="0"/>
                      <w:szCs w:val="21"/>
                    </w:rPr>
                  </w:pPr>
                  <w:r>
                    <w:rPr>
                      <w:kern w:val="0"/>
                      <w:szCs w:val="21"/>
                    </w:rPr>
                    <w:t>依托周边现有污水预处理设施</w:t>
                  </w:r>
                </w:p>
              </w:tc>
              <w:tc>
                <w:tcPr>
                  <w:tcW w:w="615" w:type="pct"/>
                  <w:vAlign w:val="center"/>
                </w:tcPr>
                <w:p>
                  <w:pPr>
                    <w:widowControl/>
                    <w:ind w:firstLine="12" w:firstLineChars="5"/>
                    <w:jc w:val="center"/>
                    <w:rPr>
                      <w:kern w:val="0"/>
                      <w:szCs w:val="21"/>
                    </w:rPr>
                  </w:pPr>
                  <w:r>
                    <w:rPr>
                      <w:kern w:val="0"/>
                      <w:szCs w:val="21"/>
                    </w:rPr>
                    <w:t>/</w:t>
                  </w:r>
                </w:p>
              </w:tc>
              <w:tc>
                <w:tcPr>
                  <w:tcW w:w="721" w:type="pct"/>
                  <w:vAlign w:val="center"/>
                </w:tcPr>
                <w:p>
                  <w:pPr>
                    <w:widowControl/>
                    <w:ind w:firstLine="12" w:firstLineChars="5"/>
                    <w:jc w:val="center"/>
                    <w:rPr>
                      <w:kern w:val="0"/>
                      <w:szCs w:val="21"/>
                    </w:rPr>
                  </w:pPr>
                  <w:r>
                    <w:rPr>
                      <w:kern w:val="0"/>
                      <w:szCs w:val="21"/>
                    </w:rPr>
                    <w:t>依托</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44" w:type="pct"/>
                  <w:vMerge w:val="restart"/>
                  <w:vAlign w:val="center"/>
                </w:tcPr>
                <w:p>
                  <w:pPr>
                    <w:widowControl/>
                    <w:ind w:firstLine="16" w:firstLineChars="7"/>
                    <w:jc w:val="center"/>
                    <w:rPr>
                      <w:kern w:val="0"/>
                      <w:szCs w:val="21"/>
                    </w:rPr>
                  </w:pPr>
                  <w:r>
                    <w:rPr>
                      <w:kern w:val="0"/>
                      <w:szCs w:val="21"/>
                    </w:rPr>
                    <w:t>运营期</w:t>
                  </w:r>
                </w:p>
              </w:tc>
              <w:tc>
                <w:tcPr>
                  <w:tcW w:w="430" w:type="pct"/>
                  <w:vMerge w:val="restart"/>
                  <w:vAlign w:val="center"/>
                </w:tcPr>
                <w:p>
                  <w:pPr>
                    <w:widowControl/>
                    <w:ind w:firstLine="33" w:firstLineChars="14"/>
                    <w:jc w:val="center"/>
                    <w:rPr>
                      <w:kern w:val="0"/>
                      <w:szCs w:val="21"/>
                    </w:rPr>
                  </w:pPr>
                  <w:r>
                    <w:rPr>
                      <w:kern w:val="0"/>
                      <w:szCs w:val="21"/>
                    </w:rPr>
                    <w:t>废水</w:t>
                  </w:r>
                </w:p>
              </w:tc>
              <w:tc>
                <w:tcPr>
                  <w:tcW w:w="857" w:type="pct"/>
                  <w:vAlign w:val="center"/>
                </w:tcPr>
                <w:p>
                  <w:pPr>
                    <w:jc w:val="center"/>
                    <w:rPr>
                      <w:kern w:val="0"/>
                      <w:szCs w:val="21"/>
                    </w:rPr>
                  </w:pPr>
                  <w:r>
                    <w:rPr>
                      <w:kern w:val="0"/>
                      <w:szCs w:val="21"/>
                    </w:rPr>
                    <w:t>生产废水</w:t>
                  </w:r>
                </w:p>
              </w:tc>
              <w:tc>
                <w:tcPr>
                  <w:tcW w:w="2033" w:type="pct"/>
                  <w:vAlign w:val="center"/>
                </w:tcPr>
                <w:p>
                  <w:pPr>
                    <w:widowControl/>
                    <w:ind w:firstLine="12" w:firstLineChars="5"/>
                    <w:jc w:val="center"/>
                    <w:rPr>
                      <w:kern w:val="0"/>
                      <w:szCs w:val="21"/>
                    </w:rPr>
                  </w:pPr>
                  <w:r>
                    <w:rPr>
                      <w:kern w:val="0"/>
                      <w:szCs w:val="21"/>
                    </w:rPr>
                    <w:t>建设循环水池一套，一级、二级沉淀池、清水池容积分别为750m³、450m³、1200m³，共2500m³，处理能力300m³/h，循环使用，不外排</w:t>
                  </w:r>
                </w:p>
              </w:tc>
              <w:tc>
                <w:tcPr>
                  <w:tcW w:w="615" w:type="pct"/>
                  <w:vAlign w:val="center"/>
                </w:tcPr>
                <w:p>
                  <w:pPr>
                    <w:widowControl/>
                    <w:ind w:firstLine="12" w:firstLineChars="5"/>
                    <w:jc w:val="center"/>
                    <w:rPr>
                      <w:kern w:val="0"/>
                      <w:szCs w:val="21"/>
                    </w:rPr>
                  </w:pPr>
                  <w:r>
                    <w:rPr>
                      <w:kern w:val="0"/>
                      <w:szCs w:val="21"/>
                    </w:rPr>
                    <w:t>50</w:t>
                  </w:r>
                </w:p>
              </w:tc>
              <w:tc>
                <w:tcPr>
                  <w:tcW w:w="721" w:type="pct"/>
                  <w:vAlign w:val="center"/>
                </w:tcPr>
                <w:p>
                  <w:pPr>
                    <w:widowControl/>
                    <w:ind w:firstLine="12" w:firstLineChars="5"/>
                    <w:jc w:val="center"/>
                    <w:rPr>
                      <w:kern w:val="0"/>
                      <w:szCs w:val="21"/>
                    </w:rPr>
                  </w:pPr>
                  <w:r>
                    <w:rPr>
                      <w:kern w:val="0"/>
                      <w:szCs w:val="21"/>
                    </w:rPr>
                    <w:t>新建（维护费用每年持续投入）</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44" w:type="pct"/>
                  <w:vMerge w:val="continue"/>
                  <w:vAlign w:val="center"/>
                </w:tcPr>
                <w:p>
                  <w:pPr>
                    <w:widowControl/>
                    <w:ind w:firstLine="16" w:firstLineChars="7"/>
                    <w:jc w:val="center"/>
                    <w:rPr>
                      <w:kern w:val="0"/>
                      <w:szCs w:val="21"/>
                    </w:rPr>
                  </w:pPr>
                </w:p>
              </w:tc>
              <w:tc>
                <w:tcPr>
                  <w:tcW w:w="430" w:type="pct"/>
                  <w:vMerge w:val="continue"/>
                  <w:vAlign w:val="center"/>
                </w:tcPr>
                <w:p>
                  <w:pPr>
                    <w:widowControl/>
                    <w:ind w:firstLine="33" w:firstLineChars="14"/>
                    <w:jc w:val="center"/>
                    <w:rPr>
                      <w:kern w:val="0"/>
                      <w:szCs w:val="21"/>
                    </w:rPr>
                  </w:pPr>
                </w:p>
              </w:tc>
              <w:tc>
                <w:tcPr>
                  <w:tcW w:w="857" w:type="pct"/>
                  <w:vAlign w:val="center"/>
                </w:tcPr>
                <w:p>
                  <w:pPr>
                    <w:jc w:val="center"/>
                    <w:rPr>
                      <w:kern w:val="0"/>
                      <w:szCs w:val="21"/>
                    </w:rPr>
                  </w:pPr>
                  <w:r>
                    <w:rPr>
                      <w:kern w:val="0"/>
                      <w:szCs w:val="21"/>
                    </w:rPr>
                    <w:t>生活污水</w:t>
                  </w:r>
                </w:p>
              </w:tc>
              <w:tc>
                <w:tcPr>
                  <w:tcW w:w="2033" w:type="pct"/>
                  <w:vAlign w:val="center"/>
                </w:tcPr>
                <w:p>
                  <w:pPr>
                    <w:widowControl/>
                    <w:ind w:firstLine="12" w:firstLineChars="5"/>
                    <w:jc w:val="center"/>
                    <w:rPr>
                      <w:kern w:val="0"/>
                      <w:szCs w:val="21"/>
                    </w:rPr>
                  </w:pPr>
                  <w:r>
                    <w:rPr>
                      <w:kern w:val="0"/>
                      <w:szCs w:val="21"/>
                    </w:rPr>
                    <w:t>生活污水经一体化污水处理设施处理后回用生产，不外排</w:t>
                  </w:r>
                </w:p>
              </w:tc>
              <w:tc>
                <w:tcPr>
                  <w:tcW w:w="615" w:type="pct"/>
                  <w:vAlign w:val="center"/>
                </w:tcPr>
                <w:p>
                  <w:pPr>
                    <w:widowControl/>
                    <w:ind w:firstLine="12" w:firstLineChars="5"/>
                    <w:jc w:val="center"/>
                    <w:rPr>
                      <w:kern w:val="0"/>
                      <w:szCs w:val="21"/>
                    </w:rPr>
                  </w:pPr>
                  <w:r>
                    <w:rPr>
                      <w:kern w:val="0"/>
                      <w:szCs w:val="21"/>
                    </w:rPr>
                    <w:t>5</w:t>
                  </w:r>
                </w:p>
              </w:tc>
              <w:tc>
                <w:tcPr>
                  <w:tcW w:w="721" w:type="pct"/>
                  <w:vAlign w:val="center"/>
                </w:tcPr>
                <w:p>
                  <w:pPr>
                    <w:widowControl/>
                    <w:ind w:firstLine="12" w:firstLineChars="5"/>
                    <w:jc w:val="center"/>
                    <w:rPr>
                      <w:kern w:val="0"/>
                      <w:szCs w:val="21"/>
                    </w:rPr>
                  </w:pPr>
                  <w:r>
                    <w:rPr>
                      <w:kern w:val="0"/>
                      <w:szCs w:val="21"/>
                    </w:rPr>
                    <w:t>新建</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44" w:type="pct"/>
                  <w:vMerge w:val="continue"/>
                  <w:vAlign w:val="center"/>
                </w:tcPr>
                <w:p>
                  <w:pPr>
                    <w:widowControl/>
                    <w:ind w:firstLine="16" w:firstLineChars="7"/>
                    <w:jc w:val="center"/>
                    <w:rPr>
                      <w:kern w:val="0"/>
                      <w:szCs w:val="21"/>
                    </w:rPr>
                  </w:pPr>
                </w:p>
              </w:tc>
              <w:tc>
                <w:tcPr>
                  <w:tcW w:w="430" w:type="pct"/>
                  <w:vAlign w:val="center"/>
                </w:tcPr>
                <w:p>
                  <w:pPr>
                    <w:widowControl/>
                    <w:ind w:firstLine="33" w:firstLineChars="14"/>
                    <w:jc w:val="center"/>
                    <w:rPr>
                      <w:kern w:val="0"/>
                      <w:szCs w:val="21"/>
                    </w:rPr>
                  </w:pPr>
                  <w:r>
                    <w:rPr>
                      <w:kern w:val="0"/>
                      <w:szCs w:val="21"/>
                    </w:rPr>
                    <w:t>废气</w:t>
                  </w:r>
                </w:p>
              </w:tc>
              <w:tc>
                <w:tcPr>
                  <w:tcW w:w="857" w:type="pct"/>
                  <w:vAlign w:val="center"/>
                </w:tcPr>
                <w:p>
                  <w:pPr>
                    <w:jc w:val="center"/>
                    <w:rPr>
                      <w:kern w:val="0"/>
                      <w:szCs w:val="21"/>
                    </w:rPr>
                  </w:pPr>
                  <w:r>
                    <w:rPr>
                      <w:kern w:val="0"/>
                      <w:szCs w:val="21"/>
                    </w:rPr>
                    <w:t>无组织粉尘</w:t>
                  </w:r>
                </w:p>
              </w:tc>
              <w:tc>
                <w:tcPr>
                  <w:tcW w:w="2033" w:type="pct"/>
                  <w:vAlign w:val="center"/>
                </w:tcPr>
                <w:p>
                  <w:pPr>
                    <w:widowControl/>
                    <w:ind w:firstLine="12" w:firstLineChars="5"/>
                    <w:jc w:val="center"/>
                    <w:rPr>
                      <w:kern w:val="0"/>
                      <w:szCs w:val="21"/>
                    </w:rPr>
                  </w:pPr>
                  <w:r>
                    <w:rPr>
                      <w:kern w:val="0"/>
                      <w:szCs w:val="21"/>
                    </w:rPr>
                    <w:t>车间密闭，湿法作业，洒水降尘等</w:t>
                  </w:r>
                </w:p>
              </w:tc>
              <w:tc>
                <w:tcPr>
                  <w:tcW w:w="615" w:type="pct"/>
                  <w:vAlign w:val="center"/>
                </w:tcPr>
                <w:p>
                  <w:pPr>
                    <w:widowControl/>
                    <w:ind w:firstLine="12" w:firstLineChars="5"/>
                    <w:jc w:val="center"/>
                    <w:rPr>
                      <w:kern w:val="0"/>
                      <w:szCs w:val="21"/>
                    </w:rPr>
                  </w:pPr>
                  <w:r>
                    <w:rPr>
                      <w:kern w:val="0"/>
                      <w:szCs w:val="21"/>
                    </w:rPr>
                    <w:t>20</w:t>
                  </w:r>
                </w:p>
              </w:tc>
              <w:tc>
                <w:tcPr>
                  <w:tcW w:w="721" w:type="pct"/>
                  <w:vAlign w:val="center"/>
                </w:tcPr>
                <w:p>
                  <w:pPr>
                    <w:ind w:firstLine="12" w:firstLineChars="5"/>
                    <w:jc w:val="center"/>
                    <w:rPr>
                      <w:kern w:val="0"/>
                      <w:szCs w:val="21"/>
                    </w:rPr>
                  </w:pPr>
                  <w:r>
                    <w:rPr>
                      <w:kern w:val="0"/>
                      <w:szCs w:val="21"/>
                    </w:rPr>
                    <w:t>新建</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44" w:type="pct"/>
                  <w:vMerge w:val="continue"/>
                  <w:vAlign w:val="center"/>
                </w:tcPr>
                <w:p>
                  <w:pPr>
                    <w:widowControl/>
                    <w:ind w:firstLine="16" w:firstLineChars="7"/>
                    <w:jc w:val="center"/>
                    <w:rPr>
                      <w:kern w:val="0"/>
                      <w:szCs w:val="21"/>
                    </w:rPr>
                  </w:pPr>
                </w:p>
              </w:tc>
              <w:tc>
                <w:tcPr>
                  <w:tcW w:w="430" w:type="pct"/>
                  <w:vAlign w:val="center"/>
                </w:tcPr>
                <w:p>
                  <w:pPr>
                    <w:widowControl/>
                    <w:ind w:firstLine="33" w:firstLineChars="14"/>
                    <w:jc w:val="center"/>
                    <w:rPr>
                      <w:kern w:val="0"/>
                      <w:szCs w:val="21"/>
                    </w:rPr>
                  </w:pPr>
                  <w:r>
                    <w:rPr>
                      <w:kern w:val="0"/>
                      <w:szCs w:val="21"/>
                    </w:rPr>
                    <w:t>噪声</w:t>
                  </w:r>
                </w:p>
              </w:tc>
              <w:tc>
                <w:tcPr>
                  <w:tcW w:w="857" w:type="pct"/>
                  <w:vAlign w:val="center"/>
                </w:tcPr>
                <w:p>
                  <w:pPr>
                    <w:jc w:val="center"/>
                    <w:rPr>
                      <w:kern w:val="0"/>
                      <w:szCs w:val="21"/>
                    </w:rPr>
                  </w:pPr>
                  <w:r>
                    <w:rPr>
                      <w:kern w:val="0"/>
                      <w:szCs w:val="21"/>
                    </w:rPr>
                    <w:t>设备、人员活动噪声</w:t>
                  </w:r>
                </w:p>
              </w:tc>
              <w:tc>
                <w:tcPr>
                  <w:tcW w:w="2033" w:type="pct"/>
                  <w:vAlign w:val="center"/>
                </w:tcPr>
                <w:p>
                  <w:pPr>
                    <w:widowControl/>
                    <w:ind w:firstLine="12" w:firstLineChars="5"/>
                    <w:jc w:val="center"/>
                    <w:rPr>
                      <w:kern w:val="0"/>
                      <w:szCs w:val="21"/>
                    </w:rPr>
                  </w:pPr>
                  <w:r>
                    <w:rPr>
                      <w:kern w:val="0"/>
                      <w:szCs w:val="21"/>
                    </w:rPr>
                    <w:t>低噪设备、墙体隔声、距离衰减、加强管理</w:t>
                  </w:r>
                </w:p>
              </w:tc>
              <w:tc>
                <w:tcPr>
                  <w:tcW w:w="615" w:type="pct"/>
                  <w:vAlign w:val="center"/>
                </w:tcPr>
                <w:p>
                  <w:pPr>
                    <w:widowControl/>
                    <w:ind w:firstLine="12" w:firstLineChars="5"/>
                    <w:jc w:val="center"/>
                    <w:rPr>
                      <w:kern w:val="0"/>
                      <w:szCs w:val="21"/>
                    </w:rPr>
                  </w:pPr>
                  <w:r>
                    <w:rPr>
                      <w:kern w:val="0"/>
                      <w:szCs w:val="21"/>
                    </w:rPr>
                    <w:t>10</w:t>
                  </w:r>
                </w:p>
              </w:tc>
              <w:tc>
                <w:tcPr>
                  <w:tcW w:w="721" w:type="pct"/>
                  <w:vAlign w:val="center"/>
                </w:tcPr>
                <w:p>
                  <w:pPr>
                    <w:widowControl/>
                    <w:ind w:firstLine="12" w:firstLineChars="5"/>
                    <w:jc w:val="center"/>
                    <w:rPr>
                      <w:kern w:val="0"/>
                      <w:szCs w:val="21"/>
                    </w:rPr>
                  </w:pPr>
                  <w:r>
                    <w:rPr>
                      <w:kern w:val="0"/>
                      <w:szCs w:val="21"/>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44" w:type="pct"/>
                  <w:vMerge w:val="continue"/>
                  <w:vAlign w:val="center"/>
                </w:tcPr>
                <w:p>
                  <w:pPr>
                    <w:widowControl/>
                    <w:ind w:firstLine="16" w:firstLineChars="7"/>
                    <w:jc w:val="center"/>
                    <w:rPr>
                      <w:kern w:val="0"/>
                      <w:szCs w:val="21"/>
                    </w:rPr>
                  </w:pPr>
                </w:p>
              </w:tc>
              <w:tc>
                <w:tcPr>
                  <w:tcW w:w="430" w:type="pct"/>
                  <w:vMerge w:val="restart"/>
                  <w:vAlign w:val="center"/>
                </w:tcPr>
                <w:p>
                  <w:pPr>
                    <w:widowControl/>
                    <w:ind w:firstLine="33" w:firstLineChars="14"/>
                    <w:jc w:val="center"/>
                    <w:rPr>
                      <w:kern w:val="0"/>
                      <w:szCs w:val="21"/>
                    </w:rPr>
                  </w:pPr>
                  <w:r>
                    <w:rPr>
                      <w:kern w:val="0"/>
                      <w:szCs w:val="21"/>
                    </w:rPr>
                    <w:t>固废</w:t>
                  </w:r>
                </w:p>
              </w:tc>
              <w:tc>
                <w:tcPr>
                  <w:tcW w:w="857" w:type="pct"/>
                  <w:vAlign w:val="center"/>
                </w:tcPr>
                <w:p>
                  <w:pPr>
                    <w:jc w:val="center"/>
                    <w:rPr>
                      <w:kern w:val="0"/>
                      <w:szCs w:val="21"/>
                    </w:rPr>
                  </w:pPr>
                  <w:r>
                    <w:rPr>
                      <w:kern w:val="0"/>
                      <w:szCs w:val="21"/>
                    </w:rPr>
                    <w:t>生活垃圾</w:t>
                  </w:r>
                </w:p>
              </w:tc>
              <w:tc>
                <w:tcPr>
                  <w:tcW w:w="2033" w:type="pct"/>
                  <w:vAlign w:val="center"/>
                </w:tcPr>
                <w:p>
                  <w:pPr>
                    <w:widowControl/>
                    <w:ind w:firstLine="12" w:firstLineChars="5"/>
                    <w:jc w:val="center"/>
                    <w:rPr>
                      <w:kern w:val="0"/>
                      <w:szCs w:val="21"/>
                    </w:rPr>
                  </w:pPr>
                  <w:r>
                    <w:rPr>
                      <w:kern w:val="0"/>
                      <w:szCs w:val="21"/>
                    </w:rPr>
                    <w:t>垃圾桶、垃圾箱收集，专职保洁人员，垃圾暂存间，环卫部门清运处理</w:t>
                  </w:r>
                </w:p>
              </w:tc>
              <w:tc>
                <w:tcPr>
                  <w:tcW w:w="615" w:type="pct"/>
                  <w:vAlign w:val="center"/>
                </w:tcPr>
                <w:p>
                  <w:pPr>
                    <w:widowControl/>
                    <w:ind w:firstLine="12" w:firstLineChars="5"/>
                    <w:jc w:val="center"/>
                    <w:rPr>
                      <w:kern w:val="0"/>
                      <w:szCs w:val="21"/>
                    </w:rPr>
                  </w:pPr>
                  <w:r>
                    <w:rPr>
                      <w:kern w:val="0"/>
                      <w:szCs w:val="21"/>
                    </w:rPr>
                    <w:t>0.5</w:t>
                  </w:r>
                </w:p>
              </w:tc>
              <w:tc>
                <w:tcPr>
                  <w:tcW w:w="721" w:type="pct"/>
                  <w:vAlign w:val="center"/>
                </w:tcPr>
                <w:p>
                  <w:pPr>
                    <w:widowControl/>
                    <w:ind w:firstLine="12" w:firstLineChars="5"/>
                    <w:jc w:val="center"/>
                    <w:rPr>
                      <w:kern w:val="0"/>
                      <w:szCs w:val="21"/>
                    </w:rPr>
                  </w:pPr>
                  <w:r>
                    <w:rPr>
                      <w:kern w:val="0"/>
                      <w:szCs w:val="21"/>
                    </w:rPr>
                    <w:t>每年持续投入</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44" w:type="pct"/>
                  <w:vMerge w:val="continue"/>
                  <w:vAlign w:val="center"/>
                </w:tcPr>
                <w:p>
                  <w:pPr>
                    <w:widowControl/>
                    <w:ind w:firstLine="16" w:firstLineChars="7"/>
                    <w:jc w:val="center"/>
                    <w:rPr>
                      <w:kern w:val="0"/>
                      <w:szCs w:val="21"/>
                    </w:rPr>
                  </w:pPr>
                </w:p>
              </w:tc>
              <w:tc>
                <w:tcPr>
                  <w:tcW w:w="430" w:type="pct"/>
                  <w:vMerge w:val="continue"/>
                  <w:vAlign w:val="center"/>
                </w:tcPr>
                <w:p>
                  <w:pPr>
                    <w:widowControl/>
                    <w:ind w:firstLine="33" w:firstLineChars="14"/>
                    <w:jc w:val="center"/>
                    <w:rPr>
                      <w:kern w:val="0"/>
                      <w:szCs w:val="21"/>
                    </w:rPr>
                  </w:pPr>
                </w:p>
              </w:tc>
              <w:tc>
                <w:tcPr>
                  <w:tcW w:w="857" w:type="pct"/>
                  <w:vAlign w:val="center"/>
                </w:tcPr>
                <w:p>
                  <w:pPr>
                    <w:jc w:val="center"/>
                    <w:rPr>
                      <w:kern w:val="0"/>
                      <w:szCs w:val="21"/>
                    </w:rPr>
                  </w:pPr>
                  <w:r>
                    <w:rPr>
                      <w:szCs w:val="21"/>
                    </w:rPr>
                    <w:t>一般工业固废</w:t>
                  </w:r>
                </w:p>
              </w:tc>
              <w:tc>
                <w:tcPr>
                  <w:tcW w:w="2033" w:type="pct"/>
                  <w:vAlign w:val="center"/>
                </w:tcPr>
                <w:p>
                  <w:pPr>
                    <w:widowControl/>
                    <w:ind w:firstLine="12" w:firstLineChars="5"/>
                    <w:jc w:val="center"/>
                    <w:rPr>
                      <w:kern w:val="0"/>
                      <w:szCs w:val="21"/>
                    </w:rPr>
                  </w:pPr>
                  <w:r>
                    <w:rPr>
                      <w:szCs w:val="21"/>
                    </w:rPr>
                    <w:t>项目设立一般固废暂存仓库，分区暂存并做好防治措施，</w:t>
                  </w:r>
                  <w:r>
                    <w:rPr>
                      <w:kern w:val="0"/>
                      <w:szCs w:val="21"/>
                    </w:rPr>
                    <w:t>环卫部门清运处理</w:t>
                  </w:r>
                </w:p>
              </w:tc>
              <w:tc>
                <w:tcPr>
                  <w:tcW w:w="615" w:type="pct"/>
                  <w:vAlign w:val="center"/>
                </w:tcPr>
                <w:p>
                  <w:pPr>
                    <w:widowControl/>
                    <w:ind w:firstLine="12" w:firstLineChars="5"/>
                    <w:jc w:val="center"/>
                    <w:rPr>
                      <w:kern w:val="0"/>
                      <w:szCs w:val="21"/>
                    </w:rPr>
                  </w:pPr>
                  <w:r>
                    <w:rPr>
                      <w:kern w:val="0"/>
                      <w:szCs w:val="21"/>
                    </w:rPr>
                    <w:t>1</w:t>
                  </w:r>
                </w:p>
              </w:tc>
              <w:tc>
                <w:tcPr>
                  <w:tcW w:w="721" w:type="pct"/>
                  <w:vAlign w:val="center"/>
                </w:tcPr>
                <w:p>
                  <w:pPr>
                    <w:widowControl/>
                    <w:ind w:firstLine="12" w:firstLineChars="5"/>
                    <w:jc w:val="center"/>
                    <w:rPr>
                      <w:kern w:val="0"/>
                      <w:szCs w:val="21"/>
                    </w:rPr>
                  </w:pPr>
                  <w:r>
                    <w:rPr>
                      <w:kern w:val="0"/>
                      <w:szCs w:val="21"/>
                    </w:rPr>
                    <w:t>每年持续投入</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44" w:type="pct"/>
                  <w:vMerge w:val="continue"/>
                  <w:vAlign w:val="center"/>
                </w:tcPr>
                <w:p>
                  <w:pPr>
                    <w:widowControl/>
                    <w:ind w:firstLine="16" w:firstLineChars="7"/>
                    <w:jc w:val="center"/>
                    <w:rPr>
                      <w:kern w:val="0"/>
                      <w:szCs w:val="21"/>
                    </w:rPr>
                  </w:pPr>
                </w:p>
              </w:tc>
              <w:tc>
                <w:tcPr>
                  <w:tcW w:w="430" w:type="pct"/>
                  <w:vMerge w:val="continue"/>
                  <w:vAlign w:val="center"/>
                </w:tcPr>
                <w:p>
                  <w:pPr>
                    <w:widowControl/>
                    <w:ind w:firstLine="33" w:firstLineChars="14"/>
                    <w:jc w:val="center"/>
                    <w:rPr>
                      <w:kern w:val="0"/>
                      <w:szCs w:val="21"/>
                    </w:rPr>
                  </w:pPr>
                </w:p>
              </w:tc>
              <w:tc>
                <w:tcPr>
                  <w:tcW w:w="857" w:type="pct"/>
                  <w:vAlign w:val="center"/>
                </w:tcPr>
                <w:p>
                  <w:pPr>
                    <w:jc w:val="center"/>
                    <w:rPr>
                      <w:szCs w:val="21"/>
                    </w:rPr>
                  </w:pPr>
                  <w:r>
                    <w:rPr>
                      <w:szCs w:val="21"/>
                    </w:rPr>
                    <w:t>危险废物</w:t>
                  </w:r>
                </w:p>
              </w:tc>
              <w:tc>
                <w:tcPr>
                  <w:tcW w:w="2033" w:type="pct"/>
                  <w:vAlign w:val="center"/>
                </w:tcPr>
                <w:p>
                  <w:pPr>
                    <w:widowControl/>
                    <w:ind w:firstLine="12" w:firstLineChars="5"/>
                    <w:jc w:val="center"/>
                    <w:rPr>
                      <w:szCs w:val="21"/>
                    </w:rPr>
                  </w:pPr>
                  <w:r>
                    <w:rPr>
                      <w:bCs/>
                      <w:szCs w:val="21"/>
                    </w:rPr>
                    <w:t>设1座危废暂存间，及时交有资质的单位处理并签订处理协议。</w:t>
                  </w:r>
                </w:p>
              </w:tc>
              <w:tc>
                <w:tcPr>
                  <w:tcW w:w="615" w:type="pct"/>
                  <w:vAlign w:val="center"/>
                </w:tcPr>
                <w:p>
                  <w:pPr>
                    <w:widowControl/>
                    <w:ind w:firstLine="12" w:firstLineChars="5"/>
                    <w:jc w:val="center"/>
                    <w:rPr>
                      <w:kern w:val="0"/>
                      <w:szCs w:val="21"/>
                    </w:rPr>
                  </w:pPr>
                  <w:r>
                    <w:rPr>
                      <w:kern w:val="0"/>
                      <w:szCs w:val="21"/>
                    </w:rPr>
                    <w:t>2</w:t>
                  </w:r>
                </w:p>
              </w:tc>
              <w:tc>
                <w:tcPr>
                  <w:tcW w:w="721" w:type="pct"/>
                  <w:vAlign w:val="center"/>
                </w:tcPr>
                <w:p>
                  <w:pPr>
                    <w:widowControl/>
                    <w:ind w:firstLine="12" w:firstLineChars="5"/>
                    <w:jc w:val="center"/>
                    <w:rPr>
                      <w:kern w:val="0"/>
                      <w:szCs w:val="21"/>
                    </w:rPr>
                  </w:pPr>
                  <w:r>
                    <w:rPr>
                      <w:kern w:val="0"/>
                      <w:szCs w:val="21"/>
                    </w:rPr>
                    <w:t>每年持续投入</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1631" w:type="pct"/>
                  <w:gridSpan w:val="3"/>
                  <w:vAlign w:val="center"/>
                </w:tcPr>
                <w:p>
                  <w:pPr>
                    <w:jc w:val="center"/>
                    <w:rPr>
                      <w:kern w:val="0"/>
                      <w:szCs w:val="21"/>
                    </w:rPr>
                  </w:pPr>
                  <w:r>
                    <w:rPr>
                      <w:kern w:val="0"/>
                      <w:szCs w:val="21"/>
                    </w:rPr>
                    <w:t>环境风险</w:t>
                  </w:r>
                </w:p>
              </w:tc>
              <w:tc>
                <w:tcPr>
                  <w:tcW w:w="2033" w:type="pct"/>
                  <w:vAlign w:val="center"/>
                </w:tcPr>
                <w:p>
                  <w:pPr>
                    <w:widowControl/>
                    <w:ind w:firstLine="12" w:firstLineChars="5"/>
                    <w:jc w:val="center"/>
                    <w:rPr>
                      <w:szCs w:val="21"/>
                    </w:rPr>
                  </w:pPr>
                  <w:r>
                    <w:rPr>
                      <w:szCs w:val="21"/>
                    </w:rPr>
                    <w:t>灭火器、消防栓、防渗措施、事故应急池、泄漏预警装置等</w:t>
                  </w:r>
                </w:p>
              </w:tc>
              <w:tc>
                <w:tcPr>
                  <w:tcW w:w="615" w:type="pct"/>
                  <w:vAlign w:val="center"/>
                </w:tcPr>
                <w:p>
                  <w:pPr>
                    <w:widowControl/>
                    <w:ind w:firstLine="12" w:firstLineChars="5"/>
                    <w:jc w:val="center"/>
                    <w:rPr>
                      <w:kern w:val="0"/>
                      <w:szCs w:val="21"/>
                    </w:rPr>
                  </w:pPr>
                  <w:r>
                    <w:rPr>
                      <w:kern w:val="0"/>
                      <w:szCs w:val="21"/>
                    </w:rPr>
                    <w:t>8</w:t>
                  </w:r>
                </w:p>
              </w:tc>
              <w:tc>
                <w:tcPr>
                  <w:tcW w:w="721" w:type="pct"/>
                  <w:vAlign w:val="center"/>
                </w:tcPr>
                <w:p>
                  <w:pPr>
                    <w:widowControl/>
                    <w:ind w:firstLine="12" w:firstLineChars="5"/>
                    <w:jc w:val="center"/>
                    <w:rPr>
                      <w:kern w:val="0"/>
                      <w:szCs w:val="21"/>
                    </w:rPr>
                  </w:pPr>
                  <w:r>
                    <w:rPr>
                      <w:kern w:val="0"/>
                      <w:szCs w:val="21"/>
                    </w:rPr>
                    <w:t>计入基建</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1631" w:type="pct"/>
                  <w:gridSpan w:val="3"/>
                  <w:vAlign w:val="center"/>
                </w:tcPr>
                <w:p>
                  <w:pPr>
                    <w:widowControl/>
                    <w:ind w:firstLine="420"/>
                    <w:jc w:val="center"/>
                    <w:rPr>
                      <w:kern w:val="0"/>
                      <w:szCs w:val="21"/>
                    </w:rPr>
                  </w:pPr>
                  <w:r>
                    <w:rPr>
                      <w:kern w:val="0"/>
                      <w:szCs w:val="21"/>
                    </w:rPr>
                    <w:t>合计</w:t>
                  </w:r>
                </w:p>
              </w:tc>
              <w:tc>
                <w:tcPr>
                  <w:tcW w:w="2033" w:type="pct"/>
                  <w:vAlign w:val="center"/>
                </w:tcPr>
                <w:p>
                  <w:pPr>
                    <w:widowControl/>
                    <w:ind w:firstLine="420"/>
                    <w:jc w:val="center"/>
                    <w:rPr>
                      <w:kern w:val="0"/>
                      <w:szCs w:val="21"/>
                    </w:rPr>
                  </w:pPr>
                  <w:r>
                    <w:rPr>
                      <w:kern w:val="0"/>
                      <w:szCs w:val="21"/>
                    </w:rPr>
                    <w:t>/</w:t>
                  </w:r>
                </w:p>
              </w:tc>
              <w:tc>
                <w:tcPr>
                  <w:tcW w:w="615" w:type="pct"/>
                  <w:vAlign w:val="center"/>
                </w:tcPr>
                <w:p>
                  <w:pPr>
                    <w:widowControl/>
                    <w:jc w:val="center"/>
                    <w:rPr>
                      <w:kern w:val="0"/>
                      <w:szCs w:val="21"/>
                    </w:rPr>
                  </w:pPr>
                  <w:r>
                    <w:rPr>
                      <w:kern w:val="0"/>
                      <w:szCs w:val="21"/>
                    </w:rPr>
                    <w:t>128.5</w:t>
                  </w:r>
                </w:p>
              </w:tc>
              <w:tc>
                <w:tcPr>
                  <w:tcW w:w="721" w:type="pct"/>
                  <w:vAlign w:val="center"/>
                </w:tcPr>
                <w:p>
                  <w:pPr>
                    <w:widowControl/>
                    <w:ind w:firstLine="420"/>
                    <w:jc w:val="center"/>
                    <w:rPr>
                      <w:kern w:val="0"/>
                      <w:szCs w:val="21"/>
                    </w:rPr>
                  </w:pPr>
                  <w:r>
                    <w:rPr>
                      <w:kern w:val="0"/>
                      <w:szCs w:val="21"/>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72" w:hRule="atLeast"/>
                <w:jc w:val="center"/>
              </w:trPr>
              <w:tc>
                <w:tcPr>
                  <w:tcW w:w="5000" w:type="pct"/>
                  <w:gridSpan w:val="6"/>
                  <w:vAlign w:val="center"/>
                </w:tcPr>
                <w:p>
                  <w:pPr>
                    <w:widowControl/>
                    <w:ind w:firstLine="422"/>
                    <w:jc w:val="center"/>
                    <w:rPr>
                      <w:b/>
                      <w:bCs/>
                      <w:kern w:val="0"/>
                      <w:szCs w:val="21"/>
                    </w:rPr>
                  </w:pPr>
                  <w:r>
                    <w:rPr>
                      <w:b/>
                      <w:bCs/>
                      <w:kern w:val="0"/>
                      <w:szCs w:val="21"/>
                    </w:rPr>
                    <w:t>项目总投资3500万元，新增环保投资128.5万元，占总投资3.7%</w:t>
                  </w:r>
                </w:p>
              </w:tc>
            </w:tr>
          </w:tbl>
          <w:p>
            <w:pPr>
              <w:adjustRightInd w:val="0"/>
              <w:snapToGrid w:val="0"/>
              <w:spacing w:line="360" w:lineRule="auto"/>
              <w:rPr>
                <w:bCs/>
                <w:spacing w:val="-10"/>
                <w:szCs w:val="21"/>
              </w:rPr>
            </w:pPr>
          </w:p>
          <w:p>
            <w:pPr>
              <w:adjustRightInd w:val="0"/>
              <w:snapToGrid w:val="0"/>
              <w:spacing w:line="360" w:lineRule="auto"/>
              <w:rPr>
                <w:bCs/>
                <w:spacing w:val="-10"/>
                <w:szCs w:val="21"/>
              </w:rPr>
            </w:pPr>
          </w:p>
        </w:tc>
      </w:tr>
    </w:tbl>
    <w:p>
      <w:pPr>
        <w:adjustRightInd w:val="0"/>
        <w:snapToGrid w:val="0"/>
        <w:spacing w:line="360" w:lineRule="auto"/>
        <w:rPr>
          <w:b/>
          <w:kern w:val="0"/>
          <w:sz w:val="28"/>
          <w:szCs w:val="28"/>
        </w:rPr>
        <w:sectPr>
          <w:pgSz w:w="11907" w:h="16840"/>
          <w:pgMar w:top="1701" w:right="1531" w:bottom="2127" w:left="1531" w:header="851" w:footer="851" w:gutter="0"/>
          <w:cols w:space="720" w:num="1"/>
          <w:docGrid w:linePitch="312" w:charSpace="0"/>
        </w:sectPr>
      </w:pPr>
    </w:p>
    <w:p>
      <w:pPr>
        <w:pStyle w:val="33"/>
        <w:outlineLvl w:val="0"/>
        <w:rPr>
          <w:rFonts w:ascii="Times New Roman" w:hAnsi="Times New Roman" w:eastAsia="黑体"/>
          <w:snapToGrid w:val="0"/>
          <w:sz w:val="30"/>
          <w:szCs w:val="30"/>
        </w:rPr>
      </w:pPr>
      <w:bookmarkStart w:id="28" w:name="_Toc99010640"/>
      <w:r>
        <w:rPr>
          <w:rFonts w:ascii="Times New Roman" w:hAnsi="Times New Roman" w:eastAsia="黑体"/>
          <w:snapToGrid w:val="0"/>
          <w:sz w:val="30"/>
          <w:szCs w:val="30"/>
        </w:rPr>
        <w:t>五、</w:t>
      </w:r>
      <w:bookmarkStart w:id="29" w:name="_Hlk54167917"/>
      <w:r>
        <w:rPr>
          <w:rFonts w:ascii="Times New Roman" w:hAnsi="Times New Roman" w:eastAsia="黑体"/>
          <w:snapToGrid w:val="0"/>
          <w:sz w:val="30"/>
          <w:szCs w:val="30"/>
        </w:rPr>
        <w:t>环境保护措施监督检查清单</w:t>
      </w:r>
      <w:bookmarkEnd w:id="28"/>
      <w:bookmarkEnd w:id="29"/>
    </w:p>
    <w:tbl>
      <w:tblPr>
        <w:tblStyle w:val="3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755"/>
        <w:gridCol w:w="1705"/>
        <w:gridCol w:w="1508"/>
        <w:gridCol w:w="1902"/>
        <w:gridCol w:w="2190"/>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trHeight w:val="425" w:hRule="atLeast"/>
          <w:jc w:val="center"/>
        </w:trPr>
        <w:tc>
          <w:tcPr>
            <w:tcW w:w="1778" w:type="dxa"/>
            <w:tcBorders>
              <w:tl2br w:val="single" w:color="auto" w:sz="4" w:space="0"/>
            </w:tcBorders>
          </w:tcPr>
          <w:p>
            <w:pPr>
              <w:adjustRightInd w:val="0"/>
              <w:snapToGrid w:val="0"/>
              <w:ind w:firstLine="840"/>
              <w:rPr>
                <w:b/>
                <w:bCs/>
                <w:szCs w:val="21"/>
              </w:rPr>
            </w:pPr>
            <w:r>
              <w:rPr>
                <w:b/>
                <w:bCs/>
                <w:szCs w:val="21"/>
              </w:rPr>
              <w:t>内容</w:t>
            </w:r>
          </w:p>
          <w:p>
            <w:pPr>
              <w:adjustRightInd w:val="0"/>
              <w:snapToGrid w:val="0"/>
              <w:rPr>
                <w:b/>
                <w:bCs/>
                <w:szCs w:val="21"/>
              </w:rPr>
            </w:pPr>
            <w:r>
              <w:rPr>
                <w:b/>
                <w:bCs/>
                <w:szCs w:val="21"/>
              </w:rPr>
              <w:t>要素</w:t>
            </w:r>
          </w:p>
        </w:tc>
        <w:tc>
          <w:tcPr>
            <w:tcW w:w="1755" w:type="dxa"/>
            <w:vAlign w:val="center"/>
          </w:tcPr>
          <w:p>
            <w:pPr>
              <w:adjustRightInd w:val="0"/>
              <w:snapToGrid w:val="0"/>
              <w:jc w:val="center"/>
              <w:rPr>
                <w:b/>
                <w:bCs/>
                <w:szCs w:val="21"/>
              </w:rPr>
            </w:pPr>
            <w:r>
              <w:rPr>
                <w:b/>
                <w:bCs/>
                <w:szCs w:val="21"/>
              </w:rPr>
              <w:t>排放口(编号、</w:t>
            </w:r>
          </w:p>
          <w:p>
            <w:pPr>
              <w:adjustRightInd w:val="0"/>
              <w:snapToGrid w:val="0"/>
              <w:jc w:val="center"/>
              <w:rPr>
                <w:b/>
                <w:bCs/>
                <w:szCs w:val="21"/>
              </w:rPr>
            </w:pPr>
            <w:r>
              <w:rPr>
                <w:b/>
                <w:bCs/>
                <w:szCs w:val="21"/>
              </w:rPr>
              <w:t>名称)/污染源</w:t>
            </w:r>
          </w:p>
        </w:tc>
        <w:tc>
          <w:tcPr>
            <w:tcW w:w="1548" w:type="dxa"/>
            <w:vAlign w:val="center"/>
          </w:tcPr>
          <w:p>
            <w:pPr>
              <w:adjustRightInd w:val="0"/>
              <w:snapToGrid w:val="0"/>
              <w:jc w:val="center"/>
              <w:rPr>
                <w:b/>
                <w:bCs/>
                <w:szCs w:val="21"/>
              </w:rPr>
            </w:pPr>
            <w:r>
              <w:rPr>
                <w:b/>
                <w:bCs/>
                <w:szCs w:val="21"/>
              </w:rPr>
              <w:t>污染物项目</w:t>
            </w:r>
          </w:p>
        </w:tc>
        <w:tc>
          <w:tcPr>
            <w:tcW w:w="1962" w:type="dxa"/>
            <w:vAlign w:val="center"/>
          </w:tcPr>
          <w:p>
            <w:pPr>
              <w:adjustRightInd w:val="0"/>
              <w:snapToGrid w:val="0"/>
              <w:jc w:val="center"/>
              <w:rPr>
                <w:b/>
                <w:bCs/>
                <w:szCs w:val="21"/>
              </w:rPr>
            </w:pPr>
            <w:r>
              <w:rPr>
                <w:b/>
                <w:bCs/>
                <w:szCs w:val="21"/>
              </w:rPr>
              <w:t>环境保护措施</w:t>
            </w:r>
          </w:p>
        </w:tc>
        <w:tc>
          <w:tcPr>
            <w:tcW w:w="1757" w:type="dxa"/>
            <w:vAlign w:val="center"/>
          </w:tcPr>
          <w:p>
            <w:pPr>
              <w:adjustRightInd w:val="0"/>
              <w:snapToGrid w:val="0"/>
              <w:jc w:val="center"/>
              <w:rPr>
                <w:b/>
                <w:bCs/>
                <w:szCs w:val="21"/>
              </w:rPr>
            </w:pPr>
            <w:r>
              <w:rPr>
                <w:b/>
                <w:bCs/>
                <w:szCs w:val="21"/>
              </w:rPr>
              <w:t>执行标准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778" w:type="dxa"/>
            <w:vAlign w:val="center"/>
          </w:tcPr>
          <w:p>
            <w:pPr>
              <w:adjustRightInd w:val="0"/>
              <w:snapToGrid w:val="0"/>
              <w:jc w:val="center"/>
              <w:rPr>
                <w:szCs w:val="21"/>
              </w:rPr>
            </w:pPr>
            <w:r>
              <w:rPr>
                <w:szCs w:val="21"/>
              </w:rPr>
              <w:t>大气环境</w:t>
            </w:r>
          </w:p>
        </w:tc>
        <w:tc>
          <w:tcPr>
            <w:tcW w:w="1755" w:type="dxa"/>
            <w:vAlign w:val="center"/>
          </w:tcPr>
          <w:p>
            <w:pPr>
              <w:adjustRightInd w:val="0"/>
              <w:snapToGrid w:val="0"/>
              <w:jc w:val="center"/>
              <w:rPr>
                <w:szCs w:val="21"/>
              </w:rPr>
            </w:pPr>
            <w:r>
              <w:rPr>
                <w:szCs w:val="21"/>
              </w:rPr>
              <w:t>工艺粉尘</w:t>
            </w:r>
          </w:p>
        </w:tc>
        <w:tc>
          <w:tcPr>
            <w:tcW w:w="1548" w:type="dxa"/>
            <w:vAlign w:val="center"/>
          </w:tcPr>
          <w:p>
            <w:pPr>
              <w:adjustRightInd w:val="0"/>
              <w:snapToGrid w:val="0"/>
              <w:jc w:val="center"/>
              <w:rPr>
                <w:szCs w:val="21"/>
              </w:rPr>
            </w:pPr>
            <w:r>
              <w:rPr>
                <w:kern w:val="0"/>
                <w:szCs w:val="21"/>
              </w:rPr>
              <w:t>颗粒物</w:t>
            </w:r>
          </w:p>
        </w:tc>
        <w:tc>
          <w:tcPr>
            <w:tcW w:w="1962" w:type="dxa"/>
            <w:vAlign w:val="center"/>
          </w:tcPr>
          <w:p>
            <w:pPr>
              <w:adjustRightInd w:val="0"/>
              <w:snapToGrid w:val="0"/>
              <w:jc w:val="center"/>
              <w:rPr>
                <w:szCs w:val="21"/>
              </w:rPr>
            </w:pPr>
            <w:r>
              <w:rPr>
                <w:szCs w:val="21"/>
              </w:rPr>
              <w:t>厂房密闭，湿法作业、洒水降尘等</w:t>
            </w:r>
          </w:p>
        </w:tc>
        <w:tc>
          <w:tcPr>
            <w:tcW w:w="1757" w:type="dxa"/>
            <w:vAlign w:val="center"/>
          </w:tcPr>
          <w:p>
            <w:pPr>
              <w:adjustRightInd w:val="0"/>
              <w:snapToGrid w:val="0"/>
              <w:jc w:val="center"/>
              <w:rPr>
                <w:szCs w:val="21"/>
              </w:rPr>
            </w:pPr>
            <w:r>
              <w:rPr>
                <w:szCs w:val="21"/>
              </w:rPr>
              <w:t>《大气污染物综合排放标准》（GB16297-1996）</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trHeight w:val="425" w:hRule="atLeast"/>
          <w:jc w:val="center"/>
        </w:trPr>
        <w:tc>
          <w:tcPr>
            <w:tcW w:w="1778" w:type="dxa"/>
            <w:vMerge w:val="restart"/>
            <w:vAlign w:val="center"/>
          </w:tcPr>
          <w:p>
            <w:pPr>
              <w:adjustRightInd w:val="0"/>
              <w:snapToGrid w:val="0"/>
              <w:jc w:val="center"/>
              <w:rPr>
                <w:szCs w:val="21"/>
              </w:rPr>
            </w:pPr>
            <w:r>
              <w:rPr>
                <w:szCs w:val="21"/>
              </w:rPr>
              <w:t>地表水环境</w:t>
            </w:r>
          </w:p>
        </w:tc>
        <w:tc>
          <w:tcPr>
            <w:tcW w:w="1755" w:type="dxa"/>
            <w:vAlign w:val="center"/>
          </w:tcPr>
          <w:p>
            <w:pPr>
              <w:adjustRightInd w:val="0"/>
              <w:snapToGrid w:val="0"/>
              <w:jc w:val="center"/>
              <w:rPr>
                <w:szCs w:val="21"/>
              </w:rPr>
            </w:pPr>
            <w:r>
              <w:rPr>
                <w:szCs w:val="21"/>
              </w:rPr>
              <w:t>生活污水</w:t>
            </w:r>
          </w:p>
        </w:tc>
        <w:tc>
          <w:tcPr>
            <w:tcW w:w="1548" w:type="dxa"/>
            <w:vAlign w:val="center"/>
          </w:tcPr>
          <w:p>
            <w:pPr>
              <w:adjustRightInd w:val="0"/>
              <w:snapToGrid w:val="0"/>
              <w:jc w:val="center"/>
              <w:rPr>
                <w:szCs w:val="21"/>
              </w:rPr>
            </w:pPr>
            <w:r>
              <w:rPr>
                <w:szCs w:val="21"/>
              </w:rPr>
              <w:t>pH值、化学需氧量、五日生化需氧量、悬浮物、氨氮、动植物油、磷酸盐等</w:t>
            </w:r>
          </w:p>
        </w:tc>
        <w:tc>
          <w:tcPr>
            <w:tcW w:w="1962" w:type="dxa"/>
            <w:vAlign w:val="center"/>
          </w:tcPr>
          <w:p>
            <w:pPr>
              <w:adjustRightInd w:val="0"/>
              <w:snapToGrid w:val="0"/>
              <w:jc w:val="center"/>
              <w:rPr>
                <w:szCs w:val="21"/>
              </w:rPr>
            </w:pPr>
            <w:r>
              <w:rPr>
                <w:szCs w:val="21"/>
              </w:rPr>
              <w:t>生活污水经一体化污水处理设施处理后回用生产，不外排</w:t>
            </w:r>
          </w:p>
        </w:tc>
        <w:tc>
          <w:tcPr>
            <w:tcW w:w="1757" w:type="dxa"/>
            <w:vAlign w:val="center"/>
          </w:tcPr>
          <w:p>
            <w:pPr>
              <w:adjustRightInd w:val="0"/>
              <w:snapToGrid w:val="0"/>
              <w:jc w:val="center"/>
              <w:rPr>
                <w:szCs w:val="21"/>
              </w:rPr>
            </w:pPr>
            <w:r>
              <w:rPr>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trHeight w:val="425" w:hRule="atLeast"/>
          <w:jc w:val="center"/>
        </w:trPr>
        <w:tc>
          <w:tcPr>
            <w:tcW w:w="1778" w:type="dxa"/>
            <w:vMerge w:val="continue"/>
            <w:vAlign w:val="center"/>
          </w:tcPr>
          <w:p>
            <w:pPr>
              <w:adjustRightInd w:val="0"/>
              <w:snapToGrid w:val="0"/>
              <w:jc w:val="center"/>
              <w:rPr>
                <w:szCs w:val="21"/>
              </w:rPr>
            </w:pPr>
          </w:p>
        </w:tc>
        <w:tc>
          <w:tcPr>
            <w:tcW w:w="1755" w:type="dxa"/>
            <w:vAlign w:val="center"/>
          </w:tcPr>
          <w:p>
            <w:pPr>
              <w:adjustRightInd w:val="0"/>
              <w:snapToGrid w:val="0"/>
              <w:jc w:val="center"/>
              <w:rPr>
                <w:szCs w:val="21"/>
              </w:rPr>
            </w:pPr>
            <w:r>
              <w:rPr>
                <w:szCs w:val="21"/>
              </w:rPr>
              <w:t>生产废水</w:t>
            </w:r>
          </w:p>
        </w:tc>
        <w:tc>
          <w:tcPr>
            <w:tcW w:w="1548" w:type="dxa"/>
            <w:vAlign w:val="center"/>
          </w:tcPr>
          <w:p>
            <w:pPr>
              <w:adjustRightInd w:val="0"/>
              <w:snapToGrid w:val="0"/>
              <w:jc w:val="center"/>
              <w:rPr>
                <w:szCs w:val="21"/>
              </w:rPr>
            </w:pPr>
            <w:r>
              <w:rPr>
                <w:szCs w:val="21"/>
              </w:rPr>
              <w:t>pH值、化学需氧量、五日生化需氧量、悬浮物、氨氮等</w:t>
            </w:r>
          </w:p>
        </w:tc>
        <w:tc>
          <w:tcPr>
            <w:tcW w:w="1962" w:type="dxa"/>
            <w:vAlign w:val="center"/>
          </w:tcPr>
          <w:p>
            <w:pPr>
              <w:adjustRightInd w:val="0"/>
              <w:snapToGrid w:val="0"/>
              <w:jc w:val="center"/>
              <w:rPr>
                <w:szCs w:val="21"/>
              </w:rPr>
            </w:pPr>
            <w:r>
              <w:rPr>
                <w:szCs w:val="21"/>
              </w:rPr>
              <w:t>循环使用，不外排</w:t>
            </w:r>
          </w:p>
        </w:tc>
        <w:tc>
          <w:tcPr>
            <w:tcW w:w="1757" w:type="dxa"/>
            <w:vAlign w:val="center"/>
          </w:tcPr>
          <w:p>
            <w:pPr>
              <w:adjustRightInd w:val="0"/>
              <w:snapToGrid w:val="0"/>
              <w:jc w:val="center"/>
              <w:rPr>
                <w:szCs w:val="21"/>
              </w:rPr>
            </w:pPr>
            <w:r>
              <w:rPr>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778" w:type="dxa"/>
            <w:vAlign w:val="center"/>
          </w:tcPr>
          <w:p>
            <w:pPr>
              <w:adjustRightInd w:val="0"/>
              <w:snapToGrid w:val="0"/>
              <w:jc w:val="center"/>
              <w:rPr>
                <w:szCs w:val="21"/>
              </w:rPr>
            </w:pPr>
            <w:r>
              <w:rPr>
                <w:szCs w:val="21"/>
              </w:rPr>
              <w:t>声环境</w:t>
            </w:r>
          </w:p>
        </w:tc>
        <w:tc>
          <w:tcPr>
            <w:tcW w:w="1755" w:type="dxa"/>
            <w:vAlign w:val="center"/>
          </w:tcPr>
          <w:p>
            <w:pPr>
              <w:adjustRightInd w:val="0"/>
              <w:snapToGrid w:val="0"/>
              <w:jc w:val="center"/>
              <w:rPr>
                <w:szCs w:val="21"/>
              </w:rPr>
            </w:pPr>
            <w:r>
              <w:rPr>
                <w:szCs w:val="21"/>
              </w:rPr>
              <w:t>生产设备噪声</w:t>
            </w:r>
          </w:p>
        </w:tc>
        <w:tc>
          <w:tcPr>
            <w:tcW w:w="1548" w:type="dxa"/>
            <w:vAlign w:val="center"/>
          </w:tcPr>
          <w:p>
            <w:pPr>
              <w:adjustRightInd w:val="0"/>
              <w:snapToGrid w:val="0"/>
              <w:jc w:val="center"/>
              <w:rPr>
                <w:szCs w:val="21"/>
              </w:rPr>
            </w:pPr>
            <w:r>
              <w:rPr>
                <w:szCs w:val="21"/>
              </w:rPr>
              <w:t>等效声级</w:t>
            </w:r>
          </w:p>
        </w:tc>
        <w:tc>
          <w:tcPr>
            <w:tcW w:w="1962" w:type="dxa"/>
            <w:vAlign w:val="center"/>
          </w:tcPr>
          <w:p>
            <w:pPr>
              <w:adjustRightInd w:val="0"/>
              <w:snapToGrid w:val="0"/>
              <w:jc w:val="center"/>
              <w:rPr>
                <w:szCs w:val="21"/>
              </w:rPr>
            </w:pPr>
            <w:r>
              <w:rPr>
                <w:szCs w:val="21"/>
              </w:rPr>
              <w:t>采取隔音、降噪、减振等措施</w:t>
            </w:r>
          </w:p>
        </w:tc>
        <w:tc>
          <w:tcPr>
            <w:tcW w:w="1757" w:type="dxa"/>
            <w:vAlign w:val="center"/>
          </w:tcPr>
          <w:p>
            <w:pPr>
              <w:adjustRightInd w:val="0"/>
              <w:snapToGrid w:val="0"/>
              <w:jc w:val="center"/>
              <w:rPr>
                <w:szCs w:val="21"/>
              </w:rPr>
            </w:pPr>
            <w:r>
              <w:rPr>
                <w:szCs w:val="21"/>
              </w:rPr>
              <w:t>《工业企业厂界环境噪声排放标准》（GB 12348-2008）3类标准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778" w:type="dxa"/>
            <w:vAlign w:val="center"/>
          </w:tcPr>
          <w:p>
            <w:pPr>
              <w:adjustRightInd w:val="0"/>
              <w:snapToGrid w:val="0"/>
              <w:jc w:val="center"/>
              <w:rPr>
                <w:szCs w:val="21"/>
              </w:rPr>
            </w:pPr>
            <w:r>
              <w:rPr>
                <w:szCs w:val="21"/>
              </w:rPr>
              <w:t>电磁辐射</w:t>
            </w:r>
          </w:p>
        </w:tc>
        <w:tc>
          <w:tcPr>
            <w:tcW w:w="1755" w:type="dxa"/>
            <w:vAlign w:val="center"/>
          </w:tcPr>
          <w:p>
            <w:pPr>
              <w:adjustRightInd w:val="0"/>
              <w:snapToGrid w:val="0"/>
              <w:jc w:val="center"/>
              <w:rPr>
                <w:szCs w:val="21"/>
              </w:rPr>
            </w:pPr>
            <w:r>
              <w:rPr>
                <w:szCs w:val="21"/>
              </w:rPr>
              <w:t>/</w:t>
            </w:r>
          </w:p>
        </w:tc>
        <w:tc>
          <w:tcPr>
            <w:tcW w:w="1548" w:type="dxa"/>
            <w:vAlign w:val="center"/>
          </w:tcPr>
          <w:p>
            <w:pPr>
              <w:adjustRightInd w:val="0"/>
              <w:snapToGrid w:val="0"/>
              <w:jc w:val="center"/>
              <w:rPr>
                <w:szCs w:val="21"/>
              </w:rPr>
            </w:pPr>
            <w:r>
              <w:rPr>
                <w:szCs w:val="21"/>
              </w:rPr>
              <w:t>/</w:t>
            </w:r>
          </w:p>
        </w:tc>
        <w:tc>
          <w:tcPr>
            <w:tcW w:w="1962" w:type="dxa"/>
            <w:vAlign w:val="center"/>
          </w:tcPr>
          <w:p>
            <w:pPr>
              <w:adjustRightInd w:val="0"/>
              <w:snapToGrid w:val="0"/>
              <w:jc w:val="center"/>
              <w:rPr>
                <w:szCs w:val="21"/>
              </w:rPr>
            </w:pPr>
            <w:r>
              <w:rPr>
                <w:szCs w:val="21"/>
              </w:rPr>
              <w:t>/</w:t>
            </w:r>
          </w:p>
        </w:tc>
        <w:tc>
          <w:tcPr>
            <w:tcW w:w="1757" w:type="dxa"/>
            <w:vAlign w:val="center"/>
          </w:tcPr>
          <w:p>
            <w:pPr>
              <w:adjustRightInd w:val="0"/>
              <w:snapToGrid w:val="0"/>
              <w:jc w:val="center"/>
              <w:rPr>
                <w:szCs w:val="21"/>
              </w:rPr>
            </w:pPr>
            <w:r>
              <w:rPr>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trHeight w:val="1276" w:hRule="atLeast"/>
          <w:jc w:val="center"/>
        </w:trPr>
        <w:tc>
          <w:tcPr>
            <w:tcW w:w="1778" w:type="dxa"/>
            <w:vAlign w:val="center"/>
          </w:tcPr>
          <w:p>
            <w:pPr>
              <w:adjustRightInd w:val="0"/>
              <w:snapToGrid w:val="0"/>
              <w:jc w:val="center"/>
              <w:rPr>
                <w:szCs w:val="21"/>
              </w:rPr>
            </w:pPr>
            <w:r>
              <w:rPr>
                <w:szCs w:val="21"/>
              </w:rPr>
              <w:t>固体废物</w:t>
            </w:r>
          </w:p>
        </w:tc>
        <w:tc>
          <w:tcPr>
            <w:tcW w:w="7022" w:type="dxa"/>
            <w:gridSpan w:val="4"/>
            <w:vAlign w:val="center"/>
          </w:tcPr>
          <w:p>
            <w:pPr>
              <w:adjustRightInd w:val="0"/>
              <w:snapToGrid w:val="0"/>
              <w:spacing w:line="360" w:lineRule="auto"/>
              <w:ind w:firstLine="480" w:firstLineChars="200"/>
              <w:jc w:val="left"/>
              <w:rPr>
                <w:szCs w:val="21"/>
              </w:rPr>
            </w:pPr>
            <w:r>
              <w:rPr>
                <w:szCs w:val="21"/>
              </w:rPr>
              <w:t>项目固体废物主要包括一般工业固体废物未燃尽垃圾、循环池污泥、废机油、人工分拣杂物、可燃物，生活垃圾等。</w:t>
            </w:r>
          </w:p>
          <w:tbl>
            <w:tblPr>
              <w:tblStyle w:val="38"/>
              <w:tblW w:w="0" w:type="auto"/>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564"/>
              <w:gridCol w:w="1442"/>
              <w:gridCol w:w="564"/>
              <w:gridCol w:w="837"/>
              <w:gridCol w:w="3682"/>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198" w:hRule="atLeast"/>
                <w:jc w:val="center"/>
              </w:trPr>
              <w:tc>
                <w:tcPr>
                  <w:tcW w:w="0" w:type="auto"/>
                  <w:vAlign w:val="center"/>
                </w:tcPr>
                <w:p>
                  <w:pPr>
                    <w:widowControl/>
                    <w:jc w:val="center"/>
                    <w:rPr>
                      <w:b/>
                      <w:bCs/>
                      <w:szCs w:val="21"/>
                    </w:rPr>
                  </w:pPr>
                  <w:r>
                    <w:rPr>
                      <w:b/>
                      <w:bCs/>
                      <w:szCs w:val="21"/>
                    </w:rPr>
                    <w:t>序号</w:t>
                  </w:r>
                </w:p>
              </w:tc>
              <w:tc>
                <w:tcPr>
                  <w:tcW w:w="0" w:type="auto"/>
                  <w:vAlign w:val="center"/>
                </w:tcPr>
                <w:p>
                  <w:pPr>
                    <w:widowControl/>
                    <w:jc w:val="center"/>
                    <w:rPr>
                      <w:b/>
                      <w:bCs/>
                      <w:szCs w:val="21"/>
                    </w:rPr>
                  </w:pPr>
                  <w:r>
                    <w:rPr>
                      <w:b/>
                      <w:bCs/>
                      <w:szCs w:val="21"/>
                    </w:rPr>
                    <w:t>污染物</w:t>
                  </w:r>
                </w:p>
              </w:tc>
              <w:tc>
                <w:tcPr>
                  <w:tcW w:w="0" w:type="auto"/>
                  <w:vAlign w:val="center"/>
                </w:tcPr>
                <w:p>
                  <w:pPr>
                    <w:widowControl/>
                    <w:jc w:val="center"/>
                    <w:rPr>
                      <w:b/>
                      <w:bCs/>
                      <w:szCs w:val="21"/>
                    </w:rPr>
                  </w:pPr>
                  <w:r>
                    <w:rPr>
                      <w:b/>
                      <w:bCs/>
                      <w:szCs w:val="21"/>
                    </w:rPr>
                    <w:t>单位</w:t>
                  </w:r>
                </w:p>
              </w:tc>
              <w:tc>
                <w:tcPr>
                  <w:tcW w:w="0" w:type="auto"/>
                  <w:vAlign w:val="center"/>
                </w:tcPr>
                <w:p>
                  <w:pPr>
                    <w:widowControl/>
                    <w:ind w:left="103" w:hanging="118" w:hangingChars="49"/>
                    <w:jc w:val="center"/>
                    <w:rPr>
                      <w:b/>
                      <w:bCs/>
                      <w:szCs w:val="21"/>
                    </w:rPr>
                  </w:pPr>
                  <w:r>
                    <w:rPr>
                      <w:b/>
                      <w:bCs/>
                      <w:szCs w:val="21"/>
                    </w:rPr>
                    <w:t>产生量</w:t>
                  </w:r>
                </w:p>
              </w:tc>
              <w:tc>
                <w:tcPr>
                  <w:tcW w:w="0" w:type="auto"/>
                  <w:vAlign w:val="center"/>
                </w:tcPr>
                <w:p>
                  <w:pPr>
                    <w:widowControl/>
                    <w:jc w:val="center"/>
                    <w:rPr>
                      <w:b/>
                      <w:bCs/>
                      <w:szCs w:val="21"/>
                    </w:rPr>
                  </w:pPr>
                  <w:r>
                    <w:rPr>
                      <w:b/>
                      <w:bCs/>
                      <w:szCs w:val="21"/>
                    </w:rPr>
                    <w:t>排放去向</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198" w:hRule="atLeast"/>
                <w:jc w:val="center"/>
              </w:trPr>
              <w:tc>
                <w:tcPr>
                  <w:tcW w:w="0" w:type="auto"/>
                  <w:vAlign w:val="center"/>
                </w:tcPr>
                <w:p>
                  <w:pPr>
                    <w:widowControl/>
                    <w:jc w:val="center"/>
                    <w:rPr>
                      <w:bCs/>
                      <w:szCs w:val="21"/>
                    </w:rPr>
                  </w:pPr>
                  <w:r>
                    <w:rPr>
                      <w:bCs/>
                      <w:szCs w:val="21"/>
                    </w:rPr>
                    <w:t>1</w:t>
                  </w:r>
                </w:p>
              </w:tc>
              <w:tc>
                <w:tcPr>
                  <w:tcW w:w="0" w:type="auto"/>
                  <w:vAlign w:val="center"/>
                </w:tcPr>
                <w:p>
                  <w:pPr>
                    <w:widowControl/>
                    <w:jc w:val="center"/>
                    <w:rPr>
                      <w:bCs/>
                      <w:szCs w:val="21"/>
                    </w:rPr>
                  </w:pPr>
                  <w:r>
                    <w:rPr>
                      <w:szCs w:val="21"/>
                    </w:rPr>
                    <w:t>未燃尽生活垃圾</w:t>
                  </w:r>
                </w:p>
              </w:tc>
              <w:tc>
                <w:tcPr>
                  <w:tcW w:w="0" w:type="auto"/>
                  <w:vAlign w:val="center"/>
                </w:tcPr>
                <w:p>
                  <w:pPr>
                    <w:widowControl/>
                    <w:jc w:val="center"/>
                    <w:rPr>
                      <w:bCs/>
                      <w:szCs w:val="21"/>
                    </w:rPr>
                  </w:pPr>
                  <w:r>
                    <w:rPr>
                      <w:bCs/>
                      <w:szCs w:val="21"/>
                    </w:rPr>
                    <w:t>t/a</w:t>
                  </w:r>
                </w:p>
              </w:tc>
              <w:tc>
                <w:tcPr>
                  <w:tcW w:w="0" w:type="auto"/>
                  <w:vAlign w:val="center"/>
                </w:tcPr>
                <w:p>
                  <w:pPr>
                    <w:widowControl/>
                    <w:ind w:left="103" w:hanging="117" w:hangingChars="49"/>
                    <w:jc w:val="center"/>
                    <w:rPr>
                      <w:bCs/>
                      <w:szCs w:val="21"/>
                    </w:rPr>
                  </w:pPr>
                  <w:r>
                    <w:rPr>
                      <w:bCs/>
                      <w:szCs w:val="21"/>
                    </w:rPr>
                    <w:t>3066</w:t>
                  </w:r>
                </w:p>
              </w:tc>
              <w:tc>
                <w:tcPr>
                  <w:tcW w:w="0" w:type="auto"/>
                  <w:vMerge w:val="restart"/>
                  <w:vAlign w:val="center"/>
                </w:tcPr>
                <w:p>
                  <w:pPr>
                    <w:widowControl/>
                    <w:jc w:val="center"/>
                    <w:rPr>
                      <w:bCs/>
                      <w:szCs w:val="21"/>
                    </w:rPr>
                  </w:pPr>
                  <w:r>
                    <w:rPr>
                      <w:bCs/>
                      <w:szCs w:val="21"/>
                    </w:rPr>
                    <w:t>临时贮存于厂区生产车间分类仓中，外售综合利用，不产生二次污染</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198" w:hRule="atLeast"/>
                <w:jc w:val="center"/>
              </w:trPr>
              <w:tc>
                <w:tcPr>
                  <w:tcW w:w="0" w:type="auto"/>
                  <w:vAlign w:val="center"/>
                </w:tcPr>
                <w:p>
                  <w:pPr>
                    <w:widowControl/>
                    <w:jc w:val="center"/>
                    <w:rPr>
                      <w:bCs/>
                      <w:szCs w:val="21"/>
                    </w:rPr>
                  </w:pPr>
                  <w:r>
                    <w:rPr>
                      <w:bCs/>
                      <w:szCs w:val="21"/>
                    </w:rPr>
                    <w:t>2</w:t>
                  </w:r>
                </w:p>
              </w:tc>
              <w:tc>
                <w:tcPr>
                  <w:tcW w:w="0" w:type="auto"/>
                  <w:vAlign w:val="center"/>
                </w:tcPr>
                <w:p>
                  <w:pPr>
                    <w:widowControl/>
                    <w:jc w:val="center"/>
                    <w:rPr>
                      <w:bCs/>
                      <w:szCs w:val="21"/>
                    </w:rPr>
                  </w:pPr>
                  <w:r>
                    <w:rPr>
                      <w:szCs w:val="21"/>
                    </w:rPr>
                    <w:t>循环池污泥</w:t>
                  </w:r>
                </w:p>
              </w:tc>
              <w:tc>
                <w:tcPr>
                  <w:tcW w:w="0" w:type="auto"/>
                  <w:vAlign w:val="center"/>
                </w:tcPr>
                <w:p>
                  <w:pPr>
                    <w:widowControl/>
                    <w:jc w:val="center"/>
                    <w:rPr>
                      <w:bCs/>
                      <w:szCs w:val="21"/>
                    </w:rPr>
                  </w:pPr>
                  <w:r>
                    <w:rPr>
                      <w:bCs/>
                      <w:szCs w:val="21"/>
                    </w:rPr>
                    <w:t>t/a</w:t>
                  </w:r>
                </w:p>
              </w:tc>
              <w:tc>
                <w:tcPr>
                  <w:tcW w:w="0" w:type="auto"/>
                  <w:vAlign w:val="center"/>
                </w:tcPr>
                <w:p>
                  <w:pPr>
                    <w:widowControl/>
                    <w:ind w:left="103" w:hanging="117" w:hangingChars="49"/>
                    <w:jc w:val="center"/>
                    <w:rPr>
                      <w:bCs/>
                      <w:szCs w:val="21"/>
                    </w:rPr>
                  </w:pPr>
                  <w:r>
                    <w:rPr>
                      <w:bCs/>
                      <w:szCs w:val="21"/>
                    </w:rPr>
                    <w:t>4380</w:t>
                  </w:r>
                </w:p>
              </w:tc>
              <w:tc>
                <w:tcPr>
                  <w:tcW w:w="0" w:type="auto"/>
                  <w:vMerge w:val="continue"/>
                  <w:vAlign w:val="center"/>
                </w:tcPr>
                <w:p>
                  <w:pPr>
                    <w:widowControl/>
                    <w:jc w:val="center"/>
                    <w:rPr>
                      <w:bCs/>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198" w:hRule="atLeast"/>
                <w:jc w:val="center"/>
              </w:trPr>
              <w:tc>
                <w:tcPr>
                  <w:tcW w:w="0" w:type="auto"/>
                  <w:vAlign w:val="center"/>
                </w:tcPr>
                <w:p>
                  <w:pPr>
                    <w:widowControl/>
                    <w:jc w:val="center"/>
                    <w:rPr>
                      <w:bCs/>
                      <w:szCs w:val="21"/>
                    </w:rPr>
                  </w:pPr>
                  <w:r>
                    <w:rPr>
                      <w:bCs/>
                      <w:szCs w:val="21"/>
                    </w:rPr>
                    <w:t>3</w:t>
                  </w:r>
                </w:p>
              </w:tc>
              <w:tc>
                <w:tcPr>
                  <w:tcW w:w="0" w:type="auto"/>
                  <w:vAlign w:val="center"/>
                </w:tcPr>
                <w:p>
                  <w:pPr>
                    <w:widowControl/>
                    <w:jc w:val="center"/>
                    <w:rPr>
                      <w:bCs/>
                      <w:szCs w:val="21"/>
                    </w:rPr>
                  </w:pPr>
                  <w:r>
                    <w:rPr>
                      <w:szCs w:val="21"/>
                    </w:rPr>
                    <w:t>人工分拣物、可燃物</w:t>
                  </w:r>
                </w:p>
              </w:tc>
              <w:tc>
                <w:tcPr>
                  <w:tcW w:w="0" w:type="auto"/>
                  <w:vAlign w:val="center"/>
                </w:tcPr>
                <w:p>
                  <w:pPr>
                    <w:widowControl/>
                    <w:jc w:val="center"/>
                    <w:rPr>
                      <w:bCs/>
                      <w:szCs w:val="21"/>
                    </w:rPr>
                  </w:pPr>
                  <w:r>
                    <w:rPr>
                      <w:bCs/>
                      <w:szCs w:val="21"/>
                    </w:rPr>
                    <w:t>t/a</w:t>
                  </w:r>
                </w:p>
              </w:tc>
              <w:tc>
                <w:tcPr>
                  <w:tcW w:w="0" w:type="auto"/>
                  <w:vAlign w:val="center"/>
                </w:tcPr>
                <w:p>
                  <w:pPr>
                    <w:widowControl/>
                    <w:ind w:left="103" w:hanging="117" w:hangingChars="49"/>
                    <w:jc w:val="center"/>
                    <w:rPr>
                      <w:bCs/>
                      <w:szCs w:val="21"/>
                    </w:rPr>
                  </w:pPr>
                  <w:r>
                    <w:rPr>
                      <w:bCs/>
                      <w:szCs w:val="21"/>
                    </w:rPr>
                    <w:t>150</w:t>
                  </w:r>
                </w:p>
              </w:tc>
              <w:tc>
                <w:tcPr>
                  <w:tcW w:w="0" w:type="auto"/>
                  <w:vMerge w:val="continue"/>
                  <w:vAlign w:val="center"/>
                </w:tcPr>
                <w:p>
                  <w:pPr>
                    <w:widowControl/>
                    <w:jc w:val="center"/>
                    <w:rPr>
                      <w:bCs/>
                      <w:szCs w:val="2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198" w:hRule="atLeast"/>
                <w:jc w:val="center"/>
              </w:trPr>
              <w:tc>
                <w:tcPr>
                  <w:tcW w:w="0" w:type="auto"/>
                  <w:vAlign w:val="center"/>
                </w:tcPr>
                <w:p>
                  <w:pPr>
                    <w:widowControl/>
                    <w:jc w:val="center"/>
                    <w:rPr>
                      <w:bCs/>
                      <w:szCs w:val="21"/>
                    </w:rPr>
                  </w:pPr>
                  <w:r>
                    <w:rPr>
                      <w:bCs/>
                      <w:szCs w:val="21"/>
                    </w:rPr>
                    <w:t>4</w:t>
                  </w:r>
                </w:p>
              </w:tc>
              <w:tc>
                <w:tcPr>
                  <w:tcW w:w="0" w:type="auto"/>
                  <w:vAlign w:val="center"/>
                </w:tcPr>
                <w:p>
                  <w:pPr>
                    <w:widowControl/>
                    <w:jc w:val="center"/>
                    <w:rPr>
                      <w:bCs/>
                      <w:szCs w:val="21"/>
                    </w:rPr>
                  </w:pPr>
                  <w:r>
                    <w:rPr>
                      <w:szCs w:val="21"/>
                    </w:rPr>
                    <w:t>生活垃圾</w:t>
                  </w:r>
                </w:p>
              </w:tc>
              <w:tc>
                <w:tcPr>
                  <w:tcW w:w="0" w:type="auto"/>
                  <w:vAlign w:val="center"/>
                </w:tcPr>
                <w:p>
                  <w:pPr>
                    <w:widowControl/>
                    <w:jc w:val="center"/>
                    <w:rPr>
                      <w:bCs/>
                      <w:szCs w:val="21"/>
                    </w:rPr>
                  </w:pPr>
                  <w:r>
                    <w:rPr>
                      <w:bCs/>
                      <w:szCs w:val="21"/>
                    </w:rPr>
                    <w:t>t/a</w:t>
                  </w:r>
                </w:p>
              </w:tc>
              <w:tc>
                <w:tcPr>
                  <w:tcW w:w="0" w:type="auto"/>
                  <w:vAlign w:val="center"/>
                </w:tcPr>
                <w:p>
                  <w:pPr>
                    <w:widowControl/>
                    <w:ind w:left="103" w:hanging="117" w:hangingChars="49"/>
                    <w:jc w:val="center"/>
                    <w:rPr>
                      <w:bCs/>
                      <w:szCs w:val="21"/>
                    </w:rPr>
                  </w:pPr>
                  <w:r>
                    <w:rPr>
                      <w:bCs/>
                      <w:szCs w:val="21"/>
                    </w:rPr>
                    <w:t>4.125</w:t>
                  </w:r>
                </w:p>
              </w:tc>
              <w:tc>
                <w:tcPr>
                  <w:tcW w:w="0" w:type="auto"/>
                  <w:vAlign w:val="center"/>
                </w:tcPr>
                <w:p>
                  <w:pPr>
                    <w:widowControl/>
                    <w:jc w:val="center"/>
                    <w:rPr>
                      <w:bCs/>
                      <w:szCs w:val="21"/>
                    </w:rPr>
                  </w:pPr>
                  <w:r>
                    <w:rPr>
                      <w:kern w:val="0"/>
                      <w:szCs w:val="21"/>
                    </w:rPr>
                    <w:t>集中收集后由当地环卫部门定期运出处置</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PrEx>
              <w:trPr>
                <w:trHeight w:val="198" w:hRule="atLeast"/>
                <w:jc w:val="center"/>
              </w:trPr>
              <w:tc>
                <w:tcPr>
                  <w:tcW w:w="0" w:type="auto"/>
                  <w:vAlign w:val="center"/>
                </w:tcPr>
                <w:p>
                  <w:pPr>
                    <w:widowControl/>
                    <w:jc w:val="center"/>
                    <w:rPr>
                      <w:bCs/>
                      <w:szCs w:val="21"/>
                    </w:rPr>
                  </w:pPr>
                  <w:r>
                    <w:rPr>
                      <w:bCs/>
                      <w:szCs w:val="21"/>
                    </w:rPr>
                    <w:t>5</w:t>
                  </w:r>
                </w:p>
              </w:tc>
              <w:tc>
                <w:tcPr>
                  <w:tcW w:w="0" w:type="auto"/>
                  <w:vAlign w:val="center"/>
                </w:tcPr>
                <w:p>
                  <w:pPr>
                    <w:widowControl/>
                    <w:jc w:val="center"/>
                    <w:rPr>
                      <w:szCs w:val="21"/>
                    </w:rPr>
                  </w:pPr>
                  <w:r>
                    <w:rPr>
                      <w:szCs w:val="21"/>
                    </w:rPr>
                    <w:t>危险废物</w:t>
                  </w:r>
                </w:p>
              </w:tc>
              <w:tc>
                <w:tcPr>
                  <w:tcW w:w="0" w:type="auto"/>
                  <w:vAlign w:val="center"/>
                </w:tcPr>
                <w:p>
                  <w:pPr>
                    <w:widowControl/>
                    <w:jc w:val="center"/>
                    <w:rPr>
                      <w:bCs/>
                      <w:szCs w:val="21"/>
                    </w:rPr>
                  </w:pPr>
                  <w:r>
                    <w:rPr>
                      <w:bCs/>
                      <w:szCs w:val="21"/>
                    </w:rPr>
                    <w:t>t/a</w:t>
                  </w:r>
                </w:p>
              </w:tc>
              <w:tc>
                <w:tcPr>
                  <w:tcW w:w="0" w:type="auto"/>
                  <w:vAlign w:val="center"/>
                </w:tcPr>
                <w:p>
                  <w:pPr>
                    <w:widowControl/>
                    <w:ind w:left="103" w:hanging="117" w:hangingChars="49"/>
                    <w:jc w:val="center"/>
                    <w:rPr>
                      <w:bCs/>
                      <w:szCs w:val="21"/>
                    </w:rPr>
                  </w:pPr>
                  <w:r>
                    <w:rPr>
                      <w:bCs/>
                      <w:szCs w:val="21"/>
                    </w:rPr>
                    <w:t>0.15</w:t>
                  </w:r>
                </w:p>
              </w:tc>
              <w:tc>
                <w:tcPr>
                  <w:tcW w:w="0" w:type="auto"/>
                  <w:vAlign w:val="center"/>
                </w:tcPr>
                <w:p>
                  <w:pPr>
                    <w:widowControl/>
                    <w:jc w:val="center"/>
                    <w:rPr>
                      <w:kern w:val="0"/>
                      <w:szCs w:val="21"/>
                    </w:rPr>
                  </w:pPr>
                  <w:r>
                    <w:rPr>
                      <w:kern w:val="0"/>
                      <w:szCs w:val="21"/>
                    </w:rPr>
                    <w:t>暂存于危废暂存间，委托有资质单位处理、处置</w:t>
                  </w:r>
                </w:p>
              </w:tc>
            </w:tr>
          </w:tbl>
          <w:p>
            <w:pPr>
              <w:adjustRightInd w:val="0"/>
              <w:snapToGrid w:val="0"/>
              <w:spacing w:line="360" w:lineRule="auto"/>
              <w:ind w:firstLine="480" w:firstLineChars="200"/>
              <w:jc w:val="left"/>
              <w:rPr>
                <w:szCs w:val="21"/>
              </w:rPr>
            </w:pPr>
            <w:r>
              <w:rPr>
                <w:szCs w:val="21"/>
              </w:rPr>
              <w:t>项目固废去向明确，处置措施可行，不会产生二次污染。</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76" w:hRule="atLeast"/>
          <w:jc w:val="center"/>
        </w:trPr>
        <w:tc>
          <w:tcPr>
            <w:tcW w:w="1778" w:type="dxa"/>
            <w:vAlign w:val="center"/>
          </w:tcPr>
          <w:p>
            <w:pPr>
              <w:adjustRightInd w:val="0"/>
              <w:snapToGrid w:val="0"/>
              <w:jc w:val="center"/>
              <w:rPr>
                <w:szCs w:val="21"/>
              </w:rPr>
            </w:pPr>
            <w:r>
              <w:rPr>
                <w:szCs w:val="21"/>
              </w:rPr>
              <w:t>土壤及地下水</w:t>
            </w:r>
          </w:p>
          <w:p>
            <w:pPr>
              <w:adjustRightInd w:val="0"/>
              <w:snapToGrid w:val="0"/>
              <w:jc w:val="center"/>
              <w:rPr>
                <w:szCs w:val="21"/>
              </w:rPr>
            </w:pPr>
            <w:r>
              <w:rPr>
                <w:szCs w:val="21"/>
              </w:rPr>
              <w:t>污染防治措施</w:t>
            </w:r>
          </w:p>
        </w:tc>
        <w:tc>
          <w:tcPr>
            <w:tcW w:w="7022" w:type="dxa"/>
            <w:gridSpan w:val="4"/>
            <w:vAlign w:val="center"/>
          </w:tcPr>
          <w:p>
            <w:pPr>
              <w:spacing w:line="360" w:lineRule="auto"/>
              <w:ind w:firstLine="480" w:firstLineChars="200"/>
              <w:rPr>
                <w:szCs w:val="21"/>
              </w:rPr>
            </w:pPr>
            <w:r>
              <w:rPr>
                <w:rFonts w:hint="eastAsia" w:ascii="宋体" w:hAnsi="宋体" w:cs="宋体"/>
                <w:szCs w:val="21"/>
              </w:rPr>
              <w:t>①</w:t>
            </w:r>
            <w:r>
              <w:rPr>
                <w:szCs w:val="21"/>
              </w:rPr>
              <w:t>厂区采取分区防渗，车间废水收集沟管、循环处理池、危废暂存间等区域等风险较大区域进行重点防渗；普通生产车间、原辅料仓、仓库等区域进行一般防渗；办公生活区、厂区地面进行简单防渗。</w:t>
            </w:r>
          </w:p>
          <w:p>
            <w:pPr>
              <w:spacing w:line="360" w:lineRule="auto"/>
              <w:ind w:firstLine="480" w:firstLineChars="200"/>
              <w:rPr>
                <w:szCs w:val="21"/>
              </w:rPr>
            </w:pPr>
            <w:r>
              <w:rPr>
                <w:rFonts w:hint="eastAsia" w:ascii="宋体" w:hAnsi="宋体" w:cs="宋体"/>
                <w:szCs w:val="21"/>
              </w:rPr>
              <w:t>②</w:t>
            </w:r>
            <w:r>
              <w:rPr>
                <w:szCs w:val="21"/>
              </w:rPr>
              <w:t>采取清洁生产措施，增加水的重复利用率，减少各类化学药品的用量和仓库暂存量，从源头上减少污染物的排放量。</w:t>
            </w:r>
          </w:p>
          <w:p>
            <w:pPr>
              <w:spacing w:line="360" w:lineRule="auto"/>
              <w:ind w:firstLine="480" w:firstLineChars="200"/>
              <w:rPr>
                <w:szCs w:val="21"/>
              </w:rPr>
            </w:pPr>
            <w:r>
              <w:rPr>
                <w:rFonts w:hint="eastAsia" w:ascii="宋体" w:hAnsi="宋体" w:cs="宋体"/>
                <w:szCs w:val="21"/>
              </w:rPr>
              <w:t>③</w:t>
            </w:r>
            <w:r>
              <w:rPr>
                <w:szCs w:val="21"/>
              </w:rPr>
              <w:t>采用质量较好的建筑材料，延长防渗层和管道的使用时间，减少泄露事故发生的频次。</w:t>
            </w:r>
          </w:p>
          <w:p>
            <w:pPr>
              <w:spacing w:line="360" w:lineRule="auto"/>
              <w:ind w:firstLine="480" w:firstLineChars="200"/>
              <w:rPr>
                <w:szCs w:val="21"/>
              </w:rPr>
            </w:pPr>
            <w:r>
              <w:rPr>
                <w:rFonts w:hint="eastAsia" w:ascii="宋体" w:hAnsi="宋体" w:cs="宋体"/>
                <w:szCs w:val="21"/>
              </w:rPr>
              <w:t>④</w:t>
            </w:r>
            <w:r>
              <w:rPr>
                <w:szCs w:val="21"/>
              </w:rPr>
              <w:t>污水管线应地上敷设，若确实需要地下敷设时，管沟应做防渗处理并设置检查井；工艺管线除与阀门、仪表、设备等连接可以采用法兰外，应尽量采用焊接。</w:t>
            </w:r>
          </w:p>
          <w:p>
            <w:pPr>
              <w:spacing w:line="360" w:lineRule="auto"/>
              <w:ind w:firstLine="480" w:firstLineChars="200"/>
              <w:rPr>
                <w:szCs w:val="21"/>
              </w:rPr>
            </w:pPr>
            <w:r>
              <w:rPr>
                <w:rFonts w:hint="eastAsia" w:ascii="宋体" w:hAnsi="宋体" w:cs="宋体"/>
                <w:szCs w:val="21"/>
              </w:rPr>
              <w:t>⑤</w:t>
            </w:r>
            <w:r>
              <w:rPr>
                <w:szCs w:val="21"/>
              </w:rPr>
              <w:t>车间周围设置集水沟，避免液体物质泄露时外溢。</w:t>
            </w:r>
          </w:p>
          <w:p>
            <w:pPr>
              <w:spacing w:line="360" w:lineRule="auto"/>
              <w:ind w:firstLine="480" w:firstLineChars="200"/>
              <w:rPr>
                <w:szCs w:val="21"/>
              </w:rPr>
            </w:pPr>
            <w:r>
              <w:rPr>
                <w:rFonts w:hint="eastAsia" w:ascii="宋体" w:hAnsi="宋体" w:cs="宋体"/>
                <w:szCs w:val="21"/>
              </w:rPr>
              <w:t>⑥</w:t>
            </w:r>
            <w:r>
              <w:rPr>
                <w:szCs w:val="21"/>
              </w:rPr>
              <w:t>对涉及易泄露物质的各生产线采取沟管收集，以便于及时发现泄漏，并在车间四周设置沟槽收集泄露的废水废液。</w:t>
            </w:r>
          </w:p>
          <w:p>
            <w:pPr>
              <w:spacing w:line="360" w:lineRule="auto"/>
              <w:ind w:firstLine="480" w:firstLineChars="200"/>
              <w:rPr>
                <w:szCs w:val="21"/>
              </w:rPr>
            </w:pPr>
            <w:r>
              <w:rPr>
                <w:rFonts w:hint="eastAsia" w:ascii="宋体" w:hAnsi="宋体" w:cs="宋体"/>
                <w:szCs w:val="21"/>
              </w:rPr>
              <w:t>⑦</w:t>
            </w:r>
            <w:r>
              <w:rPr>
                <w:szCs w:val="21"/>
              </w:rPr>
              <w:t>加强管理，加强对设备设施的维护保养和安全巡查，防止污染物的跑、冒、漏、滴，将污染物的泄露的环境风险降到最低。</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76" w:hRule="atLeast"/>
          <w:jc w:val="center"/>
        </w:trPr>
        <w:tc>
          <w:tcPr>
            <w:tcW w:w="1778" w:type="dxa"/>
            <w:vAlign w:val="center"/>
          </w:tcPr>
          <w:p>
            <w:pPr>
              <w:adjustRightInd w:val="0"/>
              <w:snapToGrid w:val="0"/>
              <w:jc w:val="center"/>
              <w:rPr>
                <w:szCs w:val="21"/>
              </w:rPr>
            </w:pPr>
            <w:r>
              <w:rPr>
                <w:szCs w:val="21"/>
              </w:rPr>
              <w:t>生态保护措施</w:t>
            </w:r>
          </w:p>
        </w:tc>
        <w:tc>
          <w:tcPr>
            <w:tcW w:w="7022" w:type="dxa"/>
            <w:gridSpan w:val="4"/>
            <w:vAlign w:val="center"/>
          </w:tcPr>
          <w:p>
            <w:pPr>
              <w:adjustRightInd w:val="0"/>
              <w:snapToGrid w:val="0"/>
              <w:spacing w:line="360" w:lineRule="auto"/>
              <w:ind w:firstLine="480" w:firstLineChars="200"/>
              <w:jc w:val="left"/>
              <w:rPr>
                <w:szCs w:val="21"/>
              </w:rPr>
            </w:pPr>
            <w:r>
              <w:rPr>
                <w:szCs w:val="21"/>
              </w:rPr>
              <w:t>施工完毕对将建筑垃圾清理干净，表面不得有钢筋等硬质物存在，清理完毕经检查合格后，不得有油污、废水在厂区内产生，必须符合要求。</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76" w:hRule="atLeast"/>
          <w:jc w:val="center"/>
        </w:trPr>
        <w:tc>
          <w:tcPr>
            <w:tcW w:w="1778" w:type="dxa"/>
            <w:vAlign w:val="center"/>
          </w:tcPr>
          <w:p>
            <w:pPr>
              <w:adjustRightInd w:val="0"/>
              <w:snapToGrid w:val="0"/>
              <w:jc w:val="center"/>
              <w:rPr>
                <w:spacing w:val="-8"/>
                <w:szCs w:val="21"/>
              </w:rPr>
            </w:pPr>
            <w:r>
              <w:rPr>
                <w:spacing w:val="-8"/>
                <w:szCs w:val="21"/>
              </w:rPr>
              <w:t>环境风险</w:t>
            </w:r>
          </w:p>
          <w:p>
            <w:pPr>
              <w:adjustRightInd w:val="0"/>
              <w:snapToGrid w:val="0"/>
              <w:jc w:val="center"/>
              <w:rPr>
                <w:spacing w:val="-8"/>
                <w:szCs w:val="21"/>
              </w:rPr>
            </w:pPr>
            <w:r>
              <w:rPr>
                <w:spacing w:val="-8"/>
                <w:szCs w:val="21"/>
              </w:rPr>
              <w:t>防范措施</w:t>
            </w:r>
          </w:p>
        </w:tc>
        <w:tc>
          <w:tcPr>
            <w:tcW w:w="7022" w:type="dxa"/>
            <w:gridSpan w:val="4"/>
            <w:vAlign w:val="center"/>
          </w:tcPr>
          <w:p>
            <w:pPr>
              <w:spacing w:line="360" w:lineRule="auto"/>
              <w:ind w:firstLine="480" w:firstLineChars="200"/>
              <w:rPr>
                <w:bCs/>
                <w:szCs w:val="21"/>
              </w:rPr>
            </w:pPr>
            <w:r>
              <w:rPr>
                <w:rFonts w:hint="eastAsia" w:ascii="宋体" w:hAnsi="宋体" w:cs="宋体"/>
                <w:bCs/>
                <w:szCs w:val="21"/>
              </w:rPr>
              <w:t>①</w:t>
            </w:r>
            <w:r>
              <w:rPr>
                <w:bCs/>
                <w:szCs w:val="21"/>
              </w:rPr>
              <w:t>减少风险物质的厂区暂存量，从源头减少风险的发生。</w:t>
            </w:r>
          </w:p>
          <w:p>
            <w:pPr>
              <w:spacing w:line="360" w:lineRule="auto"/>
              <w:ind w:firstLine="480" w:firstLineChars="200"/>
              <w:rPr>
                <w:bCs/>
                <w:szCs w:val="21"/>
              </w:rPr>
            </w:pPr>
            <w:r>
              <w:rPr>
                <w:rFonts w:hint="eastAsia" w:ascii="宋体" w:hAnsi="宋体" w:cs="宋体"/>
                <w:bCs/>
                <w:szCs w:val="21"/>
              </w:rPr>
              <w:t>②</w:t>
            </w:r>
            <w:r>
              <w:rPr>
                <w:bCs/>
                <w:szCs w:val="21"/>
              </w:rPr>
              <w:t>做好分区防渗工作，重点防渗区应满足相关技术规范要求，并做好维护和保养，确保防渗层的使用寿命。</w:t>
            </w:r>
          </w:p>
          <w:p>
            <w:pPr>
              <w:spacing w:line="360" w:lineRule="auto"/>
              <w:ind w:firstLine="480" w:firstLineChars="200"/>
              <w:rPr>
                <w:bCs/>
                <w:szCs w:val="21"/>
              </w:rPr>
            </w:pPr>
            <w:r>
              <w:rPr>
                <w:rFonts w:hint="eastAsia" w:ascii="宋体" w:hAnsi="宋体" w:cs="宋体"/>
                <w:bCs/>
                <w:szCs w:val="21"/>
              </w:rPr>
              <w:t>③</w:t>
            </w:r>
            <w:r>
              <w:rPr>
                <w:bCs/>
                <w:szCs w:val="21"/>
              </w:rPr>
              <w:t>加强对固体废弃物的管理，按照《中华人民共和国固体废物污染环境防治法》等相关法律法规和技术规范的要求建设。</w:t>
            </w:r>
          </w:p>
          <w:p>
            <w:pPr>
              <w:spacing w:line="360" w:lineRule="auto"/>
              <w:ind w:firstLine="480" w:firstLineChars="200"/>
              <w:rPr>
                <w:bCs/>
                <w:szCs w:val="21"/>
              </w:rPr>
            </w:pPr>
            <w:r>
              <w:rPr>
                <w:rFonts w:hint="eastAsia" w:ascii="宋体" w:hAnsi="宋体" w:cs="宋体"/>
                <w:bCs/>
                <w:szCs w:val="21"/>
              </w:rPr>
              <w:t>④</w:t>
            </w:r>
            <w:r>
              <w:rPr>
                <w:bCs/>
                <w:szCs w:val="21"/>
              </w:rPr>
              <w:t>加强对生产设施和公辅设施的巡查和维护保养，避免废水和液体原辅料“跑冒滴漏”，并设置事故应急池，杜绝事故排放。</w:t>
            </w:r>
          </w:p>
          <w:p>
            <w:pPr>
              <w:spacing w:line="360" w:lineRule="auto"/>
              <w:ind w:firstLine="480" w:firstLineChars="200"/>
              <w:rPr>
                <w:bCs/>
                <w:szCs w:val="21"/>
              </w:rPr>
            </w:pPr>
            <w:r>
              <w:rPr>
                <w:rFonts w:hint="eastAsia" w:ascii="宋体" w:hAnsi="宋体" w:cs="宋体"/>
                <w:bCs/>
                <w:szCs w:val="21"/>
              </w:rPr>
              <w:t>⑤</w:t>
            </w:r>
            <w:r>
              <w:rPr>
                <w:bCs/>
                <w:szCs w:val="21"/>
              </w:rPr>
              <w:t>严格落实安全设计及安全评价要求，做好消防安全工作。</w:t>
            </w:r>
          </w:p>
          <w:p>
            <w:pPr>
              <w:spacing w:line="360" w:lineRule="auto"/>
              <w:ind w:firstLine="480" w:firstLineChars="200"/>
              <w:rPr>
                <w:bCs/>
                <w:szCs w:val="21"/>
              </w:rPr>
            </w:pPr>
            <w:r>
              <w:rPr>
                <w:rFonts w:hint="eastAsia" w:ascii="宋体" w:hAnsi="宋体" w:cs="宋体"/>
                <w:bCs/>
                <w:szCs w:val="21"/>
              </w:rPr>
              <w:t>⑥</w:t>
            </w:r>
            <w:r>
              <w:rPr>
                <w:bCs/>
                <w:szCs w:val="21"/>
              </w:rPr>
              <w:t>委托具有相关经营许可的运输单位运输化学药品和试剂，并要求其做好输运过程中的安全防范措施。</w:t>
            </w:r>
          </w:p>
          <w:p>
            <w:pPr>
              <w:adjustRightInd w:val="0"/>
              <w:spacing w:line="360" w:lineRule="auto"/>
              <w:ind w:firstLine="480" w:firstLineChars="200"/>
              <w:rPr>
                <w:szCs w:val="21"/>
              </w:rPr>
            </w:pPr>
            <w:r>
              <w:rPr>
                <w:rFonts w:hint="eastAsia" w:ascii="宋体" w:hAnsi="宋体" w:cs="宋体"/>
                <w:bCs/>
                <w:szCs w:val="21"/>
              </w:rPr>
              <w:t>⑦</w:t>
            </w:r>
            <w:r>
              <w:rPr>
                <w:bCs/>
                <w:szCs w:val="21"/>
              </w:rPr>
              <w:t>建设单位应加强管理，加大对安全、环保知识的宣传和培训，加强应急演练。按照《突发环境事件应急预案管理办法（试行）》的规定，编制突发环境事件应急预案，报送生态环境主管部门备案。</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02" w:hRule="atLeast"/>
          <w:jc w:val="center"/>
        </w:trPr>
        <w:tc>
          <w:tcPr>
            <w:tcW w:w="1778" w:type="dxa"/>
            <w:vAlign w:val="center"/>
          </w:tcPr>
          <w:p>
            <w:pPr>
              <w:adjustRightInd w:val="0"/>
              <w:snapToGrid w:val="0"/>
              <w:jc w:val="center"/>
              <w:rPr>
                <w:spacing w:val="-8"/>
                <w:szCs w:val="21"/>
              </w:rPr>
            </w:pPr>
            <w:r>
              <w:rPr>
                <w:spacing w:val="-8"/>
                <w:szCs w:val="21"/>
              </w:rPr>
              <w:t>其他环境</w:t>
            </w:r>
          </w:p>
          <w:p>
            <w:pPr>
              <w:adjustRightInd w:val="0"/>
              <w:snapToGrid w:val="0"/>
              <w:jc w:val="center"/>
              <w:rPr>
                <w:spacing w:val="-8"/>
                <w:szCs w:val="21"/>
              </w:rPr>
            </w:pPr>
            <w:r>
              <w:rPr>
                <w:spacing w:val="-8"/>
                <w:szCs w:val="21"/>
              </w:rPr>
              <w:t>管理要求</w:t>
            </w:r>
          </w:p>
        </w:tc>
        <w:tc>
          <w:tcPr>
            <w:tcW w:w="7022" w:type="dxa"/>
            <w:gridSpan w:val="4"/>
            <w:vAlign w:val="center"/>
          </w:tcPr>
          <w:p>
            <w:pPr>
              <w:adjustRightInd w:val="0"/>
              <w:snapToGrid w:val="0"/>
              <w:spacing w:line="360" w:lineRule="auto"/>
              <w:ind w:firstLine="480" w:firstLineChars="200"/>
              <w:jc w:val="left"/>
              <w:rPr>
                <w:kern w:val="0"/>
                <w:szCs w:val="21"/>
              </w:rPr>
            </w:pPr>
            <w:r>
              <w:rPr>
                <w:szCs w:val="21"/>
              </w:rPr>
              <w:t>1、建立健全的环境管理制度</w:t>
            </w:r>
            <w:r>
              <w:rPr>
                <w:kern w:val="0"/>
                <w:szCs w:val="21"/>
              </w:rPr>
              <w:t>；</w:t>
            </w:r>
          </w:p>
          <w:p>
            <w:pPr>
              <w:adjustRightInd w:val="0"/>
              <w:snapToGrid w:val="0"/>
              <w:spacing w:line="360" w:lineRule="auto"/>
              <w:ind w:firstLine="480" w:firstLineChars="200"/>
              <w:jc w:val="left"/>
              <w:rPr>
                <w:kern w:val="0"/>
                <w:szCs w:val="21"/>
              </w:rPr>
            </w:pPr>
            <w:r>
              <w:rPr>
                <w:kern w:val="0"/>
                <w:szCs w:val="21"/>
              </w:rPr>
              <w:t>2、</w:t>
            </w:r>
            <w:r>
              <w:rPr>
                <w:szCs w:val="21"/>
              </w:rPr>
              <w:t>设立环境管理部门；</w:t>
            </w:r>
          </w:p>
          <w:p>
            <w:pPr>
              <w:adjustRightInd w:val="0"/>
              <w:snapToGrid w:val="0"/>
              <w:spacing w:line="360" w:lineRule="auto"/>
              <w:ind w:firstLine="480" w:firstLineChars="200"/>
              <w:jc w:val="left"/>
              <w:rPr>
                <w:kern w:val="0"/>
                <w:szCs w:val="21"/>
              </w:rPr>
            </w:pPr>
            <w:r>
              <w:rPr>
                <w:kern w:val="0"/>
                <w:szCs w:val="21"/>
              </w:rPr>
              <w:t>3、执行排污许可制度，环境保护“三同时”及环境保护竣工验收制度。</w:t>
            </w:r>
          </w:p>
          <w:p>
            <w:pPr>
              <w:adjustRightInd w:val="0"/>
              <w:snapToGrid w:val="0"/>
              <w:spacing w:line="360" w:lineRule="auto"/>
              <w:ind w:firstLine="480" w:firstLineChars="200"/>
              <w:jc w:val="left"/>
              <w:rPr>
                <w:kern w:val="0"/>
                <w:szCs w:val="21"/>
              </w:rPr>
            </w:pPr>
          </w:p>
          <w:p>
            <w:pPr>
              <w:adjustRightInd w:val="0"/>
              <w:snapToGrid w:val="0"/>
              <w:spacing w:line="360" w:lineRule="auto"/>
              <w:ind w:firstLine="480" w:firstLineChars="200"/>
              <w:jc w:val="left"/>
              <w:rPr>
                <w:kern w:val="0"/>
                <w:szCs w:val="21"/>
              </w:rPr>
            </w:pPr>
          </w:p>
        </w:tc>
      </w:tr>
    </w:tbl>
    <w:p>
      <w:pPr>
        <w:pStyle w:val="33"/>
        <w:outlineLvl w:val="0"/>
        <w:rPr>
          <w:rFonts w:ascii="Times New Roman" w:hAnsi="Times New Roman" w:eastAsia="黑体"/>
          <w:snapToGrid w:val="0"/>
          <w:sz w:val="30"/>
          <w:szCs w:val="30"/>
        </w:rPr>
      </w:pPr>
      <w:r>
        <w:rPr>
          <w:rFonts w:ascii="Times New Roman" w:hAnsi="Times New Roman"/>
          <w:snapToGrid w:val="0"/>
        </w:rPr>
        <w:br w:type="page"/>
      </w:r>
      <w:bookmarkStart w:id="30" w:name="_Toc99010641"/>
      <w:r>
        <w:rPr>
          <w:rFonts w:ascii="Times New Roman" w:hAnsi="Times New Roman" w:eastAsia="黑体"/>
          <w:snapToGrid w:val="0"/>
          <w:sz w:val="30"/>
          <w:szCs w:val="30"/>
        </w:rPr>
        <w:t>六、结论</w:t>
      </w:r>
      <w:bookmarkEnd w:id="30"/>
    </w:p>
    <w:tbl>
      <w:tblPr>
        <w:tblStyle w:val="3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865"/>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1991" w:hRule="atLeast"/>
          <w:jc w:val="center"/>
        </w:trPr>
        <w:tc>
          <w:tcPr>
            <w:tcW w:w="8865" w:type="dxa"/>
          </w:tcPr>
          <w:p>
            <w:pPr>
              <w:spacing w:line="360" w:lineRule="auto"/>
              <w:ind w:firstLine="482" w:firstLineChars="200"/>
              <w:rPr>
                <w:b/>
                <w:bCs/>
                <w:sz w:val="24"/>
              </w:rPr>
            </w:pPr>
            <w:r>
              <w:rPr>
                <w:b/>
                <w:bCs/>
                <w:sz w:val="24"/>
              </w:rPr>
              <w:t>1、结论</w:t>
            </w:r>
          </w:p>
          <w:p>
            <w:pPr>
              <w:spacing w:line="360" w:lineRule="auto"/>
              <w:ind w:firstLine="480" w:firstLineChars="200"/>
              <w:rPr>
                <w:b/>
                <w:bCs/>
                <w:sz w:val="24"/>
              </w:rPr>
            </w:pPr>
            <w:r>
              <w:rPr>
                <w:sz w:val="24"/>
              </w:rPr>
              <w:t>本项目建设符合“三线一单”及相关规划要求，符合国家产业政策，项目污染物能够达标排放，对区域环境质量影响较小</w:t>
            </w:r>
            <w:r>
              <w:rPr>
                <w:snapToGrid w:val="0"/>
                <w:kern w:val="0"/>
                <w:sz w:val="24"/>
              </w:rPr>
              <w:t>。</w:t>
            </w:r>
            <w:r>
              <w:rPr>
                <w:sz w:val="24"/>
              </w:rPr>
              <w:t>要求厂方重视环保工作，认真落实评价提出的各项污染防治对策，加强对污染物的治理工作，做到环保工作专人专管，责任到人，加强对各类污染源的管理，落实环保治理所需要的资金，则该项目的实施，可以做到在较高的生产效益的同时，又能达到环境保护的目标。</w:t>
            </w:r>
            <w:r>
              <w:rPr>
                <w:b/>
                <w:bCs/>
                <w:sz w:val="24"/>
              </w:rPr>
              <w:t>项目建设从环境保护方面看是可行的。</w:t>
            </w:r>
          </w:p>
          <w:p>
            <w:pPr>
              <w:spacing w:line="360" w:lineRule="auto"/>
              <w:ind w:firstLine="482" w:firstLineChars="200"/>
              <w:rPr>
                <w:b/>
                <w:bCs/>
                <w:sz w:val="24"/>
              </w:rPr>
            </w:pPr>
            <w:r>
              <w:rPr>
                <w:b/>
                <w:bCs/>
                <w:sz w:val="24"/>
              </w:rPr>
              <w:t>2、建议</w:t>
            </w:r>
          </w:p>
          <w:p>
            <w:pPr>
              <w:spacing w:line="360" w:lineRule="auto"/>
              <w:ind w:firstLine="482"/>
              <w:rPr>
                <w:sz w:val="24"/>
              </w:rPr>
            </w:pPr>
            <w:r>
              <w:rPr>
                <w:sz w:val="24"/>
              </w:rPr>
              <w:t>（1）厂方应切实落实的环境管理条例、规章制度，以及环境风险防范条例及应急预案，加强员工的环境保护意识教育，提高全体职工的环保意识以及防范风险的意识，做到环保工作专人管理、专人负责。</w:t>
            </w:r>
          </w:p>
          <w:p>
            <w:pPr>
              <w:spacing w:line="360" w:lineRule="auto"/>
              <w:ind w:firstLine="482"/>
              <w:rPr>
                <w:sz w:val="24"/>
              </w:rPr>
            </w:pPr>
            <w:r>
              <w:rPr>
                <w:sz w:val="24"/>
              </w:rPr>
              <w:t>（2）加强企业内部的环境管理，确保污染治理设施的正常运行，完善清洁生产各项措施，最大限度减少污染物排放。项目严格按环评及批复要求，做到各项污染物长期稳定达标排放。</w:t>
            </w:r>
          </w:p>
          <w:p>
            <w:pPr>
              <w:spacing w:line="360" w:lineRule="auto"/>
              <w:ind w:firstLine="482"/>
              <w:rPr>
                <w:sz w:val="24"/>
              </w:rPr>
            </w:pPr>
            <w:r>
              <w:rPr>
                <w:sz w:val="24"/>
              </w:rPr>
              <w:t>（3）项目排污前需取得排污许可，投产后按照规定履行“三同时验收制度”。</w:t>
            </w:r>
          </w:p>
          <w:p>
            <w:pPr>
              <w:spacing w:line="360" w:lineRule="auto"/>
              <w:ind w:firstLine="482"/>
              <w:rPr>
                <w:sz w:val="24"/>
              </w:rPr>
            </w:pPr>
            <w:r>
              <w:rPr>
                <w:sz w:val="24"/>
              </w:rPr>
              <w:t>（4）完善风险应急预案。</w:t>
            </w:r>
          </w:p>
          <w:p>
            <w:pPr>
              <w:spacing w:line="360" w:lineRule="auto"/>
              <w:ind w:firstLine="482"/>
              <w:rPr>
                <w:sz w:val="24"/>
              </w:rPr>
            </w:pPr>
          </w:p>
        </w:tc>
      </w:tr>
    </w:tbl>
    <w:p/>
    <w:p>
      <w:pPr>
        <w:sectPr>
          <w:pgSz w:w="11906" w:h="16838"/>
          <w:pgMar w:top="1701" w:right="1531" w:bottom="1701" w:left="1531" w:header="851" w:footer="851" w:gutter="0"/>
          <w:cols w:space="720" w:num="1"/>
          <w:docGrid w:linePitch="312" w:charSpace="0"/>
        </w:sectPr>
      </w:pPr>
    </w:p>
    <w:p>
      <w:pPr>
        <w:pStyle w:val="33"/>
        <w:adjustRightInd w:val="0"/>
        <w:snapToGrid w:val="0"/>
        <w:spacing w:before="0" w:beforeAutospacing="0" w:after="0" w:afterAutospacing="0" w:line="648" w:lineRule="auto"/>
        <w:outlineLvl w:val="0"/>
        <w:rPr>
          <w:rFonts w:ascii="Times New Roman" w:hAnsi="Times New Roman" w:eastAsia="黑体"/>
          <w:snapToGrid w:val="0"/>
          <w:sz w:val="32"/>
          <w:szCs w:val="32"/>
        </w:rPr>
      </w:pPr>
      <w:bookmarkStart w:id="31" w:name="_Toc99010642"/>
      <w:r>
        <w:rPr>
          <w:rFonts w:ascii="Times New Roman" w:hAnsi="Times New Roman" w:eastAsia="黑体"/>
          <w:snapToGrid w:val="0"/>
          <w:sz w:val="32"/>
          <w:szCs w:val="32"/>
        </w:rPr>
        <w:t>附表</w:t>
      </w:r>
      <w:bookmarkEnd w:id="31"/>
    </w:p>
    <w:p>
      <w:pPr>
        <w:pStyle w:val="33"/>
        <w:adjustRightInd w:val="0"/>
        <w:snapToGrid w:val="0"/>
        <w:spacing w:before="0" w:beforeAutospacing="0" w:after="0" w:afterAutospacing="0" w:line="552" w:lineRule="auto"/>
        <w:jc w:val="center"/>
        <w:outlineLvl w:val="0"/>
        <w:rPr>
          <w:rFonts w:ascii="Times New Roman" w:hAnsi="Times New Roman" w:eastAsia="方正小标宋_GBK"/>
          <w:snapToGrid w:val="0"/>
          <w:sz w:val="38"/>
          <w:szCs w:val="38"/>
        </w:rPr>
      </w:pPr>
      <w:bookmarkStart w:id="32" w:name="_Toc99010643"/>
      <w:r>
        <w:rPr>
          <w:rFonts w:ascii="Times New Roman" w:hAnsi="Times New Roman" w:eastAsia="方正小标宋_GBK"/>
          <w:snapToGrid w:val="0"/>
          <w:sz w:val="38"/>
          <w:szCs w:val="38"/>
        </w:rPr>
        <w:t>建设项目污染物排放量汇总表</w:t>
      </w:r>
      <w:bookmarkEnd w:id="32"/>
    </w:p>
    <w:tbl>
      <w:tblPr>
        <w:tblStyle w:val="38"/>
        <w:tblW w:w="13788" w:type="dxa"/>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588"/>
        <w:gridCol w:w="1417"/>
        <w:gridCol w:w="1701"/>
        <w:gridCol w:w="1276"/>
        <w:gridCol w:w="1701"/>
        <w:gridCol w:w="1559"/>
        <w:gridCol w:w="1761"/>
        <w:gridCol w:w="1745"/>
        <w:gridCol w:w="1040"/>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94" w:hRule="atLeast"/>
        </w:trPr>
        <w:tc>
          <w:tcPr>
            <w:tcW w:w="1588" w:type="dxa"/>
            <w:tcBorders>
              <w:tl2br w:val="single" w:color="auto" w:sz="4" w:space="0"/>
            </w:tcBorders>
            <w:tcMar>
              <w:left w:w="28" w:type="dxa"/>
              <w:right w:w="28" w:type="dxa"/>
            </w:tcMar>
            <w:vAlign w:val="center"/>
          </w:tcPr>
          <w:p>
            <w:pPr>
              <w:pStyle w:val="103"/>
              <w:spacing w:beforeLines="0" w:afterLines="0" w:line="240" w:lineRule="auto"/>
              <w:jc w:val="right"/>
              <w:rPr>
                <w:rFonts w:ascii="Times New Roman" w:eastAsia="黑体"/>
                <w:snapToGrid w:val="0"/>
                <w:spacing w:val="-6"/>
                <w:kern w:val="21"/>
                <w:szCs w:val="21"/>
              </w:rPr>
            </w:pPr>
            <w:r>
              <w:rPr>
                <w:rFonts w:ascii="Times New Roman" w:eastAsia="黑体"/>
                <w:snapToGrid w:val="0"/>
                <w:spacing w:val="-6"/>
                <w:kern w:val="21"/>
                <w:szCs w:val="21"/>
              </w:rPr>
              <w:t>项目</w:t>
            </w:r>
          </w:p>
          <w:p>
            <w:pPr>
              <w:pStyle w:val="103"/>
              <w:spacing w:beforeLines="0" w:afterLines="0" w:line="240" w:lineRule="auto"/>
              <w:jc w:val="left"/>
              <w:rPr>
                <w:rFonts w:ascii="Times New Roman" w:eastAsia="黑体"/>
                <w:snapToGrid w:val="0"/>
                <w:spacing w:val="-6"/>
                <w:kern w:val="21"/>
                <w:szCs w:val="21"/>
              </w:rPr>
            </w:pPr>
            <w:r>
              <w:rPr>
                <w:rFonts w:ascii="Times New Roman" w:eastAsia="黑体"/>
                <w:snapToGrid w:val="0"/>
                <w:spacing w:val="-6"/>
                <w:kern w:val="21"/>
                <w:szCs w:val="21"/>
              </w:rPr>
              <w:t>分类</w:t>
            </w:r>
          </w:p>
        </w:tc>
        <w:tc>
          <w:tcPr>
            <w:tcW w:w="1417" w:type="dxa"/>
            <w:tcMar>
              <w:left w:w="28" w:type="dxa"/>
              <w:right w:w="28" w:type="dxa"/>
            </w:tcMar>
            <w:vAlign w:val="center"/>
          </w:tcPr>
          <w:p>
            <w:pPr>
              <w:pStyle w:val="103"/>
              <w:spacing w:beforeLines="0" w:afterLines="0" w:line="240" w:lineRule="auto"/>
              <w:rPr>
                <w:rFonts w:ascii="Times New Roman" w:eastAsia="黑体"/>
                <w:snapToGrid w:val="0"/>
                <w:spacing w:val="-6"/>
                <w:kern w:val="21"/>
                <w:szCs w:val="21"/>
              </w:rPr>
            </w:pPr>
            <w:r>
              <w:rPr>
                <w:rFonts w:ascii="Times New Roman" w:eastAsia="黑体"/>
                <w:snapToGrid w:val="0"/>
                <w:spacing w:val="-6"/>
                <w:kern w:val="21"/>
                <w:szCs w:val="21"/>
              </w:rPr>
              <w:t>污染物名称</w:t>
            </w:r>
          </w:p>
        </w:tc>
        <w:tc>
          <w:tcPr>
            <w:tcW w:w="1701" w:type="dxa"/>
            <w:tcMar>
              <w:left w:w="28" w:type="dxa"/>
              <w:right w:w="28" w:type="dxa"/>
            </w:tcMar>
            <w:vAlign w:val="center"/>
          </w:tcPr>
          <w:p>
            <w:pPr>
              <w:pStyle w:val="103"/>
              <w:spacing w:beforeLines="0" w:afterLines="0" w:line="240" w:lineRule="auto"/>
              <w:rPr>
                <w:rFonts w:ascii="Times New Roman" w:eastAsia="黑体"/>
                <w:snapToGrid w:val="0"/>
                <w:spacing w:val="-6"/>
                <w:kern w:val="21"/>
                <w:szCs w:val="21"/>
              </w:rPr>
            </w:pPr>
            <w:r>
              <w:rPr>
                <w:rFonts w:ascii="Times New Roman" w:eastAsia="黑体"/>
                <w:snapToGrid w:val="0"/>
                <w:spacing w:val="-6"/>
                <w:kern w:val="21"/>
                <w:szCs w:val="21"/>
              </w:rPr>
              <w:t>现有工程</w:t>
            </w:r>
          </w:p>
          <w:p>
            <w:pPr>
              <w:pStyle w:val="103"/>
              <w:spacing w:beforeLines="0" w:afterLines="0" w:line="240" w:lineRule="auto"/>
              <w:rPr>
                <w:rFonts w:ascii="Times New Roman" w:eastAsia="黑体"/>
                <w:snapToGrid w:val="0"/>
                <w:spacing w:val="-6"/>
                <w:kern w:val="21"/>
                <w:szCs w:val="21"/>
              </w:rPr>
            </w:pPr>
            <w:r>
              <w:rPr>
                <w:rFonts w:ascii="Times New Roman" w:eastAsia="黑体"/>
                <w:snapToGrid w:val="0"/>
                <w:spacing w:val="-6"/>
                <w:kern w:val="21"/>
                <w:szCs w:val="21"/>
              </w:rPr>
              <w:t>排放量（固体废物产生量）</w:t>
            </w:r>
            <w:r>
              <w:rPr>
                <w:rFonts w:ascii="Times New Roman" w:eastAsia="黑体"/>
                <w:snapToGrid w:val="0"/>
                <w:spacing w:val="-6"/>
                <w:kern w:val="21"/>
                <w:szCs w:val="21"/>
              </w:rPr>
              <w:fldChar w:fldCharType="begin"/>
            </w:r>
            <w:r>
              <w:rPr>
                <w:rFonts w:ascii="Times New Roman" w:eastAsia="黑体"/>
                <w:snapToGrid w:val="0"/>
                <w:spacing w:val="-6"/>
                <w:kern w:val="21"/>
                <w:szCs w:val="21"/>
              </w:rPr>
              <w:instrText xml:space="preserve"> = 1 \* GB3 \* MERGEFORMAT </w:instrText>
            </w:r>
            <w:r>
              <w:rPr>
                <w:rFonts w:ascii="Times New Roman" w:eastAsia="黑体"/>
                <w:snapToGrid w:val="0"/>
                <w:spacing w:val="-6"/>
                <w:kern w:val="21"/>
                <w:szCs w:val="21"/>
              </w:rPr>
              <w:fldChar w:fldCharType="separate"/>
            </w:r>
            <w:r>
              <w:rPr>
                <w:rFonts w:hint="eastAsia" w:hAnsi="宋体" w:cs="宋体"/>
                <w:kern w:val="2"/>
                <w:szCs w:val="21"/>
              </w:rPr>
              <w:t>①</w:t>
            </w:r>
            <w:r>
              <w:rPr>
                <w:rFonts w:ascii="Times New Roman" w:eastAsia="黑体"/>
                <w:snapToGrid w:val="0"/>
                <w:spacing w:val="-6"/>
                <w:kern w:val="21"/>
                <w:szCs w:val="21"/>
              </w:rPr>
              <w:fldChar w:fldCharType="end"/>
            </w:r>
          </w:p>
        </w:tc>
        <w:tc>
          <w:tcPr>
            <w:tcW w:w="1276" w:type="dxa"/>
            <w:tcMar>
              <w:left w:w="28" w:type="dxa"/>
              <w:right w:w="28" w:type="dxa"/>
            </w:tcMar>
            <w:vAlign w:val="center"/>
          </w:tcPr>
          <w:p>
            <w:pPr>
              <w:pStyle w:val="103"/>
              <w:spacing w:beforeLines="0" w:afterLines="0" w:line="240" w:lineRule="auto"/>
              <w:rPr>
                <w:rFonts w:ascii="Times New Roman" w:eastAsia="黑体"/>
                <w:snapToGrid w:val="0"/>
                <w:spacing w:val="-6"/>
                <w:kern w:val="21"/>
                <w:szCs w:val="21"/>
              </w:rPr>
            </w:pPr>
            <w:r>
              <w:rPr>
                <w:rFonts w:ascii="Times New Roman" w:eastAsia="黑体"/>
                <w:snapToGrid w:val="0"/>
                <w:spacing w:val="-6"/>
                <w:kern w:val="21"/>
                <w:szCs w:val="21"/>
              </w:rPr>
              <w:t>现有工程</w:t>
            </w:r>
          </w:p>
          <w:p>
            <w:pPr>
              <w:pStyle w:val="103"/>
              <w:spacing w:beforeLines="0" w:afterLines="0" w:line="240" w:lineRule="auto"/>
              <w:rPr>
                <w:rFonts w:ascii="Times New Roman" w:eastAsia="黑体"/>
                <w:snapToGrid w:val="0"/>
                <w:spacing w:val="-6"/>
                <w:kern w:val="21"/>
                <w:szCs w:val="21"/>
              </w:rPr>
            </w:pPr>
            <w:r>
              <w:rPr>
                <w:rFonts w:ascii="Times New Roman" w:eastAsia="黑体"/>
                <w:snapToGrid w:val="0"/>
                <w:spacing w:val="-6"/>
                <w:kern w:val="21"/>
                <w:szCs w:val="21"/>
              </w:rPr>
              <w:t>许可排放量</w:t>
            </w:r>
          </w:p>
          <w:p>
            <w:pPr>
              <w:pStyle w:val="103"/>
              <w:spacing w:beforeLines="0" w:afterLines="0"/>
              <w:rPr>
                <w:rFonts w:ascii="Times New Roman" w:eastAsia="黑体"/>
                <w:snapToGrid w:val="0"/>
                <w:spacing w:val="-6"/>
                <w:kern w:val="21"/>
                <w:szCs w:val="21"/>
              </w:rPr>
            </w:pPr>
            <w:r>
              <w:rPr>
                <w:rFonts w:ascii="Times New Roman" w:eastAsia="黑体"/>
                <w:snapToGrid w:val="0"/>
                <w:spacing w:val="-6"/>
                <w:kern w:val="21"/>
                <w:szCs w:val="21"/>
              </w:rPr>
              <w:fldChar w:fldCharType="begin"/>
            </w:r>
            <w:r>
              <w:rPr>
                <w:rFonts w:ascii="Times New Roman" w:eastAsia="黑体"/>
                <w:snapToGrid w:val="0"/>
                <w:spacing w:val="-6"/>
                <w:kern w:val="21"/>
                <w:szCs w:val="21"/>
              </w:rPr>
              <w:instrText xml:space="preserve"> = 2 \* GB3 \* MERGEFORMAT </w:instrText>
            </w:r>
            <w:r>
              <w:rPr>
                <w:rFonts w:ascii="Times New Roman" w:eastAsia="黑体"/>
                <w:snapToGrid w:val="0"/>
                <w:spacing w:val="-6"/>
                <w:kern w:val="21"/>
                <w:szCs w:val="21"/>
              </w:rPr>
              <w:fldChar w:fldCharType="separate"/>
            </w:r>
            <w:r>
              <w:rPr>
                <w:rFonts w:hint="eastAsia" w:hAnsi="宋体" w:cs="宋体"/>
                <w:snapToGrid w:val="0"/>
                <w:spacing w:val="-6"/>
                <w:kern w:val="21"/>
                <w:szCs w:val="21"/>
              </w:rPr>
              <w:t>②</w:t>
            </w:r>
            <w:r>
              <w:rPr>
                <w:rFonts w:ascii="Times New Roman" w:eastAsia="黑体"/>
                <w:snapToGrid w:val="0"/>
                <w:spacing w:val="-6"/>
                <w:kern w:val="21"/>
                <w:szCs w:val="21"/>
              </w:rPr>
              <w:fldChar w:fldCharType="end"/>
            </w:r>
          </w:p>
        </w:tc>
        <w:tc>
          <w:tcPr>
            <w:tcW w:w="1701" w:type="dxa"/>
            <w:tcMar>
              <w:left w:w="28" w:type="dxa"/>
              <w:right w:w="28" w:type="dxa"/>
            </w:tcMar>
            <w:vAlign w:val="center"/>
          </w:tcPr>
          <w:p>
            <w:pPr>
              <w:pStyle w:val="103"/>
              <w:spacing w:beforeLines="0" w:afterLines="0" w:line="240" w:lineRule="auto"/>
              <w:rPr>
                <w:rFonts w:ascii="Times New Roman" w:eastAsia="黑体"/>
                <w:snapToGrid w:val="0"/>
                <w:spacing w:val="-6"/>
                <w:kern w:val="21"/>
                <w:szCs w:val="21"/>
              </w:rPr>
            </w:pPr>
            <w:r>
              <w:rPr>
                <w:rFonts w:ascii="Times New Roman" w:eastAsia="黑体"/>
                <w:snapToGrid w:val="0"/>
                <w:spacing w:val="-6"/>
                <w:kern w:val="21"/>
                <w:szCs w:val="21"/>
              </w:rPr>
              <w:t>在建工程</w:t>
            </w:r>
          </w:p>
          <w:p>
            <w:pPr>
              <w:pStyle w:val="103"/>
              <w:spacing w:beforeLines="0" w:afterLines="0" w:line="240" w:lineRule="auto"/>
              <w:rPr>
                <w:rFonts w:ascii="Times New Roman" w:eastAsia="黑体"/>
                <w:snapToGrid w:val="0"/>
                <w:spacing w:val="-6"/>
                <w:kern w:val="21"/>
                <w:szCs w:val="21"/>
              </w:rPr>
            </w:pPr>
            <w:r>
              <w:rPr>
                <w:rFonts w:ascii="Times New Roman" w:eastAsia="黑体"/>
                <w:snapToGrid w:val="0"/>
                <w:spacing w:val="-6"/>
                <w:kern w:val="21"/>
                <w:szCs w:val="21"/>
              </w:rPr>
              <w:t>排放量（固体废物产生量）</w:t>
            </w:r>
            <w:r>
              <w:rPr>
                <w:rFonts w:ascii="Times New Roman" w:eastAsia="黑体"/>
                <w:snapToGrid w:val="0"/>
                <w:spacing w:val="-6"/>
                <w:kern w:val="21"/>
                <w:szCs w:val="21"/>
              </w:rPr>
              <w:fldChar w:fldCharType="begin"/>
            </w:r>
            <w:r>
              <w:rPr>
                <w:rFonts w:ascii="Times New Roman" w:eastAsia="黑体"/>
                <w:snapToGrid w:val="0"/>
                <w:spacing w:val="-6"/>
                <w:kern w:val="21"/>
                <w:szCs w:val="21"/>
              </w:rPr>
              <w:instrText xml:space="preserve"> = 3 \* GB3 \* MERGEFORMAT </w:instrText>
            </w:r>
            <w:r>
              <w:rPr>
                <w:rFonts w:ascii="Times New Roman" w:eastAsia="黑体"/>
                <w:snapToGrid w:val="0"/>
                <w:spacing w:val="-6"/>
                <w:kern w:val="21"/>
                <w:szCs w:val="21"/>
              </w:rPr>
              <w:fldChar w:fldCharType="separate"/>
            </w:r>
            <w:r>
              <w:rPr>
                <w:rFonts w:hint="eastAsia" w:hAnsi="宋体" w:cs="宋体"/>
                <w:kern w:val="2"/>
                <w:szCs w:val="21"/>
              </w:rPr>
              <w:t>③</w:t>
            </w:r>
            <w:r>
              <w:rPr>
                <w:rFonts w:ascii="Times New Roman" w:eastAsia="黑体"/>
                <w:snapToGrid w:val="0"/>
                <w:spacing w:val="-6"/>
                <w:kern w:val="21"/>
                <w:szCs w:val="21"/>
              </w:rPr>
              <w:fldChar w:fldCharType="end"/>
            </w:r>
          </w:p>
        </w:tc>
        <w:tc>
          <w:tcPr>
            <w:tcW w:w="1559" w:type="dxa"/>
            <w:tcMar>
              <w:left w:w="28" w:type="dxa"/>
              <w:right w:w="28" w:type="dxa"/>
            </w:tcMar>
            <w:vAlign w:val="center"/>
          </w:tcPr>
          <w:p>
            <w:pPr>
              <w:pStyle w:val="103"/>
              <w:spacing w:beforeLines="0" w:afterLines="0" w:line="240" w:lineRule="auto"/>
              <w:rPr>
                <w:rFonts w:ascii="Times New Roman" w:eastAsia="黑体"/>
                <w:snapToGrid w:val="0"/>
                <w:spacing w:val="-6"/>
                <w:kern w:val="21"/>
                <w:szCs w:val="21"/>
              </w:rPr>
            </w:pPr>
            <w:r>
              <w:rPr>
                <w:rFonts w:ascii="Times New Roman" w:eastAsia="黑体"/>
                <w:snapToGrid w:val="0"/>
                <w:spacing w:val="-6"/>
                <w:kern w:val="21"/>
                <w:szCs w:val="21"/>
              </w:rPr>
              <w:t>本项目</w:t>
            </w:r>
          </w:p>
          <w:p>
            <w:pPr>
              <w:pStyle w:val="103"/>
              <w:spacing w:beforeLines="0" w:afterLines="0" w:line="240" w:lineRule="auto"/>
              <w:rPr>
                <w:rFonts w:ascii="Times New Roman" w:eastAsia="黑体"/>
                <w:snapToGrid w:val="0"/>
                <w:spacing w:val="-6"/>
                <w:kern w:val="21"/>
                <w:szCs w:val="21"/>
              </w:rPr>
            </w:pPr>
            <w:r>
              <w:rPr>
                <w:rFonts w:ascii="Times New Roman" w:eastAsia="黑体"/>
                <w:snapToGrid w:val="0"/>
                <w:spacing w:val="-6"/>
                <w:kern w:val="21"/>
                <w:szCs w:val="21"/>
              </w:rPr>
              <w:t>排放量（固体废物产生量）</w:t>
            </w:r>
            <w:r>
              <w:rPr>
                <w:rFonts w:ascii="Times New Roman" w:eastAsia="黑体"/>
                <w:snapToGrid w:val="0"/>
                <w:spacing w:val="-6"/>
                <w:kern w:val="21"/>
                <w:szCs w:val="21"/>
              </w:rPr>
              <w:fldChar w:fldCharType="begin"/>
            </w:r>
            <w:r>
              <w:rPr>
                <w:rFonts w:ascii="Times New Roman" w:eastAsia="黑体"/>
                <w:snapToGrid w:val="0"/>
                <w:spacing w:val="-6"/>
                <w:kern w:val="21"/>
                <w:szCs w:val="21"/>
              </w:rPr>
              <w:instrText xml:space="preserve"> = 4 \* GB3 \* MERGEFORMAT </w:instrText>
            </w:r>
            <w:r>
              <w:rPr>
                <w:rFonts w:ascii="Times New Roman" w:eastAsia="黑体"/>
                <w:snapToGrid w:val="0"/>
                <w:spacing w:val="-6"/>
                <w:kern w:val="21"/>
                <w:szCs w:val="21"/>
              </w:rPr>
              <w:fldChar w:fldCharType="separate"/>
            </w:r>
            <w:r>
              <w:rPr>
                <w:rFonts w:hint="eastAsia" w:hAnsi="宋体" w:cs="宋体"/>
                <w:kern w:val="2"/>
                <w:szCs w:val="21"/>
              </w:rPr>
              <w:t>④</w:t>
            </w:r>
            <w:r>
              <w:rPr>
                <w:rFonts w:ascii="Times New Roman" w:eastAsia="黑体"/>
                <w:snapToGrid w:val="0"/>
                <w:spacing w:val="-6"/>
                <w:kern w:val="21"/>
                <w:szCs w:val="21"/>
              </w:rPr>
              <w:fldChar w:fldCharType="end"/>
            </w:r>
          </w:p>
        </w:tc>
        <w:tc>
          <w:tcPr>
            <w:tcW w:w="1761" w:type="dxa"/>
            <w:tcMar>
              <w:left w:w="28" w:type="dxa"/>
              <w:right w:w="28" w:type="dxa"/>
            </w:tcMar>
            <w:vAlign w:val="center"/>
          </w:tcPr>
          <w:p>
            <w:pPr>
              <w:pStyle w:val="103"/>
              <w:spacing w:beforeLines="0" w:afterLines="0" w:line="240" w:lineRule="auto"/>
              <w:rPr>
                <w:rFonts w:ascii="Times New Roman" w:eastAsia="黑体"/>
                <w:snapToGrid w:val="0"/>
                <w:spacing w:val="-16"/>
                <w:kern w:val="21"/>
                <w:szCs w:val="21"/>
              </w:rPr>
            </w:pPr>
            <w:r>
              <w:rPr>
                <w:rFonts w:ascii="Times New Roman" w:eastAsia="黑体"/>
                <w:snapToGrid w:val="0"/>
                <w:spacing w:val="-16"/>
                <w:kern w:val="21"/>
                <w:szCs w:val="21"/>
              </w:rPr>
              <w:t>以新带老削减量</w:t>
            </w:r>
          </w:p>
          <w:p>
            <w:pPr>
              <w:pStyle w:val="103"/>
              <w:spacing w:beforeLines="0" w:afterLines="0" w:line="240" w:lineRule="auto"/>
              <w:rPr>
                <w:rFonts w:ascii="Times New Roman" w:eastAsia="黑体"/>
                <w:snapToGrid w:val="0"/>
                <w:spacing w:val="-16"/>
                <w:kern w:val="21"/>
                <w:szCs w:val="21"/>
              </w:rPr>
            </w:pPr>
            <w:r>
              <w:rPr>
                <w:rFonts w:ascii="Times New Roman" w:eastAsia="黑体"/>
                <w:snapToGrid w:val="0"/>
                <w:spacing w:val="-16"/>
                <w:kern w:val="21"/>
                <w:szCs w:val="21"/>
              </w:rPr>
              <w:t>（新建项目不填）</w:t>
            </w:r>
            <w:r>
              <w:rPr>
                <w:rFonts w:ascii="Times New Roman" w:eastAsia="黑体"/>
                <w:snapToGrid w:val="0"/>
                <w:spacing w:val="-16"/>
                <w:kern w:val="21"/>
                <w:szCs w:val="21"/>
              </w:rPr>
              <w:fldChar w:fldCharType="begin"/>
            </w:r>
            <w:r>
              <w:rPr>
                <w:rFonts w:ascii="Times New Roman" w:eastAsia="黑体"/>
                <w:snapToGrid w:val="0"/>
                <w:spacing w:val="-16"/>
                <w:kern w:val="21"/>
                <w:szCs w:val="21"/>
              </w:rPr>
              <w:instrText xml:space="preserve"> = 5 \* GB3 \* MERGEFORMAT </w:instrText>
            </w:r>
            <w:r>
              <w:rPr>
                <w:rFonts w:ascii="Times New Roman" w:eastAsia="黑体"/>
                <w:snapToGrid w:val="0"/>
                <w:spacing w:val="-16"/>
                <w:kern w:val="21"/>
                <w:szCs w:val="21"/>
              </w:rPr>
              <w:fldChar w:fldCharType="separate"/>
            </w:r>
            <w:r>
              <w:rPr>
                <w:rFonts w:hint="eastAsia" w:hAnsi="宋体" w:cs="宋体"/>
                <w:kern w:val="2"/>
                <w:szCs w:val="21"/>
              </w:rPr>
              <w:t>⑤</w:t>
            </w:r>
            <w:r>
              <w:rPr>
                <w:rFonts w:ascii="Times New Roman" w:eastAsia="黑体"/>
                <w:snapToGrid w:val="0"/>
                <w:spacing w:val="-16"/>
                <w:kern w:val="21"/>
                <w:szCs w:val="21"/>
              </w:rPr>
              <w:fldChar w:fldCharType="end"/>
            </w:r>
          </w:p>
        </w:tc>
        <w:tc>
          <w:tcPr>
            <w:tcW w:w="1745" w:type="dxa"/>
            <w:tcMar>
              <w:left w:w="28" w:type="dxa"/>
              <w:right w:w="28" w:type="dxa"/>
            </w:tcMar>
            <w:vAlign w:val="center"/>
          </w:tcPr>
          <w:p>
            <w:pPr>
              <w:pStyle w:val="103"/>
              <w:spacing w:beforeLines="0" w:afterLines="0" w:line="240" w:lineRule="auto"/>
              <w:rPr>
                <w:rFonts w:ascii="Times New Roman" w:eastAsia="黑体"/>
                <w:snapToGrid w:val="0"/>
                <w:spacing w:val="-16"/>
                <w:kern w:val="21"/>
                <w:szCs w:val="21"/>
              </w:rPr>
            </w:pPr>
            <w:r>
              <w:rPr>
                <w:rFonts w:ascii="Times New Roman" w:eastAsia="黑体"/>
                <w:snapToGrid w:val="0"/>
                <w:spacing w:val="-16"/>
                <w:kern w:val="21"/>
                <w:szCs w:val="21"/>
              </w:rPr>
              <w:t>本项目建成后</w:t>
            </w:r>
          </w:p>
          <w:p>
            <w:pPr>
              <w:pStyle w:val="103"/>
              <w:spacing w:beforeLines="0" w:afterLines="0" w:line="240" w:lineRule="auto"/>
              <w:rPr>
                <w:rFonts w:ascii="Times New Roman" w:eastAsia="黑体"/>
                <w:snapToGrid w:val="0"/>
                <w:spacing w:val="-16"/>
                <w:kern w:val="21"/>
                <w:szCs w:val="21"/>
              </w:rPr>
            </w:pPr>
            <w:r>
              <w:rPr>
                <w:rFonts w:ascii="Times New Roman" w:eastAsia="黑体"/>
                <w:snapToGrid w:val="0"/>
                <w:spacing w:val="-16"/>
                <w:kern w:val="21"/>
                <w:szCs w:val="21"/>
              </w:rPr>
              <w:t>全厂排放量（固体废物产生量）</w:t>
            </w:r>
            <w:r>
              <w:rPr>
                <w:rFonts w:ascii="Times New Roman" w:eastAsia="黑体"/>
                <w:snapToGrid w:val="0"/>
                <w:spacing w:val="-16"/>
                <w:kern w:val="21"/>
                <w:szCs w:val="21"/>
              </w:rPr>
              <w:fldChar w:fldCharType="begin"/>
            </w:r>
            <w:r>
              <w:rPr>
                <w:rFonts w:ascii="Times New Roman" w:eastAsia="黑体"/>
                <w:snapToGrid w:val="0"/>
                <w:spacing w:val="-16"/>
                <w:kern w:val="21"/>
                <w:szCs w:val="21"/>
              </w:rPr>
              <w:instrText xml:space="preserve"> = 6 \* GB3 \* MERGEFORMAT </w:instrText>
            </w:r>
            <w:r>
              <w:rPr>
                <w:rFonts w:ascii="Times New Roman" w:eastAsia="黑体"/>
                <w:snapToGrid w:val="0"/>
                <w:spacing w:val="-16"/>
                <w:kern w:val="21"/>
                <w:szCs w:val="21"/>
              </w:rPr>
              <w:fldChar w:fldCharType="separate"/>
            </w:r>
            <w:r>
              <w:rPr>
                <w:rFonts w:hint="eastAsia" w:hAnsi="宋体" w:cs="宋体"/>
                <w:kern w:val="2"/>
                <w:szCs w:val="21"/>
              </w:rPr>
              <w:t>⑥</w:t>
            </w:r>
            <w:r>
              <w:rPr>
                <w:rFonts w:ascii="Times New Roman" w:eastAsia="黑体"/>
                <w:snapToGrid w:val="0"/>
                <w:spacing w:val="-16"/>
                <w:kern w:val="21"/>
                <w:szCs w:val="21"/>
              </w:rPr>
              <w:fldChar w:fldCharType="end"/>
            </w:r>
          </w:p>
        </w:tc>
        <w:tc>
          <w:tcPr>
            <w:tcW w:w="1040" w:type="dxa"/>
            <w:tcMar>
              <w:left w:w="28" w:type="dxa"/>
              <w:right w:w="28" w:type="dxa"/>
            </w:tcMar>
            <w:vAlign w:val="center"/>
          </w:tcPr>
          <w:p>
            <w:pPr>
              <w:pStyle w:val="103"/>
              <w:spacing w:beforeLines="0" w:afterLines="0" w:line="240" w:lineRule="auto"/>
              <w:rPr>
                <w:rFonts w:ascii="Times New Roman" w:eastAsia="黑体"/>
                <w:snapToGrid w:val="0"/>
                <w:spacing w:val="-6"/>
                <w:kern w:val="21"/>
                <w:szCs w:val="21"/>
              </w:rPr>
            </w:pPr>
            <w:r>
              <w:rPr>
                <w:rFonts w:ascii="Times New Roman" w:eastAsia="黑体"/>
                <w:snapToGrid w:val="0"/>
                <w:spacing w:val="-6"/>
                <w:kern w:val="21"/>
                <w:szCs w:val="21"/>
              </w:rPr>
              <w:t>变化量</w:t>
            </w:r>
          </w:p>
          <w:p>
            <w:pPr>
              <w:pStyle w:val="103"/>
              <w:spacing w:beforeLines="0" w:afterLines="0" w:line="240" w:lineRule="auto"/>
              <w:rPr>
                <w:rFonts w:ascii="Times New Roman" w:eastAsia="黑体"/>
                <w:snapToGrid w:val="0"/>
                <w:spacing w:val="-6"/>
                <w:kern w:val="21"/>
                <w:szCs w:val="21"/>
              </w:rPr>
            </w:pPr>
            <w:r>
              <w:rPr>
                <w:rFonts w:ascii="Times New Roman" w:eastAsia="黑体"/>
                <w:snapToGrid w:val="0"/>
                <w:spacing w:val="-6"/>
                <w:kern w:val="21"/>
                <w:szCs w:val="21"/>
              </w:rPr>
              <w:fldChar w:fldCharType="begin"/>
            </w:r>
            <w:r>
              <w:rPr>
                <w:rFonts w:ascii="Times New Roman" w:eastAsia="黑体"/>
                <w:snapToGrid w:val="0"/>
                <w:spacing w:val="-6"/>
                <w:kern w:val="21"/>
                <w:szCs w:val="21"/>
              </w:rPr>
              <w:instrText xml:space="preserve"> = 7 \* GB3 \* MERGEFORMAT </w:instrText>
            </w:r>
            <w:r>
              <w:rPr>
                <w:rFonts w:ascii="Times New Roman" w:eastAsia="黑体"/>
                <w:snapToGrid w:val="0"/>
                <w:spacing w:val="-6"/>
                <w:kern w:val="21"/>
                <w:szCs w:val="21"/>
              </w:rPr>
              <w:fldChar w:fldCharType="separate"/>
            </w:r>
            <w:r>
              <w:rPr>
                <w:rFonts w:hint="eastAsia" w:hAnsi="宋体" w:cs="宋体"/>
                <w:kern w:val="2"/>
                <w:szCs w:val="21"/>
              </w:rPr>
              <w:t>⑦</w:t>
            </w:r>
            <w:r>
              <w:rPr>
                <w:rFonts w:ascii="Times New Roman" w:eastAsia="黑体"/>
                <w:snapToGrid w:val="0"/>
                <w:spacing w:val="-6"/>
                <w:kern w:val="21"/>
                <w:szCs w:val="21"/>
              </w:rPr>
              <w:fldChar w:fldCharType="end"/>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588" w:type="dxa"/>
            <w:vAlign w:val="center"/>
          </w:tcPr>
          <w:p>
            <w:pPr>
              <w:pStyle w:val="103"/>
              <w:spacing w:beforeLines="0" w:afterLines="0" w:line="240" w:lineRule="auto"/>
              <w:rPr>
                <w:rFonts w:ascii="Times New Roman"/>
                <w:snapToGrid w:val="0"/>
                <w:kern w:val="21"/>
                <w:szCs w:val="21"/>
              </w:rPr>
            </w:pPr>
            <w:r>
              <w:rPr>
                <w:rFonts w:ascii="Times New Roman"/>
                <w:snapToGrid w:val="0"/>
                <w:kern w:val="21"/>
                <w:szCs w:val="21"/>
              </w:rPr>
              <w:t>废气</w:t>
            </w:r>
          </w:p>
        </w:tc>
        <w:tc>
          <w:tcPr>
            <w:tcW w:w="1417" w:type="dxa"/>
            <w:vAlign w:val="center"/>
          </w:tcPr>
          <w:p>
            <w:pPr>
              <w:pStyle w:val="103"/>
              <w:spacing w:beforeLines="0" w:afterLines="0" w:line="240" w:lineRule="auto"/>
              <w:rPr>
                <w:rFonts w:ascii="Times New Roman"/>
                <w:snapToGrid w:val="0"/>
                <w:kern w:val="21"/>
                <w:szCs w:val="21"/>
              </w:rPr>
            </w:pPr>
            <w:r>
              <w:rPr>
                <w:rFonts w:ascii="Times New Roman"/>
                <w:szCs w:val="21"/>
              </w:rPr>
              <w:t>颗粒物</w:t>
            </w:r>
          </w:p>
        </w:tc>
        <w:tc>
          <w:tcPr>
            <w:tcW w:w="1701" w:type="dxa"/>
            <w:vAlign w:val="center"/>
          </w:tcPr>
          <w:p>
            <w:pPr>
              <w:pStyle w:val="103"/>
              <w:spacing w:beforeLines="0" w:afterLines="0" w:line="240" w:lineRule="auto"/>
              <w:rPr>
                <w:rFonts w:ascii="Times New Roman"/>
                <w:snapToGrid w:val="0"/>
                <w:kern w:val="21"/>
                <w:szCs w:val="21"/>
              </w:rPr>
            </w:pPr>
            <w:r>
              <w:rPr>
                <w:rFonts w:ascii="Times New Roman"/>
                <w:snapToGrid w:val="0"/>
                <w:kern w:val="21"/>
                <w:szCs w:val="21"/>
              </w:rPr>
              <w:t>/</w:t>
            </w:r>
          </w:p>
        </w:tc>
        <w:tc>
          <w:tcPr>
            <w:tcW w:w="1276" w:type="dxa"/>
            <w:vAlign w:val="center"/>
          </w:tcPr>
          <w:p>
            <w:pPr>
              <w:pStyle w:val="103"/>
              <w:spacing w:beforeLines="0" w:afterLines="0" w:line="240" w:lineRule="auto"/>
              <w:rPr>
                <w:rFonts w:ascii="Times New Roman"/>
                <w:snapToGrid w:val="0"/>
                <w:kern w:val="21"/>
                <w:szCs w:val="21"/>
              </w:rPr>
            </w:pPr>
            <w:r>
              <w:rPr>
                <w:rFonts w:ascii="Times New Roman"/>
                <w:snapToGrid w:val="0"/>
                <w:kern w:val="21"/>
                <w:szCs w:val="21"/>
              </w:rPr>
              <w:t>/</w:t>
            </w:r>
          </w:p>
        </w:tc>
        <w:tc>
          <w:tcPr>
            <w:tcW w:w="1701" w:type="dxa"/>
            <w:vAlign w:val="center"/>
          </w:tcPr>
          <w:p>
            <w:pPr>
              <w:pStyle w:val="103"/>
              <w:spacing w:beforeLines="0" w:afterLines="0" w:line="240" w:lineRule="auto"/>
              <w:rPr>
                <w:rFonts w:ascii="Times New Roman"/>
                <w:snapToGrid w:val="0"/>
                <w:kern w:val="21"/>
                <w:szCs w:val="21"/>
              </w:rPr>
            </w:pPr>
            <w:r>
              <w:rPr>
                <w:rFonts w:ascii="Times New Roman"/>
                <w:snapToGrid w:val="0"/>
                <w:kern w:val="21"/>
                <w:szCs w:val="21"/>
              </w:rPr>
              <w:t>/</w:t>
            </w:r>
          </w:p>
        </w:tc>
        <w:tc>
          <w:tcPr>
            <w:tcW w:w="1559" w:type="dxa"/>
            <w:vAlign w:val="center"/>
          </w:tcPr>
          <w:p>
            <w:pPr>
              <w:pStyle w:val="103"/>
              <w:spacing w:beforeLines="0" w:afterLines="0" w:line="240" w:lineRule="auto"/>
              <w:rPr>
                <w:rFonts w:ascii="Times New Roman"/>
                <w:snapToGrid w:val="0"/>
                <w:kern w:val="21"/>
                <w:szCs w:val="21"/>
              </w:rPr>
            </w:pPr>
            <w:r>
              <w:rPr>
                <w:rFonts w:ascii="Times New Roman"/>
                <w:snapToGrid w:val="0"/>
                <w:kern w:val="21"/>
                <w:szCs w:val="21"/>
              </w:rPr>
              <w:t>0</w:t>
            </w:r>
          </w:p>
        </w:tc>
        <w:tc>
          <w:tcPr>
            <w:tcW w:w="1761" w:type="dxa"/>
            <w:vAlign w:val="center"/>
          </w:tcPr>
          <w:p>
            <w:pPr>
              <w:pStyle w:val="103"/>
              <w:spacing w:beforeLines="0" w:afterLines="0" w:line="240" w:lineRule="auto"/>
              <w:rPr>
                <w:rFonts w:ascii="Times New Roman"/>
                <w:snapToGrid w:val="0"/>
                <w:kern w:val="21"/>
                <w:szCs w:val="21"/>
              </w:rPr>
            </w:pPr>
            <w:r>
              <w:rPr>
                <w:rFonts w:ascii="Times New Roman"/>
                <w:snapToGrid w:val="0"/>
                <w:kern w:val="21"/>
                <w:szCs w:val="21"/>
              </w:rPr>
              <w:t>/</w:t>
            </w:r>
          </w:p>
        </w:tc>
        <w:tc>
          <w:tcPr>
            <w:tcW w:w="1745" w:type="dxa"/>
            <w:vAlign w:val="center"/>
          </w:tcPr>
          <w:p>
            <w:pPr>
              <w:pStyle w:val="103"/>
              <w:spacing w:beforeLines="0" w:afterLines="0" w:line="240" w:lineRule="auto"/>
              <w:rPr>
                <w:rFonts w:ascii="Times New Roman"/>
                <w:snapToGrid w:val="0"/>
                <w:kern w:val="21"/>
                <w:szCs w:val="21"/>
              </w:rPr>
            </w:pPr>
            <w:r>
              <w:rPr>
                <w:rFonts w:ascii="Times New Roman"/>
                <w:snapToGrid w:val="0"/>
                <w:kern w:val="21"/>
                <w:szCs w:val="21"/>
              </w:rPr>
              <w:t>0</w:t>
            </w:r>
          </w:p>
        </w:tc>
        <w:tc>
          <w:tcPr>
            <w:tcW w:w="1040" w:type="dxa"/>
            <w:vAlign w:val="center"/>
          </w:tcPr>
          <w:p>
            <w:pPr>
              <w:pStyle w:val="103"/>
              <w:spacing w:beforeLines="0" w:afterLines="0" w:line="240" w:lineRule="auto"/>
              <w:rPr>
                <w:rFonts w:ascii="Times New Roman"/>
                <w:snapToGrid w:val="0"/>
                <w:kern w:val="21"/>
                <w:szCs w:val="21"/>
              </w:rPr>
            </w:pPr>
            <w:r>
              <w:rPr>
                <w:rFonts w:ascii="Times New Roman"/>
                <w:snapToGrid w:val="0"/>
                <w:kern w:val="21"/>
                <w:szCs w:val="21"/>
              </w:rPr>
              <w:t>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588" w:type="dxa"/>
            <w:vAlign w:val="center"/>
          </w:tcPr>
          <w:p>
            <w:pPr>
              <w:pStyle w:val="103"/>
              <w:spacing w:beforeLines="0" w:afterLines="0" w:line="240" w:lineRule="auto"/>
              <w:rPr>
                <w:rFonts w:ascii="Times New Roman"/>
                <w:snapToGrid w:val="0"/>
                <w:kern w:val="21"/>
                <w:szCs w:val="21"/>
              </w:rPr>
            </w:pPr>
            <w:r>
              <w:rPr>
                <w:rFonts w:ascii="Times New Roman"/>
                <w:snapToGrid w:val="0"/>
                <w:kern w:val="21"/>
                <w:szCs w:val="21"/>
              </w:rPr>
              <w:t>废水</w:t>
            </w:r>
          </w:p>
        </w:tc>
        <w:tc>
          <w:tcPr>
            <w:tcW w:w="1417" w:type="dxa"/>
            <w:vAlign w:val="center"/>
          </w:tcPr>
          <w:p>
            <w:pPr>
              <w:pStyle w:val="103"/>
              <w:spacing w:beforeLines="0" w:afterLines="0" w:line="240" w:lineRule="auto"/>
              <w:rPr>
                <w:rFonts w:ascii="Times New Roman"/>
                <w:snapToGrid w:val="0"/>
                <w:kern w:val="21"/>
                <w:szCs w:val="21"/>
              </w:rPr>
            </w:pPr>
            <w:r>
              <w:rPr>
                <w:rFonts w:ascii="Times New Roman"/>
                <w:snapToGrid w:val="0"/>
                <w:kern w:val="21"/>
                <w:szCs w:val="21"/>
              </w:rPr>
              <w:t>/</w:t>
            </w:r>
          </w:p>
        </w:tc>
        <w:tc>
          <w:tcPr>
            <w:tcW w:w="1701" w:type="dxa"/>
            <w:vAlign w:val="center"/>
          </w:tcPr>
          <w:p>
            <w:pPr>
              <w:pStyle w:val="103"/>
              <w:spacing w:beforeLines="0" w:afterLines="0" w:line="240" w:lineRule="auto"/>
              <w:rPr>
                <w:rFonts w:ascii="Times New Roman"/>
                <w:snapToGrid w:val="0"/>
                <w:kern w:val="21"/>
                <w:szCs w:val="21"/>
              </w:rPr>
            </w:pPr>
            <w:r>
              <w:rPr>
                <w:rFonts w:ascii="Times New Roman"/>
                <w:snapToGrid w:val="0"/>
                <w:kern w:val="21"/>
                <w:szCs w:val="21"/>
              </w:rPr>
              <w:t>/</w:t>
            </w:r>
          </w:p>
        </w:tc>
        <w:tc>
          <w:tcPr>
            <w:tcW w:w="1276" w:type="dxa"/>
            <w:vAlign w:val="center"/>
          </w:tcPr>
          <w:p>
            <w:pPr>
              <w:pStyle w:val="103"/>
              <w:spacing w:beforeLines="0" w:afterLines="0" w:line="240" w:lineRule="auto"/>
              <w:rPr>
                <w:rFonts w:ascii="Times New Roman"/>
                <w:snapToGrid w:val="0"/>
                <w:kern w:val="21"/>
                <w:szCs w:val="21"/>
              </w:rPr>
            </w:pPr>
            <w:r>
              <w:rPr>
                <w:rFonts w:ascii="Times New Roman"/>
                <w:snapToGrid w:val="0"/>
                <w:kern w:val="21"/>
                <w:szCs w:val="21"/>
              </w:rPr>
              <w:t>/</w:t>
            </w:r>
          </w:p>
        </w:tc>
        <w:tc>
          <w:tcPr>
            <w:tcW w:w="1701" w:type="dxa"/>
            <w:vAlign w:val="center"/>
          </w:tcPr>
          <w:p>
            <w:pPr>
              <w:pStyle w:val="103"/>
              <w:spacing w:beforeLines="0" w:afterLines="0" w:line="240" w:lineRule="auto"/>
              <w:rPr>
                <w:rFonts w:ascii="Times New Roman"/>
                <w:snapToGrid w:val="0"/>
                <w:kern w:val="21"/>
                <w:szCs w:val="21"/>
              </w:rPr>
            </w:pPr>
            <w:r>
              <w:rPr>
                <w:rFonts w:ascii="Times New Roman"/>
                <w:snapToGrid w:val="0"/>
                <w:kern w:val="21"/>
                <w:szCs w:val="21"/>
              </w:rPr>
              <w:t>/</w:t>
            </w:r>
          </w:p>
        </w:tc>
        <w:tc>
          <w:tcPr>
            <w:tcW w:w="1559" w:type="dxa"/>
            <w:vAlign w:val="center"/>
          </w:tcPr>
          <w:p>
            <w:pPr>
              <w:pStyle w:val="103"/>
              <w:spacing w:beforeLines="0" w:afterLines="0" w:line="240" w:lineRule="auto"/>
              <w:rPr>
                <w:rFonts w:ascii="Times New Roman"/>
                <w:snapToGrid w:val="0"/>
                <w:kern w:val="21"/>
                <w:szCs w:val="21"/>
              </w:rPr>
            </w:pPr>
            <w:r>
              <w:rPr>
                <w:rFonts w:ascii="Times New Roman"/>
                <w:snapToGrid w:val="0"/>
                <w:kern w:val="21"/>
                <w:szCs w:val="21"/>
              </w:rPr>
              <w:t>/</w:t>
            </w:r>
          </w:p>
        </w:tc>
        <w:tc>
          <w:tcPr>
            <w:tcW w:w="1761" w:type="dxa"/>
            <w:vAlign w:val="center"/>
          </w:tcPr>
          <w:p>
            <w:pPr>
              <w:pStyle w:val="103"/>
              <w:spacing w:beforeLines="0" w:afterLines="0" w:line="240" w:lineRule="auto"/>
              <w:rPr>
                <w:rFonts w:ascii="Times New Roman"/>
                <w:snapToGrid w:val="0"/>
                <w:kern w:val="21"/>
                <w:szCs w:val="21"/>
              </w:rPr>
            </w:pPr>
            <w:r>
              <w:rPr>
                <w:rFonts w:ascii="Times New Roman"/>
                <w:snapToGrid w:val="0"/>
                <w:kern w:val="21"/>
                <w:szCs w:val="21"/>
              </w:rPr>
              <w:t>/</w:t>
            </w:r>
          </w:p>
        </w:tc>
        <w:tc>
          <w:tcPr>
            <w:tcW w:w="1745" w:type="dxa"/>
            <w:vAlign w:val="center"/>
          </w:tcPr>
          <w:p>
            <w:pPr>
              <w:pStyle w:val="103"/>
              <w:spacing w:beforeLines="0" w:afterLines="0" w:line="240" w:lineRule="auto"/>
              <w:rPr>
                <w:rFonts w:ascii="Times New Roman"/>
                <w:snapToGrid w:val="0"/>
                <w:kern w:val="21"/>
                <w:szCs w:val="21"/>
              </w:rPr>
            </w:pPr>
            <w:r>
              <w:rPr>
                <w:rFonts w:ascii="Times New Roman"/>
                <w:snapToGrid w:val="0"/>
                <w:kern w:val="21"/>
                <w:szCs w:val="21"/>
              </w:rPr>
              <w:t>/</w:t>
            </w:r>
          </w:p>
        </w:tc>
        <w:tc>
          <w:tcPr>
            <w:tcW w:w="1040" w:type="dxa"/>
            <w:vAlign w:val="center"/>
          </w:tcPr>
          <w:p>
            <w:pPr>
              <w:pStyle w:val="103"/>
              <w:spacing w:beforeLines="0" w:afterLines="0" w:line="240" w:lineRule="auto"/>
              <w:rPr>
                <w:rFonts w:ascii="Times New Roman"/>
                <w:snapToGrid w:val="0"/>
                <w:kern w:val="21"/>
                <w:szCs w:val="21"/>
              </w:rPr>
            </w:pPr>
            <w:r>
              <w:rPr>
                <w:rFonts w:ascii="Times New Roman"/>
                <w:snapToGrid w:val="0"/>
                <w:kern w:val="21"/>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588" w:type="dxa"/>
            <w:vMerge w:val="restart"/>
            <w:vAlign w:val="center"/>
          </w:tcPr>
          <w:p>
            <w:pPr>
              <w:pStyle w:val="103"/>
              <w:spacing w:beforeLines="0" w:afterLines="0" w:line="240" w:lineRule="auto"/>
              <w:rPr>
                <w:rFonts w:ascii="Times New Roman"/>
                <w:snapToGrid w:val="0"/>
                <w:kern w:val="21"/>
                <w:szCs w:val="21"/>
              </w:rPr>
            </w:pPr>
            <w:r>
              <w:rPr>
                <w:rFonts w:ascii="Times New Roman"/>
                <w:snapToGrid w:val="0"/>
                <w:kern w:val="21"/>
                <w:szCs w:val="21"/>
              </w:rPr>
              <w:t>一般工业固体废物</w:t>
            </w:r>
          </w:p>
        </w:tc>
        <w:tc>
          <w:tcPr>
            <w:tcW w:w="1417" w:type="dxa"/>
            <w:vAlign w:val="center"/>
          </w:tcPr>
          <w:p>
            <w:pPr>
              <w:pStyle w:val="103"/>
              <w:spacing w:beforeLines="0" w:afterLines="0" w:line="240" w:lineRule="auto"/>
              <w:rPr>
                <w:rFonts w:ascii="Times New Roman"/>
                <w:snapToGrid w:val="0"/>
                <w:kern w:val="21"/>
                <w:szCs w:val="21"/>
              </w:rPr>
            </w:pPr>
            <w:r>
              <w:rPr>
                <w:rFonts w:ascii="Times New Roman"/>
                <w:szCs w:val="21"/>
              </w:rPr>
              <w:t>未燃尽生活垃圾</w:t>
            </w:r>
          </w:p>
        </w:tc>
        <w:tc>
          <w:tcPr>
            <w:tcW w:w="1701" w:type="dxa"/>
            <w:vAlign w:val="center"/>
          </w:tcPr>
          <w:p>
            <w:pPr>
              <w:pStyle w:val="103"/>
              <w:spacing w:beforeLines="0" w:afterLines="0" w:line="240" w:lineRule="auto"/>
              <w:rPr>
                <w:rFonts w:ascii="Times New Roman"/>
                <w:snapToGrid w:val="0"/>
                <w:kern w:val="21"/>
                <w:szCs w:val="21"/>
              </w:rPr>
            </w:pPr>
            <w:r>
              <w:rPr>
                <w:rFonts w:ascii="Times New Roman"/>
                <w:snapToGrid w:val="0"/>
                <w:kern w:val="21"/>
                <w:szCs w:val="21"/>
              </w:rPr>
              <w:t>0</w:t>
            </w:r>
          </w:p>
        </w:tc>
        <w:tc>
          <w:tcPr>
            <w:tcW w:w="1276" w:type="dxa"/>
            <w:vAlign w:val="center"/>
          </w:tcPr>
          <w:p>
            <w:pPr>
              <w:pStyle w:val="103"/>
              <w:spacing w:beforeLines="0" w:afterLines="0" w:line="240" w:lineRule="auto"/>
              <w:rPr>
                <w:rFonts w:ascii="Times New Roman"/>
                <w:snapToGrid w:val="0"/>
                <w:kern w:val="21"/>
                <w:szCs w:val="21"/>
              </w:rPr>
            </w:pPr>
            <w:r>
              <w:rPr>
                <w:rFonts w:ascii="Times New Roman"/>
                <w:snapToGrid w:val="0"/>
                <w:kern w:val="21"/>
                <w:szCs w:val="21"/>
              </w:rPr>
              <w:t>0</w:t>
            </w:r>
          </w:p>
        </w:tc>
        <w:tc>
          <w:tcPr>
            <w:tcW w:w="1701" w:type="dxa"/>
            <w:vAlign w:val="center"/>
          </w:tcPr>
          <w:p>
            <w:pPr>
              <w:pStyle w:val="103"/>
              <w:spacing w:beforeLines="0" w:afterLines="0" w:line="240" w:lineRule="auto"/>
              <w:rPr>
                <w:rFonts w:ascii="Times New Roman"/>
                <w:snapToGrid w:val="0"/>
                <w:kern w:val="21"/>
                <w:szCs w:val="21"/>
              </w:rPr>
            </w:pPr>
            <w:r>
              <w:rPr>
                <w:rFonts w:ascii="Times New Roman"/>
                <w:snapToGrid w:val="0"/>
                <w:kern w:val="21"/>
                <w:szCs w:val="21"/>
              </w:rPr>
              <w:t>0</w:t>
            </w:r>
          </w:p>
        </w:tc>
        <w:tc>
          <w:tcPr>
            <w:tcW w:w="1559" w:type="dxa"/>
            <w:vAlign w:val="center"/>
          </w:tcPr>
          <w:p>
            <w:pPr>
              <w:pStyle w:val="103"/>
              <w:spacing w:beforeLines="0" w:afterLines="0" w:line="240" w:lineRule="auto"/>
              <w:rPr>
                <w:rFonts w:ascii="Times New Roman"/>
                <w:snapToGrid w:val="0"/>
                <w:kern w:val="21"/>
                <w:szCs w:val="21"/>
              </w:rPr>
            </w:pPr>
            <w:r>
              <w:rPr>
                <w:rFonts w:ascii="Times New Roman"/>
                <w:bCs/>
                <w:szCs w:val="21"/>
              </w:rPr>
              <w:t>3066</w:t>
            </w:r>
          </w:p>
        </w:tc>
        <w:tc>
          <w:tcPr>
            <w:tcW w:w="1761" w:type="dxa"/>
            <w:vAlign w:val="center"/>
          </w:tcPr>
          <w:p>
            <w:pPr>
              <w:pStyle w:val="103"/>
              <w:spacing w:beforeLines="0" w:afterLines="0" w:line="240" w:lineRule="auto"/>
              <w:rPr>
                <w:rFonts w:ascii="Times New Roman"/>
                <w:snapToGrid w:val="0"/>
                <w:kern w:val="21"/>
                <w:szCs w:val="21"/>
              </w:rPr>
            </w:pPr>
            <w:r>
              <w:rPr>
                <w:rFonts w:ascii="Times New Roman"/>
                <w:snapToGrid w:val="0"/>
                <w:kern w:val="21"/>
                <w:szCs w:val="21"/>
              </w:rPr>
              <w:t>/</w:t>
            </w:r>
          </w:p>
        </w:tc>
        <w:tc>
          <w:tcPr>
            <w:tcW w:w="1745" w:type="dxa"/>
            <w:vAlign w:val="center"/>
          </w:tcPr>
          <w:p>
            <w:pPr>
              <w:pStyle w:val="103"/>
              <w:spacing w:beforeLines="0" w:afterLines="0" w:line="240" w:lineRule="auto"/>
              <w:rPr>
                <w:rFonts w:ascii="Times New Roman"/>
                <w:snapToGrid w:val="0"/>
                <w:kern w:val="21"/>
                <w:szCs w:val="21"/>
              </w:rPr>
            </w:pPr>
            <w:r>
              <w:rPr>
                <w:rFonts w:ascii="Times New Roman"/>
                <w:bCs/>
                <w:szCs w:val="21"/>
              </w:rPr>
              <w:t>3066</w:t>
            </w:r>
          </w:p>
        </w:tc>
        <w:tc>
          <w:tcPr>
            <w:tcW w:w="1040" w:type="dxa"/>
            <w:vAlign w:val="center"/>
          </w:tcPr>
          <w:p>
            <w:pPr>
              <w:pStyle w:val="103"/>
              <w:spacing w:beforeLines="0" w:afterLines="0" w:line="240" w:lineRule="auto"/>
              <w:rPr>
                <w:rFonts w:ascii="Times New Roman"/>
                <w:snapToGrid w:val="0"/>
                <w:kern w:val="21"/>
                <w:szCs w:val="21"/>
              </w:rPr>
            </w:pPr>
            <w:r>
              <w:rPr>
                <w:rFonts w:ascii="Times New Roman"/>
                <w:bCs/>
                <w:szCs w:val="21"/>
              </w:rPr>
              <w:t>+3066</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588" w:type="dxa"/>
            <w:vMerge w:val="continue"/>
            <w:vAlign w:val="center"/>
          </w:tcPr>
          <w:p>
            <w:pPr>
              <w:pStyle w:val="103"/>
              <w:spacing w:beforeLines="0" w:afterLines="0" w:line="240" w:lineRule="auto"/>
              <w:rPr>
                <w:rFonts w:ascii="Times New Roman"/>
                <w:snapToGrid w:val="0"/>
                <w:kern w:val="21"/>
                <w:szCs w:val="21"/>
              </w:rPr>
            </w:pPr>
          </w:p>
        </w:tc>
        <w:tc>
          <w:tcPr>
            <w:tcW w:w="1417" w:type="dxa"/>
            <w:vAlign w:val="center"/>
          </w:tcPr>
          <w:p>
            <w:pPr>
              <w:pStyle w:val="103"/>
              <w:spacing w:beforeLines="0" w:afterLines="0" w:line="240" w:lineRule="auto"/>
              <w:rPr>
                <w:rFonts w:ascii="Times New Roman"/>
                <w:snapToGrid w:val="0"/>
                <w:kern w:val="21"/>
                <w:szCs w:val="21"/>
              </w:rPr>
            </w:pPr>
            <w:r>
              <w:rPr>
                <w:rFonts w:ascii="Times New Roman"/>
                <w:szCs w:val="21"/>
              </w:rPr>
              <w:t>循环池污泥</w:t>
            </w:r>
          </w:p>
        </w:tc>
        <w:tc>
          <w:tcPr>
            <w:tcW w:w="1701" w:type="dxa"/>
            <w:vAlign w:val="center"/>
          </w:tcPr>
          <w:p>
            <w:pPr>
              <w:pStyle w:val="103"/>
              <w:spacing w:beforeLines="0" w:afterLines="0" w:line="240" w:lineRule="auto"/>
              <w:rPr>
                <w:rFonts w:ascii="Times New Roman"/>
                <w:snapToGrid w:val="0"/>
                <w:kern w:val="21"/>
                <w:szCs w:val="21"/>
              </w:rPr>
            </w:pPr>
            <w:r>
              <w:rPr>
                <w:rFonts w:ascii="Times New Roman"/>
                <w:snapToGrid w:val="0"/>
                <w:kern w:val="21"/>
                <w:szCs w:val="21"/>
              </w:rPr>
              <w:t>0</w:t>
            </w:r>
          </w:p>
        </w:tc>
        <w:tc>
          <w:tcPr>
            <w:tcW w:w="1276" w:type="dxa"/>
            <w:vAlign w:val="center"/>
          </w:tcPr>
          <w:p>
            <w:pPr>
              <w:pStyle w:val="103"/>
              <w:spacing w:beforeLines="0" w:afterLines="0" w:line="240" w:lineRule="auto"/>
              <w:rPr>
                <w:rFonts w:ascii="Times New Roman"/>
                <w:snapToGrid w:val="0"/>
                <w:kern w:val="21"/>
                <w:szCs w:val="21"/>
              </w:rPr>
            </w:pPr>
            <w:r>
              <w:rPr>
                <w:rFonts w:ascii="Times New Roman"/>
                <w:snapToGrid w:val="0"/>
                <w:kern w:val="21"/>
                <w:szCs w:val="21"/>
              </w:rPr>
              <w:t>0</w:t>
            </w:r>
          </w:p>
        </w:tc>
        <w:tc>
          <w:tcPr>
            <w:tcW w:w="1701" w:type="dxa"/>
            <w:vAlign w:val="center"/>
          </w:tcPr>
          <w:p>
            <w:pPr>
              <w:pStyle w:val="103"/>
              <w:spacing w:beforeLines="0" w:afterLines="0" w:line="240" w:lineRule="auto"/>
              <w:rPr>
                <w:rFonts w:ascii="Times New Roman"/>
                <w:snapToGrid w:val="0"/>
                <w:kern w:val="21"/>
                <w:szCs w:val="21"/>
              </w:rPr>
            </w:pPr>
            <w:r>
              <w:rPr>
                <w:rFonts w:ascii="Times New Roman"/>
                <w:snapToGrid w:val="0"/>
                <w:kern w:val="21"/>
                <w:szCs w:val="21"/>
              </w:rPr>
              <w:t>0</w:t>
            </w:r>
          </w:p>
        </w:tc>
        <w:tc>
          <w:tcPr>
            <w:tcW w:w="1559" w:type="dxa"/>
            <w:vAlign w:val="center"/>
          </w:tcPr>
          <w:p>
            <w:pPr>
              <w:pStyle w:val="103"/>
              <w:spacing w:beforeLines="0" w:afterLines="0" w:line="240" w:lineRule="auto"/>
              <w:rPr>
                <w:rFonts w:ascii="Times New Roman"/>
                <w:snapToGrid w:val="0"/>
                <w:kern w:val="21"/>
                <w:szCs w:val="21"/>
              </w:rPr>
            </w:pPr>
            <w:r>
              <w:rPr>
                <w:rFonts w:ascii="Times New Roman"/>
                <w:bCs/>
                <w:szCs w:val="21"/>
              </w:rPr>
              <w:t>4380</w:t>
            </w:r>
          </w:p>
        </w:tc>
        <w:tc>
          <w:tcPr>
            <w:tcW w:w="1761" w:type="dxa"/>
            <w:vAlign w:val="center"/>
          </w:tcPr>
          <w:p>
            <w:pPr>
              <w:pStyle w:val="103"/>
              <w:spacing w:beforeLines="0" w:afterLines="0" w:line="240" w:lineRule="auto"/>
              <w:rPr>
                <w:rFonts w:ascii="Times New Roman"/>
                <w:snapToGrid w:val="0"/>
                <w:kern w:val="21"/>
                <w:szCs w:val="21"/>
              </w:rPr>
            </w:pPr>
            <w:r>
              <w:rPr>
                <w:rFonts w:ascii="Times New Roman"/>
                <w:snapToGrid w:val="0"/>
                <w:kern w:val="21"/>
                <w:szCs w:val="21"/>
              </w:rPr>
              <w:t>/</w:t>
            </w:r>
          </w:p>
        </w:tc>
        <w:tc>
          <w:tcPr>
            <w:tcW w:w="1745" w:type="dxa"/>
            <w:vAlign w:val="center"/>
          </w:tcPr>
          <w:p>
            <w:pPr>
              <w:pStyle w:val="103"/>
              <w:spacing w:beforeLines="0" w:afterLines="0" w:line="240" w:lineRule="auto"/>
              <w:rPr>
                <w:rFonts w:ascii="Times New Roman"/>
                <w:snapToGrid w:val="0"/>
                <w:kern w:val="21"/>
                <w:szCs w:val="21"/>
              </w:rPr>
            </w:pPr>
            <w:r>
              <w:rPr>
                <w:rFonts w:ascii="Times New Roman"/>
                <w:bCs/>
                <w:szCs w:val="21"/>
              </w:rPr>
              <w:t>4380</w:t>
            </w:r>
          </w:p>
        </w:tc>
        <w:tc>
          <w:tcPr>
            <w:tcW w:w="1040" w:type="dxa"/>
            <w:vAlign w:val="center"/>
          </w:tcPr>
          <w:p>
            <w:pPr>
              <w:pStyle w:val="103"/>
              <w:spacing w:beforeLines="0" w:afterLines="0" w:line="240" w:lineRule="auto"/>
              <w:rPr>
                <w:rFonts w:ascii="Times New Roman"/>
                <w:snapToGrid w:val="0"/>
                <w:kern w:val="21"/>
                <w:szCs w:val="21"/>
              </w:rPr>
            </w:pPr>
            <w:r>
              <w:rPr>
                <w:rFonts w:ascii="Times New Roman"/>
                <w:bCs/>
                <w:szCs w:val="21"/>
              </w:rPr>
              <w:t>+4380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588" w:type="dxa"/>
            <w:vMerge w:val="continue"/>
            <w:vAlign w:val="center"/>
          </w:tcPr>
          <w:p>
            <w:pPr>
              <w:pStyle w:val="103"/>
              <w:spacing w:beforeLines="0" w:afterLines="0" w:line="240" w:lineRule="auto"/>
              <w:rPr>
                <w:rFonts w:ascii="Times New Roman"/>
                <w:snapToGrid w:val="0"/>
                <w:kern w:val="21"/>
                <w:szCs w:val="21"/>
              </w:rPr>
            </w:pPr>
          </w:p>
        </w:tc>
        <w:tc>
          <w:tcPr>
            <w:tcW w:w="1417" w:type="dxa"/>
            <w:vAlign w:val="center"/>
          </w:tcPr>
          <w:p>
            <w:pPr>
              <w:pStyle w:val="103"/>
              <w:spacing w:beforeLines="0" w:afterLines="0" w:line="240" w:lineRule="auto"/>
              <w:rPr>
                <w:rFonts w:ascii="Times New Roman"/>
                <w:snapToGrid w:val="0"/>
                <w:kern w:val="21"/>
                <w:szCs w:val="21"/>
              </w:rPr>
            </w:pPr>
            <w:r>
              <w:rPr>
                <w:rFonts w:ascii="Times New Roman"/>
                <w:szCs w:val="21"/>
              </w:rPr>
              <w:t>人工分拣物、可燃物</w:t>
            </w:r>
          </w:p>
        </w:tc>
        <w:tc>
          <w:tcPr>
            <w:tcW w:w="1701" w:type="dxa"/>
            <w:vAlign w:val="center"/>
          </w:tcPr>
          <w:p>
            <w:pPr>
              <w:pStyle w:val="103"/>
              <w:spacing w:beforeLines="0" w:afterLines="0" w:line="240" w:lineRule="auto"/>
              <w:rPr>
                <w:rFonts w:ascii="Times New Roman"/>
                <w:snapToGrid w:val="0"/>
                <w:kern w:val="21"/>
                <w:szCs w:val="21"/>
              </w:rPr>
            </w:pPr>
            <w:r>
              <w:rPr>
                <w:rFonts w:ascii="Times New Roman"/>
                <w:snapToGrid w:val="0"/>
                <w:kern w:val="21"/>
                <w:szCs w:val="21"/>
              </w:rPr>
              <w:t>0</w:t>
            </w:r>
          </w:p>
        </w:tc>
        <w:tc>
          <w:tcPr>
            <w:tcW w:w="1276" w:type="dxa"/>
            <w:vAlign w:val="center"/>
          </w:tcPr>
          <w:p>
            <w:pPr>
              <w:pStyle w:val="103"/>
              <w:spacing w:beforeLines="0" w:afterLines="0" w:line="240" w:lineRule="auto"/>
              <w:rPr>
                <w:rFonts w:ascii="Times New Roman"/>
                <w:snapToGrid w:val="0"/>
                <w:kern w:val="21"/>
                <w:szCs w:val="21"/>
              </w:rPr>
            </w:pPr>
            <w:r>
              <w:rPr>
                <w:rFonts w:ascii="Times New Roman"/>
                <w:snapToGrid w:val="0"/>
                <w:kern w:val="21"/>
                <w:szCs w:val="21"/>
              </w:rPr>
              <w:t>0</w:t>
            </w:r>
          </w:p>
        </w:tc>
        <w:tc>
          <w:tcPr>
            <w:tcW w:w="1701" w:type="dxa"/>
            <w:vAlign w:val="center"/>
          </w:tcPr>
          <w:p>
            <w:pPr>
              <w:pStyle w:val="103"/>
              <w:spacing w:beforeLines="0" w:afterLines="0" w:line="240" w:lineRule="auto"/>
              <w:rPr>
                <w:rFonts w:ascii="Times New Roman"/>
                <w:snapToGrid w:val="0"/>
                <w:kern w:val="21"/>
                <w:szCs w:val="21"/>
              </w:rPr>
            </w:pPr>
            <w:r>
              <w:rPr>
                <w:rFonts w:ascii="Times New Roman"/>
                <w:snapToGrid w:val="0"/>
                <w:kern w:val="21"/>
                <w:szCs w:val="21"/>
              </w:rPr>
              <w:t>0</w:t>
            </w:r>
          </w:p>
        </w:tc>
        <w:tc>
          <w:tcPr>
            <w:tcW w:w="1559" w:type="dxa"/>
            <w:vAlign w:val="center"/>
          </w:tcPr>
          <w:p>
            <w:pPr>
              <w:pStyle w:val="103"/>
              <w:spacing w:beforeLines="0" w:afterLines="0" w:line="240" w:lineRule="auto"/>
              <w:rPr>
                <w:rFonts w:ascii="Times New Roman"/>
                <w:snapToGrid w:val="0"/>
                <w:kern w:val="21"/>
                <w:szCs w:val="21"/>
              </w:rPr>
            </w:pPr>
            <w:r>
              <w:rPr>
                <w:rFonts w:ascii="Times New Roman"/>
                <w:bCs/>
                <w:szCs w:val="21"/>
              </w:rPr>
              <w:t>150</w:t>
            </w:r>
          </w:p>
        </w:tc>
        <w:tc>
          <w:tcPr>
            <w:tcW w:w="1761" w:type="dxa"/>
            <w:vAlign w:val="center"/>
          </w:tcPr>
          <w:p>
            <w:pPr>
              <w:pStyle w:val="103"/>
              <w:spacing w:beforeLines="0" w:afterLines="0" w:line="240" w:lineRule="auto"/>
              <w:rPr>
                <w:rFonts w:ascii="Times New Roman"/>
                <w:snapToGrid w:val="0"/>
                <w:kern w:val="21"/>
                <w:szCs w:val="21"/>
              </w:rPr>
            </w:pPr>
            <w:r>
              <w:rPr>
                <w:rFonts w:ascii="Times New Roman"/>
                <w:snapToGrid w:val="0"/>
                <w:kern w:val="21"/>
                <w:szCs w:val="21"/>
              </w:rPr>
              <w:t>/</w:t>
            </w:r>
          </w:p>
        </w:tc>
        <w:tc>
          <w:tcPr>
            <w:tcW w:w="1745" w:type="dxa"/>
            <w:vAlign w:val="center"/>
          </w:tcPr>
          <w:p>
            <w:pPr>
              <w:pStyle w:val="103"/>
              <w:spacing w:beforeLines="0" w:afterLines="0" w:line="240" w:lineRule="auto"/>
              <w:rPr>
                <w:rFonts w:ascii="Times New Roman"/>
                <w:snapToGrid w:val="0"/>
                <w:kern w:val="21"/>
                <w:szCs w:val="21"/>
              </w:rPr>
            </w:pPr>
            <w:r>
              <w:rPr>
                <w:rFonts w:ascii="Times New Roman"/>
                <w:bCs/>
                <w:szCs w:val="21"/>
              </w:rPr>
              <w:t>150</w:t>
            </w:r>
          </w:p>
        </w:tc>
        <w:tc>
          <w:tcPr>
            <w:tcW w:w="1040" w:type="dxa"/>
            <w:vAlign w:val="center"/>
          </w:tcPr>
          <w:p>
            <w:pPr>
              <w:pStyle w:val="103"/>
              <w:spacing w:beforeLines="0" w:afterLines="0" w:line="240" w:lineRule="auto"/>
              <w:rPr>
                <w:rFonts w:ascii="Times New Roman"/>
                <w:snapToGrid w:val="0"/>
                <w:kern w:val="21"/>
                <w:szCs w:val="21"/>
              </w:rPr>
            </w:pPr>
            <w:r>
              <w:rPr>
                <w:rFonts w:ascii="Times New Roman"/>
                <w:bCs/>
                <w:szCs w:val="21"/>
              </w:rPr>
              <w:t>+150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588" w:type="dxa"/>
            <w:vMerge w:val="continue"/>
            <w:vAlign w:val="center"/>
          </w:tcPr>
          <w:p>
            <w:pPr>
              <w:pStyle w:val="103"/>
              <w:spacing w:beforeLines="0" w:afterLines="0" w:line="240" w:lineRule="auto"/>
              <w:rPr>
                <w:rFonts w:ascii="Times New Roman"/>
                <w:snapToGrid w:val="0"/>
                <w:kern w:val="21"/>
                <w:szCs w:val="21"/>
              </w:rPr>
            </w:pPr>
          </w:p>
        </w:tc>
        <w:tc>
          <w:tcPr>
            <w:tcW w:w="1417" w:type="dxa"/>
            <w:vAlign w:val="center"/>
          </w:tcPr>
          <w:p>
            <w:pPr>
              <w:pStyle w:val="103"/>
              <w:spacing w:beforeLines="0" w:afterLines="0" w:line="240" w:lineRule="auto"/>
              <w:rPr>
                <w:rFonts w:ascii="Times New Roman"/>
                <w:snapToGrid w:val="0"/>
                <w:kern w:val="21"/>
                <w:szCs w:val="21"/>
              </w:rPr>
            </w:pPr>
            <w:r>
              <w:rPr>
                <w:rFonts w:ascii="Times New Roman"/>
                <w:szCs w:val="21"/>
              </w:rPr>
              <w:t>生活垃圾</w:t>
            </w:r>
          </w:p>
        </w:tc>
        <w:tc>
          <w:tcPr>
            <w:tcW w:w="1701" w:type="dxa"/>
            <w:vAlign w:val="center"/>
          </w:tcPr>
          <w:p>
            <w:pPr>
              <w:pStyle w:val="103"/>
              <w:spacing w:beforeLines="0" w:afterLines="0" w:line="240" w:lineRule="auto"/>
              <w:rPr>
                <w:rFonts w:ascii="Times New Roman"/>
                <w:snapToGrid w:val="0"/>
                <w:kern w:val="21"/>
                <w:szCs w:val="21"/>
              </w:rPr>
            </w:pPr>
            <w:r>
              <w:rPr>
                <w:rFonts w:ascii="Times New Roman"/>
                <w:snapToGrid w:val="0"/>
                <w:kern w:val="21"/>
                <w:szCs w:val="21"/>
              </w:rPr>
              <w:t>0</w:t>
            </w:r>
          </w:p>
        </w:tc>
        <w:tc>
          <w:tcPr>
            <w:tcW w:w="1276" w:type="dxa"/>
            <w:vAlign w:val="center"/>
          </w:tcPr>
          <w:p>
            <w:pPr>
              <w:pStyle w:val="103"/>
              <w:spacing w:beforeLines="0" w:afterLines="0" w:line="240" w:lineRule="auto"/>
              <w:rPr>
                <w:rFonts w:ascii="Times New Roman"/>
                <w:snapToGrid w:val="0"/>
                <w:kern w:val="21"/>
                <w:szCs w:val="21"/>
              </w:rPr>
            </w:pPr>
            <w:r>
              <w:rPr>
                <w:rFonts w:ascii="Times New Roman"/>
                <w:snapToGrid w:val="0"/>
                <w:kern w:val="21"/>
                <w:szCs w:val="21"/>
              </w:rPr>
              <w:t>0</w:t>
            </w:r>
          </w:p>
        </w:tc>
        <w:tc>
          <w:tcPr>
            <w:tcW w:w="1701" w:type="dxa"/>
            <w:vAlign w:val="center"/>
          </w:tcPr>
          <w:p>
            <w:pPr>
              <w:pStyle w:val="103"/>
              <w:spacing w:beforeLines="0" w:afterLines="0" w:line="240" w:lineRule="auto"/>
              <w:rPr>
                <w:rFonts w:ascii="Times New Roman"/>
                <w:snapToGrid w:val="0"/>
                <w:kern w:val="21"/>
                <w:szCs w:val="21"/>
              </w:rPr>
            </w:pPr>
            <w:r>
              <w:rPr>
                <w:rFonts w:ascii="Times New Roman"/>
                <w:snapToGrid w:val="0"/>
                <w:kern w:val="21"/>
                <w:szCs w:val="21"/>
              </w:rPr>
              <w:t>0</w:t>
            </w:r>
          </w:p>
        </w:tc>
        <w:tc>
          <w:tcPr>
            <w:tcW w:w="1559" w:type="dxa"/>
            <w:vAlign w:val="center"/>
          </w:tcPr>
          <w:p>
            <w:pPr>
              <w:pStyle w:val="103"/>
              <w:spacing w:beforeLines="0" w:afterLines="0" w:line="240" w:lineRule="auto"/>
              <w:rPr>
                <w:rFonts w:ascii="Times New Roman"/>
                <w:snapToGrid w:val="0"/>
                <w:kern w:val="21"/>
                <w:szCs w:val="21"/>
              </w:rPr>
            </w:pPr>
            <w:r>
              <w:rPr>
                <w:rFonts w:ascii="Times New Roman"/>
                <w:bCs/>
                <w:szCs w:val="21"/>
              </w:rPr>
              <w:t>4.125</w:t>
            </w:r>
          </w:p>
        </w:tc>
        <w:tc>
          <w:tcPr>
            <w:tcW w:w="1761" w:type="dxa"/>
            <w:vAlign w:val="center"/>
          </w:tcPr>
          <w:p>
            <w:pPr>
              <w:pStyle w:val="103"/>
              <w:spacing w:beforeLines="0" w:afterLines="0" w:line="240" w:lineRule="auto"/>
              <w:rPr>
                <w:rFonts w:ascii="Times New Roman"/>
                <w:snapToGrid w:val="0"/>
                <w:kern w:val="21"/>
                <w:szCs w:val="21"/>
              </w:rPr>
            </w:pPr>
            <w:r>
              <w:rPr>
                <w:rFonts w:ascii="Times New Roman"/>
                <w:snapToGrid w:val="0"/>
                <w:kern w:val="21"/>
                <w:szCs w:val="21"/>
              </w:rPr>
              <w:t>/</w:t>
            </w:r>
          </w:p>
        </w:tc>
        <w:tc>
          <w:tcPr>
            <w:tcW w:w="1745" w:type="dxa"/>
            <w:vAlign w:val="center"/>
          </w:tcPr>
          <w:p>
            <w:pPr>
              <w:pStyle w:val="103"/>
              <w:spacing w:beforeLines="0" w:afterLines="0" w:line="240" w:lineRule="auto"/>
              <w:rPr>
                <w:rFonts w:ascii="Times New Roman"/>
                <w:snapToGrid w:val="0"/>
                <w:kern w:val="21"/>
                <w:szCs w:val="21"/>
              </w:rPr>
            </w:pPr>
            <w:r>
              <w:rPr>
                <w:rFonts w:ascii="Times New Roman"/>
                <w:bCs/>
                <w:szCs w:val="21"/>
              </w:rPr>
              <w:t>4.125</w:t>
            </w:r>
          </w:p>
        </w:tc>
        <w:tc>
          <w:tcPr>
            <w:tcW w:w="1040" w:type="dxa"/>
            <w:vAlign w:val="center"/>
          </w:tcPr>
          <w:p>
            <w:pPr>
              <w:pStyle w:val="103"/>
              <w:spacing w:beforeLines="0" w:afterLines="0" w:line="240" w:lineRule="auto"/>
              <w:rPr>
                <w:rFonts w:ascii="Times New Roman"/>
                <w:snapToGrid w:val="0"/>
                <w:kern w:val="21"/>
                <w:szCs w:val="21"/>
              </w:rPr>
            </w:pPr>
            <w:r>
              <w:rPr>
                <w:rFonts w:ascii="Times New Roman"/>
                <w:bCs/>
                <w:szCs w:val="21"/>
              </w:rPr>
              <w:t>+4.125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588" w:type="dxa"/>
            <w:vMerge w:val="restart"/>
            <w:vAlign w:val="center"/>
          </w:tcPr>
          <w:p>
            <w:pPr>
              <w:pStyle w:val="103"/>
              <w:spacing w:beforeLines="0" w:afterLines="0" w:line="240" w:lineRule="auto"/>
              <w:rPr>
                <w:rFonts w:ascii="Times New Roman"/>
                <w:snapToGrid w:val="0"/>
                <w:kern w:val="21"/>
                <w:szCs w:val="21"/>
              </w:rPr>
            </w:pPr>
            <w:r>
              <w:rPr>
                <w:rFonts w:ascii="Times New Roman"/>
                <w:snapToGrid w:val="0"/>
                <w:kern w:val="21"/>
                <w:szCs w:val="21"/>
              </w:rPr>
              <w:t>危险废物</w:t>
            </w:r>
          </w:p>
        </w:tc>
        <w:tc>
          <w:tcPr>
            <w:tcW w:w="1417" w:type="dxa"/>
            <w:vAlign w:val="center"/>
          </w:tcPr>
          <w:p>
            <w:pPr>
              <w:pStyle w:val="103"/>
              <w:spacing w:beforeLines="0" w:afterLines="0" w:line="240" w:lineRule="auto"/>
              <w:rPr>
                <w:rFonts w:ascii="Times New Roman"/>
                <w:snapToGrid w:val="0"/>
                <w:kern w:val="21"/>
                <w:szCs w:val="21"/>
              </w:rPr>
            </w:pPr>
            <w:r>
              <w:rPr>
                <w:rFonts w:ascii="Times New Roman"/>
                <w:szCs w:val="21"/>
              </w:rPr>
              <w:t>废油</w:t>
            </w:r>
          </w:p>
        </w:tc>
        <w:tc>
          <w:tcPr>
            <w:tcW w:w="1701" w:type="dxa"/>
            <w:vAlign w:val="center"/>
          </w:tcPr>
          <w:p>
            <w:pPr>
              <w:pStyle w:val="103"/>
              <w:spacing w:beforeLines="0" w:afterLines="0" w:line="240" w:lineRule="auto"/>
              <w:rPr>
                <w:rFonts w:ascii="Times New Roman"/>
                <w:snapToGrid w:val="0"/>
                <w:kern w:val="21"/>
                <w:szCs w:val="21"/>
              </w:rPr>
            </w:pPr>
            <w:r>
              <w:rPr>
                <w:rFonts w:ascii="Times New Roman"/>
                <w:snapToGrid w:val="0"/>
                <w:kern w:val="21"/>
                <w:szCs w:val="21"/>
              </w:rPr>
              <w:t>/</w:t>
            </w:r>
          </w:p>
        </w:tc>
        <w:tc>
          <w:tcPr>
            <w:tcW w:w="1276" w:type="dxa"/>
            <w:vAlign w:val="center"/>
          </w:tcPr>
          <w:p>
            <w:pPr>
              <w:pStyle w:val="103"/>
              <w:spacing w:beforeLines="0" w:afterLines="0" w:line="240" w:lineRule="auto"/>
              <w:rPr>
                <w:rFonts w:ascii="Times New Roman"/>
                <w:snapToGrid w:val="0"/>
                <w:kern w:val="21"/>
                <w:szCs w:val="21"/>
              </w:rPr>
            </w:pPr>
            <w:r>
              <w:rPr>
                <w:rFonts w:ascii="Times New Roman"/>
                <w:snapToGrid w:val="0"/>
                <w:kern w:val="21"/>
                <w:szCs w:val="21"/>
              </w:rPr>
              <w:t>/</w:t>
            </w:r>
          </w:p>
        </w:tc>
        <w:tc>
          <w:tcPr>
            <w:tcW w:w="1701" w:type="dxa"/>
            <w:vAlign w:val="center"/>
          </w:tcPr>
          <w:p>
            <w:pPr>
              <w:pStyle w:val="103"/>
              <w:spacing w:beforeLines="0" w:afterLines="0" w:line="240" w:lineRule="auto"/>
              <w:rPr>
                <w:rFonts w:ascii="Times New Roman"/>
                <w:snapToGrid w:val="0"/>
                <w:kern w:val="21"/>
                <w:szCs w:val="21"/>
              </w:rPr>
            </w:pPr>
            <w:r>
              <w:rPr>
                <w:rFonts w:ascii="Times New Roman"/>
                <w:snapToGrid w:val="0"/>
                <w:kern w:val="21"/>
                <w:szCs w:val="21"/>
              </w:rPr>
              <w:t>/</w:t>
            </w:r>
          </w:p>
        </w:tc>
        <w:tc>
          <w:tcPr>
            <w:tcW w:w="1559" w:type="dxa"/>
            <w:vAlign w:val="center"/>
          </w:tcPr>
          <w:p>
            <w:pPr>
              <w:pStyle w:val="103"/>
              <w:spacing w:beforeLines="0" w:afterLines="0" w:line="240" w:lineRule="auto"/>
              <w:rPr>
                <w:rFonts w:ascii="Times New Roman"/>
                <w:snapToGrid w:val="0"/>
                <w:kern w:val="21"/>
                <w:szCs w:val="21"/>
              </w:rPr>
            </w:pPr>
            <w:r>
              <w:rPr>
                <w:rFonts w:ascii="Times New Roman"/>
                <w:bCs/>
                <w:szCs w:val="21"/>
              </w:rPr>
              <w:t>0.1</w:t>
            </w:r>
          </w:p>
        </w:tc>
        <w:tc>
          <w:tcPr>
            <w:tcW w:w="1761" w:type="dxa"/>
            <w:vAlign w:val="center"/>
          </w:tcPr>
          <w:p>
            <w:pPr>
              <w:pStyle w:val="103"/>
              <w:spacing w:beforeLines="0" w:afterLines="0" w:line="240" w:lineRule="auto"/>
              <w:rPr>
                <w:rFonts w:ascii="Times New Roman"/>
                <w:snapToGrid w:val="0"/>
                <w:kern w:val="21"/>
                <w:szCs w:val="21"/>
              </w:rPr>
            </w:pPr>
            <w:r>
              <w:rPr>
                <w:rFonts w:ascii="Times New Roman"/>
                <w:snapToGrid w:val="0"/>
                <w:kern w:val="21"/>
                <w:szCs w:val="21"/>
              </w:rPr>
              <w:t>/</w:t>
            </w:r>
          </w:p>
        </w:tc>
        <w:tc>
          <w:tcPr>
            <w:tcW w:w="1745" w:type="dxa"/>
            <w:vAlign w:val="center"/>
          </w:tcPr>
          <w:p>
            <w:pPr>
              <w:pStyle w:val="103"/>
              <w:spacing w:beforeLines="0" w:afterLines="0" w:line="240" w:lineRule="auto"/>
              <w:rPr>
                <w:rFonts w:ascii="Times New Roman"/>
                <w:snapToGrid w:val="0"/>
                <w:kern w:val="21"/>
                <w:szCs w:val="21"/>
              </w:rPr>
            </w:pPr>
            <w:r>
              <w:rPr>
                <w:rFonts w:ascii="Times New Roman"/>
                <w:bCs/>
                <w:szCs w:val="21"/>
              </w:rPr>
              <w:t>0.1</w:t>
            </w:r>
          </w:p>
        </w:tc>
        <w:tc>
          <w:tcPr>
            <w:tcW w:w="1040" w:type="dxa"/>
            <w:vAlign w:val="center"/>
          </w:tcPr>
          <w:p>
            <w:pPr>
              <w:pStyle w:val="103"/>
              <w:spacing w:beforeLines="0" w:afterLines="0" w:line="240" w:lineRule="auto"/>
              <w:rPr>
                <w:rFonts w:ascii="Times New Roman"/>
                <w:snapToGrid w:val="0"/>
                <w:kern w:val="21"/>
                <w:szCs w:val="21"/>
              </w:rPr>
            </w:pPr>
            <w:r>
              <w:rPr>
                <w:rFonts w:ascii="Times New Roman"/>
                <w:bCs/>
                <w:szCs w:val="21"/>
              </w:rPr>
              <w:t>+0.1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588" w:type="dxa"/>
            <w:vMerge w:val="continue"/>
            <w:vAlign w:val="center"/>
          </w:tcPr>
          <w:p>
            <w:pPr>
              <w:pStyle w:val="103"/>
              <w:spacing w:beforeLines="0" w:afterLines="0" w:line="240" w:lineRule="auto"/>
              <w:rPr>
                <w:rFonts w:ascii="Times New Roman"/>
                <w:snapToGrid w:val="0"/>
                <w:kern w:val="21"/>
                <w:szCs w:val="21"/>
              </w:rPr>
            </w:pPr>
          </w:p>
        </w:tc>
        <w:tc>
          <w:tcPr>
            <w:tcW w:w="1417" w:type="dxa"/>
            <w:vAlign w:val="center"/>
          </w:tcPr>
          <w:p>
            <w:pPr>
              <w:pStyle w:val="103"/>
              <w:spacing w:beforeLines="0" w:afterLines="0" w:line="240" w:lineRule="auto"/>
              <w:rPr>
                <w:rFonts w:ascii="Times New Roman"/>
                <w:szCs w:val="21"/>
              </w:rPr>
            </w:pPr>
            <w:r>
              <w:rPr>
                <w:rFonts w:ascii="Times New Roman"/>
                <w:szCs w:val="21"/>
              </w:rPr>
              <w:t>含油抹布</w:t>
            </w:r>
          </w:p>
        </w:tc>
        <w:tc>
          <w:tcPr>
            <w:tcW w:w="1701" w:type="dxa"/>
            <w:vAlign w:val="center"/>
          </w:tcPr>
          <w:p>
            <w:pPr>
              <w:pStyle w:val="103"/>
              <w:spacing w:beforeLines="0" w:afterLines="0" w:line="240" w:lineRule="auto"/>
              <w:rPr>
                <w:rFonts w:ascii="Times New Roman"/>
                <w:snapToGrid w:val="0"/>
                <w:kern w:val="21"/>
                <w:szCs w:val="21"/>
              </w:rPr>
            </w:pPr>
            <w:r>
              <w:rPr>
                <w:rFonts w:ascii="Times New Roman"/>
                <w:snapToGrid w:val="0"/>
                <w:kern w:val="21"/>
                <w:szCs w:val="21"/>
              </w:rPr>
              <w:t>/</w:t>
            </w:r>
          </w:p>
        </w:tc>
        <w:tc>
          <w:tcPr>
            <w:tcW w:w="1276" w:type="dxa"/>
            <w:vAlign w:val="center"/>
          </w:tcPr>
          <w:p>
            <w:pPr>
              <w:pStyle w:val="103"/>
              <w:spacing w:beforeLines="0" w:afterLines="0" w:line="240" w:lineRule="auto"/>
              <w:rPr>
                <w:rFonts w:ascii="Times New Roman"/>
                <w:snapToGrid w:val="0"/>
                <w:kern w:val="21"/>
                <w:szCs w:val="21"/>
              </w:rPr>
            </w:pPr>
            <w:r>
              <w:rPr>
                <w:rFonts w:ascii="Times New Roman"/>
                <w:snapToGrid w:val="0"/>
                <w:kern w:val="21"/>
                <w:szCs w:val="21"/>
              </w:rPr>
              <w:t>/</w:t>
            </w:r>
          </w:p>
        </w:tc>
        <w:tc>
          <w:tcPr>
            <w:tcW w:w="1701" w:type="dxa"/>
            <w:vAlign w:val="center"/>
          </w:tcPr>
          <w:p>
            <w:pPr>
              <w:pStyle w:val="103"/>
              <w:spacing w:beforeLines="0" w:afterLines="0" w:line="240" w:lineRule="auto"/>
              <w:rPr>
                <w:rFonts w:ascii="Times New Roman"/>
                <w:snapToGrid w:val="0"/>
                <w:kern w:val="21"/>
                <w:szCs w:val="21"/>
              </w:rPr>
            </w:pPr>
            <w:r>
              <w:rPr>
                <w:rFonts w:ascii="Times New Roman"/>
                <w:snapToGrid w:val="0"/>
                <w:kern w:val="21"/>
                <w:szCs w:val="21"/>
              </w:rPr>
              <w:t>/</w:t>
            </w:r>
          </w:p>
        </w:tc>
        <w:tc>
          <w:tcPr>
            <w:tcW w:w="1559" w:type="dxa"/>
            <w:vAlign w:val="center"/>
          </w:tcPr>
          <w:p>
            <w:pPr>
              <w:pStyle w:val="103"/>
              <w:spacing w:beforeLines="0" w:afterLines="0" w:line="240" w:lineRule="auto"/>
              <w:rPr>
                <w:rFonts w:ascii="Times New Roman"/>
                <w:bCs/>
                <w:szCs w:val="21"/>
              </w:rPr>
            </w:pPr>
            <w:r>
              <w:rPr>
                <w:rFonts w:ascii="Times New Roman"/>
                <w:bCs/>
                <w:szCs w:val="21"/>
              </w:rPr>
              <w:t>0.05</w:t>
            </w:r>
          </w:p>
        </w:tc>
        <w:tc>
          <w:tcPr>
            <w:tcW w:w="1761" w:type="dxa"/>
            <w:vAlign w:val="center"/>
          </w:tcPr>
          <w:p>
            <w:pPr>
              <w:pStyle w:val="103"/>
              <w:spacing w:beforeLines="0" w:afterLines="0" w:line="240" w:lineRule="auto"/>
              <w:rPr>
                <w:rFonts w:ascii="Times New Roman"/>
                <w:snapToGrid w:val="0"/>
                <w:kern w:val="21"/>
                <w:szCs w:val="21"/>
              </w:rPr>
            </w:pPr>
            <w:r>
              <w:rPr>
                <w:rFonts w:ascii="Times New Roman"/>
                <w:snapToGrid w:val="0"/>
                <w:kern w:val="21"/>
                <w:szCs w:val="21"/>
              </w:rPr>
              <w:t>/</w:t>
            </w:r>
          </w:p>
        </w:tc>
        <w:tc>
          <w:tcPr>
            <w:tcW w:w="1745" w:type="dxa"/>
            <w:vAlign w:val="center"/>
          </w:tcPr>
          <w:p>
            <w:pPr>
              <w:pStyle w:val="103"/>
              <w:spacing w:beforeLines="0" w:afterLines="0" w:line="240" w:lineRule="auto"/>
              <w:rPr>
                <w:rFonts w:ascii="Times New Roman"/>
                <w:bCs/>
                <w:szCs w:val="21"/>
              </w:rPr>
            </w:pPr>
            <w:r>
              <w:rPr>
                <w:rFonts w:ascii="Times New Roman"/>
                <w:bCs/>
                <w:szCs w:val="21"/>
              </w:rPr>
              <w:t>0.05</w:t>
            </w:r>
          </w:p>
        </w:tc>
        <w:tc>
          <w:tcPr>
            <w:tcW w:w="1040" w:type="dxa"/>
            <w:vAlign w:val="center"/>
          </w:tcPr>
          <w:p>
            <w:pPr>
              <w:pStyle w:val="103"/>
              <w:spacing w:beforeLines="0" w:afterLines="0" w:line="240" w:lineRule="auto"/>
              <w:rPr>
                <w:rFonts w:ascii="Times New Roman"/>
                <w:bCs/>
                <w:szCs w:val="21"/>
              </w:rPr>
            </w:pPr>
            <w:r>
              <w:rPr>
                <w:rFonts w:ascii="Times New Roman"/>
                <w:bCs/>
                <w:szCs w:val="21"/>
              </w:rPr>
              <w:t>+0.05</w:t>
            </w:r>
          </w:p>
        </w:tc>
      </w:tr>
    </w:tbl>
    <w:p>
      <w:pPr>
        <w:pStyle w:val="103"/>
        <w:spacing w:before="192" w:beforeLines="80" w:after="24"/>
        <w:jc w:val="left"/>
        <w:rPr>
          <w:rFonts w:ascii="Times New Roman" w:eastAsia="黑体"/>
        </w:rPr>
      </w:pPr>
      <w:r>
        <w:rPr>
          <w:rFonts w:ascii="Times New Roman"/>
          <w:snapToGrid w:val="0"/>
          <w:kern w:val="21"/>
          <w:szCs w:val="21"/>
        </w:rPr>
        <w:t>注：</w:t>
      </w:r>
      <w:r>
        <w:rPr>
          <w:rFonts w:ascii="Times New Roman"/>
          <w:snapToGrid w:val="0"/>
          <w:spacing w:val="-16"/>
          <w:kern w:val="21"/>
          <w:szCs w:val="21"/>
        </w:rPr>
        <w:fldChar w:fldCharType="begin"/>
      </w:r>
      <w:r>
        <w:rPr>
          <w:rFonts w:ascii="Times New Roman"/>
          <w:snapToGrid w:val="0"/>
          <w:spacing w:val="-16"/>
          <w:kern w:val="21"/>
          <w:szCs w:val="21"/>
        </w:rPr>
        <w:instrText xml:space="preserve"> = 6 \* GB3 \* MERGEFORMAT </w:instrText>
      </w:r>
      <w:r>
        <w:rPr>
          <w:rFonts w:ascii="Times New Roman"/>
          <w:snapToGrid w:val="0"/>
          <w:spacing w:val="-16"/>
          <w:kern w:val="21"/>
          <w:szCs w:val="21"/>
        </w:rPr>
        <w:fldChar w:fldCharType="separate"/>
      </w:r>
      <w:r>
        <w:rPr>
          <w:rFonts w:hint="eastAsia" w:hAnsi="宋体" w:cs="宋体"/>
          <w:szCs w:val="21"/>
        </w:rPr>
        <w:t>⑥</w:t>
      </w:r>
      <w:r>
        <w:rPr>
          <w:rFonts w:ascii="Times New Roman"/>
          <w:snapToGrid w:val="0"/>
          <w:spacing w:val="-16"/>
          <w:kern w:val="21"/>
          <w:szCs w:val="21"/>
        </w:rPr>
        <w:fldChar w:fldCharType="end"/>
      </w:r>
      <w:r>
        <w:rPr>
          <w:rFonts w:ascii="Times New Roman"/>
          <w:snapToGrid w:val="0"/>
          <w:spacing w:val="-16"/>
          <w:kern w:val="21"/>
          <w:szCs w:val="21"/>
        </w:rPr>
        <w:t>=</w:t>
      </w:r>
      <w:r>
        <w:rPr>
          <w:rFonts w:ascii="Times New Roman"/>
          <w:snapToGrid w:val="0"/>
          <w:spacing w:val="-6"/>
          <w:kern w:val="21"/>
          <w:szCs w:val="21"/>
        </w:rPr>
        <w:fldChar w:fldCharType="begin"/>
      </w:r>
      <w:r>
        <w:rPr>
          <w:rFonts w:ascii="Times New Roman"/>
          <w:snapToGrid w:val="0"/>
          <w:spacing w:val="-6"/>
          <w:kern w:val="21"/>
          <w:szCs w:val="21"/>
        </w:rPr>
        <w:instrText xml:space="preserve"> = 1 \* GB3 \* MERGEFORMAT </w:instrText>
      </w:r>
      <w:r>
        <w:rPr>
          <w:rFonts w:ascii="Times New Roman"/>
          <w:snapToGrid w:val="0"/>
          <w:spacing w:val="-6"/>
          <w:kern w:val="21"/>
          <w:szCs w:val="21"/>
        </w:rPr>
        <w:fldChar w:fldCharType="separate"/>
      </w:r>
      <w:r>
        <w:rPr>
          <w:rFonts w:hint="eastAsia" w:hAnsi="宋体" w:cs="宋体"/>
          <w:szCs w:val="21"/>
        </w:rPr>
        <w:t>①</w:t>
      </w:r>
      <w:r>
        <w:rPr>
          <w:rFonts w:ascii="Times New Roman"/>
          <w:snapToGrid w:val="0"/>
          <w:spacing w:val="-6"/>
          <w:kern w:val="21"/>
          <w:szCs w:val="21"/>
        </w:rPr>
        <w:fldChar w:fldCharType="end"/>
      </w:r>
      <w:r>
        <w:rPr>
          <w:rFonts w:ascii="Times New Roman"/>
          <w:snapToGrid w:val="0"/>
          <w:spacing w:val="-6"/>
          <w:kern w:val="21"/>
          <w:szCs w:val="21"/>
        </w:rPr>
        <w:t>+</w:t>
      </w:r>
      <w:r>
        <w:rPr>
          <w:rFonts w:ascii="Times New Roman"/>
          <w:snapToGrid w:val="0"/>
          <w:spacing w:val="-6"/>
          <w:kern w:val="21"/>
          <w:szCs w:val="21"/>
        </w:rPr>
        <w:fldChar w:fldCharType="begin"/>
      </w:r>
      <w:r>
        <w:rPr>
          <w:rFonts w:ascii="Times New Roman"/>
          <w:snapToGrid w:val="0"/>
          <w:spacing w:val="-6"/>
          <w:kern w:val="21"/>
          <w:szCs w:val="21"/>
        </w:rPr>
        <w:instrText xml:space="preserve"> = 3 \* GB3 \* MERGEFORMAT </w:instrText>
      </w:r>
      <w:r>
        <w:rPr>
          <w:rFonts w:ascii="Times New Roman"/>
          <w:snapToGrid w:val="0"/>
          <w:spacing w:val="-6"/>
          <w:kern w:val="21"/>
          <w:szCs w:val="21"/>
        </w:rPr>
        <w:fldChar w:fldCharType="separate"/>
      </w:r>
      <w:r>
        <w:rPr>
          <w:rFonts w:hint="eastAsia" w:hAnsi="宋体" w:cs="宋体"/>
          <w:szCs w:val="21"/>
        </w:rPr>
        <w:t>③</w:t>
      </w:r>
      <w:r>
        <w:rPr>
          <w:rFonts w:ascii="Times New Roman"/>
          <w:snapToGrid w:val="0"/>
          <w:spacing w:val="-6"/>
          <w:kern w:val="21"/>
          <w:szCs w:val="21"/>
        </w:rPr>
        <w:fldChar w:fldCharType="end"/>
      </w:r>
      <w:r>
        <w:rPr>
          <w:rFonts w:ascii="Times New Roman"/>
          <w:snapToGrid w:val="0"/>
          <w:spacing w:val="-6"/>
          <w:kern w:val="21"/>
          <w:szCs w:val="21"/>
        </w:rPr>
        <w:t>+</w:t>
      </w:r>
      <w:r>
        <w:rPr>
          <w:rFonts w:ascii="Times New Roman"/>
          <w:snapToGrid w:val="0"/>
          <w:spacing w:val="-6"/>
          <w:kern w:val="21"/>
          <w:szCs w:val="21"/>
        </w:rPr>
        <w:fldChar w:fldCharType="begin"/>
      </w:r>
      <w:r>
        <w:rPr>
          <w:rFonts w:ascii="Times New Roman"/>
          <w:snapToGrid w:val="0"/>
          <w:spacing w:val="-6"/>
          <w:kern w:val="21"/>
          <w:szCs w:val="21"/>
        </w:rPr>
        <w:instrText xml:space="preserve"> = 4 \* GB3 \* MERGEFORMAT </w:instrText>
      </w:r>
      <w:r>
        <w:rPr>
          <w:rFonts w:ascii="Times New Roman"/>
          <w:snapToGrid w:val="0"/>
          <w:spacing w:val="-6"/>
          <w:kern w:val="21"/>
          <w:szCs w:val="21"/>
        </w:rPr>
        <w:fldChar w:fldCharType="separate"/>
      </w:r>
      <w:r>
        <w:rPr>
          <w:rFonts w:hint="eastAsia" w:hAnsi="宋体" w:cs="宋体"/>
          <w:szCs w:val="21"/>
        </w:rPr>
        <w:t>④</w:t>
      </w:r>
      <w:r>
        <w:rPr>
          <w:rFonts w:ascii="Times New Roman"/>
          <w:snapToGrid w:val="0"/>
          <w:spacing w:val="-6"/>
          <w:kern w:val="21"/>
          <w:szCs w:val="21"/>
        </w:rPr>
        <w:fldChar w:fldCharType="end"/>
      </w:r>
      <w:r>
        <w:rPr>
          <w:rFonts w:ascii="Times New Roman"/>
          <w:snapToGrid w:val="0"/>
          <w:spacing w:val="-6"/>
          <w:kern w:val="21"/>
          <w:szCs w:val="21"/>
        </w:rPr>
        <w:t>-</w:t>
      </w:r>
      <w:r>
        <w:rPr>
          <w:rFonts w:ascii="Times New Roman"/>
          <w:snapToGrid w:val="0"/>
          <w:spacing w:val="-16"/>
          <w:kern w:val="21"/>
          <w:szCs w:val="21"/>
        </w:rPr>
        <w:fldChar w:fldCharType="begin"/>
      </w:r>
      <w:r>
        <w:rPr>
          <w:rFonts w:ascii="Times New Roman"/>
          <w:snapToGrid w:val="0"/>
          <w:spacing w:val="-16"/>
          <w:kern w:val="21"/>
          <w:szCs w:val="21"/>
        </w:rPr>
        <w:instrText xml:space="preserve"> = 5 \* GB3 \* MERGEFORMAT </w:instrText>
      </w:r>
      <w:r>
        <w:rPr>
          <w:rFonts w:ascii="Times New Roman"/>
          <w:snapToGrid w:val="0"/>
          <w:spacing w:val="-16"/>
          <w:kern w:val="21"/>
          <w:szCs w:val="21"/>
        </w:rPr>
        <w:fldChar w:fldCharType="separate"/>
      </w:r>
      <w:r>
        <w:rPr>
          <w:rFonts w:hint="eastAsia" w:hAnsi="宋体" w:cs="宋体"/>
          <w:szCs w:val="21"/>
        </w:rPr>
        <w:t>⑤</w:t>
      </w:r>
      <w:r>
        <w:rPr>
          <w:rFonts w:ascii="Times New Roman"/>
          <w:snapToGrid w:val="0"/>
          <w:spacing w:val="-16"/>
          <w:kern w:val="21"/>
          <w:szCs w:val="21"/>
        </w:rPr>
        <w:fldChar w:fldCharType="end"/>
      </w:r>
      <w:r>
        <w:rPr>
          <w:rFonts w:ascii="Times New Roman"/>
          <w:snapToGrid w:val="0"/>
          <w:spacing w:val="-16"/>
          <w:kern w:val="21"/>
          <w:szCs w:val="21"/>
        </w:rPr>
        <w:t>；</w:t>
      </w:r>
      <w:r>
        <w:rPr>
          <w:rFonts w:ascii="Times New Roman"/>
          <w:snapToGrid w:val="0"/>
          <w:spacing w:val="-6"/>
          <w:kern w:val="21"/>
          <w:szCs w:val="21"/>
        </w:rPr>
        <w:fldChar w:fldCharType="begin"/>
      </w:r>
      <w:r>
        <w:rPr>
          <w:rFonts w:ascii="Times New Roman"/>
          <w:snapToGrid w:val="0"/>
          <w:spacing w:val="-6"/>
          <w:kern w:val="21"/>
          <w:szCs w:val="21"/>
        </w:rPr>
        <w:instrText xml:space="preserve"> = 7 \* GB3 \* MERGEFORMAT </w:instrText>
      </w:r>
      <w:r>
        <w:rPr>
          <w:rFonts w:ascii="Times New Roman"/>
          <w:snapToGrid w:val="0"/>
          <w:spacing w:val="-6"/>
          <w:kern w:val="21"/>
          <w:szCs w:val="21"/>
        </w:rPr>
        <w:fldChar w:fldCharType="separate"/>
      </w:r>
      <w:r>
        <w:rPr>
          <w:rFonts w:hint="eastAsia" w:hAnsi="宋体" w:cs="宋体"/>
          <w:szCs w:val="21"/>
        </w:rPr>
        <w:t>⑦</w:t>
      </w:r>
      <w:r>
        <w:rPr>
          <w:rFonts w:ascii="Times New Roman"/>
          <w:snapToGrid w:val="0"/>
          <w:spacing w:val="-6"/>
          <w:kern w:val="21"/>
          <w:szCs w:val="21"/>
        </w:rPr>
        <w:fldChar w:fldCharType="end"/>
      </w:r>
      <w:r>
        <w:rPr>
          <w:rFonts w:ascii="Times New Roman"/>
          <w:snapToGrid w:val="0"/>
          <w:spacing w:val="-6"/>
          <w:kern w:val="21"/>
          <w:szCs w:val="21"/>
        </w:rPr>
        <w:t>=</w:t>
      </w:r>
      <w:r>
        <w:rPr>
          <w:rFonts w:ascii="Times New Roman"/>
          <w:snapToGrid w:val="0"/>
          <w:spacing w:val="-16"/>
          <w:kern w:val="21"/>
          <w:szCs w:val="21"/>
        </w:rPr>
        <w:fldChar w:fldCharType="begin"/>
      </w:r>
      <w:r>
        <w:rPr>
          <w:rFonts w:ascii="Times New Roman"/>
          <w:snapToGrid w:val="0"/>
          <w:spacing w:val="-16"/>
          <w:kern w:val="21"/>
          <w:szCs w:val="21"/>
        </w:rPr>
        <w:instrText xml:space="preserve"> = 6 \* GB3 \* MERGEFORMAT </w:instrText>
      </w:r>
      <w:r>
        <w:rPr>
          <w:rFonts w:ascii="Times New Roman"/>
          <w:snapToGrid w:val="0"/>
          <w:spacing w:val="-16"/>
          <w:kern w:val="21"/>
          <w:szCs w:val="21"/>
        </w:rPr>
        <w:fldChar w:fldCharType="separate"/>
      </w:r>
      <w:r>
        <w:rPr>
          <w:rFonts w:hint="eastAsia" w:hAnsi="宋体" w:cs="宋体"/>
          <w:szCs w:val="21"/>
        </w:rPr>
        <w:t>⑥</w:t>
      </w:r>
      <w:r>
        <w:rPr>
          <w:rFonts w:ascii="Times New Roman"/>
          <w:snapToGrid w:val="0"/>
          <w:spacing w:val="-16"/>
          <w:kern w:val="21"/>
          <w:szCs w:val="21"/>
        </w:rPr>
        <w:fldChar w:fldCharType="end"/>
      </w:r>
      <w:r>
        <w:rPr>
          <w:rFonts w:ascii="Times New Roman"/>
          <w:snapToGrid w:val="0"/>
          <w:spacing w:val="-16"/>
          <w:kern w:val="21"/>
          <w:szCs w:val="21"/>
        </w:rPr>
        <w:t>-</w:t>
      </w:r>
      <w:r>
        <w:rPr>
          <w:rFonts w:ascii="Times New Roman"/>
          <w:snapToGrid w:val="0"/>
          <w:spacing w:val="-6"/>
          <w:kern w:val="21"/>
          <w:szCs w:val="21"/>
        </w:rPr>
        <w:fldChar w:fldCharType="begin"/>
      </w:r>
      <w:r>
        <w:rPr>
          <w:rFonts w:ascii="Times New Roman"/>
          <w:snapToGrid w:val="0"/>
          <w:spacing w:val="-6"/>
          <w:kern w:val="21"/>
          <w:szCs w:val="21"/>
        </w:rPr>
        <w:instrText xml:space="preserve"> = 1 \* GB3 \* MERGEFORMAT </w:instrText>
      </w:r>
      <w:r>
        <w:rPr>
          <w:rFonts w:ascii="Times New Roman"/>
          <w:snapToGrid w:val="0"/>
          <w:spacing w:val="-6"/>
          <w:kern w:val="21"/>
          <w:szCs w:val="21"/>
        </w:rPr>
        <w:fldChar w:fldCharType="separate"/>
      </w:r>
      <w:r>
        <w:rPr>
          <w:rFonts w:hint="eastAsia" w:hAnsi="宋体" w:cs="宋体"/>
          <w:szCs w:val="21"/>
        </w:rPr>
        <w:t>①</w:t>
      </w:r>
      <w:r>
        <w:rPr>
          <w:rFonts w:ascii="Times New Roman"/>
          <w:snapToGrid w:val="0"/>
          <w:spacing w:val="-6"/>
          <w:kern w:val="21"/>
          <w:szCs w:val="21"/>
        </w:rPr>
        <w:fldChar w:fldCharType="end"/>
      </w:r>
    </w:p>
    <w:p>
      <w:pPr>
        <w:rPr>
          <w:rFonts w:ascii="仿宋_GB2312" w:hAnsi="仿宋_GB2312" w:eastAsia="仿宋_GB2312" w:cs="仿宋_GB2312"/>
          <w:sz w:val="36"/>
          <w:szCs w:val="36"/>
        </w:rPr>
      </w:pPr>
    </w:p>
    <w:p>
      <w:pPr>
        <w:pStyle w:val="22"/>
        <w:rPr>
          <w:rFonts w:ascii="仿宋_GB2312" w:hAnsi="仿宋_GB2312" w:eastAsia="仿宋_GB2312" w:cs="仿宋_GB2312"/>
          <w:sz w:val="36"/>
          <w:szCs w:val="36"/>
        </w:rPr>
      </w:pPr>
    </w:p>
    <w:p>
      <w:pPr>
        <w:rPr>
          <w:rFonts w:ascii="仿宋_GB2312" w:hAnsi="仿宋_GB2312" w:eastAsia="仿宋_GB2312" w:cs="仿宋_GB2312"/>
          <w:sz w:val="36"/>
          <w:szCs w:val="36"/>
        </w:rPr>
      </w:pPr>
    </w:p>
    <w:p>
      <w:pPr>
        <w:pStyle w:val="22"/>
        <w:rPr>
          <w:rFonts w:ascii="仿宋_GB2312" w:hAnsi="仿宋_GB2312" w:eastAsia="仿宋_GB2312" w:cs="仿宋_GB2312"/>
          <w:sz w:val="36"/>
          <w:szCs w:val="36"/>
        </w:rPr>
      </w:pPr>
    </w:p>
    <w:p>
      <w:pPr>
        <w:rPr>
          <w:rFonts w:ascii="仿宋_GB2312" w:hAnsi="仿宋_GB2312" w:eastAsia="仿宋_GB2312" w:cs="仿宋_GB2312"/>
          <w:sz w:val="36"/>
          <w:szCs w:val="36"/>
        </w:rPr>
      </w:pPr>
    </w:p>
    <w:p>
      <w:pPr>
        <w:pStyle w:val="22"/>
        <w:rPr>
          <w:rFonts w:ascii="仿宋_GB2312" w:hAnsi="仿宋_GB2312" w:eastAsia="仿宋_GB2312" w:cs="仿宋_GB2312"/>
          <w:sz w:val="36"/>
          <w:szCs w:val="36"/>
        </w:rPr>
      </w:pPr>
    </w:p>
    <w:p>
      <w:pPr>
        <w:rPr>
          <w:rFonts w:ascii="仿宋_GB2312" w:hAnsi="仿宋_GB2312" w:eastAsia="仿宋_GB2312" w:cs="仿宋_GB2312"/>
          <w:sz w:val="36"/>
          <w:szCs w:val="36"/>
        </w:rPr>
      </w:pPr>
    </w:p>
    <w:p>
      <w:pPr>
        <w:pStyle w:val="22"/>
        <w:rPr>
          <w:rFonts w:ascii="仿宋_GB2312" w:hAnsi="仿宋_GB2312" w:eastAsia="仿宋_GB2312" w:cs="仿宋_GB2312"/>
          <w:sz w:val="36"/>
          <w:szCs w:val="36"/>
        </w:rPr>
      </w:pPr>
    </w:p>
    <w:p>
      <w:pPr>
        <w:rPr>
          <w:rFonts w:ascii="仿宋_GB2312" w:hAnsi="仿宋_GB2312" w:eastAsia="仿宋_GB2312" w:cs="仿宋_GB2312"/>
          <w:sz w:val="36"/>
          <w:szCs w:val="36"/>
        </w:rPr>
      </w:pPr>
    </w:p>
    <w:p>
      <w:pPr>
        <w:ind w:firstLine="0" w:firstLineChars="0"/>
        <w:rPr>
          <w:rFonts w:hint="eastAsia" w:ascii="仿宋_GB2312" w:hAnsi="仿宋_GB2312" w:eastAsia="仿宋_GB2312" w:cs="仿宋_GB2312"/>
          <w:color w:val="auto"/>
          <w:sz w:val="36"/>
          <w:szCs w:val="36"/>
        </w:rPr>
      </w:pPr>
    </w:p>
    <w:p>
      <w:pPr>
        <w:rPr>
          <w:rFonts w:hint="eastAsia" w:ascii="仿宋_GB2312" w:hAnsi="仿宋_GB2312" w:eastAsia="仿宋_GB2312" w:cs="仿宋_GB2312"/>
          <w:color w:val="auto"/>
          <w:sz w:val="36"/>
          <w:szCs w:val="36"/>
        </w:rPr>
      </w:pPr>
    </w:p>
    <w:p>
      <w:pPr>
        <w:adjustRightInd w:val="0"/>
        <w:snapToGrid w:val="0"/>
        <w:ind w:firstLine="0" w:firstLineChars="0"/>
        <w:jc w:val="center"/>
        <w:outlineLvl w:val="0"/>
        <w:rPr>
          <w:rFonts w:hint="eastAsia" w:ascii="方正小标宋_GBK" w:eastAsia="方正小标宋_GBK"/>
          <w:bCs/>
          <w:color w:val="auto"/>
          <w:sz w:val="72"/>
          <w:szCs w:val="72"/>
        </w:rPr>
      </w:pPr>
      <w:bookmarkStart w:id="33" w:name="_Toc17739"/>
      <w:r>
        <w:rPr>
          <w:rFonts w:hint="eastAsia" w:ascii="方正小标宋_GBK" w:eastAsia="方正小标宋_GBK"/>
          <w:bCs/>
          <w:color w:val="auto"/>
          <w:sz w:val="72"/>
          <w:szCs w:val="72"/>
        </w:rPr>
        <w:t>建设项目环境影响报告表</w:t>
      </w:r>
      <w:bookmarkEnd w:id="33"/>
    </w:p>
    <w:p>
      <w:pPr>
        <w:adjustRightInd w:val="0"/>
        <w:snapToGrid w:val="0"/>
        <w:spacing w:before="192" w:beforeLines="80"/>
        <w:ind w:firstLine="0" w:firstLineChars="0"/>
        <w:jc w:val="center"/>
        <w:rPr>
          <w:rStyle w:val="45"/>
          <w:color w:val="auto"/>
          <w:kern w:val="0"/>
          <w:szCs w:val="20"/>
        </w:rPr>
      </w:pPr>
      <w:r>
        <w:rPr>
          <w:rFonts w:hint="eastAsia" w:ascii="宋体" w:hAnsi="宋体" w:cs="宋体"/>
          <w:bCs/>
          <w:color w:val="auto"/>
          <w:sz w:val="48"/>
          <w:szCs w:val="48"/>
        </w:rPr>
        <w:t>（污染影响类）</w:t>
      </w:r>
    </w:p>
    <w:p>
      <w:pPr>
        <w:pStyle w:val="2"/>
        <w:ind w:left="0" w:leftChars="0" w:firstLine="0" w:firstLineChars="0"/>
        <w:jc w:val="center"/>
        <w:rPr>
          <w:rFonts w:hint="eastAsia" w:ascii="宋体" w:hAnsi="宋体" w:cs="宋体"/>
          <w:bCs/>
          <w:color w:val="auto"/>
          <w:sz w:val="48"/>
          <w:szCs w:val="48"/>
        </w:rPr>
      </w:pPr>
      <w:r>
        <w:rPr>
          <w:rFonts w:hint="eastAsia" w:ascii="宋体" w:hAnsi="宋体" w:cs="宋体"/>
          <w:bCs/>
          <w:color w:val="auto"/>
          <w:sz w:val="44"/>
          <w:szCs w:val="44"/>
        </w:rPr>
        <w:t>（送审本）</w:t>
      </w:r>
    </w:p>
    <w:p>
      <w:pPr>
        <w:adjustRightInd w:val="0"/>
        <w:snapToGrid w:val="0"/>
        <w:spacing w:line="288" w:lineRule="auto"/>
        <w:ind w:firstLine="880"/>
        <w:jc w:val="center"/>
        <w:rPr>
          <w:rFonts w:ascii="华文仿宋" w:hAnsi="华文仿宋" w:eastAsia="华文仿宋" w:cs="华文仿宋"/>
          <w:color w:val="auto"/>
          <w:kern w:val="44"/>
          <w:sz w:val="44"/>
          <w:szCs w:val="44"/>
        </w:rPr>
      </w:pPr>
    </w:p>
    <w:p>
      <w:pPr>
        <w:ind w:firstLine="1040"/>
        <w:jc w:val="center"/>
        <w:rPr>
          <w:rFonts w:eastAsia="仿宋"/>
          <w:color w:val="auto"/>
          <w:sz w:val="52"/>
          <w:szCs w:val="52"/>
        </w:rPr>
      </w:pPr>
    </w:p>
    <w:p>
      <w:pPr>
        <w:ind w:firstLine="880"/>
        <w:rPr>
          <w:rFonts w:eastAsia="仿宋"/>
          <w:color w:val="auto"/>
          <w:sz w:val="44"/>
          <w:szCs w:val="44"/>
        </w:rPr>
      </w:pPr>
    </w:p>
    <w:p>
      <w:pPr>
        <w:ind w:firstLine="880"/>
        <w:jc w:val="left"/>
        <w:rPr>
          <w:rFonts w:eastAsia="仿宋"/>
          <w:color w:val="auto"/>
          <w:sz w:val="44"/>
          <w:szCs w:val="44"/>
        </w:rPr>
      </w:pPr>
    </w:p>
    <w:p>
      <w:pPr>
        <w:ind w:firstLine="880"/>
        <w:rPr>
          <w:rFonts w:eastAsia="仿宋"/>
          <w:color w:val="auto"/>
          <w:sz w:val="44"/>
          <w:szCs w:val="44"/>
        </w:rPr>
      </w:pPr>
    </w:p>
    <w:p>
      <w:pPr>
        <w:adjustRightInd w:val="0"/>
        <w:snapToGrid w:val="0"/>
        <w:spacing w:line="288" w:lineRule="auto"/>
        <w:rPr>
          <w:rFonts w:hint="eastAsia" w:eastAsia="仿宋_GB2312"/>
          <w:color w:val="auto"/>
          <w:sz w:val="36"/>
          <w:szCs w:val="36"/>
        </w:rPr>
      </w:pPr>
    </w:p>
    <w:p>
      <w:pPr>
        <w:adjustRightInd w:val="0"/>
        <w:snapToGrid w:val="0"/>
        <w:spacing w:line="288" w:lineRule="auto"/>
        <w:ind w:firstLine="1134" w:firstLineChars="315"/>
        <w:rPr>
          <w:rFonts w:hint="eastAsia" w:ascii="宋体" w:hAnsi="宋体" w:cs="宋体"/>
          <w:color w:val="auto"/>
          <w:sz w:val="36"/>
          <w:szCs w:val="36"/>
        </w:rPr>
      </w:pPr>
      <w:r>
        <w:rPr>
          <w:rFonts w:hint="eastAsia" w:ascii="宋体" w:hAnsi="宋体" w:cs="宋体"/>
          <w:color w:val="auto"/>
          <w:sz w:val="36"/>
          <w:szCs w:val="36"/>
        </w:rPr>
        <w:t>项目名称：</w:t>
      </w:r>
      <w:r>
        <w:rPr>
          <w:rFonts w:hint="eastAsia" w:ascii="宋体" w:hAnsi="宋体" w:cs="宋体"/>
          <w:color w:val="auto"/>
          <w:sz w:val="36"/>
          <w:szCs w:val="36"/>
          <w:u w:val="single"/>
        </w:rPr>
        <w:t xml:space="preserve"> </w:t>
      </w:r>
      <w:r>
        <w:rPr>
          <w:rFonts w:hint="eastAsia" w:ascii="宋体" w:hAnsi="宋体" w:cs="宋体"/>
          <w:color w:val="auto"/>
          <w:sz w:val="36"/>
          <w:szCs w:val="36"/>
          <w:u w:val="single"/>
          <w:lang w:eastAsia="zh-CN"/>
        </w:rPr>
        <w:t>乐山市市中区嘉和宠物医院</w:t>
      </w:r>
      <w:r>
        <w:rPr>
          <w:rFonts w:hint="eastAsia" w:ascii="宋体" w:hAnsi="宋体" w:cs="宋体"/>
          <w:color w:val="auto"/>
          <w:sz w:val="36"/>
          <w:szCs w:val="36"/>
          <w:u w:val="single"/>
        </w:rPr>
        <w:t xml:space="preserve"> </w:t>
      </w:r>
    </w:p>
    <w:p>
      <w:pPr>
        <w:adjustRightInd w:val="0"/>
        <w:snapToGrid w:val="0"/>
        <w:spacing w:line="288" w:lineRule="auto"/>
        <w:ind w:firstLine="1134" w:firstLineChars="315"/>
        <w:rPr>
          <w:rFonts w:hint="eastAsia" w:ascii="宋体" w:hAnsi="宋体" w:cs="宋体"/>
          <w:color w:val="auto"/>
          <w:sz w:val="36"/>
          <w:szCs w:val="36"/>
          <w:u w:val="single"/>
        </w:rPr>
      </w:pPr>
      <w:r>
        <w:rPr>
          <w:rFonts w:hint="eastAsia" w:ascii="宋体" w:hAnsi="宋体" w:cs="宋体"/>
          <w:color w:val="auto"/>
          <w:sz w:val="36"/>
          <w:szCs w:val="36"/>
        </w:rPr>
        <w:t>建设单位(盖章)</w:t>
      </w:r>
      <w:r>
        <w:rPr>
          <w:rFonts w:hint="eastAsia" w:ascii="宋体" w:hAnsi="宋体" w:cs="宋体"/>
          <w:color w:val="auto"/>
          <w:sz w:val="36"/>
          <w:szCs w:val="36"/>
          <w:u w:val="none"/>
        </w:rPr>
        <w:t>：</w:t>
      </w:r>
      <w:r>
        <w:rPr>
          <w:rFonts w:hint="eastAsia" w:ascii="宋体" w:hAnsi="宋体" w:cs="宋体"/>
          <w:color w:val="auto"/>
          <w:sz w:val="36"/>
          <w:szCs w:val="36"/>
          <w:u w:val="single"/>
          <w:lang w:val="en-US" w:eastAsia="zh-CN"/>
        </w:rPr>
        <w:t xml:space="preserve"> </w:t>
      </w:r>
      <w:r>
        <w:rPr>
          <w:rFonts w:hint="eastAsia" w:ascii="宋体" w:hAnsi="宋体" w:cs="宋体"/>
          <w:color w:val="auto"/>
          <w:sz w:val="36"/>
          <w:szCs w:val="36"/>
          <w:u w:val="single"/>
        </w:rPr>
        <w:t xml:space="preserve">乐山市市中区嘉和宠物医院 </w:t>
      </w:r>
    </w:p>
    <w:p>
      <w:pPr>
        <w:adjustRightInd w:val="0"/>
        <w:snapToGrid w:val="0"/>
        <w:spacing w:line="288" w:lineRule="auto"/>
        <w:ind w:firstLine="1134" w:firstLineChars="315"/>
        <w:rPr>
          <w:rFonts w:hint="eastAsia" w:ascii="宋体" w:hAnsi="宋体" w:cs="宋体"/>
          <w:color w:val="auto"/>
          <w:sz w:val="36"/>
          <w:szCs w:val="36"/>
        </w:rPr>
      </w:pPr>
      <w:r>
        <w:rPr>
          <w:rFonts w:hint="eastAsia" w:ascii="宋体" w:hAnsi="宋体" w:cs="宋体"/>
          <w:color w:val="auto"/>
          <w:sz w:val="36"/>
          <w:szCs w:val="36"/>
        </w:rPr>
        <w:t>编制日期：</w:t>
      </w:r>
      <w:r>
        <w:rPr>
          <w:rFonts w:hint="eastAsia" w:ascii="宋体" w:hAnsi="宋体" w:cs="宋体"/>
          <w:color w:val="auto"/>
          <w:sz w:val="36"/>
          <w:szCs w:val="36"/>
          <w:u w:val="single"/>
        </w:rPr>
        <w:t xml:space="preserve">2022年6月 </w:t>
      </w:r>
    </w:p>
    <w:p>
      <w:pPr>
        <w:adjustRightInd w:val="0"/>
        <w:snapToGrid w:val="0"/>
        <w:spacing w:line="288" w:lineRule="auto"/>
        <w:rPr>
          <w:rFonts w:ascii="仿宋_GB2312" w:eastAsia="仿宋_GB2312"/>
          <w:color w:val="auto"/>
          <w:sz w:val="36"/>
          <w:szCs w:val="36"/>
          <w:u w:val="single"/>
        </w:rPr>
      </w:pPr>
    </w:p>
    <w:p>
      <w:pPr>
        <w:adjustRightInd w:val="0"/>
        <w:snapToGrid w:val="0"/>
        <w:spacing w:line="288" w:lineRule="auto"/>
        <w:rPr>
          <w:rFonts w:ascii="仿宋_GB2312" w:eastAsia="仿宋_GB2312"/>
          <w:color w:val="auto"/>
          <w:sz w:val="36"/>
          <w:szCs w:val="36"/>
        </w:rPr>
      </w:pPr>
    </w:p>
    <w:p>
      <w:pPr>
        <w:adjustRightInd w:val="0"/>
        <w:snapToGrid w:val="0"/>
        <w:spacing w:line="288" w:lineRule="auto"/>
        <w:rPr>
          <w:rFonts w:ascii="仿宋_GB2312" w:eastAsia="仿宋_GB2312"/>
          <w:color w:val="auto"/>
          <w:sz w:val="36"/>
          <w:szCs w:val="36"/>
        </w:rPr>
      </w:pPr>
    </w:p>
    <w:p>
      <w:pPr>
        <w:adjustRightInd w:val="0"/>
        <w:snapToGrid w:val="0"/>
        <w:spacing w:line="288" w:lineRule="auto"/>
        <w:rPr>
          <w:rFonts w:hint="eastAsia" w:ascii="仿宋_GB2312" w:eastAsia="仿宋_GB2312"/>
          <w:color w:val="auto"/>
          <w:sz w:val="36"/>
          <w:szCs w:val="36"/>
        </w:rPr>
      </w:pPr>
    </w:p>
    <w:p>
      <w:pPr>
        <w:adjustRightInd w:val="0"/>
        <w:snapToGrid w:val="0"/>
        <w:spacing w:line="288" w:lineRule="auto"/>
        <w:rPr>
          <w:rFonts w:hint="eastAsia" w:ascii="宋体" w:hAnsi="宋体" w:cs="宋体"/>
          <w:color w:val="auto"/>
          <w:sz w:val="36"/>
          <w:szCs w:val="36"/>
        </w:rPr>
      </w:pPr>
    </w:p>
    <w:p>
      <w:pPr>
        <w:adjustRightInd w:val="0"/>
        <w:snapToGrid w:val="0"/>
        <w:spacing w:line="288" w:lineRule="auto"/>
        <w:ind w:firstLine="0" w:firstLineChars="0"/>
        <w:jc w:val="center"/>
        <w:rPr>
          <w:rFonts w:hint="eastAsia" w:ascii="宋体" w:hAnsi="宋体" w:cs="宋体"/>
          <w:color w:val="auto"/>
          <w:sz w:val="36"/>
          <w:szCs w:val="36"/>
        </w:rPr>
      </w:pPr>
      <w:r>
        <w:rPr>
          <w:rFonts w:hint="eastAsia" w:ascii="宋体" w:hAnsi="宋体" w:cs="宋体"/>
          <w:color w:val="auto"/>
          <w:sz w:val="36"/>
          <w:szCs w:val="36"/>
        </w:rPr>
        <w:t>中华人民共和国生态环境部制</w:t>
      </w:r>
    </w:p>
    <w:p>
      <w:pPr>
        <w:adjustRightInd w:val="0"/>
        <w:snapToGrid w:val="0"/>
        <w:spacing w:line="288" w:lineRule="auto"/>
        <w:jc w:val="center"/>
        <w:rPr>
          <w:b/>
          <w:bCs/>
          <w:color w:val="auto"/>
          <w:sz w:val="36"/>
          <w:szCs w:val="44"/>
        </w:rPr>
      </w:pPr>
      <w:r>
        <w:rPr>
          <w:rFonts w:hint="eastAsia" w:ascii="宋体" w:hAnsi="宋体" w:cs="宋体"/>
          <w:color w:val="auto"/>
          <w:sz w:val="36"/>
          <w:szCs w:val="36"/>
        </w:rPr>
        <w:br w:type="page"/>
      </w:r>
      <w:r>
        <w:rPr>
          <w:rFonts w:ascii="宋体" w:hAnsi="宋体"/>
          <w:b/>
          <w:bCs/>
          <w:color w:val="auto"/>
          <w:sz w:val="36"/>
          <w:szCs w:val="44"/>
        </w:rPr>
        <w:t>目录</w:t>
      </w:r>
    </w:p>
    <w:p>
      <w:pPr>
        <w:pStyle w:val="25"/>
        <w:tabs>
          <w:tab w:val="right" w:leader="dot" w:pos="8844"/>
        </w:tabs>
        <w:spacing w:before="240" w:after="240"/>
        <w:ind w:firstLine="560"/>
        <w:rPr>
          <w:color w:val="auto"/>
          <w:sz w:val="30"/>
          <w:szCs w:val="30"/>
        </w:rPr>
      </w:pPr>
      <w:r>
        <w:rPr>
          <w:rFonts w:hint="eastAsia"/>
          <w:color w:val="auto"/>
          <w:sz w:val="28"/>
          <w:szCs w:val="28"/>
        </w:rPr>
        <w:fldChar w:fldCharType="begin"/>
      </w:r>
      <w:r>
        <w:rPr>
          <w:rFonts w:hint="eastAsia"/>
          <w:color w:val="auto"/>
          <w:sz w:val="28"/>
          <w:szCs w:val="28"/>
        </w:rPr>
        <w:instrText xml:space="preserve">TOC \o "1-1" \h \u </w:instrText>
      </w:r>
      <w:r>
        <w:rPr>
          <w:rFonts w:hint="eastAsia"/>
          <w:color w:val="auto"/>
          <w:sz w:val="28"/>
          <w:szCs w:val="28"/>
        </w:rPr>
        <w:fldChar w:fldCharType="separate"/>
      </w:r>
      <w:r>
        <w:rPr>
          <w:rFonts w:hint="eastAsia"/>
          <w:color w:val="auto"/>
          <w:sz w:val="30"/>
          <w:szCs w:val="30"/>
        </w:rPr>
        <w:fldChar w:fldCharType="begin"/>
      </w:r>
      <w:r>
        <w:rPr>
          <w:rFonts w:hint="eastAsia"/>
          <w:color w:val="auto"/>
          <w:sz w:val="30"/>
          <w:szCs w:val="30"/>
        </w:rPr>
        <w:instrText xml:space="preserve"> HYPERLINK \l _Toc32001 </w:instrText>
      </w:r>
      <w:r>
        <w:rPr>
          <w:rFonts w:hint="eastAsia"/>
          <w:color w:val="auto"/>
          <w:sz w:val="30"/>
          <w:szCs w:val="30"/>
        </w:rPr>
        <w:fldChar w:fldCharType="separate"/>
      </w:r>
      <w:r>
        <w:rPr>
          <w:rFonts w:hint="eastAsia"/>
          <w:color w:val="auto"/>
          <w:sz w:val="30"/>
          <w:szCs w:val="30"/>
        </w:rPr>
        <w:t>一、建设项目基本情况</w:t>
      </w:r>
      <w:r>
        <w:rPr>
          <w:color w:val="auto"/>
          <w:sz w:val="30"/>
          <w:szCs w:val="30"/>
        </w:rPr>
        <w:tab/>
      </w:r>
      <w:r>
        <w:rPr>
          <w:color w:val="auto"/>
          <w:sz w:val="30"/>
          <w:szCs w:val="30"/>
        </w:rPr>
        <w:fldChar w:fldCharType="begin"/>
      </w:r>
      <w:r>
        <w:rPr>
          <w:color w:val="auto"/>
          <w:sz w:val="30"/>
          <w:szCs w:val="30"/>
        </w:rPr>
        <w:instrText xml:space="preserve"> PAGEREF _Toc32001 \h </w:instrText>
      </w:r>
      <w:r>
        <w:rPr>
          <w:color w:val="auto"/>
          <w:sz w:val="30"/>
          <w:szCs w:val="30"/>
        </w:rPr>
        <w:fldChar w:fldCharType="separate"/>
      </w:r>
      <w:r>
        <w:rPr>
          <w:color w:val="auto"/>
          <w:sz w:val="30"/>
          <w:szCs w:val="30"/>
        </w:rPr>
        <w:t>1</w:t>
      </w:r>
      <w:r>
        <w:rPr>
          <w:color w:val="auto"/>
          <w:sz w:val="30"/>
          <w:szCs w:val="30"/>
        </w:rPr>
        <w:fldChar w:fldCharType="end"/>
      </w:r>
      <w:r>
        <w:rPr>
          <w:rFonts w:hint="eastAsia"/>
          <w:color w:val="auto"/>
          <w:sz w:val="30"/>
          <w:szCs w:val="30"/>
        </w:rPr>
        <w:fldChar w:fldCharType="end"/>
      </w:r>
    </w:p>
    <w:p>
      <w:pPr>
        <w:pStyle w:val="25"/>
        <w:tabs>
          <w:tab w:val="right" w:leader="dot" w:pos="8844"/>
        </w:tabs>
        <w:spacing w:before="240" w:after="240"/>
        <w:ind w:firstLine="600"/>
        <w:rPr>
          <w:color w:val="auto"/>
          <w:sz w:val="30"/>
          <w:szCs w:val="30"/>
        </w:rPr>
      </w:pPr>
      <w:r>
        <w:rPr>
          <w:rFonts w:hint="eastAsia"/>
          <w:color w:val="auto"/>
          <w:sz w:val="30"/>
          <w:szCs w:val="30"/>
        </w:rPr>
        <w:fldChar w:fldCharType="begin"/>
      </w:r>
      <w:r>
        <w:rPr>
          <w:rFonts w:hint="eastAsia"/>
          <w:color w:val="auto"/>
          <w:sz w:val="30"/>
          <w:szCs w:val="30"/>
        </w:rPr>
        <w:instrText xml:space="preserve"> HYPERLINK \l _Toc10655 </w:instrText>
      </w:r>
      <w:r>
        <w:rPr>
          <w:rFonts w:hint="eastAsia"/>
          <w:color w:val="auto"/>
          <w:sz w:val="30"/>
          <w:szCs w:val="30"/>
        </w:rPr>
        <w:fldChar w:fldCharType="separate"/>
      </w:r>
      <w:r>
        <w:rPr>
          <w:rFonts w:hint="eastAsia"/>
          <w:color w:val="auto"/>
          <w:sz w:val="30"/>
          <w:szCs w:val="30"/>
        </w:rPr>
        <w:t>二、建设项目工程分析</w:t>
      </w:r>
      <w:r>
        <w:rPr>
          <w:color w:val="auto"/>
          <w:sz w:val="30"/>
          <w:szCs w:val="30"/>
        </w:rPr>
        <w:tab/>
      </w:r>
      <w:r>
        <w:rPr>
          <w:color w:val="auto"/>
          <w:sz w:val="30"/>
          <w:szCs w:val="30"/>
        </w:rPr>
        <w:fldChar w:fldCharType="begin"/>
      </w:r>
      <w:r>
        <w:rPr>
          <w:color w:val="auto"/>
          <w:sz w:val="30"/>
          <w:szCs w:val="30"/>
        </w:rPr>
        <w:instrText xml:space="preserve"> PAGEREF _Toc10655 \h </w:instrText>
      </w:r>
      <w:r>
        <w:rPr>
          <w:color w:val="auto"/>
          <w:sz w:val="30"/>
          <w:szCs w:val="30"/>
        </w:rPr>
        <w:fldChar w:fldCharType="separate"/>
      </w:r>
      <w:r>
        <w:rPr>
          <w:color w:val="auto"/>
          <w:sz w:val="30"/>
          <w:szCs w:val="30"/>
        </w:rPr>
        <w:t>11</w:t>
      </w:r>
      <w:r>
        <w:rPr>
          <w:color w:val="auto"/>
          <w:sz w:val="30"/>
          <w:szCs w:val="30"/>
        </w:rPr>
        <w:fldChar w:fldCharType="end"/>
      </w:r>
      <w:r>
        <w:rPr>
          <w:rFonts w:hint="eastAsia"/>
          <w:color w:val="auto"/>
          <w:sz w:val="30"/>
          <w:szCs w:val="30"/>
        </w:rPr>
        <w:fldChar w:fldCharType="end"/>
      </w:r>
    </w:p>
    <w:p>
      <w:pPr>
        <w:pStyle w:val="25"/>
        <w:tabs>
          <w:tab w:val="right" w:leader="dot" w:pos="8844"/>
        </w:tabs>
        <w:spacing w:before="240" w:after="240"/>
        <w:ind w:firstLine="600"/>
        <w:rPr>
          <w:color w:val="auto"/>
          <w:sz w:val="30"/>
          <w:szCs w:val="30"/>
        </w:rPr>
      </w:pPr>
      <w:r>
        <w:rPr>
          <w:rFonts w:hint="eastAsia"/>
          <w:color w:val="auto"/>
          <w:sz w:val="30"/>
          <w:szCs w:val="30"/>
        </w:rPr>
        <w:fldChar w:fldCharType="begin"/>
      </w:r>
      <w:r>
        <w:rPr>
          <w:rFonts w:hint="eastAsia"/>
          <w:color w:val="auto"/>
          <w:sz w:val="30"/>
          <w:szCs w:val="30"/>
        </w:rPr>
        <w:instrText xml:space="preserve"> HYPERLINK \l _Toc29106 </w:instrText>
      </w:r>
      <w:r>
        <w:rPr>
          <w:rFonts w:hint="eastAsia"/>
          <w:color w:val="auto"/>
          <w:sz w:val="30"/>
          <w:szCs w:val="30"/>
        </w:rPr>
        <w:fldChar w:fldCharType="separate"/>
      </w:r>
      <w:r>
        <w:rPr>
          <w:rFonts w:hint="eastAsia"/>
          <w:color w:val="auto"/>
          <w:sz w:val="30"/>
          <w:szCs w:val="30"/>
        </w:rPr>
        <w:t>三、区域环境质量现状、环境保护目标及评价标准</w:t>
      </w:r>
      <w:r>
        <w:rPr>
          <w:color w:val="auto"/>
          <w:sz w:val="30"/>
          <w:szCs w:val="30"/>
        </w:rPr>
        <w:tab/>
      </w:r>
      <w:r>
        <w:rPr>
          <w:color w:val="auto"/>
          <w:sz w:val="30"/>
          <w:szCs w:val="30"/>
        </w:rPr>
        <w:fldChar w:fldCharType="begin"/>
      </w:r>
      <w:r>
        <w:rPr>
          <w:color w:val="auto"/>
          <w:sz w:val="30"/>
          <w:szCs w:val="30"/>
        </w:rPr>
        <w:instrText xml:space="preserve"> PAGEREF _Toc29106 \h </w:instrText>
      </w:r>
      <w:r>
        <w:rPr>
          <w:color w:val="auto"/>
          <w:sz w:val="30"/>
          <w:szCs w:val="30"/>
        </w:rPr>
        <w:fldChar w:fldCharType="separate"/>
      </w:r>
      <w:r>
        <w:rPr>
          <w:color w:val="auto"/>
          <w:sz w:val="30"/>
          <w:szCs w:val="30"/>
        </w:rPr>
        <w:t>21</w:t>
      </w:r>
      <w:r>
        <w:rPr>
          <w:color w:val="auto"/>
          <w:sz w:val="30"/>
          <w:szCs w:val="30"/>
        </w:rPr>
        <w:fldChar w:fldCharType="end"/>
      </w:r>
      <w:r>
        <w:rPr>
          <w:rFonts w:hint="eastAsia"/>
          <w:color w:val="auto"/>
          <w:sz w:val="30"/>
          <w:szCs w:val="30"/>
        </w:rPr>
        <w:fldChar w:fldCharType="end"/>
      </w:r>
    </w:p>
    <w:p>
      <w:pPr>
        <w:pStyle w:val="25"/>
        <w:tabs>
          <w:tab w:val="right" w:leader="dot" w:pos="8844"/>
        </w:tabs>
        <w:spacing w:before="240" w:after="240"/>
        <w:ind w:firstLine="600"/>
        <w:rPr>
          <w:color w:val="auto"/>
          <w:sz w:val="30"/>
          <w:szCs w:val="30"/>
        </w:rPr>
      </w:pPr>
      <w:r>
        <w:rPr>
          <w:rFonts w:hint="eastAsia"/>
          <w:color w:val="auto"/>
          <w:sz w:val="30"/>
          <w:szCs w:val="30"/>
        </w:rPr>
        <w:fldChar w:fldCharType="begin"/>
      </w:r>
      <w:r>
        <w:rPr>
          <w:rFonts w:hint="eastAsia"/>
          <w:color w:val="auto"/>
          <w:sz w:val="30"/>
          <w:szCs w:val="30"/>
        </w:rPr>
        <w:instrText xml:space="preserve"> HYPERLINK \l _Toc5151 </w:instrText>
      </w:r>
      <w:r>
        <w:rPr>
          <w:rFonts w:hint="eastAsia"/>
          <w:color w:val="auto"/>
          <w:sz w:val="30"/>
          <w:szCs w:val="30"/>
        </w:rPr>
        <w:fldChar w:fldCharType="separate"/>
      </w:r>
      <w:r>
        <w:rPr>
          <w:rFonts w:hint="eastAsia" w:ascii="宋体" w:hAnsi="宋体" w:cs="宋体"/>
          <w:snapToGrid w:val="0"/>
          <w:color w:val="auto"/>
          <w:sz w:val="30"/>
          <w:szCs w:val="30"/>
        </w:rPr>
        <w:t>四、主要环境影响和保护措施</w:t>
      </w:r>
      <w:r>
        <w:rPr>
          <w:color w:val="auto"/>
          <w:sz w:val="30"/>
          <w:szCs w:val="30"/>
        </w:rPr>
        <w:tab/>
      </w:r>
      <w:r>
        <w:rPr>
          <w:color w:val="auto"/>
          <w:sz w:val="30"/>
          <w:szCs w:val="30"/>
        </w:rPr>
        <w:fldChar w:fldCharType="begin"/>
      </w:r>
      <w:r>
        <w:rPr>
          <w:color w:val="auto"/>
          <w:sz w:val="30"/>
          <w:szCs w:val="30"/>
        </w:rPr>
        <w:instrText xml:space="preserve"> PAGEREF _Toc5151 \h </w:instrText>
      </w:r>
      <w:r>
        <w:rPr>
          <w:color w:val="auto"/>
          <w:sz w:val="30"/>
          <w:szCs w:val="30"/>
        </w:rPr>
        <w:fldChar w:fldCharType="separate"/>
      </w:r>
      <w:r>
        <w:rPr>
          <w:color w:val="auto"/>
          <w:sz w:val="30"/>
          <w:szCs w:val="30"/>
        </w:rPr>
        <w:t>26</w:t>
      </w:r>
      <w:r>
        <w:rPr>
          <w:color w:val="auto"/>
          <w:sz w:val="30"/>
          <w:szCs w:val="30"/>
        </w:rPr>
        <w:fldChar w:fldCharType="end"/>
      </w:r>
      <w:r>
        <w:rPr>
          <w:rFonts w:hint="eastAsia"/>
          <w:color w:val="auto"/>
          <w:sz w:val="30"/>
          <w:szCs w:val="30"/>
        </w:rPr>
        <w:fldChar w:fldCharType="end"/>
      </w:r>
    </w:p>
    <w:p>
      <w:pPr>
        <w:pStyle w:val="25"/>
        <w:tabs>
          <w:tab w:val="right" w:leader="dot" w:pos="8844"/>
        </w:tabs>
        <w:spacing w:before="240" w:after="240"/>
        <w:ind w:firstLine="600"/>
        <w:rPr>
          <w:color w:val="auto"/>
          <w:sz w:val="30"/>
          <w:szCs w:val="30"/>
        </w:rPr>
      </w:pPr>
      <w:r>
        <w:rPr>
          <w:rFonts w:hint="eastAsia"/>
          <w:color w:val="auto"/>
          <w:sz w:val="30"/>
          <w:szCs w:val="30"/>
        </w:rPr>
        <w:fldChar w:fldCharType="begin"/>
      </w:r>
      <w:r>
        <w:rPr>
          <w:rFonts w:hint="eastAsia"/>
          <w:color w:val="auto"/>
          <w:sz w:val="30"/>
          <w:szCs w:val="30"/>
        </w:rPr>
        <w:instrText xml:space="preserve"> HYPERLINK \l _Toc20378 </w:instrText>
      </w:r>
      <w:r>
        <w:rPr>
          <w:rFonts w:hint="eastAsia"/>
          <w:color w:val="auto"/>
          <w:sz w:val="30"/>
          <w:szCs w:val="30"/>
        </w:rPr>
        <w:fldChar w:fldCharType="separate"/>
      </w:r>
      <w:r>
        <w:rPr>
          <w:rFonts w:hint="eastAsia" w:ascii="宋体" w:hAnsi="宋体" w:cs="宋体"/>
          <w:bCs/>
          <w:snapToGrid w:val="0"/>
          <w:color w:val="auto"/>
          <w:sz w:val="30"/>
          <w:szCs w:val="30"/>
        </w:rPr>
        <w:t>五、环境保护措施监督检查清单</w:t>
      </w:r>
      <w:r>
        <w:rPr>
          <w:color w:val="auto"/>
          <w:sz w:val="30"/>
          <w:szCs w:val="30"/>
        </w:rPr>
        <w:tab/>
      </w:r>
      <w:r>
        <w:rPr>
          <w:color w:val="auto"/>
          <w:sz w:val="30"/>
          <w:szCs w:val="30"/>
        </w:rPr>
        <w:fldChar w:fldCharType="begin"/>
      </w:r>
      <w:r>
        <w:rPr>
          <w:color w:val="auto"/>
          <w:sz w:val="30"/>
          <w:szCs w:val="30"/>
        </w:rPr>
        <w:instrText xml:space="preserve"> PAGEREF _Toc20378 \h </w:instrText>
      </w:r>
      <w:r>
        <w:rPr>
          <w:color w:val="auto"/>
          <w:sz w:val="30"/>
          <w:szCs w:val="30"/>
        </w:rPr>
        <w:fldChar w:fldCharType="separate"/>
      </w:r>
      <w:r>
        <w:rPr>
          <w:color w:val="auto"/>
          <w:sz w:val="30"/>
          <w:szCs w:val="30"/>
        </w:rPr>
        <w:t>46</w:t>
      </w:r>
      <w:r>
        <w:rPr>
          <w:color w:val="auto"/>
          <w:sz w:val="30"/>
          <w:szCs w:val="30"/>
        </w:rPr>
        <w:fldChar w:fldCharType="end"/>
      </w:r>
      <w:r>
        <w:rPr>
          <w:rFonts w:hint="eastAsia"/>
          <w:color w:val="auto"/>
          <w:sz w:val="30"/>
          <w:szCs w:val="30"/>
        </w:rPr>
        <w:fldChar w:fldCharType="end"/>
      </w:r>
    </w:p>
    <w:p>
      <w:pPr>
        <w:pStyle w:val="25"/>
        <w:tabs>
          <w:tab w:val="right" w:leader="dot" w:pos="8844"/>
        </w:tabs>
        <w:spacing w:before="240" w:after="240"/>
        <w:ind w:firstLine="600"/>
        <w:rPr>
          <w:color w:val="auto"/>
          <w:sz w:val="30"/>
          <w:szCs w:val="30"/>
        </w:rPr>
      </w:pPr>
      <w:r>
        <w:rPr>
          <w:rFonts w:hint="eastAsia"/>
          <w:color w:val="auto"/>
          <w:sz w:val="30"/>
          <w:szCs w:val="30"/>
        </w:rPr>
        <w:fldChar w:fldCharType="begin"/>
      </w:r>
      <w:r>
        <w:rPr>
          <w:rFonts w:hint="eastAsia"/>
          <w:color w:val="auto"/>
          <w:sz w:val="30"/>
          <w:szCs w:val="30"/>
        </w:rPr>
        <w:instrText xml:space="preserve"> HYPERLINK \l _Toc15574 </w:instrText>
      </w:r>
      <w:r>
        <w:rPr>
          <w:rFonts w:hint="eastAsia"/>
          <w:color w:val="auto"/>
          <w:sz w:val="30"/>
          <w:szCs w:val="30"/>
        </w:rPr>
        <w:fldChar w:fldCharType="separate"/>
      </w:r>
      <w:r>
        <w:rPr>
          <w:rFonts w:hint="eastAsia" w:ascii="宋体" w:hAnsi="宋体" w:cs="宋体"/>
          <w:bCs/>
          <w:snapToGrid w:val="0"/>
          <w:color w:val="auto"/>
          <w:sz w:val="30"/>
          <w:szCs w:val="30"/>
        </w:rPr>
        <w:t>六、结论</w:t>
      </w:r>
      <w:r>
        <w:rPr>
          <w:color w:val="auto"/>
          <w:sz w:val="30"/>
          <w:szCs w:val="30"/>
        </w:rPr>
        <w:tab/>
      </w:r>
      <w:r>
        <w:rPr>
          <w:color w:val="auto"/>
          <w:sz w:val="30"/>
          <w:szCs w:val="30"/>
        </w:rPr>
        <w:fldChar w:fldCharType="begin"/>
      </w:r>
      <w:r>
        <w:rPr>
          <w:color w:val="auto"/>
          <w:sz w:val="30"/>
          <w:szCs w:val="30"/>
        </w:rPr>
        <w:instrText xml:space="preserve"> PAGEREF _Toc15574 \h </w:instrText>
      </w:r>
      <w:r>
        <w:rPr>
          <w:color w:val="auto"/>
          <w:sz w:val="30"/>
          <w:szCs w:val="30"/>
        </w:rPr>
        <w:fldChar w:fldCharType="separate"/>
      </w:r>
      <w:r>
        <w:rPr>
          <w:color w:val="auto"/>
          <w:sz w:val="30"/>
          <w:szCs w:val="30"/>
        </w:rPr>
        <w:t>48</w:t>
      </w:r>
      <w:r>
        <w:rPr>
          <w:color w:val="auto"/>
          <w:sz w:val="30"/>
          <w:szCs w:val="30"/>
        </w:rPr>
        <w:fldChar w:fldCharType="end"/>
      </w:r>
      <w:r>
        <w:rPr>
          <w:rFonts w:hint="eastAsia"/>
          <w:color w:val="auto"/>
          <w:sz w:val="30"/>
          <w:szCs w:val="30"/>
        </w:rPr>
        <w:fldChar w:fldCharType="end"/>
      </w:r>
    </w:p>
    <w:p>
      <w:pPr>
        <w:pStyle w:val="25"/>
        <w:tabs>
          <w:tab w:val="right" w:leader="dot" w:pos="8844"/>
        </w:tabs>
        <w:spacing w:before="240" w:after="240"/>
        <w:ind w:firstLine="600"/>
        <w:rPr>
          <w:color w:val="auto"/>
        </w:rPr>
      </w:pPr>
      <w:r>
        <w:rPr>
          <w:rFonts w:hint="eastAsia"/>
          <w:color w:val="auto"/>
          <w:sz w:val="30"/>
          <w:szCs w:val="30"/>
        </w:rPr>
        <w:fldChar w:fldCharType="begin"/>
      </w:r>
      <w:r>
        <w:rPr>
          <w:rFonts w:hint="eastAsia"/>
          <w:color w:val="auto"/>
          <w:sz w:val="30"/>
          <w:szCs w:val="30"/>
        </w:rPr>
        <w:instrText xml:space="preserve"> HYPERLINK \l _Toc15947 </w:instrText>
      </w:r>
      <w:r>
        <w:rPr>
          <w:rFonts w:hint="eastAsia"/>
          <w:color w:val="auto"/>
          <w:sz w:val="30"/>
          <w:szCs w:val="30"/>
        </w:rPr>
        <w:fldChar w:fldCharType="separate"/>
      </w:r>
      <w:r>
        <w:rPr>
          <w:rFonts w:hint="eastAsia" w:ascii="宋体" w:hAnsi="宋体" w:cs="宋体"/>
          <w:bCs/>
          <w:snapToGrid w:val="0"/>
          <w:color w:val="auto"/>
          <w:sz w:val="30"/>
          <w:szCs w:val="30"/>
        </w:rPr>
        <w:t>建设项目污染物排放量汇总表</w:t>
      </w:r>
      <w:r>
        <w:rPr>
          <w:color w:val="auto"/>
          <w:sz w:val="30"/>
          <w:szCs w:val="30"/>
        </w:rPr>
        <w:tab/>
      </w:r>
      <w:r>
        <w:rPr>
          <w:color w:val="auto"/>
          <w:sz w:val="30"/>
          <w:szCs w:val="30"/>
        </w:rPr>
        <w:fldChar w:fldCharType="begin"/>
      </w:r>
      <w:r>
        <w:rPr>
          <w:color w:val="auto"/>
          <w:sz w:val="30"/>
          <w:szCs w:val="30"/>
        </w:rPr>
        <w:instrText xml:space="preserve"> PAGEREF _Toc15947 \h </w:instrText>
      </w:r>
      <w:r>
        <w:rPr>
          <w:color w:val="auto"/>
          <w:sz w:val="30"/>
          <w:szCs w:val="30"/>
        </w:rPr>
        <w:fldChar w:fldCharType="separate"/>
      </w:r>
      <w:r>
        <w:rPr>
          <w:color w:val="auto"/>
          <w:sz w:val="30"/>
          <w:szCs w:val="30"/>
        </w:rPr>
        <w:t>49</w:t>
      </w:r>
      <w:r>
        <w:rPr>
          <w:color w:val="auto"/>
          <w:sz w:val="30"/>
          <w:szCs w:val="30"/>
        </w:rPr>
        <w:fldChar w:fldCharType="end"/>
      </w:r>
      <w:r>
        <w:rPr>
          <w:rFonts w:hint="eastAsia"/>
          <w:color w:val="auto"/>
          <w:sz w:val="30"/>
          <w:szCs w:val="30"/>
        </w:rPr>
        <w:fldChar w:fldCharType="end"/>
      </w:r>
    </w:p>
    <w:p>
      <w:pPr>
        <w:pStyle w:val="37"/>
        <w:spacing w:after="0" w:line="360" w:lineRule="auto"/>
        <w:ind w:left="0" w:leftChars="0" w:firstLine="480"/>
        <w:rPr>
          <w:rFonts w:hint="eastAsia" w:ascii="宋体" w:hAnsi="宋体" w:cs="宋体"/>
          <w:b/>
          <w:snapToGrid w:val="0"/>
          <w:color w:val="auto"/>
          <w:kern w:val="2"/>
          <w:sz w:val="28"/>
          <w:szCs w:val="28"/>
        </w:rPr>
      </w:pPr>
      <w:r>
        <w:rPr>
          <w:rFonts w:hint="eastAsia"/>
          <w:color w:val="auto"/>
        </w:rPr>
        <w:fldChar w:fldCharType="end"/>
      </w:r>
      <w:r>
        <w:rPr>
          <w:rFonts w:hint="eastAsia" w:ascii="宋体" w:hAnsi="宋体" w:cs="宋体"/>
          <w:b/>
          <w:snapToGrid w:val="0"/>
          <w:color w:val="auto"/>
          <w:kern w:val="2"/>
          <w:szCs w:val="24"/>
        </w:rPr>
        <w:t>附图：</w:t>
      </w:r>
    </w:p>
    <w:p>
      <w:pPr>
        <w:pStyle w:val="104"/>
        <w:numPr>
          <w:ilvl w:val="0"/>
          <w:numId w:val="5"/>
        </w:numPr>
        <w:ind w:firstLine="480"/>
        <w:rPr>
          <w:rFonts w:hint="eastAsia"/>
          <w:color w:val="auto"/>
        </w:rPr>
      </w:pPr>
      <w:r>
        <w:rPr>
          <w:rFonts w:hint="eastAsia"/>
          <w:color w:val="auto"/>
        </w:rPr>
        <w:t>项目地理位置图</w:t>
      </w:r>
    </w:p>
    <w:p>
      <w:pPr>
        <w:pStyle w:val="104"/>
        <w:numPr>
          <w:ilvl w:val="0"/>
          <w:numId w:val="5"/>
        </w:numPr>
        <w:ind w:firstLine="480"/>
        <w:rPr>
          <w:color w:val="auto"/>
        </w:rPr>
      </w:pPr>
      <w:r>
        <w:rPr>
          <w:rFonts w:hint="eastAsia"/>
          <w:color w:val="auto"/>
        </w:rPr>
        <w:t>乐山市城市总体规划图</w:t>
      </w:r>
    </w:p>
    <w:p>
      <w:pPr>
        <w:pStyle w:val="104"/>
        <w:numPr>
          <w:ilvl w:val="0"/>
          <w:numId w:val="5"/>
        </w:numPr>
        <w:ind w:firstLine="480"/>
        <w:rPr>
          <w:color w:val="auto"/>
        </w:rPr>
      </w:pPr>
      <w:r>
        <w:rPr>
          <w:rFonts w:hint="eastAsia"/>
          <w:color w:val="auto"/>
        </w:rPr>
        <w:t>项目外环境关系示意图</w:t>
      </w:r>
    </w:p>
    <w:p>
      <w:pPr>
        <w:pStyle w:val="104"/>
        <w:ind w:firstLine="480"/>
        <w:rPr>
          <w:rFonts w:hint="eastAsia"/>
          <w:color w:val="auto"/>
        </w:rPr>
      </w:pPr>
      <w:r>
        <w:rPr>
          <w:rFonts w:hint="eastAsia"/>
          <w:color w:val="auto"/>
        </w:rPr>
        <w:t>4-1、项目一层平面布置示意图</w:t>
      </w:r>
    </w:p>
    <w:p>
      <w:pPr>
        <w:pStyle w:val="104"/>
        <w:ind w:firstLine="480"/>
        <w:rPr>
          <w:rFonts w:hint="eastAsia"/>
          <w:color w:val="auto"/>
        </w:rPr>
      </w:pPr>
      <w:r>
        <w:rPr>
          <w:rFonts w:hint="eastAsia"/>
          <w:color w:val="auto"/>
        </w:rPr>
        <w:t>4-2、项目二层平面布置示意图</w:t>
      </w:r>
    </w:p>
    <w:p>
      <w:pPr>
        <w:pStyle w:val="104"/>
        <w:ind w:firstLine="480"/>
        <w:rPr>
          <w:rFonts w:hint="eastAsia"/>
          <w:color w:val="auto"/>
        </w:rPr>
      </w:pPr>
      <w:r>
        <w:rPr>
          <w:rFonts w:hint="eastAsia"/>
          <w:color w:val="auto"/>
        </w:rPr>
        <w:t>5、项目与所在区域环境管控单元的位置关系图</w:t>
      </w:r>
    </w:p>
    <w:p>
      <w:pPr>
        <w:pStyle w:val="104"/>
        <w:ind w:firstLine="480"/>
        <w:rPr>
          <w:color w:val="auto"/>
        </w:rPr>
      </w:pPr>
      <w:r>
        <w:rPr>
          <w:rFonts w:hint="eastAsia"/>
          <w:color w:val="auto"/>
        </w:rPr>
        <w:t>6、本项目所在生态保护红线位置示意图</w:t>
      </w:r>
    </w:p>
    <w:p>
      <w:pPr>
        <w:pStyle w:val="104"/>
        <w:ind w:firstLine="480"/>
        <w:rPr>
          <w:rFonts w:hint="eastAsia"/>
          <w:color w:val="auto"/>
        </w:rPr>
      </w:pPr>
      <w:r>
        <w:rPr>
          <w:rFonts w:hint="eastAsia"/>
          <w:color w:val="auto"/>
        </w:rPr>
        <w:t>7、</w:t>
      </w:r>
      <w:r>
        <w:rPr>
          <w:color w:val="auto"/>
        </w:rPr>
        <w:t>区域污水</w:t>
      </w:r>
      <w:r>
        <w:rPr>
          <w:rFonts w:hint="eastAsia"/>
          <w:color w:val="auto"/>
        </w:rPr>
        <w:t>管网</w:t>
      </w:r>
      <w:r>
        <w:rPr>
          <w:color w:val="auto"/>
        </w:rPr>
        <w:t>分布图</w:t>
      </w:r>
    </w:p>
    <w:p>
      <w:pPr>
        <w:pStyle w:val="104"/>
        <w:ind w:firstLine="480"/>
        <w:rPr>
          <w:rFonts w:hint="eastAsia"/>
          <w:color w:val="auto"/>
        </w:rPr>
      </w:pPr>
      <w:r>
        <w:rPr>
          <w:color w:val="auto"/>
        </w:rPr>
        <w:t>8</w:t>
      </w:r>
      <w:r>
        <w:rPr>
          <w:rFonts w:hint="eastAsia"/>
          <w:color w:val="auto"/>
        </w:rPr>
        <w:t>、现场照片</w:t>
      </w:r>
    </w:p>
    <w:p>
      <w:pPr>
        <w:pStyle w:val="104"/>
        <w:ind w:firstLine="482"/>
        <w:rPr>
          <w:rFonts w:hint="eastAsia"/>
          <w:b/>
          <w:bCs/>
          <w:color w:val="auto"/>
        </w:rPr>
      </w:pPr>
      <w:r>
        <w:rPr>
          <w:rFonts w:hint="eastAsia"/>
          <w:b/>
          <w:bCs/>
          <w:color w:val="auto"/>
        </w:rPr>
        <w:t>附件：</w:t>
      </w:r>
    </w:p>
    <w:p>
      <w:pPr>
        <w:pStyle w:val="104"/>
        <w:numPr>
          <w:ilvl w:val="0"/>
          <w:numId w:val="6"/>
        </w:numPr>
        <w:ind w:firstLine="480"/>
        <w:rPr>
          <w:rFonts w:hint="eastAsia"/>
          <w:color w:val="auto"/>
        </w:rPr>
      </w:pPr>
      <w:r>
        <w:rPr>
          <w:rFonts w:hint="eastAsia"/>
          <w:color w:val="auto"/>
        </w:rPr>
        <w:t>项目委托书</w:t>
      </w:r>
    </w:p>
    <w:p>
      <w:pPr>
        <w:pStyle w:val="104"/>
        <w:numPr>
          <w:ilvl w:val="0"/>
          <w:numId w:val="6"/>
        </w:numPr>
        <w:ind w:firstLine="480"/>
        <w:rPr>
          <w:color w:val="auto"/>
        </w:rPr>
      </w:pPr>
      <w:r>
        <w:rPr>
          <w:rFonts w:hint="eastAsia"/>
          <w:color w:val="auto"/>
        </w:rPr>
        <w:t>动物诊疗许可证</w:t>
      </w:r>
    </w:p>
    <w:p>
      <w:pPr>
        <w:pStyle w:val="104"/>
        <w:numPr>
          <w:ilvl w:val="0"/>
          <w:numId w:val="6"/>
        </w:numPr>
        <w:ind w:firstLine="480"/>
        <w:rPr>
          <w:color w:val="auto"/>
        </w:rPr>
      </w:pPr>
      <w:r>
        <w:rPr>
          <w:rFonts w:hint="eastAsia"/>
          <w:color w:val="auto"/>
        </w:rPr>
        <w:t>行政处罚事先告知书</w:t>
      </w:r>
    </w:p>
    <w:p>
      <w:pPr>
        <w:pStyle w:val="104"/>
        <w:numPr>
          <w:ilvl w:val="0"/>
          <w:numId w:val="6"/>
        </w:numPr>
        <w:ind w:firstLine="480"/>
        <w:rPr>
          <w:color w:val="auto"/>
        </w:rPr>
      </w:pPr>
      <w:r>
        <w:rPr>
          <w:rFonts w:hint="eastAsia"/>
          <w:color w:val="auto"/>
        </w:rPr>
        <w:t>行政处罚决定书</w:t>
      </w:r>
    </w:p>
    <w:p>
      <w:pPr>
        <w:pStyle w:val="104"/>
        <w:numPr>
          <w:ilvl w:val="0"/>
          <w:numId w:val="6"/>
        </w:numPr>
        <w:ind w:firstLine="480"/>
        <w:rPr>
          <w:color w:val="auto"/>
        </w:rPr>
      </w:pPr>
      <w:r>
        <w:rPr>
          <w:rFonts w:hint="eastAsia"/>
          <w:color w:val="auto"/>
        </w:rPr>
        <w:t>缴纳罚款回执单</w:t>
      </w:r>
    </w:p>
    <w:p>
      <w:pPr>
        <w:pStyle w:val="104"/>
        <w:numPr>
          <w:ilvl w:val="0"/>
          <w:numId w:val="6"/>
        </w:numPr>
        <w:ind w:firstLine="480"/>
        <w:rPr>
          <w:color w:val="auto"/>
        </w:rPr>
      </w:pPr>
      <w:r>
        <w:rPr>
          <w:rFonts w:hint="eastAsia"/>
          <w:color w:val="auto"/>
        </w:rPr>
        <w:t>房屋租赁协议</w:t>
      </w:r>
    </w:p>
    <w:p>
      <w:pPr>
        <w:pStyle w:val="104"/>
        <w:numPr>
          <w:ilvl w:val="0"/>
          <w:numId w:val="6"/>
        </w:numPr>
        <w:ind w:firstLine="480"/>
        <w:rPr>
          <w:color w:val="auto"/>
        </w:rPr>
      </w:pPr>
      <w:r>
        <w:rPr>
          <w:rFonts w:hint="eastAsia"/>
          <w:color w:val="auto"/>
        </w:rPr>
        <w:t>房产证</w:t>
      </w:r>
    </w:p>
    <w:p>
      <w:pPr>
        <w:pStyle w:val="104"/>
        <w:numPr>
          <w:ilvl w:val="0"/>
          <w:numId w:val="6"/>
        </w:numPr>
        <w:ind w:firstLine="480"/>
        <w:rPr>
          <w:color w:val="auto"/>
        </w:rPr>
      </w:pPr>
      <w:r>
        <w:rPr>
          <w:rFonts w:hint="eastAsia"/>
          <w:color w:val="auto"/>
        </w:rPr>
        <w:t>兽医资格证</w:t>
      </w:r>
    </w:p>
    <w:p>
      <w:pPr>
        <w:pStyle w:val="104"/>
        <w:numPr>
          <w:ilvl w:val="0"/>
          <w:numId w:val="6"/>
        </w:numPr>
        <w:ind w:firstLine="480"/>
        <w:rPr>
          <w:color w:val="auto"/>
        </w:rPr>
      </w:pPr>
      <w:r>
        <w:rPr>
          <w:rFonts w:hint="eastAsia"/>
          <w:color w:val="auto"/>
        </w:rPr>
        <w:t>乐山市市中区嘉和宠物医院新建X射线DR成像系统应用项目环境影响登记表</w:t>
      </w:r>
    </w:p>
    <w:p>
      <w:pPr>
        <w:pStyle w:val="104"/>
        <w:numPr>
          <w:ilvl w:val="0"/>
          <w:numId w:val="6"/>
        </w:numPr>
        <w:ind w:firstLine="480"/>
        <w:rPr>
          <w:color w:val="auto"/>
        </w:rPr>
      </w:pPr>
      <w:r>
        <w:rPr>
          <w:rFonts w:hint="eastAsia"/>
          <w:color w:val="auto"/>
        </w:rPr>
        <w:t>清蓝（环）检220222乐山市市中区嘉和宠物医院 “乐山市市中区嘉和宠物医院”建设项目声环境质量现状监测</w:t>
      </w:r>
    </w:p>
    <w:p>
      <w:pPr>
        <w:pStyle w:val="104"/>
        <w:numPr>
          <w:ilvl w:val="0"/>
          <w:numId w:val="6"/>
        </w:numPr>
        <w:ind w:firstLine="480"/>
        <w:rPr>
          <w:color w:val="auto"/>
        </w:rPr>
      </w:pPr>
      <w:r>
        <w:rPr>
          <w:rFonts w:hint="eastAsia"/>
          <w:color w:val="auto"/>
          <w:lang w:eastAsia="zh-CN"/>
        </w:rPr>
        <w:t>无害化处置协议</w:t>
      </w:r>
    </w:p>
    <w:p>
      <w:pPr>
        <w:pStyle w:val="104"/>
        <w:numPr>
          <w:ilvl w:val="0"/>
          <w:numId w:val="6"/>
        </w:numPr>
        <w:ind w:firstLine="480"/>
        <w:rPr>
          <w:color w:val="auto"/>
        </w:rPr>
      </w:pPr>
      <w:r>
        <w:rPr>
          <w:rFonts w:hint="eastAsia"/>
          <w:color w:val="auto"/>
        </w:rPr>
        <w:t>营业执照</w:t>
      </w:r>
    </w:p>
    <w:p>
      <w:pPr>
        <w:pStyle w:val="104"/>
        <w:numPr>
          <w:ilvl w:val="0"/>
          <w:numId w:val="6"/>
        </w:numPr>
        <w:ind w:firstLine="480"/>
        <w:rPr>
          <w:color w:val="auto"/>
        </w:rPr>
      </w:pPr>
      <w:r>
        <w:rPr>
          <w:rFonts w:hint="eastAsia"/>
          <w:color w:val="auto"/>
        </w:rPr>
        <w:t>法人身份证</w:t>
      </w:r>
    </w:p>
    <w:p>
      <w:pPr>
        <w:pStyle w:val="104"/>
        <w:ind w:firstLine="0" w:firstLineChars="0"/>
        <w:rPr>
          <w:rFonts w:hint="eastAsia"/>
          <w:color w:val="auto"/>
        </w:rPr>
      </w:pPr>
    </w:p>
    <w:p>
      <w:pPr>
        <w:pStyle w:val="104"/>
        <w:spacing w:line="240" w:lineRule="auto"/>
        <w:ind w:left="1100" w:firstLine="0" w:firstLineChars="0"/>
        <w:rPr>
          <w:rFonts w:hint="eastAsia"/>
          <w:color w:val="auto"/>
          <w:sz w:val="28"/>
          <w:szCs w:val="28"/>
        </w:rPr>
      </w:pPr>
    </w:p>
    <w:p>
      <w:pPr>
        <w:pStyle w:val="104"/>
        <w:ind w:firstLine="480"/>
        <w:rPr>
          <w:color w:val="auto"/>
        </w:rPr>
        <w:sectPr>
          <w:headerReference r:id="rId8" w:type="first"/>
          <w:footerReference r:id="rId11" w:type="first"/>
          <w:headerReference r:id="rId6" w:type="default"/>
          <w:footerReference r:id="rId9" w:type="default"/>
          <w:headerReference r:id="rId7" w:type="even"/>
          <w:footerReference r:id="rId10" w:type="even"/>
          <w:pgSz w:w="11906" w:h="16838"/>
          <w:pgMar w:top="1701" w:right="1531" w:bottom="1701" w:left="1531" w:header="851" w:footer="1077" w:gutter="0"/>
          <w:pgNumType w:start="3"/>
          <w:cols w:space="720" w:num="1"/>
          <w:docGrid w:linePitch="312" w:charSpace="0"/>
        </w:sectPr>
      </w:pPr>
    </w:p>
    <w:p>
      <w:pPr>
        <w:pStyle w:val="3"/>
        <w:ind w:firstLine="602"/>
        <w:rPr>
          <w:rFonts w:hint="eastAsia"/>
          <w:color w:val="auto"/>
        </w:rPr>
      </w:pPr>
      <w:bookmarkStart w:id="34" w:name="_Toc32001"/>
      <w:r>
        <w:rPr>
          <w:rFonts w:hint="eastAsia"/>
          <w:color w:val="auto"/>
        </w:rPr>
        <w:t>一、建设项目基本情况</w:t>
      </w:r>
      <w:bookmarkEnd w:id="34"/>
    </w:p>
    <w:tbl>
      <w:tblPr>
        <w:tblStyle w:val="38"/>
        <w:tblW w:w="4938"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112"/>
        <w:gridCol w:w="2651"/>
        <w:gridCol w:w="2071"/>
        <w:gridCol w:w="2926"/>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27" w:hRule="atLeast"/>
          <w:jc w:val="center"/>
        </w:trPr>
        <w:tc>
          <w:tcPr>
            <w:tcW w:w="625" w:type="pct"/>
            <w:noWrap w:val="0"/>
            <w:tcMar>
              <w:top w:w="16" w:type="dxa"/>
              <w:left w:w="16" w:type="dxa"/>
              <w:right w:w="16" w:type="dxa"/>
            </w:tcMar>
            <w:vAlign w:val="center"/>
          </w:tcPr>
          <w:p>
            <w:pPr>
              <w:pStyle w:val="103"/>
              <w:rPr>
                <w:rFonts w:hint="eastAsia"/>
                <w:color w:val="auto"/>
              </w:rPr>
            </w:pPr>
            <w:r>
              <w:rPr>
                <w:rFonts w:hint="eastAsia"/>
                <w:color w:val="auto"/>
              </w:rPr>
              <w:t>建设项</w:t>
            </w:r>
          </w:p>
          <w:p>
            <w:pPr>
              <w:pStyle w:val="103"/>
              <w:rPr>
                <w:color w:val="auto"/>
              </w:rPr>
            </w:pPr>
            <w:r>
              <w:rPr>
                <w:rFonts w:hint="eastAsia"/>
                <w:color w:val="auto"/>
              </w:rPr>
              <w:t>目名称</w:t>
            </w:r>
          </w:p>
        </w:tc>
        <w:tc>
          <w:tcPr>
            <w:tcW w:w="4374" w:type="pct"/>
            <w:gridSpan w:val="3"/>
            <w:noWrap w:val="0"/>
            <w:vAlign w:val="center"/>
          </w:tcPr>
          <w:p>
            <w:pPr>
              <w:pStyle w:val="103"/>
              <w:rPr>
                <w:rFonts w:hint="eastAsia" w:eastAsia="宋体"/>
                <w:color w:val="auto"/>
                <w:lang w:eastAsia="zh-CN"/>
              </w:rPr>
            </w:pPr>
            <w:r>
              <w:rPr>
                <w:rFonts w:hint="eastAsia"/>
                <w:color w:val="auto"/>
                <w:lang w:eastAsia="zh-CN"/>
              </w:rPr>
              <w:t>乐山市市中区嘉和宠物医院</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84" w:hRule="atLeast"/>
          <w:jc w:val="center"/>
        </w:trPr>
        <w:tc>
          <w:tcPr>
            <w:tcW w:w="625" w:type="pct"/>
            <w:noWrap w:val="0"/>
            <w:tcMar>
              <w:top w:w="16" w:type="dxa"/>
              <w:left w:w="16" w:type="dxa"/>
              <w:right w:w="16" w:type="dxa"/>
            </w:tcMar>
            <w:vAlign w:val="center"/>
          </w:tcPr>
          <w:p>
            <w:pPr>
              <w:pStyle w:val="103"/>
              <w:rPr>
                <w:rFonts w:hint="eastAsia"/>
                <w:color w:val="auto"/>
              </w:rPr>
            </w:pPr>
            <w:r>
              <w:rPr>
                <w:rFonts w:hint="eastAsia"/>
                <w:color w:val="auto"/>
              </w:rPr>
              <w:t>项目代码</w:t>
            </w:r>
          </w:p>
        </w:tc>
        <w:tc>
          <w:tcPr>
            <w:tcW w:w="4374" w:type="pct"/>
            <w:gridSpan w:val="3"/>
            <w:noWrap w:val="0"/>
            <w:vAlign w:val="center"/>
          </w:tcPr>
          <w:p>
            <w:pPr>
              <w:pStyle w:val="103"/>
              <w:rPr>
                <w:rFonts w:hint="eastAsia"/>
                <w:color w:val="auto"/>
              </w:rPr>
            </w:pPr>
            <w:r>
              <w:rPr>
                <w:rFonts w:hint="eastAsia"/>
                <w:color w:val="auto"/>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55" w:hRule="atLeast"/>
          <w:jc w:val="center"/>
        </w:trPr>
        <w:tc>
          <w:tcPr>
            <w:tcW w:w="625" w:type="pct"/>
            <w:noWrap w:val="0"/>
            <w:tcMar>
              <w:top w:w="16" w:type="dxa"/>
              <w:left w:w="16" w:type="dxa"/>
              <w:right w:w="16" w:type="dxa"/>
            </w:tcMar>
            <w:vAlign w:val="center"/>
          </w:tcPr>
          <w:p>
            <w:pPr>
              <w:pStyle w:val="103"/>
              <w:rPr>
                <w:rFonts w:hint="eastAsia"/>
                <w:color w:val="auto"/>
              </w:rPr>
            </w:pPr>
            <w:r>
              <w:rPr>
                <w:rFonts w:hint="eastAsia"/>
                <w:color w:val="auto"/>
              </w:rPr>
              <w:t>建设单位联系人</w:t>
            </w:r>
          </w:p>
        </w:tc>
        <w:tc>
          <w:tcPr>
            <w:tcW w:w="1516" w:type="pct"/>
            <w:noWrap w:val="0"/>
            <w:vAlign w:val="center"/>
          </w:tcPr>
          <w:p>
            <w:pPr>
              <w:pStyle w:val="103"/>
              <w:rPr>
                <w:rFonts w:hint="eastAsia"/>
                <w:color w:val="auto"/>
              </w:rPr>
            </w:pPr>
            <w:r>
              <w:rPr>
                <w:rFonts w:hint="eastAsia"/>
                <w:color w:val="auto"/>
              </w:rPr>
              <w:t>王健</w:t>
            </w:r>
          </w:p>
        </w:tc>
        <w:tc>
          <w:tcPr>
            <w:tcW w:w="1185" w:type="pct"/>
            <w:noWrap w:val="0"/>
            <w:vAlign w:val="center"/>
          </w:tcPr>
          <w:p>
            <w:pPr>
              <w:pStyle w:val="103"/>
              <w:rPr>
                <w:rFonts w:hint="eastAsia"/>
                <w:color w:val="auto"/>
              </w:rPr>
            </w:pPr>
            <w:r>
              <w:rPr>
                <w:rFonts w:hint="eastAsia"/>
                <w:color w:val="auto"/>
              </w:rPr>
              <w:t>联系方式</w:t>
            </w:r>
          </w:p>
        </w:tc>
        <w:tc>
          <w:tcPr>
            <w:tcW w:w="1673" w:type="pct"/>
            <w:noWrap w:val="0"/>
            <w:vAlign w:val="center"/>
          </w:tcPr>
          <w:p>
            <w:pPr>
              <w:pStyle w:val="103"/>
              <w:rPr>
                <w:color w:val="auto"/>
              </w:rPr>
            </w:pPr>
            <w:r>
              <w:rPr>
                <w:rFonts w:hint="eastAsia"/>
                <w:color w:val="auto"/>
              </w:rPr>
              <w:t>17765410883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44" w:hRule="atLeast"/>
          <w:jc w:val="center"/>
        </w:trPr>
        <w:tc>
          <w:tcPr>
            <w:tcW w:w="625" w:type="pct"/>
            <w:noWrap w:val="0"/>
            <w:tcMar>
              <w:top w:w="16" w:type="dxa"/>
              <w:left w:w="16" w:type="dxa"/>
              <w:right w:w="16" w:type="dxa"/>
            </w:tcMar>
            <w:vAlign w:val="center"/>
          </w:tcPr>
          <w:p>
            <w:pPr>
              <w:pStyle w:val="103"/>
              <w:rPr>
                <w:rFonts w:hint="eastAsia"/>
                <w:color w:val="auto"/>
              </w:rPr>
            </w:pPr>
            <w:r>
              <w:rPr>
                <w:rFonts w:hint="eastAsia"/>
                <w:color w:val="auto"/>
              </w:rPr>
              <w:t>建设地点</w:t>
            </w:r>
          </w:p>
        </w:tc>
        <w:tc>
          <w:tcPr>
            <w:tcW w:w="4374" w:type="pct"/>
            <w:gridSpan w:val="3"/>
            <w:noWrap w:val="0"/>
            <w:vAlign w:val="center"/>
          </w:tcPr>
          <w:p>
            <w:pPr>
              <w:pStyle w:val="103"/>
              <w:rPr>
                <w:rFonts w:hint="eastAsia"/>
                <w:color w:val="auto"/>
              </w:rPr>
            </w:pPr>
            <w:r>
              <w:rPr>
                <w:rFonts w:hint="eastAsia"/>
                <w:color w:val="auto"/>
              </w:rPr>
              <w:t>四川省乐山市市中区竹林路636号1楼7号</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26" w:hRule="atLeast"/>
          <w:jc w:val="center"/>
        </w:trPr>
        <w:tc>
          <w:tcPr>
            <w:tcW w:w="625" w:type="pct"/>
            <w:noWrap w:val="0"/>
            <w:tcMar>
              <w:top w:w="16" w:type="dxa"/>
              <w:left w:w="16" w:type="dxa"/>
              <w:right w:w="16" w:type="dxa"/>
            </w:tcMar>
            <w:vAlign w:val="center"/>
          </w:tcPr>
          <w:p>
            <w:pPr>
              <w:pStyle w:val="103"/>
              <w:rPr>
                <w:rFonts w:hint="eastAsia"/>
                <w:color w:val="auto"/>
              </w:rPr>
            </w:pPr>
            <w:r>
              <w:rPr>
                <w:rFonts w:hint="eastAsia"/>
                <w:color w:val="auto"/>
              </w:rPr>
              <w:t>地理坐标</w:t>
            </w:r>
          </w:p>
        </w:tc>
        <w:tc>
          <w:tcPr>
            <w:tcW w:w="4374" w:type="pct"/>
            <w:gridSpan w:val="3"/>
            <w:noWrap w:val="0"/>
            <w:vAlign w:val="center"/>
          </w:tcPr>
          <w:p>
            <w:pPr>
              <w:pStyle w:val="103"/>
              <w:rPr>
                <w:color w:val="auto"/>
              </w:rPr>
            </w:pPr>
            <w:r>
              <w:rPr>
                <w:color w:val="auto"/>
              </w:rPr>
              <w:t>（ 103</w:t>
            </w:r>
            <w:r>
              <w:rPr>
                <w:rFonts w:hint="default" w:ascii="Times New Roman" w:hAnsi="Times New Roman" w:cs="Times New Roman"/>
                <w:color w:val="auto"/>
                <w:lang w:val="en-US" w:eastAsia="zh-CN"/>
              </w:rPr>
              <w:t>°</w:t>
            </w:r>
            <w:r>
              <w:rPr>
                <w:rFonts w:hint="eastAsia"/>
                <w:color w:val="auto"/>
              </w:rPr>
              <w:t>44</w:t>
            </w:r>
            <w:r>
              <w:rPr>
                <w:rFonts w:hint="default" w:ascii="Times New Roman" w:hAnsi="Times New Roman" w:cs="Times New Roman"/>
                <w:color w:val="auto"/>
                <w:lang w:eastAsia="zh-CN"/>
              </w:rPr>
              <w:t>′</w:t>
            </w:r>
            <w:r>
              <w:rPr>
                <w:rFonts w:hint="eastAsia"/>
                <w:color w:val="auto"/>
              </w:rPr>
              <w:t>17.576</w:t>
            </w:r>
            <w:r>
              <w:rPr>
                <w:rFonts w:hint="default" w:ascii="Times New Roman" w:hAnsi="Times New Roman" w:cs="Times New Roman"/>
                <w:color w:val="auto"/>
                <w:lang w:eastAsia="zh-CN"/>
              </w:rPr>
              <w:t>″</w:t>
            </w:r>
            <w:r>
              <w:rPr>
                <w:color w:val="auto"/>
              </w:rPr>
              <w:t>，</w:t>
            </w:r>
            <w:r>
              <w:rPr>
                <w:rFonts w:hint="eastAsia"/>
                <w:color w:val="auto"/>
              </w:rPr>
              <w:t>29</w:t>
            </w:r>
            <w:r>
              <w:rPr>
                <w:rFonts w:hint="default" w:ascii="Times New Roman" w:hAnsi="Times New Roman" w:cs="Times New Roman"/>
                <w:color w:val="auto"/>
                <w:lang w:val="en-US" w:eastAsia="zh-CN"/>
              </w:rPr>
              <w:t>°</w:t>
            </w:r>
            <w:r>
              <w:rPr>
                <w:rFonts w:hint="eastAsia"/>
                <w:color w:val="auto"/>
              </w:rPr>
              <w:t>37</w:t>
            </w:r>
            <w:r>
              <w:rPr>
                <w:rFonts w:hint="default" w:ascii="Times New Roman" w:hAnsi="Times New Roman" w:cs="Times New Roman"/>
                <w:color w:val="auto"/>
                <w:lang w:eastAsia="zh-CN"/>
              </w:rPr>
              <w:t>′</w:t>
            </w:r>
            <w:r>
              <w:rPr>
                <w:rFonts w:hint="eastAsia"/>
                <w:color w:val="auto"/>
              </w:rPr>
              <w:t>16.534</w:t>
            </w:r>
            <w:r>
              <w:rPr>
                <w:rFonts w:hint="default" w:ascii="Times New Roman" w:hAnsi="Times New Roman" w:cs="Times New Roman"/>
                <w:color w:val="auto"/>
                <w:lang w:eastAsia="zh-CN"/>
              </w:rPr>
              <w:t>″</w:t>
            </w:r>
            <w:r>
              <w:rPr>
                <w:color w:val="auto"/>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44" w:hRule="atLeast"/>
          <w:jc w:val="center"/>
        </w:trPr>
        <w:tc>
          <w:tcPr>
            <w:tcW w:w="625" w:type="pct"/>
            <w:noWrap w:val="0"/>
            <w:tcMar>
              <w:top w:w="16" w:type="dxa"/>
              <w:left w:w="16" w:type="dxa"/>
              <w:right w:w="16" w:type="dxa"/>
            </w:tcMar>
            <w:vAlign w:val="center"/>
          </w:tcPr>
          <w:p>
            <w:pPr>
              <w:pStyle w:val="103"/>
              <w:rPr>
                <w:rFonts w:hint="eastAsia"/>
                <w:color w:val="auto"/>
              </w:rPr>
            </w:pPr>
            <w:r>
              <w:rPr>
                <w:rFonts w:hint="eastAsia"/>
                <w:color w:val="auto"/>
              </w:rPr>
              <w:t>国民经济行业分类</w:t>
            </w:r>
          </w:p>
        </w:tc>
        <w:tc>
          <w:tcPr>
            <w:tcW w:w="1516" w:type="pct"/>
            <w:noWrap w:val="0"/>
            <w:vAlign w:val="center"/>
          </w:tcPr>
          <w:p>
            <w:pPr>
              <w:pStyle w:val="103"/>
              <w:rPr>
                <w:rFonts w:hint="eastAsia"/>
                <w:color w:val="auto"/>
              </w:rPr>
            </w:pPr>
            <w:r>
              <w:rPr>
                <w:rFonts w:hint="eastAsia"/>
                <w:color w:val="auto"/>
              </w:rPr>
              <w:t>O</w:t>
            </w:r>
            <w:r>
              <w:rPr>
                <w:color w:val="auto"/>
              </w:rPr>
              <w:t>8</w:t>
            </w:r>
            <w:r>
              <w:rPr>
                <w:rFonts w:hint="eastAsia"/>
                <w:color w:val="auto"/>
              </w:rPr>
              <w:t>222宠物医院</w:t>
            </w:r>
          </w:p>
        </w:tc>
        <w:tc>
          <w:tcPr>
            <w:tcW w:w="1185" w:type="pct"/>
            <w:noWrap w:val="0"/>
            <w:vAlign w:val="center"/>
          </w:tcPr>
          <w:p>
            <w:pPr>
              <w:pStyle w:val="103"/>
              <w:rPr>
                <w:rFonts w:hint="eastAsia"/>
                <w:color w:val="auto"/>
              </w:rPr>
            </w:pPr>
            <w:r>
              <w:rPr>
                <w:rFonts w:hint="eastAsia"/>
                <w:color w:val="auto"/>
              </w:rPr>
              <w:t>建设项目行业分类</w:t>
            </w:r>
          </w:p>
        </w:tc>
        <w:tc>
          <w:tcPr>
            <w:tcW w:w="1673" w:type="pct"/>
            <w:noWrap w:val="0"/>
            <w:vAlign w:val="center"/>
          </w:tcPr>
          <w:p>
            <w:pPr>
              <w:pStyle w:val="103"/>
              <w:rPr>
                <w:color w:val="auto"/>
              </w:rPr>
            </w:pPr>
            <w:r>
              <w:rPr>
                <w:rFonts w:hint="eastAsia"/>
                <w:color w:val="auto"/>
              </w:rPr>
              <w:t>五十-社会事业与服务业123动物医院</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76" w:hRule="atLeast"/>
          <w:jc w:val="center"/>
        </w:trPr>
        <w:tc>
          <w:tcPr>
            <w:tcW w:w="625" w:type="pct"/>
            <w:noWrap w:val="0"/>
            <w:tcMar>
              <w:top w:w="16" w:type="dxa"/>
              <w:left w:w="16" w:type="dxa"/>
              <w:right w:w="16" w:type="dxa"/>
            </w:tcMar>
            <w:vAlign w:val="center"/>
          </w:tcPr>
          <w:p>
            <w:pPr>
              <w:pStyle w:val="103"/>
              <w:rPr>
                <w:rFonts w:hint="eastAsia"/>
                <w:color w:val="auto"/>
              </w:rPr>
            </w:pPr>
            <w:r>
              <w:rPr>
                <w:rFonts w:hint="eastAsia"/>
                <w:color w:val="auto"/>
              </w:rPr>
              <w:t>建设性质</w:t>
            </w:r>
          </w:p>
        </w:tc>
        <w:tc>
          <w:tcPr>
            <w:tcW w:w="1516" w:type="pct"/>
            <w:noWrap w:val="0"/>
            <w:vAlign w:val="center"/>
          </w:tcPr>
          <w:p>
            <w:pPr>
              <w:pStyle w:val="103"/>
              <w:jc w:val="left"/>
              <w:rPr>
                <w:rFonts w:hint="eastAsia"/>
                <w:color w:val="auto"/>
              </w:rPr>
            </w:pPr>
            <w:r>
              <w:rPr>
                <w:rFonts w:hint="eastAsia"/>
                <w:color w:val="auto"/>
                <w:lang w:eastAsia="zh-CN"/>
              </w:rPr>
              <w:t>☑</w:t>
            </w:r>
            <w:r>
              <w:rPr>
                <w:rFonts w:hint="eastAsia"/>
                <w:color w:val="auto"/>
              </w:rPr>
              <w:t>新建（迁建）</w:t>
            </w:r>
          </w:p>
          <w:p>
            <w:pPr>
              <w:pStyle w:val="103"/>
              <w:jc w:val="left"/>
              <w:rPr>
                <w:rFonts w:hint="eastAsia"/>
                <w:color w:val="auto"/>
              </w:rPr>
            </w:pPr>
            <w:r>
              <w:rPr>
                <w:rFonts w:hint="eastAsia"/>
                <w:color w:val="auto"/>
                <w:lang w:eastAsia="zh-CN"/>
              </w:rPr>
              <w:t>□</w:t>
            </w:r>
            <w:r>
              <w:rPr>
                <w:rFonts w:hint="eastAsia"/>
                <w:color w:val="auto"/>
              </w:rPr>
              <w:t>改建</w:t>
            </w:r>
          </w:p>
          <w:p>
            <w:pPr>
              <w:pStyle w:val="103"/>
              <w:jc w:val="left"/>
              <w:rPr>
                <w:rFonts w:hint="eastAsia"/>
                <w:color w:val="auto"/>
              </w:rPr>
            </w:pPr>
            <w:r>
              <w:rPr>
                <w:rFonts w:hint="eastAsia"/>
                <w:color w:val="auto"/>
                <w:lang w:eastAsia="zh-CN"/>
              </w:rPr>
              <w:t>□</w:t>
            </w:r>
            <w:r>
              <w:rPr>
                <w:rFonts w:hint="eastAsia"/>
                <w:color w:val="auto"/>
              </w:rPr>
              <w:t>扩建</w:t>
            </w:r>
          </w:p>
          <w:p>
            <w:pPr>
              <w:pStyle w:val="103"/>
              <w:jc w:val="left"/>
              <w:rPr>
                <w:rFonts w:hint="eastAsia"/>
                <w:color w:val="auto"/>
              </w:rPr>
            </w:pPr>
            <w:r>
              <w:rPr>
                <w:rFonts w:hint="eastAsia"/>
                <w:color w:val="auto"/>
                <w:lang w:eastAsia="zh-CN"/>
              </w:rPr>
              <w:t>□</w:t>
            </w:r>
            <w:r>
              <w:rPr>
                <w:rFonts w:hint="eastAsia"/>
                <w:color w:val="auto"/>
              </w:rPr>
              <w:t>技术改造</w:t>
            </w:r>
          </w:p>
        </w:tc>
        <w:tc>
          <w:tcPr>
            <w:tcW w:w="1185" w:type="pct"/>
            <w:noWrap w:val="0"/>
            <w:vAlign w:val="center"/>
          </w:tcPr>
          <w:p>
            <w:pPr>
              <w:pStyle w:val="103"/>
              <w:rPr>
                <w:rFonts w:hint="eastAsia"/>
                <w:color w:val="auto"/>
              </w:rPr>
            </w:pPr>
            <w:r>
              <w:rPr>
                <w:rFonts w:hint="eastAsia"/>
                <w:color w:val="auto"/>
              </w:rPr>
              <w:t>建设项目申报情形</w:t>
            </w:r>
          </w:p>
        </w:tc>
        <w:tc>
          <w:tcPr>
            <w:tcW w:w="1673" w:type="pct"/>
            <w:noWrap w:val="0"/>
            <w:vAlign w:val="center"/>
          </w:tcPr>
          <w:p>
            <w:pPr>
              <w:pStyle w:val="103"/>
              <w:jc w:val="left"/>
              <w:rPr>
                <w:rFonts w:hint="eastAsia"/>
                <w:color w:val="auto"/>
              </w:rPr>
            </w:pPr>
            <w:r>
              <w:rPr>
                <w:rFonts w:hint="eastAsia"/>
                <w:color w:val="auto"/>
                <w:lang w:eastAsia="zh-CN"/>
              </w:rPr>
              <w:t>☑</w:t>
            </w:r>
            <w:r>
              <w:rPr>
                <w:rFonts w:hint="eastAsia"/>
                <w:color w:val="auto"/>
              </w:rPr>
              <w:t xml:space="preserve">首次申报项目             </w:t>
            </w:r>
          </w:p>
          <w:p>
            <w:pPr>
              <w:pStyle w:val="103"/>
              <w:jc w:val="left"/>
              <w:rPr>
                <w:rFonts w:hint="eastAsia"/>
                <w:color w:val="auto"/>
              </w:rPr>
            </w:pPr>
            <w:r>
              <w:rPr>
                <w:rFonts w:hint="eastAsia"/>
                <w:color w:val="auto"/>
              </w:rPr>
              <w:t>□不予批准后再次申报项目</w:t>
            </w:r>
          </w:p>
          <w:p>
            <w:pPr>
              <w:pStyle w:val="103"/>
              <w:jc w:val="left"/>
              <w:rPr>
                <w:rFonts w:hint="eastAsia"/>
                <w:color w:val="auto"/>
              </w:rPr>
            </w:pPr>
            <w:r>
              <w:rPr>
                <w:rFonts w:hint="eastAsia"/>
                <w:color w:val="auto"/>
                <w:lang w:eastAsia="zh-CN"/>
              </w:rPr>
              <w:t>□</w:t>
            </w:r>
            <w:r>
              <w:rPr>
                <w:rFonts w:hint="eastAsia"/>
                <w:color w:val="auto"/>
              </w:rPr>
              <w:t xml:space="preserve">超五年重新审核项目     </w:t>
            </w:r>
          </w:p>
          <w:p>
            <w:pPr>
              <w:pStyle w:val="103"/>
              <w:jc w:val="left"/>
              <w:rPr>
                <w:rFonts w:hint="eastAsia"/>
                <w:color w:val="auto"/>
              </w:rPr>
            </w:pPr>
            <w:r>
              <w:rPr>
                <w:rFonts w:hint="eastAsia"/>
                <w:color w:val="auto"/>
                <w:lang w:eastAsia="zh-CN"/>
              </w:rPr>
              <w:t>□</w:t>
            </w:r>
            <w:r>
              <w:rPr>
                <w:rFonts w:hint="eastAsia"/>
                <w:color w:val="auto"/>
              </w:rPr>
              <w:t>重大变动重新报批项目</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768" w:hRule="atLeast"/>
          <w:jc w:val="center"/>
        </w:trPr>
        <w:tc>
          <w:tcPr>
            <w:tcW w:w="625" w:type="pct"/>
            <w:noWrap w:val="0"/>
            <w:tcMar>
              <w:top w:w="16" w:type="dxa"/>
              <w:left w:w="16" w:type="dxa"/>
              <w:right w:w="16" w:type="dxa"/>
            </w:tcMar>
            <w:vAlign w:val="center"/>
          </w:tcPr>
          <w:p>
            <w:pPr>
              <w:pStyle w:val="103"/>
              <w:rPr>
                <w:rFonts w:hint="eastAsia"/>
                <w:color w:val="auto"/>
              </w:rPr>
            </w:pPr>
            <w:r>
              <w:rPr>
                <w:rFonts w:hint="eastAsia"/>
                <w:color w:val="auto"/>
              </w:rPr>
              <w:t>项目审批（核准/</w:t>
            </w:r>
          </w:p>
          <w:p>
            <w:pPr>
              <w:pStyle w:val="103"/>
              <w:rPr>
                <w:rFonts w:hint="eastAsia"/>
                <w:color w:val="auto"/>
              </w:rPr>
            </w:pPr>
            <w:r>
              <w:rPr>
                <w:rFonts w:hint="eastAsia"/>
                <w:color w:val="auto"/>
              </w:rPr>
              <w:t>备案）部门（选填）</w:t>
            </w:r>
          </w:p>
        </w:tc>
        <w:tc>
          <w:tcPr>
            <w:tcW w:w="1516" w:type="pct"/>
            <w:noWrap w:val="0"/>
            <w:vAlign w:val="center"/>
          </w:tcPr>
          <w:p>
            <w:pPr>
              <w:pStyle w:val="103"/>
              <w:rPr>
                <w:rFonts w:hint="eastAsia"/>
                <w:color w:val="auto"/>
              </w:rPr>
            </w:pPr>
            <w:r>
              <w:rPr>
                <w:rFonts w:hint="eastAsia"/>
                <w:color w:val="auto"/>
              </w:rPr>
              <w:t>/</w:t>
            </w:r>
          </w:p>
        </w:tc>
        <w:tc>
          <w:tcPr>
            <w:tcW w:w="1185" w:type="pct"/>
            <w:noWrap w:val="0"/>
            <w:vAlign w:val="center"/>
          </w:tcPr>
          <w:p>
            <w:pPr>
              <w:pStyle w:val="103"/>
              <w:rPr>
                <w:rFonts w:hint="eastAsia"/>
                <w:color w:val="auto"/>
              </w:rPr>
            </w:pPr>
            <w:r>
              <w:rPr>
                <w:rFonts w:hint="eastAsia"/>
                <w:color w:val="auto"/>
              </w:rPr>
              <w:t>项目审批（核准/</w:t>
            </w:r>
          </w:p>
          <w:p>
            <w:pPr>
              <w:pStyle w:val="103"/>
              <w:rPr>
                <w:rFonts w:hint="eastAsia"/>
                <w:color w:val="auto"/>
              </w:rPr>
            </w:pPr>
            <w:r>
              <w:rPr>
                <w:rFonts w:hint="eastAsia"/>
                <w:color w:val="auto"/>
              </w:rPr>
              <w:t>备案）文号（选填）</w:t>
            </w:r>
          </w:p>
        </w:tc>
        <w:tc>
          <w:tcPr>
            <w:tcW w:w="1673" w:type="pct"/>
            <w:noWrap w:val="0"/>
            <w:vAlign w:val="center"/>
          </w:tcPr>
          <w:p>
            <w:pPr>
              <w:pStyle w:val="103"/>
              <w:rPr>
                <w:rFonts w:hint="eastAsia"/>
                <w:color w:val="auto"/>
              </w:rPr>
            </w:pPr>
            <w:r>
              <w:rPr>
                <w:rFonts w:hint="eastAsia"/>
                <w:color w:val="auto"/>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71" w:hRule="atLeast"/>
          <w:jc w:val="center"/>
        </w:trPr>
        <w:tc>
          <w:tcPr>
            <w:tcW w:w="625" w:type="pct"/>
            <w:noWrap w:val="0"/>
            <w:tcMar>
              <w:top w:w="16" w:type="dxa"/>
              <w:left w:w="16" w:type="dxa"/>
              <w:right w:w="16" w:type="dxa"/>
            </w:tcMar>
            <w:vAlign w:val="center"/>
          </w:tcPr>
          <w:p>
            <w:pPr>
              <w:pStyle w:val="103"/>
              <w:rPr>
                <w:rFonts w:hint="eastAsia"/>
                <w:color w:val="auto"/>
              </w:rPr>
            </w:pPr>
            <w:r>
              <w:rPr>
                <w:rFonts w:hint="eastAsia"/>
                <w:color w:val="auto"/>
              </w:rPr>
              <w:t>总投资</w:t>
            </w:r>
          </w:p>
          <w:p>
            <w:pPr>
              <w:pStyle w:val="103"/>
              <w:rPr>
                <w:rFonts w:hint="eastAsia"/>
                <w:color w:val="auto"/>
              </w:rPr>
            </w:pPr>
            <w:r>
              <w:rPr>
                <w:rFonts w:hint="eastAsia"/>
                <w:color w:val="auto"/>
              </w:rPr>
              <w:t>（万元）</w:t>
            </w:r>
          </w:p>
        </w:tc>
        <w:tc>
          <w:tcPr>
            <w:tcW w:w="1516" w:type="pct"/>
            <w:noWrap w:val="0"/>
            <w:vAlign w:val="center"/>
          </w:tcPr>
          <w:p>
            <w:pPr>
              <w:pStyle w:val="103"/>
              <w:rPr>
                <w:color w:val="auto"/>
              </w:rPr>
            </w:pPr>
            <w:r>
              <w:rPr>
                <w:rFonts w:hint="eastAsia"/>
                <w:color w:val="auto"/>
              </w:rPr>
              <w:t>17.0</w:t>
            </w:r>
          </w:p>
        </w:tc>
        <w:tc>
          <w:tcPr>
            <w:tcW w:w="1185" w:type="pct"/>
            <w:noWrap w:val="0"/>
            <w:tcMar>
              <w:top w:w="16" w:type="dxa"/>
              <w:left w:w="16" w:type="dxa"/>
              <w:right w:w="16" w:type="dxa"/>
            </w:tcMar>
            <w:vAlign w:val="center"/>
          </w:tcPr>
          <w:p>
            <w:pPr>
              <w:pStyle w:val="103"/>
              <w:rPr>
                <w:color w:val="auto"/>
              </w:rPr>
            </w:pPr>
            <w:r>
              <w:rPr>
                <w:color w:val="auto"/>
              </w:rPr>
              <w:t>环保投资（万元）</w:t>
            </w:r>
          </w:p>
        </w:tc>
        <w:tc>
          <w:tcPr>
            <w:tcW w:w="1673" w:type="pct"/>
            <w:noWrap w:val="0"/>
            <w:vAlign w:val="center"/>
          </w:tcPr>
          <w:p>
            <w:pPr>
              <w:pStyle w:val="103"/>
              <w:rPr>
                <w:rFonts w:hint="eastAsia"/>
                <w:color w:val="auto"/>
              </w:rPr>
            </w:pPr>
            <w:r>
              <w:rPr>
                <w:rFonts w:hint="eastAsia"/>
                <w:color w:val="auto"/>
              </w:rPr>
              <w:t>3.9</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278" w:hRule="atLeast"/>
          <w:jc w:val="center"/>
        </w:trPr>
        <w:tc>
          <w:tcPr>
            <w:tcW w:w="625" w:type="pct"/>
            <w:noWrap w:val="0"/>
            <w:tcMar>
              <w:top w:w="16" w:type="dxa"/>
              <w:left w:w="16" w:type="dxa"/>
              <w:right w:w="16" w:type="dxa"/>
            </w:tcMar>
            <w:vAlign w:val="center"/>
          </w:tcPr>
          <w:p>
            <w:pPr>
              <w:pStyle w:val="103"/>
              <w:rPr>
                <w:rFonts w:hint="eastAsia"/>
                <w:color w:val="auto"/>
              </w:rPr>
            </w:pPr>
            <w:r>
              <w:rPr>
                <w:rFonts w:hint="eastAsia"/>
                <w:color w:val="auto"/>
              </w:rPr>
              <w:t>环保投资占比（%）</w:t>
            </w:r>
          </w:p>
        </w:tc>
        <w:tc>
          <w:tcPr>
            <w:tcW w:w="1516" w:type="pct"/>
            <w:noWrap w:val="0"/>
            <w:vAlign w:val="center"/>
          </w:tcPr>
          <w:p>
            <w:pPr>
              <w:pStyle w:val="103"/>
              <w:rPr>
                <w:color w:val="auto"/>
              </w:rPr>
            </w:pPr>
            <w:r>
              <w:rPr>
                <w:rFonts w:hint="eastAsia"/>
                <w:color w:val="auto"/>
              </w:rPr>
              <w:t>23</w:t>
            </w:r>
          </w:p>
        </w:tc>
        <w:tc>
          <w:tcPr>
            <w:tcW w:w="1185" w:type="pct"/>
            <w:noWrap w:val="0"/>
            <w:tcMar>
              <w:top w:w="16" w:type="dxa"/>
              <w:left w:w="16" w:type="dxa"/>
              <w:right w:w="16" w:type="dxa"/>
            </w:tcMar>
            <w:vAlign w:val="center"/>
          </w:tcPr>
          <w:p>
            <w:pPr>
              <w:pStyle w:val="103"/>
              <w:rPr>
                <w:color w:val="auto"/>
              </w:rPr>
            </w:pPr>
            <w:r>
              <w:rPr>
                <w:color w:val="auto"/>
              </w:rPr>
              <w:t>施工工期</w:t>
            </w:r>
          </w:p>
        </w:tc>
        <w:tc>
          <w:tcPr>
            <w:tcW w:w="1673" w:type="pct"/>
            <w:noWrap w:val="0"/>
            <w:vAlign w:val="center"/>
          </w:tcPr>
          <w:p>
            <w:pPr>
              <w:pStyle w:val="103"/>
              <w:rPr>
                <w:rFonts w:hint="eastAsia"/>
                <w:color w:val="auto"/>
              </w:rPr>
            </w:pPr>
            <w:r>
              <w:rPr>
                <w:rFonts w:hint="eastAsia"/>
                <w:color w:val="auto"/>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318" w:hRule="atLeast"/>
          <w:jc w:val="center"/>
        </w:trPr>
        <w:tc>
          <w:tcPr>
            <w:tcW w:w="625" w:type="pct"/>
            <w:noWrap w:val="0"/>
            <w:tcMar>
              <w:top w:w="16" w:type="dxa"/>
              <w:left w:w="16" w:type="dxa"/>
              <w:right w:w="16" w:type="dxa"/>
            </w:tcMar>
            <w:vAlign w:val="center"/>
          </w:tcPr>
          <w:p>
            <w:pPr>
              <w:pStyle w:val="103"/>
              <w:rPr>
                <w:rFonts w:hint="eastAsia"/>
                <w:color w:val="auto"/>
              </w:rPr>
            </w:pPr>
            <w:r>
              <w:rPr>
                <w:rFonts w:hint="eastAsia"/>
                <w:color w:val="auto"/>
              </w:rPr>
              <w:t>是否开</w:t>
            </w:r>
          </w:p>
          <w:p>
            <w:pPr>
              <w:pStyle w:val="103"/>
              <w:rPr>
                <w:rFonts w:hint="eastAsia"/>
                <w:color w:val="auto"/>
              </w:rPr>
            </w:pPr>
            <w:r>
              <w:rPr>
                <w:rFonts w:hint="eastAsia"/>
                <w:color w:val="auto"/>
              </w:rPr>
              <w:t>工建设</w:t>
            </w:r>
          </w:p>
        </w:tc>
        <w:tc>
          <w:tcPr>
            <w:tcW w:w="1516" w:type="pct"/>
            <w:noWrap w:val="0"/>
            <w:vAlign w:val="center"/>
          </w:tcPr>
          <w:p>
            <w:pPr>
              <w:pStyle w:val="103"/>
              <w:jc w:val="both"/>
              <w:rPr>
                <w:color w:val="auto"/>
              </w:rPr>
            </w:pPr>
            <w:r>
              <w:rPr>
                <w:rFonts w:hint="eastAsia"/>
                <w:color w:val="auto"/>
                <w:lang w:eastAsia="zh-CN"/>
              </w:rPr>
              <w:t>□</w:t>
            </w:r>
            <w:r>
              <w:rPr>
                <w:color w:val="auto"/>
              </w:rPr>
              <w:t>否</w:t>
            </w:r>
          </w:p>
          <w:p>
            <w:pPr>
              <w:pStyle w:val="103"/>
              <w:jc w:val="both"/>
              <w:rPr>
                <w:color w:val="auto"/>
              </w:rPr>
            </w:pPr>
            <w:r>
              <w:rPr>
                <w:rFonts w:hint="eastAsia"/>
                <w:color w:val="auto"/>
                <w:lang w:eastAsia="zh-CN"/>
              </w:rPr>
              <w:t>☑</w:t>
            </w:r>
            <w:r>
              <w:rPr>
                <w:color w:val="auto"/>
              </w:rPr>
              <w:t>是：</w:t>
            </w:r>
            <w:r>
              <w:rPr>
                <w:color w:val="auto"/>
                <w:u w:val="single"/>
              </w:rPr>
              <w:t xml:space="preserve"> </w:t>
            </w:r>
            <w:r>
              <w:rPr>
                <w:rFonts w:hint="eastAsia"/>
                <w:color w:val="auto"/>
                <w:u w:val="single"/>
                <w:lang w:eastAsia="zh-CN"/>
              </w:rPr>
              <w:t>项目于</w:t>
            </w:r>
            <w:r>
              <w:rPr>
                <w:rFonts w:hint="eastAsia"/>
                <w:color w:val="auto"/>
                <w:u w:val="single"/>
              </w:rPr>
              <w:t>2017年5月3日取得了由乐山市市中区行政审批局颁发的动物诊疗许可证[动诊证(2017)第003号]，</w:t>
            </w:r>
            <w:r>
              <w:rPr>
                <w:rFonts w:hint="eastAsia"/>
                <w:color w:val="auto"/>
                <w:u w:val="single"/>
                <w:lang w:eastAsia="zh-CN"/>
              </w:rPr>
              <w:t>批准</w:t>
            </w:r>
            <w:r>
              <w:rPr>
                <w:rFonts w:hint="eastAsia"/>
                <w:color w:val="auto"/>
                <w:u w:val="single"/>
              </w:rPr>
              <w:t>了该项目，项目</w:t>
            </w:r>
            <w:r>
              <w:rPr>
                <w:rFonts w:hint="eastAsia"/>
                <w:color w:val="auto"/>
                <w:u w:val="single"/>
                <w:lang w:eastAsia="zh-CN"/>
              </w:rPr>
              <w:t>已于</w:t>
            </w:r>
            <w:r>
              <w:rPr>
                <w:rFonts w:hint="eastAsia"/>
                <w:color w:val="auto"/>
                <w:u w:val="single"/>
                <w:lang w:val="en-US" w:eastAsia="zh-CN"/>
              </w:rPr>
              <w:t>2017年基本建成并投产运营，2022年6月9日，</w:t>
            </w:r>
            <w:r>
              <w:rPr>
                <w:rFonts w:hint="eastAsia"/>
                <w:color w:val="auto"/>
                <w:u w:val="single"/>
              </w:rPr>
              <w:t>乐山市生态环境局</w:t>
            </w:r>
            <w:r>
              <w:rPr>
                <w:rFonts w:hint="eastAsia"/>
                <w:color w:val="auto"/>
                <w:u w:val="single"/>
                <w:lang w:eastAsia="zh-CN"/>
              </w:rPr>
              <w:t>对该项目下达</w:t>
            </w:r>
            <w:r>
              <w:rPr>
                <w:rFonts w:hint="eastAsia"/>
                <w:color w:val="auto"/>
                <w:u w:val="single"/>
              </w:rPr>
              <w:t>了行政处罚决定书（乐中环罚[2022]19号），对建设单位处以人民币2900元罚款，建设单位于2022年6月10日缴纳了相关罚款</w:t>
            </w:r>
            <w:r>
              <w:rPr>
                <w:rFonts w:hint="eastAsia"/>
                <w:color w:val="auto"/>
                <w:u w:val="single"/>
                <w:lang w:eastAsia="zh-CN"/>
              </w:rPr>
              <w:t>，本次评价属于补评。</w:t>
            </w:r>
            <w:r>
              <w:rPr>
                <w:rFonts w:hint="eastAsia"/>
                <w:color w:val="auto"/>
                <w:u w:val="none"/>
              </w:rPr>
              <w:t xml:space="preserve">   </w:t>
            </w:r>
            <w:r>
              <w:rPr>
                <w:color w:val="auto"/>
              </w:rPr>
              <w:t xml:space="preserve"> </w:t>
            </w:r>
          </w:p>
        </w:tc>
        <w:tc>
          <w:tcPr>
            <w:tcW w:w="1185" w:type="pct"/>
            <w:noWrap w:val="0"/>
            <w:tcMar>
              <w:top w:w="16" w:type="dxa"/>
              <w:left w:w="16" w:type="dxa"/>
              <w:right w:w="16" w:type="dxa"/>
            </w:tcMar>
            <w:vAlign w:val="center"/>
          </w:tcPr>
          <w:p>
            <w:pPr>
              <w:pStyle w:val="103"/>
              <w:rPr>
                <w:color w:val="auto"/>
              </w:rPr>
            </w:pPr>
            <w:r>
              <w:rPr>
                <w:color w:val="auto"/>
              </w:rPr>
              <w:t>用地（用海）</w:t>
            </w:r>
          </w:p>
          <w:p>
            <w:pPr>
              <w:pStyle w:val="103"/>
              <w:rPr>
                <w:color w:val="auto"/>
              </w:rPr>
            </w:pPr>
            <w:r>
              <w:rPr>
                <w:color w:val="auto"/>
              </w:rPr>
              <w:t>面积（m</w:t>
            </w:r>
            <w:r>
              <w:rPr>
                <w:color w:val="auto"/>
                <w:vertAlign w:val="superscript"/>
              </w:rPr>
              <w:t>2</w:t>
            </w:r>
            <w:r>
              <w:rPr>
                <w:color w:val="auto"/>
              </w:rPr>
              <w:t>）</w:t>
            </w:r>
          </w:p>
        </w:tc>
        <w:tc>
          <w:tcPr>
            <w:tcW w:w="1673" w:type="pct"/>
            <w:noWrap w:val="0"/>
            <w:vAlign w:val="center"/>
          </w:tcPr>
          <w:p>
            <w:pPr>
              <w:pStyle w:val="103"/>
              <w:rPr>
                <w:color w:val="auto"/>
              </w:rPr>
            </w:pPr>
            <w:r>
              <w:rPr>
                <w:color w:val="auto"/>
              </w:rPr>
              <w:t>74</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625" w:type="pct"/>
            <w:noWrap w:val="0"/>
            <w:vAlign w:val="center"/>
          </w:tcPr>
          <w:p>
            <w:pPr>
              <w:pStyle w:val="103"/>
              <w:rPr>
                <w:rFonts w:hint="eastAsia"/>
                <w:color w:val="auto"/>
              </w:rPr>
            </w:pPr>
            <w:r>
              <w:rPr>
                <w:rFonts w:hint="eastAsia"/>
                <w:color w:val="auto"/>
              </w:rPr>
              <w:t>专项评价设置情况</w:t>
            </w:r>
          </w:p>
        </w:tc>
        <w:tc>
          <w:tcPr>
            <w:tcW w:w="4374" w:type="pct"/>
            <w:gridSpan w:val="3"/>
            <w:noWrap w:val="0"/>
            <w:vAlign w:val="center"/>
          </w:tcPr>
          <w:p>
            <w:pPr>
              <w:pStyle w:val="103"/>
              <w:rPr>
                <w:rFonts w:hint="eastAsia"/>
                <w:color w:val="auto"/>
              </w:rPr>
            </w:pPr>
            <w:r>
              <w:rPr>
                <w:rFonts w:hint="eastAsia"/>
                <w:color w:val="auto"/>
              </w:rPr>
              <w:t>无</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80" w:hRule="atLeast"/>
          <w:jc w:val="center"/>
        </w:trPr>
        <w:tc>
          <w:tcPr>
            <w:tcW w:w="625" w:type="pct"/>
            <w:noWrap w:val="0"/>
            <w:vAlign w:val="center"/>
          </w:tcPr>
          <w:p>
            <w:pPr>
              <w:pStyle w:val="103"/>
              <w:rPr>
                <w:rFonts w:hint="eastAsia"/>
                <w:color w:val="auto"/>
              </w:rPr>
            </w:pPr>
            <w:r>
              <w:rPr>
                <w:rFonts w:hint="eastAsia"/>
                <w:color w:val="auto"/>
              </w:rPr>
              <w:t>规划情况</w:t>
            </w:r>
          </w:p>
        </w:tc>
        <w:tc>
          <w:tcPr>
            <w:tcW w:w="4374" w:type="pct"/>
            <w:gridSpan w:val="3"/>
            <w:noWrap w:val="0"/>
            <w:vAlign w:val="center"/>
          </w:tcPr>
          <w:p>
            <w:pPr>
              <w:pStyle w:val="104"/>
              <w:ind w:firstLine="0" w:firstLineChars="0"/>
              <w:rPr>
                <w:rFonts w:hint="eastAsia"/>
                <w:color w:val="auto"/>
              </w:rPr>
            </w:pPr>
            <w:r>
              <w:rPr>
                <w:rFonts w:hint="eastAsia"/>
                <w:color w:val="auto"/>
              </w:rPr>
              <w:t>规划名称：《乐山城市总体规划（2011-2030）》（2017年版）</w:t>
            </w:r>
          </w:p>
          <w:p>
            <w:pPr>
              <w:pStyle w:val="104"/>
              <w:ind w:firstLine="0" w:firstLineChars="0"/>
              <w:rPr>
                <w:rFonts w:hint="eastAsia"/>
                <w:color w:val="auto"/>
              </w:rPr>
            </w:pPr>
            <w:r>
              <w:rPr>
                <w:rFonts w:hint="eastAsia"/>
                <w:color w:val="auto"/>
              </w:rPr>
              <w:t>审批机关：四川省住房和城乡建设厅</w:t>
            </w:r>
          </w:p>
          <w:p>
            <w:pPr>
              <w:pStyle w:val="104"/>
              <w:ind w:firstLine="0" w:firstLineChars="0"/>
              <w:rPr>
                <w:color w:val="auto"/>
              </w:rPr>
            </w:pPr>
            <w:r>
              <w:rPr>
                <w:rFonts w:hint="eastAsia"/>
                <w:color w:val="auto"/>
              </w:rPr>
              <w:t>审批文号：川建规函[2018]1058号</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625" w:type="pct"/>
            <w:noWrap w:val="0"/>
            <w:vAlign w:val="center"/>
          </w:tcPr>
          <w:p>
            <w:pPr>
              <w:pStyle w:val="103"/>
              <w:rPr>
                <w:rFonts w:hint="eastAsia"/>
                <w:color w:val="auto"/>
              </w:rPr>
            </w:pPr>
            <w:r>
              <w:rPr>
                <w:rFonts w:hint="eastAsia"/>
                <w:color w:val="auto"/>
              </w:rPr>
              <w:t>规划环境影响评价情况</w:t>
            </w:r>
          </w:p>
        </w:tc>
        <w:tc>
          <w:tcPr>
            <w:tcW w:w="4374" w:type="pct"/>
            <w:gridSpan w:val="3"/>
            <w:noWrap w:val="0"/>
            <w:vAlign w:val="center"/>
          </w:tcPr>
          <w:p>
            <w:pPr>
              <w:pStyle w:val="103"/>
              <w:rPr>
                <w:rFonts w:hint="eastAsia"/>
                <w:color w:val="auto"/>
              </w:rPr>
            </w:pPr>
            <w:r>
              <w:rPr>
                <w:rFonts w:hint="eastAsia"/>
                <w:color w:val="auto"/>
              </w:rPr>
              <w:t>无</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25" w:type="pct"/>
            <w:noWrap w:val="0"/>
            <w:vAlign w:val="center"/>
          </w:tcPr>
          <w:p>
            <w:pPr>
              <w:pStyle w:val="103"/>
              <w:rPr>
                <w:rFonts w:hint="eastAsia"/>
                <w:color w:val="auto"/>
              </w:rPr>
            </w:pPr>
            <w:r>
              <w:rPr>
                <w:rFonts w:hint="eastAsia"/>
                <w:color w:val="auto"/>
              </w:rPr>
              <w:t>规划及规划环境影响评价符合性</w:t>
            </w:r>
          </w:p>
        </w:tc>
        <w:tc>
          <w:tcPr>
            <w:tcW w:w="4374" w:type="pct"/>
            <w:gridSpan w:val="3"/>
            <w:noWrap w:val="0"/>
            <w:vAlign w:val="center"/>
          </w:tcPr>
          <w:p>
            <w:pPr>
              <w:pStyle w:val="4"/>
              <w:numPr>
                <w:ilvl w:val="0"/>
                <w:numId w:val="7"/>
              </w:numPr>
              <w:rPr>
                <w:color w:val="auto"/>
              </w:rPr>
            </w:pPr>
            <w:r>
              <w:rPr>
                <w:color w:val="auto"/>
              </w:rPr>
              <w:t>与乐山市城市总体规划符合性分析</w:t>
            </w:r>
          </w:p>
          <w:p>
            <w:pPr>
              <w:pStyle w:val="104"/>
              <w:ind w:firstLine="480"/>
              <w:rPr>
                <w:rFonts w:hint="eastAsia"/>
                <w:color w:val="auto"/>
              </w:rPr>
            </w:pPr>
            <w:r>
              <w:rPr>
                <w:rFonts w:hint="eastAsia"/>
                <w:color w:val="auto"/>
              </w:rPr>
              <w:t>本项目位于乐山市市中区竹林路636号1楼7号，占地范围属于中心城区环境，属于城市建成区。根据《乐山城市总体规划（2011-2030）》（2017年版），本项目所在地属于居住用地，项目系租用的嘉州春天商住小区配套临街商铺进行项目建设，根据该商铺所有权不动产权证：川（2017）乐山市不动产权第0033025号：该房屋用途为批发零售用地/商业服务。</w:t>
            </w:r>
          </w:p>
          <w:p>
            <w:pPr>
              <w:pStyle w:val="104"/>
              <w:ind w:firstLine="480"/>
              <w:rPr>
                <w:rFonts w:hint="eastAsia"/>
                <w:color w:val="auto"/>
              </w:rPr>
            </w:pPr>
            <w:r>
              <w:rPr>
                <w:rFonts w:hint="eastAsia"/>
                <w:color w:val="auto"/>
              </w:rPr>
              <w:t>因此，符合乐山市城市总体规划。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625" w:type="pct"/>
            <w:noWrap w:val="0"/>
            <w:vAlign w:val="center"/>
          </w:tcPr>
          <w:p>
            <w:pPr>
              <w:pStyle w:val="101"/>
              <w:ind w:firstLine="0" w:firstLineChars="0"/>
              <w:jc w:val="center"/>
              <w:rPr>
                <w:rFonts w:hint="eastAsia"/>
                <w:color w:val="auto"/>
              </w:rPr>
            </w:pPr>
            <w:r>
              <w:rPr>
                <w:rFonts w:hint="eastAsia"/>
                <w:color w:val="auto"/>
              </w:rPr>
              <w:br w:type="page"/>
            </w:r>
          </w:p>
          <w:p>
            <w:pPr>
              <w:pStyle w:val="101"/>
              <w:ind w:firstLine="0" w:firstLineChars="0"/>
              <w:jc w:val="center"/>
              <w:rPr>
                <w:rFonts w:hint="eastAsia"/>
                <w:color w:val="auto"/>
              </w:rPr>
            </w:pPr>
          </w:p>
          <w:p>
            <w:pPr>
              <w:pStyle w:val="101"/>
              <w:ind w:firstLine="0" w:firstLineChars="0"/>
              <w:jc w:val="center"/>
              <w:rPr>
                <w:rFonts w:hint="eastAsia"/>
                <w:color w:val="auto"/>
              </w:rPr>
            </w:pPr>
          </w:p>
          <w:p>
            <w:pPr>
              <w:pStyle w:val="101"/>
              <w:ind w:firstLine="0" w:firstLineChars="0"/>
              <w:jc w:val="center"/>
              <w:rPr>
                <w:rFonts w:hint="eastAsia"/>
                <w:color w:val="auto"/>
              </w:rPr>
            </w:pPr>
          </w:p>
          <w:p>
            <w:pPr>
              <w:pStyle w:val="101"/>
              <w:ind w:firstLine="0" w:firstLineChars="0"/>
              <w:jc w:val="center"/>
              <w:rPr>
                <w:rFonts w:hint="eastAsia"/>
                <w:color w:val="auto"/>
              </w:rPr>
            </w:pPr>
          </w:p>
          <w:p>
            <w:pPr>
              <w:pStyle w:val="101"/>
              <w:ind w:firstLine="0" w:firstLineChars="0"/>
              <w:jc w:val="center"/>
              <w:rPr>
                <w:rFonts w:hint="eastAsia"/>
                <w:color w:val="auto"/>
              </w:rPr>
            </w:pPr>
          </w:p>
          <w:p>
            <w:pPr>
              <w:pStyle w:val="101"/>
              <w:ind w:firstLine="0" w:firstLineChars="0"/>
              <w:jc w:val="center"/>
              <w:rPr>
                <w:rFonts w:hint="eastAsia"/>
                <w:color w:val="auto"/>
              </w:rPr>
            </w:pPr>
          </w:p>
          <w:p>
            <w:pPr>
              <w:pStyle w:val="101"/>
              <w:ind w:firstLine="0" w:firstLineChars="0"/>
              <w:jc w:val="center"/>
              <w:rPr>
                <w:rFonts w:hint="eastAsia"/>
                <w:color w:val="auto"/>
              </w:rPr>
            </w:pPr>
          </w:p>
          <w:p>
            <w:pPr>
              <w:pStyle w:val="101"/>
              <w:ind w:firstLine="0" w:firstLineChars="0"/>
              <w:jc w:val="center"/>
              <w:rPr>
                <w:rFonts w:hint="eastAsia"/>
                <w:color w:val="auto"/>
              </w:rPr>
            </w:pPr>
          </w:p>
          <w:p>
            <w:pPr>
              <w:pStyle w:val="101"/>
              <w:ind w:firstLine="0" w:firstLineChars="0"/>
              <w:jc w:val="center"/>
              <w:rPr>
                <w:rFonts w:hint="eastAsia"/>
                <w:color w:val="auto"/>
              </w:rPr>
            </w:pPr>
          </w:p>
          <w:p>
            <w:pPr>
              <w:pStyle w:val="101"/>
              <w:ind w:firstLine="0" w:firstLineChars="0"/>
              <w:jc w:val="center"/>
              <w:rPr>
                <w:rFonts w:hint="eastAsia"/>
                <w:color w:val="auto"/>
              </w:rPr>
            </w:pPr>
          </w:p>
          <w:p>
            <w:pPr>
              <w:pStyle w:val="101"/>
              <w:ind w:firstLine="0" w:firstLineChars="0"/>
              <w:jc w:val="center"/>
              <w:rPr>
                <w:rFonts w:hint="eastAsia"/>
                <w:color w:val="auto"/>
              </w:rPr>
            </w:pPr>
          </w:p>
          <w:p>
            <w:pPr>
              <w:pStyle w:val="101"/>
              <w:ind w:firstLine="0" w:firstLineChars="0"/>
              <w:jc w:val="center"/>
              <w:rPr>
                <w:rFonts w:hint="eastAsia"/>
                <w:color w:val="auto"/>
              </w:rPr>
            </w:pPr>
          </w:p>
          <w:p>
            <w:pPr>
              <w:pStyle w:val="101"/>
              <w:ind w:firstLine="0" w:firstLineChars="0"/>
              <w:jc w:val="center"/>
              <w:rPr>
                <w:rFonts w:hint="eastAsia"/>
                <w:color w:val="auto"/>
              </w:rPr>
            </w:pPr>
          </w:p>
          <w:p>
            <w:pPr>
              <w:pStyle w:val="101"/>
              <w:ind w:firstLine="0" w:firstLineChars="0"/>
              <w:jc w:val="center"/>
              <w:rPr>
                <w:rFonts w:hint="eastAsia"/>
                <w:color w:val="auto"/>
              </w:rPr>
            </w:pPr>
          </w:p>
          <w:p>
            <w:pPr>
              <w:pStyle w:val="101"/>
              <w:ind w:firstLine="0" w:firstLineChars="0"/>
              <w:jc w:val="center"/>
              <w:rPr>
                <w:rFonts w:hint="eastAsia"/>
                <w:color w:val="auto"/>
              </w:rPr>
            </w:pPr>
            <w:r>
              <w:rPr>
                <w:rFonts w:hint="eastAsia"/>
                <w:color w:val="auto"/>
              </w:rPr>
              <w:t>其他符合性分析</w:t>
            </w:r>
          </w:p>
        </w:tc>
        <w:tc>
          <w:tcPr>
            <w:tcW w:w="4374" w:type="pct"/>
            <w:gridSpan w:val="3"/>
            <w:noWrap w:val="0"/>
            <w:vAlign w:val="center"/>
          </w:tcPr>
          <w:p>
            <w:pPr>
              <w:pStyle w:val="4"/>
              <w:rPr>
                <w:color w:val="auto"/>
              </w:rPr>
            </w:pPr>
            <w:r>
              <w:rPr>
                <w:color w:val="auto"/>
              </w:rPr>
              <w:t>一、项目产业政策符合性</w:t>
            </w:r>
          </w:p>
          <w:p>
            <w:pPr>
              <w:pStyle w:val="104"/>
              <w:ind w:firstLine="480"/>
              <w:rPr>
                <w:rFonts w:hint="eastAsia"/>
                <w:color w:val="auto"/>
              </w:rPr>
            </w:pPr>
            <w:r>
              <w:rPr>
                <w:rFonts w:hint="eastAsia"/>
                <w:color w:val="auto"/>
              </w:rPr>
              <w:t>根据中华人民共和国国家发展改革委2021年</w:t>
            </w:r>
            <w:r>
              <w:rPr>
                <w:color w:val="auto"/>
              </w:rPr>
              <w:t>第</w:t>
            </w:r>
            <w:r>
              <w:rPr>
                <w:rFonts w:hint="eastAsia"/>
                <w:color w:val="auto"/>
              </w:rPr>
              <w:t>49号</w:t>
            </w:r>
            <w:r>
              <w:rPr>
                <w:color w:val="auto"/>
              </w:rPr>
              <w:t>令</w:t>
            </w:r>
            <w:r>
              <w:rPr>
                <w:rFonts w:hint="eastAsia"/>
                <w:color w:val="auto"/>
              </w:rPr>
              <w:t>《产业结构调整指导目录（2019 年本）》，本项目不属于其中的鼓励类、限制类和淘汰类。同时，本项目设备的规格型号不在《产业结构调整指导目录（2019 年本）》淘汰类生产工艺装备范围内。根据《关于发布实施&lt;促进产业结构调整暂行规定&gt;的决定》（国发〔2005〕40 号）中的第十三条，“不属于鼓励类、限制类及淘汰类，且符合国家有关法律、法规和政策规定的为允许类”。本项目符合相关法律法规和政策规定，因此，本项目为允许类。同时，项目已取得乐山市市中区行政审批局颁发的《动物诊疗许可证》（动诊证（2017）第003号），同意该项目的实施。</w:t>
            </w:r>
          </w:p>
          <w:p>
            <w:pPr>
              <w:pStyle w:val="104"/>
              <w:ind w:firstLine="480"/>
              <w:rPr>
                <w:color w:val="auto"/>
              </w:rPr>
            </w:pPr>
            <w:r>
              <w:rPr>
                <w:rFonts w:hint="eastAsia"/>
                <w:color w:val="auto"/>
              </w:rPr>
              <w:t>因此，本项目的建设符合现行相关的产业政策。</w:t>
            </w:r>
          </w:p>
          <w:p>
            <w:pPr>
              <w:pStyle w:val="4"/>
              <w:numPr>
                <w:ilvl w:val="0"/>
                <w:numId w:val="7"/>
              </w:numPr>
              <w:ind w:left="0" w:leftChars="0" w:firstLine="0" w:firstLineChars="0"/>
              <w:rPr>
                <w:color w:val="auto"/>
              </w:rPr>
            </w:pPr>
            <w:r>
              <w:rPr>
                <w:color w:val="auto"/>
              </w:rPr>
              <w:t>“三线一单”符合性分析</w:t>
            </w:r>
          </w:p>
          <w:p>
            <w:pPr>
              <w:pStyle w:val="104"/>
              <w:bidi w:val="0"/>
              <w:rPr>
                <w:rFonts w:hint="eastAsia"/>
                <w:color w:val="auto"/>
                <w:lang w:val="en-US" w:eastAsia="zh-CN"/>
              </w:rPr>
            </w:pPr>
            <w:r>
              <w:rPr>
                <w:rFonts w:hint="eastAsia"/>
                <w:color w:val="auto"/>
                <w:lang w:val="en-US" w:eastAsia="zh-CN"/>
              </w:rPr>
              <w:t>根据四川省生态环境厅《关于印发&lt;产业园区规划环评“三线一单”符合性分析技术要点（试点）&gt;和&lt;项目环评“三线一单”符合性分析技术要点（试点）&gt;的通知》（川环办函【2021】469号），四川省实施生态环境分区管控的有关工作部署，探索形成“区域环评—规划环评—项目环评”联动管理体系。</w:t>
            </w:r>
          </w:p>
          <w:p>
            <w:pPr>
              <w:pStyle w:val="104"/>
              <w:bidi w:val="0"/>
              <w:rPr>
                <w:rFonts w:hint="eastAsia"/>
                <w:color w:val="auto"/>
                <w:lang w:val="en-US" w:eastAsia="zh-CN"/>
              </w:rPr>
            </w:pPr>
            <w:r>
              <w:rPr>
                <w:rFonts w:hint="eastAsia"/>
                <w:color w:val="auto"/>
                <w:lang w:val="en-US" w:eastAsia="zh-CN"/>
              </w:rPr>
              <w:t>根据《四川省人民政府关于落实生态保护红线、环境质量底线、资源利用上线制定生态环境准入清单实施生态环境分区管控的通知》川府发〔2020〕9号，将全省行政区域从生态环境保护角度划分为优先保护、重点管控和一般管控三类环境管控单元。优先保护单元指以生态环境保护为主的区域，主要包括生态保护红线、自然保护地、饮用水水源保护区等，应以生态环境保护优先为原则，严格执行相关法律、法规要求，严守生态环境质量底线，确保生态环境功能不降低。 重点管控单元指涉及水、大气、土壤、自然资源等资源环境要素重点管控的区域，应不断提升资源利用效率，有针对性地加强污染物排放控制和环境风险防控，解决生态环境质量不达标、生态环境风险高等问题。一般管控单元指除优先保护单元和重点管控单元之外的其他区域，主要落实生态环境保护基本要求。</w:t>
            </w:r>
          </w:p>
          <w:p>
            <w:pPr>
              <w:pStyle w:val="5"/>
              <w:ind w:firstLine="482"/>
              <w:rPr>
                <w:rFonts w:hint="eastAsia"/>
                <w:color w:val="auto"/>
              </w:rPr>
            </w:pPr>
            <w:r>
              <w:rPr>
                <w:rFonts w:hint="eastAsia"/>
                <w:color w:val="auto"/>
              </w:rPr>
              <w:t>1、与《乐山市人民政府关于落实生态保护红线、环境质量底线、资源利用上线制定生态环境准入清单实施生态环境分区管控的通知》（乐府发〔2021〕7号）符合性分析</w:t>
            </w:r>
          </w:p>
          <w:p>
            <w:pPr>
              <w:pStyle w:val="104"/>
              <w:ind w:firstLine="480"/>
              <w:rPr>
                <w:rFonts w:hint="eastAsia"/>
                <w:color w:val="auto"/>
              </w:rPr>
            </w:pPr>
            <w:r>
              <w:rPr>
                <w:rFonts w:hint="eastAsia"/>
                <w:color w:val="auto"/>
              </w:rPr>
              <w:t xml:space="preserve">根据乐山市人民政府发布的《关于落实生态保护红线、环境质量底线、资源利用上线制定生态环境准入清单实施生态环境分区管控的通知》（乐府发〔2021〕7号），将全市行政区域从生态环境保护角度划分为优先保护、重点管控和一般管控三类环境管控单元。 </w:t>
            </w:r>
          </w:p>
          <w:p>
            <w:pPr>
              <w:pStyle w:val="104"/>
              <w:numPr>
                <w:ilvl w:val="0"/>
                <w:numId w:val="8"/>
              </w:numPr>
              <w:ind w:firstLineChars="0"/>
              <w:rPr>
                <w:rFonts w:hint="eastAsia"/>
                <w:color w:val="auto"/>
              </w:rPr>
            </w:pPr>
            <w:r>
              <w:rPr>
                <w:rFonts w:hint="eastAsia"/>
                <w:color w:val="auto"/>
              </w:rPr>
              <w:t>优先保护单元：</w:t>
            </w:r>
          </w:p>
          <w:p>
            <w:pPr>
              <w:pStyle w:val="104"/>
              <w:ind w:firstLine="480"/>
              <w:rPr>
                <w:rFonts w:hint="eastAsia"/>
                <w:color w:val="auto"/>
              </w:rPr>
            </w:pPr>
            <w:r>
              <w:rPr>
                <w:rFonts w:hint="eastAsia"/>
                <w:color w:val="auto"/>
              </w:rPr>
              <w:t xml:space="preserve">以生态环境保护为主的区域，全市划分优先保护单元 26 个，主要包括生态保护红线、自然保护地、饮用水水源保护区等，应以生态环境保护优先为原则，严格执行相关法律、法规要求，严守生态环境质量底线，确保生态环境功能不降低。 </w:t>
            </w:r>
          </w:p>
          <w:p>
            <w:pPr>
              <w:pStyle w:val="104"/>
              <w:numPr>
                <w:ilvl w:val="0"/>
                <w:numId w:val="8"/>
              </w:numPr>
              <w:ind w:firstLineChars="0"/>
              <w:rPr>
                <w:rFonts w:hint="eastAsia"/>
                <w:color w:val="auto"/>
              </w:rPr>
            </w:pPr>
            <w:r>
              <w:rPr>
                <w:rFonts w:hint="eastAsia"/>
                <w:color w:val="auto"/>
              </w:rPr>
              <w:t>重点管控单元：</w:t>
            </w:r>
          </w:p>
          <w:p>
            <w:pPr>
              <w:pStyle w:val="104"/>
              <w:ind w:firstLine="480"/>
              <w:rPr>
                <w:rFonts w:hint="eastAsia"/>
                <w:color w:val="auto"/>
              </w:rPr>
            </w:pPr>
            <w:r>
              <w:rPr>
                <w:rFonts w:hint="eastAsia"/>
                <w:color w:val="auto"/>
              </w:rPr>
              <w:t xml:space="preserve">涉及水、大气、土壤、自然资源等资源环境要素重点管控的区域，全市划分重点管控单元 33 个，主要包括人口密集的城镇规划区和产业集聚的工业园区（工业集聚区）等，应不断提升资源利用效率，有针对性地加强污染物排放控制和环境风险防控，解决生态环境质量不达标、生态环境风险突出等问题，制定差别化的生态环境准入要求。对环境质量不达标区域，提出污染物削减比例要求；对环境质量达标区域，提出允许排放量建议指标。 </w:t>
            </w:r>
          </w:p>
          <w:p>
            <w:pPr>
              <w:pStyle w:val="104"/>
              <w:numPr>
                <w:ilvl w:val="0"/>
                <w:numId w:val="8"/>
              </w:numPr>
              <w:ind w:firstLineChars="0"/>
              <w:rPr>
                <w:rFonts w:hint="eastAsia"/>
                <w:color w:val="auto"/>
              </w:rPr>
            </w:pPr>
            <w:r>
              <w:rPr>
                <w:rFonts w:hint="eastAsia"/>
                <w:color w:val="auto"/>
              </w:rPr>
              <w:t>一般管控单元：</w:t>
            </w:r>
          </w:p>
          <w:p>
            <w:pPr>
              <w:pStyle w:val="104"/>
              <w:ind w:firstLine="480"/>
              <w:rPr>
                <w:rFonts w:hint="eastAsia"/>
                <w:color w:val="auto"/>
              </w:rPr>
            </w:pPr>
            <w:r>
              <w:rPr>
                <w:rFonts w:hint="eastAsia"/>
                <w:color w:val="auto"/>
              </w:rPr>
              <w:t>除优先保护单元和重点管控单元之外的其他区域，全市共划分一般管控单元 6 个。执行区域生态环境保护的基本要求，重点加强农业、生活等领域污染治理。</w:t>
            </w:r>
          </w:p>
          <w:p>
            <w:pPr>
              <w:pStyle w:val="104"/>
              <w:ind w:firstLine="480"/>
              <w:rPr>
                <w:rFonts w:hint="eastAsia"/>
                <w:color w:val="auto"/>
              </w:rPr>
            </w:pPr>
            <w:r>
              <w:rPr>
                <w:rFonts w:hint="eastAsia"/>
                <w:color w:val="auto"/>
              </w:rPr>
              <w:t>本项目位于乐山市市中区竹林路636号1楼7号，根据乐山市环境管控单元图，本项目所在地属于重点管控单元中的城镇重点管控单元，项目与全市环境管控单元生态环境管控要求符合性分析见下表：</w:t>
            </w:r>
          </w:p>
          <w:p>
            <w:pPr>
              <w:pStyle w:val="204"/>
              <w:rPr>
                <w:color w:val="auto"/>
              </w:rPr>
            </w:pPr>
            <w:r>
              <w:rPr>
                <w:rFonts w:hint="eastAsia"/>
                <w:color w:val="auto"/>
              </w:rPr>
              <w:t>表1-1  项目与乐山市重点管控单元生态环境管控要求符合性分析表</w:t>
            </w:r>
          </w:p>
          <w:tbl>
            <w:tblPr>
              <w:tblStyle w:val="38"/>
              <w:tblW w:w="4993" w:type="pct"/>
              <w:jc w:val="center"/>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892"/>
              <w:gridCol w:w="2931"/>
              <w:gridCol w:w="2931"/>
              <w:gridCol w:w="653"/>
            </w:tblGrid>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295" w:hRule="atLeast"/>
                <w:jc w:val="center"/>
              </w:trPr>
              <w:tc>
                <w:tcPr>
                  <w:tcW w:w="602" w:type="pct"/>
                  <w:tcBorders>
                    <w:top w:val="outset" w:color="auto" w:sz="6" w:space="0"/>
                    <w:left w:val="outset" w:color="auto" w:sz="6" w:space="0"/>
                    <w:bottom w:val="outset" w:color="auto" w:sz="6" w:space="0"/>
                    <w:right w:val="outset" w:color="auto" w:sz="6" w:space="0"/>
                  </w:tcBorders>
                  <w:noWrap w:val="0"/>
                  <w:tcMar>
                    <w:top w:w="0" w:type="dxa"/>
                    <w:left w:w="105" w:type="dxa"/>
                    <w:bottom w:w="0" w:type="dxa"/>
                    <w:right w:w="105" w:type="dxa"/>
                  </w:tcMar>
                  <w:vAlign w:val="center"/>
                </w:tcPr>
                <w:p>
                  <w:pPr>
                    <w:pStyle w:val="170"/>
                    <w:rPr>
                      <w:rFonts w:hint="eastAsia"/>
                      <w:b/>
                      <w:bCs/>
                      <w:color w:val="auto"/>
                    </w:rPr>
                  </w:pPr>
                </w:p>
                <w:p>
                  <w:pPr>
                    <w:pStyle w:val="170"/>
                    <w:rPr>
                      <w:b/>
                      <w:bCs/>
                      <w:color w:val="auto"/>
                    </w:rPr>
                  </w:pPr>
                  <w:r>
                    <w:rPr>
                      <w:rFonts w:hint="eastAsia"/>
                      <w:b/>
                      <w:bCs/>
                      <w:color w:val="auto"/>
                    </w:rPr>
                    <w:t>环境管控单元类型</w:t>
                  </w:r>
                </w:p>
              </w:tc>
              <w:tc>
                <w:tcPr>
                  <w:tcW w:w="1978" w:type="pct"/>
                  <w:tcBorders>
                    <w:top w:val="outset" w:color="auto" w:sz="6" w:space="0"/>
                    <w:left w:val="single" w:color="auto" w:sz="0" w:space="0"/>
                    <w:bottom w:val="outset" w:color="auto" w:sz="6" w:space="0"/>
                    <w:right w:val="outset" w:color="auto" w:sz="6" w:space="0"/>
                  </w:tcBorders>
                  <w:noWrap w:val="0"/>
                  <w:tcMar>
                    <w:top w:w="0" w:type="dxa"/>
                    <w:left w:w="105" w:type="dxa"/>
                    <w:bottom w:w="0" w:type="dxa"/>
                    <w:right w:w="105" w:type="dxa"/>
                  </w:tcMar>
                  <w:vAlign w:val="center"/>
                </w:tcPr>
                <w:p>
                  <w:pPr>
                    <w:pStyle w:val="170"/>
                    <w:rPr>
                      <w:b/>
                      <w:bCs/>
                      <w:color w:val="auto"/>
                    </w:rPr>
                  </w:pPr>
                </w:p>
                <w:p>
                  <w:pPr>
                    <w:pStyle w:val="170"/>
                    <w:rPr>
                      <w:b/>
                      <w:bCs/>
                      <w:color w:val="auto"/>
                    </w:rPr>
                  </w:pPr>
                  <w:r>
                    <w:rPr>
                      <w:rFonts w:hint="eastAsia"/>
                      <w:b/>
                      <w:bCs/>
                      <w:color w:val="auto"/>
                    </w:rPr>
                    <w:t>生态环境管控要求</w:t>
                  </w:r>
                </w:p>
              </w:tc>
              <w:tc>
                <w:tcPr>
                  <w:tcW w:w="1978" w:type="pct"/>
                  <w:tcBorders>
                    <w:top w:val="outset" w:color="auto" w:sz="6" w:space="0"/>
                    <w:left w:val="single" w:color="auto" w:sz="0" w:space="0"/>
                    <w:bottom w:val="outset" w:color="auto" w:sz="6" w:space="0"/>
                    <w:right w:val="outset" w:color="auto" w:sz="6" w:space="0"/>
                  </w:tcBorders>
                  <w:noWrap w:val="0"/>
                  <w:tcMar>
                    <w:top w:w="0" w:type="dxa"/>
                    <w:left w:w="105" w:type="dxa"/>
                    <w:bottom w:w="0" w:type="dxa"/>
                    <w:right w:w="105" w:type="dxa"/>
                  </w:tcMar>
                  <w:vAlign w:val="center"/>
                </w:tcPr>
                <w:p>
                  <w:pPr>
                    <w:pStyle w:val="170"/>
                    <w:rPr>
                      <w:rFonts w:hint="eastAsia"/>
                      <w:b/>
                      <w:bCs/>
                      <w:color w:val="auto"/>
                    </w:rPr>
                  </w:pPr>
                  <w:r>
                    <w:rPr>
                      <w:rFonts w:hint="eastAsia"/>
                      <w:b/>
                      <w:bCs/>
                      <w:color w:val="auto"/>
                    </w:rPr>
                    <w:t>符合性分析</w:t>
                  </w:r>
                </w:p>
              </w:tc>
              <w:tc>
                <w:tcPr>
                  <w:tcW w:w="440" w:type="pct"/>
                  <w:tcBorders>
                    <w:top w:val="outset" w:color="auto" w:sz="6" w:space="0"/>
                    <w:left w:val="single" w:color="auto" w:sz="0" w:space="0"/>
                    <w:bottom w:val="outset" w:color="auto" w:sz="6" w:space="0"/>
                    <w:right w:val="outset" w:color="auto" w:sz="6" w:space="0"/>
                  </w:tcBorders>
                  <w:noWrap w:val="0"/>
                  <w:tcMar>
                    <w:top w:w="0" w:type="dxa"/>
                    <w:left w:w="105" w:type="dxa"/>
                    <w:bottom w:w="0" w:type="dxa"/>
                    <w:right w:w="105" w:type="dxa"/>
                  </w:tcMar>
                  <w:vAlign w:val="center"/>
                </w:tcPr>
                <w:p>
                  <w:pPr>
                    <w:pStyle w:val="170"/>
                    <w:rPr>
                      <w:rFonts w:hint="eastAsia"/>
                      <w:b/>
                      <w:bCs/>
                      <w:color w:val="auto"/>
                    </w:rPr>
                  </w:pPr>
                  <w:r>
                    <w:rPr>
                      <w:rFonts w:hint="eastAsia"/>
                      <w:b/>
                      <w:bCs/>
                      <w:color w:val="auto"/>
                    </w:rPr>
                    <w:t>是否符合</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2490" w:hRule="atLeast"/>
                <w:jc w:val="center"/>
              </w:trPr>
              <w:tc>
                <w:tcPr>
                  <w:tcW w:w="602" w:type="pct"/>
                  <w:tcBorders>
                    <w:top w:val="single" w:color="auto" w:sz="0" w:space="0"/>
                    <w:left w:val="outset" w:color="auto" w:sz="6" w:space="0"/>
                    <w:bottom w:val="outset" w:color="auto" w:sz="6" w:space="0"/>
                    <w:right w:val="outset" w:color="auto" w:sz="6" w:space="0"/>
                  </w:tcBorders>
                  <w:noWrap w:val="0"/>
                  <w:tcMar>
                    <w:top w:w="0" w:type="dxa"/>
                    <w:left w:w="105" w:type="dxa"/>
                    <w:bottom w:w="0" w:type="dxa"/>
                    <w:right w:w="105" w:type="dxa"/>
                  </w:tcMar>
                  <w:vAlign w:val="center"/>
                </w:tcPr>
                <w:p>
                  <w:pPr>
                    <w:pStyle w:val="170"/>
                    <w:rPr>
                      <w:color w:val="auto"/>
                    </w:rPr>
                  </w:pPr>
                </w:p>
                <w:p>
                  <w:pPr>
                    <w:pStyle w:val="170"/>
                    <w:rPr>
                      <w:color w:val="auto"/>
                    </w:rPr>
                  </w:pPr>
                  <w:r>
                    <w:rPr>
                      <w:rFonts w:hint="eastAsia"/>
                      <w:color w:val="auto"/>
                    </w:rPr>
                    <w:t>重点管控单元</w:t>
                  </w:r>
                </w:p>
              </w:tc>
              <w:tc>
                <w:tcPr>
                  <w:tcW w:w="1978" w:type="pct"/>
                  <w:tcBorders>
                    <w:top w:val="single" w:color="auto" w:sz="0" w:space="0"/>
                    <w:left w:val="single" w:color="auto" w:sz="0" w:space="0"/>
                    <w:bottom w:val="outset" w:color="auto" w:sz="6" w:space="0"/>
                    <w:right w:val="outset" w:color="auto" w:sz="6" w:space="0"/>
                  </w:tcBorders>
                  <w:noWrap w:val="0"/>
                  <w:tcMar>
                    <w:top w:w="0" w:type="dxa"/>
                    <w:left w:w="105" w:type="dxa"/>
                    <w:bottom w:w="0" w:type="dxa"/>
                    <w:right w:w="105" w:type="dxa"/>
                  </w:tcMar>
                  <w:vAlign w:val="center"/>
                </w:tcPr>
                <w:p>
                  <w:pPr>
                    <w:pStyle w:val="170"/>
                    <w:rPr>
                      <w:color w:val="auto"/>
                    </w:rPr>
                  </w:pPr>
                </w:p>
                <w:p>
                  <w:pPr>
                    <w:pStyle w:val="170"/>
                    <w:rPr>
                      <w:color w:val="auto"/>
                    </w:rPr>
                  </w:pPr>
                  <w:r>
                    <w:rPr>
                      <w:rFonts w:hint="eastAsia"/>
                      <w:color w:val="auto"/>
                    </w:rPr>
                    <w:t>重点管控单元中，应针对性地加强污染物排放控制和环境风险防控，解决生态环境质量不达标、生态环境风险突出等问题，制定差别化的生态环境准入要求。对环境质量不达标区域，提出污染物削减比例要求；对环境质量达标区域，提出允许排放量建议指标。</w:t>
                  </w:r>
                </w:p>
              </w:tc>
              <w:tc>
                <w:tcPr>
                  <w:tcW w:w="1978" w:type="pct"/>
                  <w:tcBorders>
                    <w:top w:val="single" w:color="auto" w:sz="0" w:space="0"/>
                    <w:left w:val="single" w:color="auto" w:sz="0" w:space="0"/>
                    <w:bottom w:val="outset" w:color="auto" w:sz="6" w:space="0"/>
                    <w:right w:val="outset" w:color="auto" w:sz="6" w:space="0"/>
                  </w:tcBorders>
                  <w:noWrap w:val="0"/>
                  <w:tcMar>
                    <w:top w:w="0" w:type="dxa"/>
                    <w:left w:w="105" w:type="dxa"/>
                    <w:bottom w:w="0" w:type="dxa"/>
                    <w:right w:w="105" w:type="dxa"/>
                  </w:tcMar>
                  <w:vAlign w:val="center"/>
                </w:tcPr>
                <w:p>
                  <w:pPr>
                    <w:pStyle w:val="170"/>
                    <w:rPr>
                      <w:rFonts w:hint="eastAsia"/>
                      <w:color w:val="auto"/>
                    </w:rPr>
                  </w:pPr>
                  <w:r>
                    <w:rPr>
                      <w:rFonts w:hint="eastAsia"/>
                      <w:color w:val="auto"/>
                    </w:rPr>
                    <w:t>本项目为宠物医院服务项目，根据《乐山市2020年环境质量公报》，项目所在区域大气环境质量为达标区域，项目受纳水体所在的河段水环境质量满足《地表水环境质量标准》，同时项目运营期产生的污染物均能得到有效处理，对大气环境影响较小</w:t>
                  </w:r>
                </w:p>
              </w:tc>
              <w:tc>
                <w:tcPr>
                  <w:tcW w:w="440" w:type="pct"/>
                  <w:tcBorders>
                    <w:top w:val="single" w:color="auto" w:sz="0" w:space="0"/>
                    <w:left w:val="single" w:color="auto" w:sz="0" w:space="0"/>
                    <w:bottom w:val="outset" w:color="auto" w:sz="6" w:space="0"/>
                    <w:right w:val="outset" w:color="auto" w:sz="6" w:space="0"/>
                  </w:tcBorders>
                  <w:noWrap w:val="0"/>
                  <w:tcMar>
                    <w:top w:w="0" w:type="dxa"/>
                    <w:left w:w="105" w:type="dxa"/>
                    <w:bottom w:w="0" w:type="dxa"/>
                    <w:right w:w="105" w:type="dxa"/>
                  </w:tcMar>
                  <w:vAlign w:val="center"/>
                </w:tcPr>
                <w:p>
                  <w:pPr>
                    <w:pStyle w:val="170"/>
                    <w:rPr>
                      <w:rFonts w:hint="eastAsia"/>
                      <w:color w:val="auto"/>
                    </w:rPr>
                  </w:pPr>
                  <w:r>
                    <w:rPr>
                      <w:rFonts w:hint="eastAsia"/>
                      <w:color w:val="auto"/>
                    </w:rPr>
                    <w:t>符合</w:t>
                  </w:r>
                </w:p>
              </w:tc>
            </w:tr>
          </w:tbl>
          <w:p>
            <w:pPr>
              <w:spacing w:line="480" w:lineRule="exact"/>
              <w:ind w:firstLine="422"/>
              <w:jc w:val="center"/>
              <w:rPr>
                <w:rFonts w:hint="eastAsia"/>
                <w:b/>
                <w:color w:val="auto"/>
              </w:rPr>
            </w:pPr>
            <w:r>
              <w:rPr>
                <w:rFonts w:hint="eastAsia"/>
                <w:b/>
                <w:color w:val="auto"/>
              </w:rPr>
              <w:t>表1-2 项目与全市及市中区总体生态环境管控要求符合性分析</w:t>
            </w:r>
          </w:p>
          <w:tbl>
            <w:tblPr>
              <w:tblStyle w:val="38"/>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77"/>
              <w:gridCol w:w="3698"/>
              <w:gridCol w:w="2472"/>
              <w:gridCol w:w="6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9" w:type="pct"/>
                  <w:noWrap w:val="0"/>
                  <w:vAlign w:val="center"/>
                </w:tcPr>
                <w:p>
                  <w:pPr>
                    <w:pStyle w:val="170"/>
                    <w:rPr>
                      <w:b/>
                      <w:bCs/>
                      <w:color w:val="auto"/>
                    </w:rPr>
                  </w:pPr>
                  <w:r>
                    <w:rPr>
                      <w:rFonts w:hint="eastAsia"/>
                      <w:b/>
                      <w:bCs/>
                      <w:color w:val="auto"/>
                    </w:rPr>
                    <w:t>行政区划</w:t>
                  </w:r>
                </w:p>
              </w:tc>
              <w:tc>
                <w:tcPr>
                  <w:tcW w:w="2492" w:type="pct"/>
                  <w:noWrap w:val="0"/>
                  <w:vAlign w:val="center"/>
                </w:tcPr>
                <w:p>
                  <w:pPr>
                    <w:pStyle w:val="170"/>
                    <w:rPr>
                      <w:b/>
                      <w:bCs/>
                      <w:color w:val="auto"/>
                    </w:rPr>
                  </w:pPr>
                  <w:r>
                    <w:rPr>
                      <w:rFonts w:hint="eastAsia"/>
                      <w:b/>
                      <w:bCs/>
                      <w:color w:val="auto"/>
                    </w:rPr>
                    <w:t>生态环境管控要求</w:t>
                  </w:r>
                </w:p>
              </w:tc>
              <w:tc>
                <w:tcPr>
                  <w:tcW w:w="1666" w:type="pct"/>
                  <w:noWrap w:val="0"/>
                  <w:vAlign w:val="center"/>
                </w:tcPr>
                <w:p>
                  <w:pPr>
                    <w:pStyle w:val="170"/>
                    <w:rPr>
                      <w:b/>
                      <w:bCs/>
                      <w:color w:val="auto"/>
                    </w:rPr>
                  </w:pPr>
                  <w:r>
                    <w:rPr>
                      <w:rFonts w:hint="eastAsia"/>
                      <w:b/>
                      <w:bCs/>
                      <w:color w:val="auto"/>
                    </w:rPr>
                    <w:t>符合性分析</w:t>
                  </w:r>
                </w:p>
              </w:tc>
              <w:tc>
                <w:tcPr>
                  <w:tcW w:w="452" w:type="pct"/>
                  <w:noWrap w:val="0"/>
                  <w:vAlign w:val="center"/>
                </w:tcPr>
                <w:p>
                  <w:pPr>
                    <w:pStyle w:val="170"/>
                    <w:rPr>
                      <w:b/>
                      <w:bCs/>
                      <w:color w:val="auto"/>
                    </w:rPr>
                  </w:pPr>
                  <w:r>
                    <w:rPr>
                      <w:rFonts w:hint="eastAsia"/>
                      <w:b/>
                      <w:bCs/>
                      <w:color w:val="auto"/>
                    </w:rPr>
                    <w:t>是否符合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trPr>
              <w:tc>
                <w:tcPr>
                  <w:tcW w:w="389" w:type="pct"/>
                  <w:vMerge w:val="restart"/>
                  <w:noWrap w:val="0"/>
                  <w:vAlign w:val="center"/>
                </w:tcPr>
                <w:p>
                  <w:pPr>
                    <w:pStyle w:val="170"/>
                    <w:rPr>
                      <w:color w:val="auto"/>
                    </w:rPr>
                  </w:pPr>
                  <w:r>
                    <w:rPr>
                      <w:rFonts w:hint="eastAsia"/>
                      <w:color w:val="auto"/>
                    </w:rPr>
                    <w:t>乐山市</w:t>
                  </w:r>
                </w:p>
              </w:tc>
              <w:tc>
                <w:tcPr>
                  <w:tcW w:w="2492" w:type="pct"/>
                  <w:noWrap w:val="0"/>
                  <w:vAlign w:val="center"/>
                </w:tcPr>
                <w:p>
                  <w:pPr>
                    <w:pStyle w:val="170"/>
                    <w:jc w:val="left"/>
                    <w:rPr>
                      <w:rFonts w:hint="eastAsia"/>
                      <w:color w:val="auto"/>
                    </w:rPr>
                  </w:pPr>
                  <w:r>
                    <w:rPr>
                      <w:rFonts w:hint="eastAsia"/>
                      <w:color w:val="auto"/>
                    </w:rPr>
                    <w:t>对化工、钢铁、水泥、陶瓷、造纸、铁合金、砖瓦等重点产业提出严格资源环境绩效水平要求</w:t>
                  </w:r>
                </w:p>
                <w:p>
                  <w:pPr>
                    <w:pStyle w:val="170"/>
                    <w:jc w:val="left"/>
                    <w:rPr>
                      <w:color w:val="auto"/>
                    </w:rPr>
                  </w:pPr>
                </w:p>
              </w:tc>
              <w:tc>
                <w:tcPr>
                  <w:tcW w:w="1666" w:type="pct"/>
                  <w:vMerge w:val="restart"/>
                  <w:noWrap w:val="0"/>
                  <w:vAlign w:val="center"/>
                </w:tcPr>
                <w:p>
                  <w:pPr>
                    <w:pStyle w:val="170"/>
                    <w:rPr>
                      <w:rFonts w:hint="eastAsia"/>
                      <w:color w:val="auto"/>
                    </w:rPr>
                  </w:pPr>
                </w:p>
                <w:p>
                  <w:pPr>
                    <w:pStyle w:val="170"/>
                    <w:rPr>
                      <w:rFonts w:hint="eastAsia"/>
                      <w:color w:val="auto"/>
                    </w:rPr>
                  </w:pPr>
                </w:p>
                <w:p>
                  <w:pPr>
                    <w:pStyle w:val="170"/>
                    <w:rPr>
                      <w:rFonts w:hint="eastAsia"/>
                      <w:color w:val="auto"/>
                    </w:rPr>
                  </w:pPr>
                  <w:r>
                    <w:rPr>
                      <w:rFonts w:hint="eastAsia"/>
                      <w:color w:val="auto"/>
                    </w:rPr>
                    <w:t>本项目为宠物医院服务项目，项目不属于化工、钢铁、水泥、陶瓷、造纸、铁合金、砖瓦等重点产业</w:t>
                  </w:r>
                </w:p>
                <w:p>
                  <w:pPr>
                    <w:pStyle w:val="170"/>
                    <w:rPr>
                      <w:rFonts w:hint="eastAsia"/>
                      <w:color w:val="auto"/>
                    </w:rPr>
                  </w:pPr>
                  <w:r>
                    <w:rPr>
                      <w:rFonts w:hint="eastAsia"/>
                      <w:color w:val="auto"/>
                    </w:rPr>
                    <w:t>，不属于高排放、高能耗项目；项目符合区域产业准入清单要求</w:t>
                  </w:r>
                </w:p>
              </w:tc>
              <w:tc>
                <w:tcPr>
                  <w:tcW w:w="452" w:type="pct"/>
                  <w:vMerge w:val="restart"/>
                  <w:noWrap w:val="0"/>
                  <w:vAlign w:val="center"/>
                </w:tcPr>
                <w:p>
                  <w:pPr>
                    <w:pStyle w:val="170"/>
                    <w:rPr>
                      <w:rFonts w:hint="eastAsia"/>
                      <w:color w:val="auto"/>
                    </w:rPr>
                  </w:pPr>
                </w:p>
                <w:p>
                  <w:pPr>
                    <w:pStyle w:val="170"/>
                    <w:rPr>
                      <w:rFonts w:hint="eastAsia"/>
                      <w:color w:val="auto"/>
                    </w:rPr>
                  </w:pPr>
                </w:p>
                <w:p>
                  <w:pPr>
                    <w:pStyle w:val="17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6" w:hRule="atLeast"/>
              </w:trPr>
              <w:tc>
                <w:tcPr>
                  <w:tcW w:w="389" w:type="pct"/>
                  <w:vMerge w:val="continue"/>
                  <w:noWrap w:val="0"/>
                  <w:vAlign w:val="center"/>
                </w:tcPr>
                <w:p>
                  <w:pPr>
                    <w:pStyle w:val="170"/>
                    <w:rPr>
                      <w:rFonts w:hint="eastAsia"/>
                      <w:color w:val="auto"/>
                    </w:rPr>
                  </w:pPr>
                </w:p>
              </w:tc>
              <w:tc>
                <w:tcPr>
                  <w:tcW w:w="2492" w:type="pct"/>
                  <w:noWrap w:val="0"/>
                  <w:vAlign w:val="center"/>
                </w:tcPr>
                <w:p>
                  <w:pPr>
                    <w:pStyle w:val="170"/>
                    <w:jc w:val="left"/>
                    <w:rPr>
                      <w:rFonts w:hint="eastAsia"/>
                      <w:color w:val="auto"/>
                    </w:rPr>
                  </w:pPr>
                  <w:r>
                    <w:rPr>
                      <w:rFonts w:hint="eastAsia"/>
                      <w:color w:val="auto"/>
                    </w:rPr>
                    <w:t>禁止在长江干支流岸线一公里范围内新建、扩建化工园区和化工项目；鼓励现有化工企业逐步搬入合规园区</w:t>
                  </w:r>
                </w:p>
              </w:tc>
              <w:tc>
                <w:tcPr>
                  <w:tcW w:w="1666" w:type="pct"/>
                  <w:vMerge w:val="continue"/>
                  <w:noWrap w:val="0"/>
                  <w:vAlign w:val="center"/>
                </w:tcPr>
                <w:p>
                  <w:pPr>
                    <w:pStyle w:val="170"/>
                    <w:rPr>
                      <w:rFonts w:hint="eastAsia"/>
                      <w:color w:val="auto"/>
                    </w:rPr>
                  </w:pPr>
                </w:p>
              </w:tc>
              <w:tc>
                <w:tcPr>
                  <w:tcW w:w="452" w:type="pct"/>
                  <w:vMerge w:val="continue"/>
                  <w:noWrap w:val="0"/>
                  <w:vAlign w:val="center"/>
                </w:tcPr>
                <w:p>
                  <w:pPr>
                    <w:pStyle w:val="170"/>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4" w:hRule="atLeast"/>
              </w:trPr>
              <w:tc>
                <w:tcPr>
                  <w:tcW w:w="389" w:type="pct"/>
                  <w:vMerge w:val="continue"/>
                  <w:noWrap w:val="0"/>
                  <w:vAlign w:val="center"/>
                </w:tcPr>
                <w:p>
                  <w:pPr>
                    <w:pStyle w:val="170"/>
                    <w:rPr>
                      <w:rFonts w:hint="eastAsia"/>
                      <w:color w:val="auto"/>
                    </w:rPr>
                  </w:pPr>
                </w:p>
              </w:tc>
              <w:tc>
                <w:tcPr>
                  <w:tcW w:w="2492" w:type="pct"/>
                  <w:noWrap w:val="0"/>
                  <w:vAlign w:val="center"/>
                </w:tcPr>
                <w:p>
                  <w:pPr>
                    <w:pStyle w:val="170"/>
                    <w:jc w:val="left"/>
                    <w:rPr>
                      <w:rFonts w:hint="eastAsia"/>
                      <w:color w:val="auto"/>
                    </w:rPr>
                  </w:pPr>
                  <w:r>
                    <w:rPr>
                      <w:rFonts w:hint="eastAsia"/>
                      <w:color w:val="auto"/>
                    </w:rPr>
                    <w:t>按照“一总部五基地”工业总体布局，推进城区以及布局不合理的高排放、高能耗企业“退城入园”，引导企业在搬迁改造中压减低端、低效、负效产能</w:t>
                  </w:r>
                </w:p>
              </w:tc>
              <w:tc>
                <w:tcPr>
                  <w:tcW w:w="1666" w:type="pct"/>
                  <w:vMerge w:val="continue"/>
                  <w:noWrap w:val="0"/>
                  <w:vAlign w:val="center"/>
                </w:tcPr>
                <w:p>
                  <w:pPr>
                    <w:pStyle w:val="170"/>
                    <w:rPr>
                      <w:rFonts w:hint="eastAsia"/>
                      <w:color w:val="auto"/>
                    </w:rPr>
                  </w:pPr>
                </w:p>
              </w:tc>
              <w:tc>
                <w:tcPr>
                  <w:tcW w:w="452" w:type="pct"/>
                  <w:vMerge w:val="continue"/>
                  <w:noWrap w:val="0"/>
                  <w:vAlign w:val="center"/>
                </w:tcPr>
                <w:p>
                  <w:pPr>
                    <w:pStyle w:val="170"/>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trPr>
              <w:tc>
                <w:tcPr>
                  <w:tcW w:w="389" w:type="pct"/>
                  <w:vMerge w:val="continue"/>
                  <w:noWrap w:val="0"/>
                  <w:vAlign w:val="center"/>
                </w:tcPr>
                <w:p>
                  <w:pPr>
                    <w:pStyle w:val="170"/>
                    <w:rPr>
                      <w:rFonts w:hint="eastAsia"/>
                      <w:color w:val="auto"/>
                    </w:rPr>
                  </w:pPr>
                </w:p>
              </w:tc>
              <w:tc>
                <w:tcPr>
                  <w:tcW w:w="2492" w:type="pct"/>
                  <w:noWrap w:val="0"/>
                  <w:vAlign w:val="center"/>
                </w:tcPr>
                <w:p>
                  <w:pPr>
                    <w:pStyle w:val="170"/>
                    <w:jc w:val="left"/>
                    <w:rPr>
                      <w:rFonts w:hint="eastAsia"/>
                      <w:color w:val="auto"/>
                    </w:rPr>
                  </w:pPr>
                  <w:r>
                    <w:rPr>
                      <w:rFonts w:hint="eastAsia"/>
                      <w:color w:val="auto"/>
                    </w:rPr>
                    <w:t>严格控制高排放、高能耗项目准入；严格执行能源消费总量和强度双控制度；严格执行煤炭消费总量控制要求</w:t>
                  </w:r>
                </w:p>
              </w:tc>
              <w:tc>
                <w:tcPr>
                  <w:tcW w:w="1666" w:type="pct"/>
                  <w:vMerge w:val="continue"/>
                  <w:noWrap w:val="0"/>
                  <w:vAlign w:val="center"/>
                </w:tcPr>
                <w:p>
                  <w:pPr>
                    <w:pStyle w:val="170"/>
                    <w:rPr>
                      <w:rFonts w:hint="eastAsia"/>
                      <w:color w:val="auto"/>
                    </w:rPr>
                  </w:pPr>
                </w:p>
              </w:tc>
              <w:tc>
                <w:tcPr>
                  <w:tcW w:w="452" w:type="pct"/>
                  <w:vMerge w:val="continue"/>
                  <w:noWrap w:val="0"/>
                  <w:vAlign w:val="center"/>
                </w:tcPr>
                <w:p>
                  <w:pPr>
                    <w:pStyle w:val="170"/>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atLeast"/>
              </w:trPr>
              <w:tc>
                <w:tcPr>
                  <w:tcW w:w="389" w:type="pct"/>
                  <w:vMerge w:val="continue"/>
                  <w:noWrap w:val="0"/>
                  <w:vAlign w:val="center"/>
                </w:tcPr>
                <w:p>
                  <w:pPr>
                    <w:pStyle w:val="170"/>
                    <w:rPr>
                      <w:rFonts w:hint="eastAsia"/>
                      <w:color w:val="auto"/>
                    </w:rPr>
                  </w:pPr>
                </w:p>
              </w:tc>
              <w:tc>
                <w:tcPr>
                  <w:tcW w:w="2492" w:type="pct"/>
                  <w:noWrap w:val="0"/>
                  <w:vAlign w:val="center"/>
                </w:tcPr>
                <w:p>
                  <w:pPr>
                    <w:pStyle w:val="170"/>
                    <w:jc w:val="left"/>
                    <w:rPr>
                      <w:rFonts w:hint="eastAsia"/>
                      <w:color w:val="auto"/>
                    </w:rPr>
                  </w:pPr>
                  <w:r>
                    <w:rPr>
                      <w:rFonts w:hint="eastAsia"/>
                      <w:color w:val="auto"/>
                    </w:rPr>
                    <w:t>引进项目应符合园区规划环评和区域产业准入清单要求</w:t>
                  </w:r>
                </w:p>
              </w:tc>
              <w:tc>
                <w:tcPr>
                  <w:tcW w:w="1666" w:type="pct"/>
                  <w:vMerge w:val="continue"/>
                  <w:noWrap w:val="0"/>
                  <w:vAlign w:val="center"/>
                </w:tcPr>
                <w:p>
                  <w:pPr>
                    <w:pStyle w:val="170"/>
                    <w:rPr>
                      <w:rFonts w:hint="eastAsia"/>
                      <w:color w:val="auto"/>
                    </w:rPr>
                  </w:pPr>
                </w:p>
              </w:tc>
              <w:tc>
                <w:tcPr>
                  <w:tcW w:w="452" w:type="pct"/>
                  <w:vMerge w:val="continue"/>
                  <w:noWrap w:val="0"/>
                  <w:vAlign w:val="center"/>
                </w:tcPr>
                <w:p>
                  <w:pPr>
                    <w:pStyle w:val="170"/>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 w:hRule="atLeast"/>
              </w:trPr>
              <w:tc>
                <w:tcPr>
                  <w:tcW w:w="389" w:type="pct"/>
                  <w:vMerge w:val="restart"/>
                  <w:noWrap w:val="0"/>
                  <w:vAlign w:val="center"/>
                </w:tcPr>
                <w:p>
                  <w:pPr>
                    <w:pStyle w:val="170"/>
                    <w:rPr>
                      <w:color w:val="auto"/>
                    </w:rPr>
                  </w:pPr>
                  <w:r>
                    <w:rPr>
                      <w:rFonts w:hint="eastAsia"/>
                      <w:color w:val="auto"/>
                    </w:rPr>
                    <w:t>市中区</w:t>
                  </w:r>
                </w:p>
              </w:tc>
              <w:tc>
                <w:tcPr>
                  <w:tcW w:w="2492" w:type="pct"/>
                  <w:noWrap w:val="0"/>
                  <w:vAlign w:val="center"/>
                </w:tcPr>
                <w:p>
                  <w:pPr>
                    <w:pStyle w:val="170"/>
                    <w:rPr>
                      <w:color w:val="auto"/>
                    </w:rPr>
                  </w:pPr>
                  <w:r>
                    <w:rPr>
                      <w:rFonts w:hint="eastAsia"/>
                      <w:color w:val="auto"/>
                    </w:rPr>
                    <w:t>优化调整产业结构，严格生态环境准入要求；</w:t>
                  </w:r>
                </w:p>
              </w:tc>
              <w:tc>
                <w:tcPr>
                  <w:tcW w:w="1666" w:type="pct"/>
                  <w:vMerge w:val="restart"/>
                  <w:noWrap w:val="0"/>
                  <w:vAlign w:val="center"/>
                </w:tcPr>
                <w:p>
                  <w:pPr>
                    <w:pStyle w:val="170"/>
                    <w:rPr>
                      <w:rFonts w:hint="eastAsia"/>
                      <w:color w:val="auto"/>
                    </w:rPr>
                  </w:pPr>
                  <w:r>
                    <w:rPr>
                      <w:rFonts w:hint="eastAsia"/>
                      <w:color w:val="auto"/>
                    </w:rPr>
                    <w:t>本项目为宠物医院服务项目，不属于涉危涉化企业，符合生态环境准入要求，本项目废水经医院废水处理设备处理后进入市政污水管网，排入末端乐山市第一污水处理厂处理，本项目不涉及挥发性有机物的排放</w:t>
                  </w:r>
                </w:p>
              </w:tc>
              <w:tc>
                <w:tcPr>
                  <w:tcW w:w="452" w:type="pct"/>
                  <w:vMerge w:val="restart"/>
                  <w:noWrap w:val="0"/>
                  <w:vAlign w:val="center"/>
                </w:tcPr>
                <w:p>
                  <w:pPr>
                    <w:pStyle w:val="17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trPr>
              <w:tc>
                <w:tcPr>
                  <w:tcW w:w="389" w:type="pct"/>
                  <w:vMerge w:val="continue"/>
                  <w:noWrap w:val="0"/>
                  <w:vAlign w:val="center"/>
                </w:tcPr>
                <w:p>
                  <w:pPr>
                    <w:pStyle w:val="170"/>
                    <w:rPr>
                      <w:rFonts w:hint="eastAsia"/>
                      <w:color w:val="auto"/>
                    </w:rPr>
                  </w:pPr>
                </w:p>
              </w:tc>
              <w:tc>
                <w:tcPr>
                  <w:tcW w:w="2492" w:type="pct"/>
                  <w:noWrap w:val="0"/>
                  <w:vAlign w:val="center"/>
                </w:tcPr>
                <w:p>
                  <w:pPr>
                    <w:pStyle w:val="170"/>
                    <w:rPr>
                      <w:rFonts w:hint="eastAsia"/>
                      <w:color w:val="auto"/>
                    </w:rPr>
                  </w:pPr>
                  <w:r>
                    <w:rPr>
                      <w:rFonts w:hint="eastAsia"/>
                      <w:color w:val="auto"/>
                    </w:rPr>
                    <w:t>推动城市建成区内企业“退城入园”，严格控制园外企业无序扩张</w:t>
                  </w:r>
                </w:p>
              </w:tc>
              <w:tc>
                <w:tcPr>
                  <w:tcW w:w="1666" w:type="pct"/>
                  <w:vMerge w:val="continue"/>
                  <w:noWrap w:val="0"/>
                  <w:vAlign w:val="center"/>
                </w:tcPr>
                <w:p>
                  <w:pPr>
                    <w:pStyle w:val="170"/>
                    <w:rPr>
                      <w:color w:val="auto"/>
                    </w:rPr>
                  </w:pPr>
                </w:p>
              </w:tc>
              <w:tc>
                <w:tcPr>
                  <w:tcW w:w="452" w:type="pct"/>
                  <w:vMerge w:val="continue"/>
                  <w:noWrap w:val="0"/>
                  <w:vAlign w:val="center"/>
                </w:tcPr>
                <w:p>
                  <w:pPr>
                    <w:pStyle w:val="170"/>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9" w:hRule="atLeast"/>
              </w:trPr>
              <w:tc>
                <w:tcPr>
                  <w:tcW w:w="389" w:type="pct"/>
                  <w:vMerge w:val="continue"/>
                  <w:noWrap w:val="0"/>
                  <w:vAlign w:val="center"/>
                </w:tcPr>
                <w:p>
                  <w:pPr>
                    <w:pStyle w:val="170"/>
                    <w:rPr>
                      <w:rFonts w:hint="eastAsia"/>
                      <w:color w:val="auto"/>
                    </w:rPr>
                  </w:pPr>
                </w:p>
              </w:tc>
              <w:tc>
                <w:tcPr>
                  <w:tcW w:w="2492" w:type="pct"/>
                  <w:noWrap w:val="0"/>
                  <w:vAlign w:val="center"/>
                </w:tcPr>
                <w:p>
                  <w:pPr>
                    <w:pStyle w:val="170"/>
                    <w:rPr>
                      <w:rFonts w:hint="eastAsia"/>
                      <w:color w:val="auto"/>
                    </w:rPr>
                  </w:pPr>
                  <w:r>
                    <w:rPr>
                      <w:rFonts w:hint="eastAsia"/>
                      <w:color w:val="auto"/>
                    </w:rPr>
                    <w:t>加强泥溪河、茫溪河等小流域污染治理，严控泥溪河、茫溪河流域涉水排放项目及水产养殖规模；加强农业面源污染治理，严格控制化肥农药使用量，积极推广畜禽清洁养殖和畜禽粪污无害化、资源化利用技术；</w:t>
                  </w:r>
                </w:p>
              </w:tc>
              <w:tc>
                <w:tcPr>
                  <w:tcW w:w="1666" w:type="pct"/>
                  <w:vMerge w:val="continue"/>
                  <w:noWrap w:val="0"/>
                  <w:vAlign w:val="center"/>
                </w:tcPr>
                <w:p>
                  <w:pPr>
                    <w:pStyle w:val="170"/>
                    <w:rPr>
                      <w:color w:val="auto"/>
                    </w:rPr>
                  </w:pPr>
                </w:p>
              </w:tc>
              <w:tc>
                <w:tcPr>
                  <w:tcW w:w="452" w:type="pct"/>
                  <w:vMerge w:val="continue"/>
                  <w:noWrap w:val="0"/>
                  <w:vAlign w:val="center"/>
                </w:tcPr>
                <w:p>
                  <w:pPr>
                    <w:pStyle w:val="170"/>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6" w:hRule="atLeast"/>
              </w:trPr>
              <w:tc>
                <w:tcPr>
                  <w:tcW w:w="389" w:type="pct"/>
                  <w:vMerge w:val="continue"/>
                  <w:noWrap w:val="0"/>
                  <w:vAlign w:val="center"/>
                </w:tcPr>
                <w:p>
                  <w:pPr>
                    <w:pStyle w:val="170"/>
                    <w:rPr>
                      <w:rFonts w:hint="eastAsia"/>
                      <w:color w:val="auto"/>
                    </w:rPr>
                  </w:pPr>
                </w:p>
              </w:tc>
              <w:tc>
                <w:tcPr>
                  <w:tcW w:w="2492" w:type="pct"/>
                  <w:noWrap w:val="0"/>
                  <w:vAlign w:val="center"/>
                </w:tcPr>
                <w:p>
                  <w:pPr>
                    <w:pStyle w:val="170"/>
                    <w:rPr>
                      <w:rFonts w:hint="eastAsia"/>
                      <w:color w:val="auto"/>
                    </w:rPr>
                  </w:pPr>
                  <w:r>
                    <w:rPr>
                      <w:rFonts w:hint="eastAsia"/>
                      <w:color w:val="auto"/>
                    </w:rPr>
                    <w:t>加强区域大气污染治理，推进涉挥发性有机物排放项目、砖瓦企业深度治理改造；执行大气污染物特别排放限值</w:t>
                  </w:r>
                </w:p>
              </w:tc>
              <w:tc>
                <w:tcPr>
                  <w:tcW w:w="1666" w:type="pct"/>
                  <w:vMerge w:val="continue"/>
                  <w:noWrap w:val="0"/>
                  <w:vAlign w:val="center"/>
                </w:tcPr>
                <w:p>
                  <w:pPr>
                    <w:pStyle w:val="170"/>
                    <w:rPr>
                      <w:color w:val="auto"/>
                    </w:rPr>
                  </w:pPr>
                </w:p>
              </w:tc>
              <w:tc>
                <w:tcPr>
                  <w:tcW w:w="452" w:type="pct"/>
                  <w:vMerge w:val="continue"/>
                  <w:noWrap w:val="0"/>
                  <w:vAlign w:val="center"/>
                </w:tcPr>
                <w:p>
                  <w:pPr>
                    <w:pStyle w:val="170"/>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389" w:type="pct"/>
                  <w:vMerge w:val="continue"/>
                  <w:noWrap w:val="0"/>
                  <w:vAlign w:val="center"/>
                </w:tcPr>
                <w:p>
                  <w:pPr>
                    <w:pStyle w:val="170"/>
                    <w:rPr>
                      <w:rFonts w:hint="eastAsia"/>
                      <w:color w:val="auto"/>
                    </w:rPr>
                  </w:pPr>
                </w:p>
              </w:tc>
              <w:tc>
                <w:tcPr>
                  <w:tcW w:w="2492" w:type="pct"/>
                  <w:noWrap w:val="0"/>
                  <w:vAlign w:val="center"/>
                </w:tcPr>
                <w:p>
                  <w:pPr>
                    <w:pStyle w:val="170"/>
                    <w:rPr>
                      <w:rFonts w:hint="eastAsia"/>
                      <w:color w:val="auto"/>
                    </w:rPr>
                  </w:pPr>
                  <w:r>
                    <w:rPr>
                      <w:rFonts w:hint="eastAsia"/>
                      <w:color w:val="auto"/>
                    </w:rPr>
                    <w:t>加强涉危涉化企业管控，严控环境风险</w:t>
                  </w:r>
                </w:p>
              </w:tc>
              <w:tc>
                <w:tcPr>
                  <w:tcW w:w="1666" w:type="pct"/>
                  <w:vMerge w:val="continue"/>
                  <w:noWrap w:val="0"/>
                  <w:vAlign w:val="center"/>
                </w:tcPr>
                <w:p>
                  <w:pPr>
                    <w:pStyle w:val="170"/>
                    <w:rPr>
                      <w:color w:val="auto"/>
                    </w:rPr>
                  </w:pPr>
                </w:p>
              </w:tc>
              <w:tc>
                <w:tcPr>
                  <w:tcW w:w="452" w:type="pct"/>
                  <w:vMerge w:val="continue"/>
                  <w:noWrap w:val="0"/>
                  <w:vAlign w:val="center"/>
                </w:tcPr>
                <w:p>
                  <w:pPr>
                    <w:pStyle w:val="170"/>
                    <w:rPr>
                      <w:rFonts w:hint="eastAsia"/>
                      <w:color w:val="auto"/>
                    </w:rPr>
                  </w:pPr>
                </w:p>
              </w:tc>
            </w:tr>
          </w:tbl>
          <w:p>
            <w:pPr>
              <w:pStyle w:val="104"/>
              <w:ind w:firstLine="480"/>
              <w:rPr>
                <w:rFonts w:hint="eastAsia"/>
                <w:color w:val="auto"/>
              </w:rPr>
            </w:pPr>
            <w:r>
              <w:rPr>
                <w:rFonts w:hint="eastAsia"/>
                <w:color w:val="auto"/>
              </w:rPr>
              <w:t>综上，项目符合乐山市环境管控单元中重点管控单元生态环境管控要求，符合乐山</w:t>
            </w:r>
            <w:r>
              <w:rPr>
                <w:rFonts w:hint="eastAsia"/>
                <w:bCs/>
                <w:color w:val="auto"/>
              </w:rPr>
              <w:t>市及市中区总体生态环境管控要求。</w:t>
            </w:r>
          </w:p>
          <w:p>
            <w:pPr>
              <w:pStyle w:val="5"/>
              <w:ind w:firstLine="482"/>
              <w:rPr>
                <w:color w:val="auto"/>
              </w:rPr>
            </w:pPr>
            <w:r>
              <w:rPr>
                <w:rFonts w:hint="eastAsia"/>
                <w:color w:val="auto"/>
              </w:rPr>
              <w:t>2、</w:t>
            </w:r>
            <w:r>
              <w:rPr>
                <w:color w:val="auto"/>
              </w:rPr>
              <w:t>与</w:t>
            </w:r>
            <w:r>
              <w:rPr>
                <w:rFonts w:hint="eastAsia"/>
                <w:color w:val="auto"/>
              </w:rPr>
              <w:t>《关于落实生态保护红线、环境质量底线、资源利用上线制定生态环境准入清单实施生态环境分区管控的通知》（川府发〔</w:t>
            </w:r>
            <w:r>
              <w:rPr>
                <w:color w:val="auto"/>
              </w:rPr>
              <w:t>2020</w:t>
            </w:r>
            <w:r>
              <w:rPr>
                <w:rFonts w:hint="eastAsia"/>
                <w:color w:val="auto"/>
              </w:rPr>
              <w:t>〕</w:t>
            </w:r>
            <w:r>
              <w:rPr>
                <w:color w:val="auto"/>
              </w:rPr>
              <w:t>9</w:t>
            </w:r>
            <w:r>
              <w:rPr>
                <w:rFonts w:hint="eastAsia"/>
                <w:color w:val="auto"/>
              </w:rPr>
              <w:t>号）符合性分析</w:t>
            </w:r>
          </w:p>
          <w:p>
            <w:pPr>
              <w:pStyle w:val="104"/>
              <w:ind w:firstLine="480"/>
              <w:rPr>
                <w:color w:val="auto"/>
              </w:rPr>
            </w:pPr>
            <w:r>
              <w:rPr>
                <w:rFonts w:hint="eastAsia"/>
                <w:color w:val="auto"/>
              </w:rPr>
              <w:t>本项目选址于乐山市市中区竹林路636号1楼7号，位于乐山市城区，项目与《关于落实生态保护红线、环境质量底线、资源利用上线制定生态环境准入清单实施生态环境分区管控的通知》（川府发〔</w:t>
            </w:r>
            <w:r>
              <w:rPr>
                <w:color w:val="auto"/>
              </w:rPr>
              <w:t>2020</w:t>
            </w:r>
            <w:r>
              <w:rPr>
                <w:rFonts w:hint="eastAsia"/>
                <w:color w:val="auto"/>
              </w:rPr>
              <w:t>〕</w:t>
            </w:r>
            <w:r>
              <w:rPr>
                <w:color w:val="auto"/>
              </w:rPr>
              <w:t>9</w:t>
            </w:r>
            <w:r>
              <w:rPr>
                <w:rFonts w:hint="eastAsia"/>
                <w:color w:val="auto"/>
              </w:rPr>
              <w:t>号）符合性分析如下：</w:t>
            </w:r>
          </w:p>
          <w:p>
            <w:pPr>
              <w:pStyle w:val="104"/>
              <w:numPr>
                <w:ilvl w:val="0"/>
                <w:numId w:val="9"/>
              </w:numPr>
              <w:ind w:firstLine="482"/>
              <w:rPr>
                <w:b/>
                <w:bCs/>
                <w:color w:val="auto"/>
              </w:rPr>
            </w:pPr>
            <w:r>
              <w:rPr>
                <w:rFonts w:hint="eastAsia"/>
                <w:b/>
                <w:bCs/>
                <w:color w:val="auto"/>
              </w:rPr>
              <w:t>项目所在地“三线一单”环境管控单元类别</w:t>
            </w:r>
          </w:p>
          <w:p>
            <w:pPr>
              <w:pStyle w:val="104"/>
              <w:ind w:firstLine="480"/>
              <w:rPr>
                <w:rFonts w:hint="eastAsia"/>
                <w:color w:val="auto"/>
              </w:rPr>
            </w:pPr>
            <w:r>
              <w:rPr>
                <w:color w:val="auto"/>
              </w:rPr>
              <w:t>本项目位于乐山市市中区竹林路636号1楼7号</w:t>
            </w:r>
            <w:r>
              <w:rPr>
                <w:rFonts w:hint="eastAsia"/>
                <w:color w:val="auto"/>
              </w:rPr>
              <w:t>，查阅四川省“三线一单”符合性分析平台，本项目所在地涉及到环境管控单元5个，所属“三线一单”环境管控单元类别详细见下表。</w:t>
            </w:r>
          </w:p>
          <w:p>
            <w:pPr>
              <w:pStyle w:val="117"/>
              <w:rPr>
                <w:rFonts w:hint="eastAsia"/>
                <w:color w:val="auto"/>
              </w:rPr>
            </w:pPr>
            <w:r>
              <w:rPr>
                <w:rFonts w:hint="eastAsia"/>
                <w:color w:val="auto"/>
              </w:rPr>
              <w:t>表1-3 项目“三线一单”环境管控单元类别一览表</w:t>
            </w:r>
          </w:p>
          <w:tbl>
            <w:tblPr>
              <w:tblStyle w:val="38"/>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51"/>
              <w:gridCol w:w="426"/>
              <w:gridCol w:w="541"/>
              <w:gridCol w:w="1988"/>
              <w:gridCol w:w="1838"/>
              <w:gridCol w:w="20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7" w:hRule="atLeast"/>
              </w:trPr>
              <w:tc>
                <w:tcPr>
                  <w:tcW w:w="377" w:type="pct"/>
                  <w:vMerge w:val="restart"/>
                  <w:noWrap w:val="0"/>
                  <w:vAlign w:val="center"/>
                </w:tcPr>
                <w:p>
                  <w:pPr>
                    <w:pStyle w:val="170"/>
                    <w:rPr>
                      <w:rFonts w:hint="eastAsia"/>
                      <w:b/>
                      <w:bCs/>
                      <w:color w:val="auto"/>
                    </w:rPr>
                  </w:pPr>
                  <w:r>
                    <w:rPr>
                      <w:rFonts w:hint="eastAsia"/>
                      <w:b/>
                      <w:bCs/>
                      <w:color w:val="auto"/>
                    </w:rPr>
                    <w:t>序号</w:t>
                  </w:r>
                </w:p>
              </w:tc>
              <w:tc>
                <w:tcPr>
                  <w:tcW w:w="4622" w:type="pct"/>
                  <w:gridSpan w:val="5"/>
                  <w:noWrap w:val="0"/>
                  <w:vAlign w:val="center"/>
                </w:tcPr>
                <w:p>
                  <w:pPr>
                    <w:pStyle w:val="170"/>
                    <w:rPr>
                      <w:rFonts w:hint="eastAsia"/>
                      <w:b/>
                      <w:bCs/>
                      <w:color w:val="auto"/>
                    </w:rPr>
                  </w:pPr>
                  <w:r>
                    <w:rPr>
                      <w:rFonts w:hint="eastAsia"/>
                      <w:b/>
                      <w:bCs/>
                      <w:color w:val="auto"/>
                    </w:rPr>
                    <w:t>项目“三线一单”环境管控单元类别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05" w:hRule="atLeast"/>
              </w:trPr>
              <w:tc>
                <w:tcPr>
                  <w:tcW w:w="377" w:type="pct"/>
                  <w:vMerge w:val="continue"/>
                  <w:noWrap w:val="0"/>
                  <w:vAlign w:val="center"/>
                </w:tcPr>
                <w:p>
                  <w:pPr>
                    <w:pStyle w:val="170"/>
                    <w:rPr>
                      <w:rFonts w:hint="eastAsia"/>
                      <w:b/>
                      <w:bCs/>
                      <w:color w:val="auto"/>
                    </w:rPr>
                  </w:pPr>
                </w:p>
              </w:tc>
              <w:tc>
                <w:tcPr>
                  <w:tcW w:w="1975" w:type="pct"/>
                  <w:gridSpan w:val="3"/>
                  <w:noWrap w:val="0"/>
                  <w:vAlign w:val="center"/>
                </w:tcPr>
                <w:p>
                  <w:pPr>
                    <w:pStyle w:val="170"/>
                    <w:rPr>
                      <w:rFonts w:hint="eastAsia"/>
                      <w:b/>
                      <w:bCs/>
                      <w:color w:val="auto"/>
                    </w:rPr>
                  </w:pPr>
                  <w:r>
                    <w:rPr>
                      <w:rFonts w:hint="eastAsia"/>
                      <w:b/>
                      <w:bCs/>
                      <w:color w:val="auto"/>
                    </w:rPr>
                    <w:t>环境管控单元分类</w:t>
                  </w:r>
                </w:p>
              </w:tc>
              <w:tc>
                <w:tcPr>
                  <w:tcW w:w="1244" w:type="pct"/>
                  <w:noWrap w:val="0"/>
                  <w:vAlign w:val="center"/>
                </w:tcPr>
                <w:p>
                  <w:pPr>
                    <w:pStyle w:val="170"/>
                    <w:rPr>
                      <w:rFonts w:hint="eastAsia"/>
                      <w:b/>
                      <w:bCs/>
                      <w:color w:val="auto"/>
                    </w:rPr>
                  </w:pPr>
                  <w:r>
                    <w:rPr>
                      <w:rFonts w:hint="eastAsia"/>
                      <w:b/>
                      <w:bCs/>
                      <w:color w:val="auto"/>
                    </w:rPr>
                    <w:t>环境管控单元编码</w:t>
                  </w:r>
                </w:p>
              </w:tc>
              <w:tc>
                <w:tcPr>
                  <w:tcW w:w="1403" w:type="pct"/>
                  <w:noWrap w:val="0"/>
                  <w:vAlign w:val="center"/>
                </w:tcPr>
                <w:p>
                  <w:pPr>
                    <w:pStyle w:val="170"/>
                    <w:rPr>
                      <w:rFonts w:hint="eastAsia"/>
                      <w:b/>
                      <w:bCs/>
                      <w:color w:val="auto"/>
                    </w:rPr>
                  </w:pPr>
                  <w:r>
                    <w:rPr>
                      <w:rFonts w:hint="eastAsia"/>
                      <w:b/>
                      <w:bCs/>
                      <w:color w:val="auto"/>
                    </w:rPr>
                    <w:t>环境管控单元名称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7" w:type="pct"/>
                  <w:noWrap w:val="0"/>
                  <w:vAlign w:val="center"/>
                </w:tcPr>
                <w:p>
                  <w:pPr>
                    <w:pStyle w:val="170"/>
                    <w:rPr>
                      <w:color w:val="auto"/>
                    </w:rPr>
                  </w:pPr>
                  <w:r>
                    <w:rPr>
                      <w:rFonts w:hint="eastAsia"/>
                      <w:color w:val="auto"/>
                    </w:rPr>
                    <w:t>1</w:t>
                  </w:r>
                </w:p>
              </w:tc>
              <w:tc>
                <w:tcPr>
                  <w:tcW w:w="260" w:type="pct"/>
                  <w:vMerge w:val="restart"/>
                  <w:noWrap w:val="0"/>
                  <w:vAlign w:val="center"/>
                </w:tcPr>
                <w:p>
                  <w:pPr>
                    <w:pStyle w:val="170"/>
                    <w:rPr>
                      <w:rFonts w:hint="eastAsia"/>
                      <w:color w:val="auto"/>
                    </w:rPr>
                  </w:pPr>
                  <w:r>
                    <w:rPr>
                      <w:rFonts w:hint="eastAsia"/>
                      <w:color w:val="auto"/>
                    </w:rPr>
                    <w:t>重点管控单元</w:t>
                  </w:r>
                </w:p>
              </w:tc>
              <w:tc>
                <w:tcPr>
                  <w:tcW w:w="370" w:type="pct"/>
                  <w:vMerge w:val="restart"/>
                  <w:noWrap w:val="0"/>
                  <w:vAlign w:val="center"/>
                </w:tcPr>
                <w:p>
                  <w:pPr>
                    <w:pStyle w:val="170"/>
                    <w:rPr>
                      <w:rFonts w:hint="eastAsia"/>
                      <w:color w:val="auto"/>
                    </w:rPr>
                  </w:pPr>
                  <w:r>
                    <w:rPr>
                      <w:rFonts w:hint="eastAsia"/>
                      <w:color w:val="auto"/>
                    </w:rPr>
                    <w:t>城镇重点管控单元</w:t>
                  </w:r>
                </w:p>
              </w:tc>
              <w:tc>
                <w:tcPr>
                  <w:tcW w:w="1966" w:type="dxa"/>
                  <w:noWrap w:val="0"/>
                  <w:vAlign w:val="center"/>
                </w:tcPr>
                <w:p>
                  <w:pPr>
                    <w:pStyle w:val="170"/>
                    <w:rPr>
                      <w:rFonts w:hint="eastAsia"/>
                      <w:color w:val="auto"/>
                    </w:rPr>
                  </w:pPr>
                  <w:r>
                    <w:rPr>
                      <w:rFonts w:hint="eastAsia"/>
                      <w:color w:val="auto"/>
                    </w:rPr>
                    <w:t>环境管控单元</w:t>
                  </w:r>
                </w:p>
              </w:tc>
              <w:tc>
                <w:tcPr>
                  <w:tcW w:w="1850" w:type="dxa"/>
                  <w:noWrap w:val="0"/>
                  <w:vAlign w:val="center"/>
                </w:tcPr>
                <w:p>
                  <w:pPr>
                    <w:pStyle w:val="170"/>
                    <w:rPr>
                      <w:rFonts w:hint="eastAsia"/>
                      <w:color w:val="auto"/>
                    </w:rPr>
                  </w:pPr>
                  <w:r>
                    <w:rPr>
                      <w:rFonts w:hint="eastAsia"/>
                      <w:color w:val="auto"/>
                    </w:rPr>
                    <w:t>ZH51110220001</w:t>
                  </w:r>
                </w:p>
              </w:tc>
              <w:tc>
                <w:tcPr>
                  <w:tcW w:w="2053" w:type="dxa"/>
                  <w:noWrap w:val="0"/>
                  <w:vAlign w:val="center"/>
                </w:tcPr>
                <w:p>
                  <w:pPr>
                    <w:pStyle w:val="170"/>
                    <w:rPr>
                      <w:rFonts w:hint="eastAsia"/>
                      <w:color w:val="auto"/>
                    </w:rPr>
                  </w:pPr>
                  <w:r>
                    <w:rPr>
                      <w:rFonts w:hint="eastAsia"/>
                      <w:color w:val="auto"/>
                    </w:rPr>
                    <w:t>市中区中心城区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7" w:type="pct"/>
                  <w:noWrap w:val="0"/>
                  <w:vAlign w:val="center"/>
                </w:tcPr>
                <w:p>
                  <w:pPr>
                    <w:pStyle w:val="170"/>
                    <w:rPr>
                      <w:color w:val="auto"/>
                    </w:rPr>
                  </w:pPr>
                  <w:r>
                    <w:rPr>
                      <w:rFonts w:hint="eastAsia"/>
                      <w:color w:val="auto"/>
                    </w:rPr>
                    <w:t>2</w:t>
                  </w:r>
                </w:p>
              </w:tc>
              <w:tc>
                <w:tcPr>
                  <w:tcW w:w="260" w:type="pct"/>
                  <w:vMerge w:val="continue"/>
                  <w:noWrap w:val="0"/>
                  <w:vAlign w:val="center"/>
                </w:tcPr>
                <w:p>
                  <w:pPr>
                    <w:pStyle w:val="170"/>
                    <w:rPr>
                      <w:rFonts w:hint="eastAsia"/>
                      <w:color w:val="auto"/>
                    </w:rPr>
                  </w:pPr>
                </w:p>
              </w:tc>
              <w:tc>
                <w:tcPr>
                  <w:tcW w:w="370" w:type="pct"/>
                  <w:vMerge w:val="continue"/>
                  <w:noWrap w:val="0"/>
                  <w:vAlign w:val="center"/>
                </w:tcPr>
                <w:p>
                  <w:pPr>
                    <w:pStyle w:val="170"/>
                    <w:rPr>
                      <w:rFonts w:hint="eastAsia"/>
                      <w:color w:val="auto"/>
                    </w:rPr>
                  </w:pPr>
                </w:p>
              </w:tc>
              <w:tc>
                <w:tcPr>
                  <w:tcW w:w="1966" w:type="dxa"/>
                  <w:noWrap w:val="0"/>
                  <w:vAlign w:val="center"/>
                </w:tcPr>
                <w:p>
                  <w:pPr>
                    <w:pStyle w:val="170"/>
                    <w:rPr>
                      <w:rFonts w:hint="eastAsia"/>
                      <w:color w:val="auto"/>
                    </w:rPr>
                  </w:pPr>
                  <w:r>
                    <w:rPr>
                      <w:rFonts w:hint="eastAsia"/>
                      <w:color w:val="auto"/>
                    </w:rPr>
                    <w:t>水环境管控分区</w:t>
                  </w:r>
                </w:p>
              </w:tc>
              <w:tc>
                <w:tcPr>
                  <w:tcW w:w="1850" w:type="dxa"/>
                  <w:noWrap w:val="0"/>
                  <w:vAlign w:val="center"/>
                </w:tcPr>
                <w:p>
                  <w:pPr>
                    <w:pStyle w:val="170"/>
                    <w:rPr>
                      <w:rFonts w:hint="eastAsia"/>
                      <w:color w:val="auto"/>
                    </w:rPr>
                  </w:pPr>
                  <w:r>
                    <w:rPr>
                      <w:rFonts w:hint="eastAsia"/>
                      <w:color w:val="auto"/>
                    </w:rPr>
                    <w:t>YS5111022220013</w:t>
                  </w:r>
                </w:p>
              </w:tc>
              <w:tc>
                <w:tcPr>
                  <w:tcW w:w="2053" w:type="dxa"/>
                  <w:noWrap w:val="0"/>
                  <w:vAlign w:val="center"/>
                </w:tcPr>
                <w:p>
                  <w:pPr>
                    <w:pStyle w:val="170"/>
                    <w:rPr>
                      <w:rFonts w:hint="eastAsia"/>
                      <w:color w:val="auto"/>
                    </w:rPr>
                  </w:pPr>
                  <w:r>
                    <w:rPr>
                      <w:rFonts w:hint="eastAsia"/>
                      <w:color w:val="auto"/>
                    </w:rPr>
                    <w:t>岷江市中区青衣坝控制单元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77" w:type="pct"/>
                  <w:noWrap w:val="0"/>
                  <w:vAlign w:val="center"/>
                </w:tcPr>
                <w:p>
                  <w:pPr>
                    <w:pStyle w:val="170"/>
                    <w:rPr>
                      <w:color w:val="auto"/>
                    </w:rPr>
                  </w:pPr>
                  <w:r>
                    <w:rPr>
                      <w:rFonts w:hint="eastAsia"/>
                      <w:color w:val="auto"/>
                    </w:rPr>
                    <w:t>3</w:t>
                  </w:r>
                </w:p>
              </w:tc>
              <w:tc>
                <w:tcPr>
                  <w:tcW w:w="260" w:type="pct"/>
                  <w:vMerge w:val="continue"/>
                  <w:noWrap w:val="0"/>
                  <w:vAlign w:val="center"/>
                </w:tcPr>
                <w:p>
                  <w:pPr>
                    <w:pStyle w:val="170"/>
                    <w:rPr>
                      <w:rFonts w:hint="eastAsia"/>
                      <w:color w:val="auto"/>
                    </w:rPr>
                  </w:pPr>
                </w:p>
              </w:tc>
              <w:tc>
                <w:tcPr>
                  <w:tcW w:w="370" w:type="pct"/>
                  <w:vMerge w:val="continue"/>
                  <w:noWrap w:val="0"/>
                  <w:vAlign w:val="center"/>
                </w:tcPr>
                <w:p>
                  <w:pPr>
                    <w:pStyle w:val="170"/>
                    <w:rPr>
                      <w:rFonts w:hint="eastAsia"/>
                      <w:color w:val="auto"/>
                    </w:rPr>
                  </w:pPr>
                </w:p>
              </w:tc>
              <w:tc>
                <w:tcPr>
                  <w:tcW w:w="1966" w:type="dxa"/>
                  <w:noWrap w:val="0"/>
                  <w:vAlign w:val="center"/>
                </w:tcPr>
                <w:p>
                  <w:pPr>
                    <w:pStyle w:val="170"/>
                    <w:rPr>
                      <w:rFonts w:hint="eastAsia"/>
                      <w:color w:val="auto"/>
                    </w:rPr>
                  </w:pPr>
                  <w:r>
                    <w:rPr>
                      <w:rFonts w:hint="eastAsia"/>
                      <w:color w:val="auto"/>
                    </w:rPr>
                    <w:t>大气环境管控分区</w:t>
                  </w:r>
                </w:p>
              </w:tc>
              <w:tc>
                <w:tcPr>
                  <w:tcW w:w="1850" w:type="dxa"/>
                  <w:noWrap w:val="0"/>
                  <w:vAlign w:val="center"/>
                </w:tcPr>
                <w:p>
                  <w:pPr>
                    <w:pStyle w:val="170"/>
                    <w:rPr>
                      <w:rFonts w:hint="eastAsia"/>
                      <w:color w:val="auto"/>
                    </w:rPr>
                  </w:pPr>
                  <w:r>
                    <w:rPr>
                      <w:rFonts w:hint="eastAsia"/>
                      <w:color w:val="auto"/>
                    </w:rPr>
                    <w:t>YS5111022340001</w:t>
                  </w:r>
                </w:p>
              </w:tc>
              <w:tc>
                <w:tcPr>
                  <w:tcW w:w="2053" w:type="dxa"/>
                  <w:noWrap w:val="0"/>
                  <w:vAlign w:val="center"/>
                </w:tcPr>
                <w:p>
                  <w:pPr>
                    <w:pStyle w:val="170"/>
                    <w:rPr>
                      <w:rFonts w:hint="eastAsia"/>
                      <w:color w:val="auto"/>
                    </w:rPr>
                  </w:pPr>
                  <w:r>
                    <w:rPr>
                      <w:rFonts w:hint="eastAsia"/>
                      <w:color w:val="auto"/>
                    </w:rPr>
                    <w:t>乐山市市中区大气环境受体敏感重点管控区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7" w:type="pct"/>
                  <w:noWrap w:val="0"/>
                  <w:vAlign w:val="center"/>
                </w:tcPr>
                <w:p>
                  <w:pPr>
                    <w:pStyle w:val="170"/>
                    <w:rPr>
                      <w:color w:val="auto"/>
                    </w:rPr>
                  </w:pPr>
                  <w:r>
                    <w:rPr>
                      <w:rFonts w:hint="eastAsia"/>
                      <w:color w:val="auto"/>
                    </w:rPr>
                    <w:t>4</w:t>
                  </w:r>
                </w:p>
              </w:tc>
              <w:tc>
                <w:tcPr>
                  <w:tcW w:w="260" w:type="pct"/>
                  <w:vMerge w:val="continue"/>
                  <w:noWrap w:val="0"/>
                  <w:vAlign w:val="center"/>
                </w:tcPr>
                <w:p>
                  <w:pPr>
                    <w:pStyle w:val="170"/>
                    <w:rPr>
                      <w:rFonts w:hint="eastAsia"/>
                      <w:color w:val="auto"/>
                    </w:rPr>
                  </w:pPr>
                </w:p>
              </w:tc>
              <w:tc>
                <w:tcPr>
                  <w:tcW w:w="370" w:type="pct"/>
                  <w:vMerge w:val="continue"/>
                  <w:noWrap w:val="0"/>
                  <w:vAlign w:val="center"/>
                </w:tcPr>
                <w:p>
                  <w:pPr>
                    <w:pStyle w:val="170"/>
                    <w:rPr>
                      <w:rFonts w:hint="eastAsia"/>
                      <w:color w:val="auto"/>
                    </w:rPr>
                  </w:pPr>
                </w:p>
              </w:tc>
              <w:tc>
                <w:tcPr>
                  <w:tcW w:w="1966" w:type="dxa"/>
                  <w:noWrap w:val="0"/>
                  <w:vAlign w:val="center"/>
                </w:tcPr>
                <w:p>
                  <w:pPr>
                    <w:pStyle w:val="170"/>
                    <w:rPr>
                      <w:rFonts w:hint="eastAsia"/>
                      <w:color w:val="auto"/>
                    </w:rPr>
                  </w:pPr>
                  <w:r>
                    <w:rPr>
                      <w:rFonts w:hint="eastAsia"/>
                      <w:color w:val="auto"/>
                    </w:rPr>
                    <w:t>自然资源管控分区</w:t>
                  </w:r>
                </w:p>
              </w:tc>
              <w:tc>
                <w:tcPr>
                  <w:tcW w:w="1850" w:type="dxa"/>
                  <w:noWrap w:val="0"/>
                  <w:vAlign w:val="center"/>
                </w:tcPr>
                <w:p>
                  <w:pPr>
                    <w:pStyle w:val="170"/>
                    <w:rPr>
                      <w:rFonts w:hint="eastAsia"/>
                      <w:color w:val="auto"/>
                    </w:rPr>
                  </w:pPr>
                  <w:r>
                    <w:rPr>
                      <w:rFonts w:hint="eastAsia"/>
                      <w:color w:val="auto"/>
                    </w:rPr>
                    <w:t>YS5111022540006</w:t>
                  </w:r>
                </w:p>
              </w:tc>
              <w:tc>
                <w:tcPr>
                  <w:tcW w:w="2053" w:type="dxa"/>
                  <w:noWrap w:val="0"/>
                  <w:vAlign w:val="center"/>
                </w:tcPr>
                <w:p>
                  <w:pPr>
                    <w:pStyle w:val="170"/>
                    <w:rPr>
                      <w:rFonts w:hint="eastAsia"/>
                      <w:color w:val="auto"/>
                    </w:rPr>
                  </w:pPr>
                  <w:r>
                    <w:rPr>
                      <w:rFonts w:hint="eastAsia"/>
                      <w:color w:val="auto"/>
                    </w:rPr>
                    <w:t>市中区禁燃区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6" w:hRule="atLeast"/>
              </w:trPr>
              <w:tc>
                <w:tcPr>
                  <w:tcW w:w="377" w:type="pct"/>
                  <w:noWrap w:val="0"/>
                  <w:vAlign w:val="center"/>
                </w:tcPr>
                <w:p>
                  <w:pPr>
                    <w:pStyle w:val="170"/>
                    <w:rPr>
                      <w:color w:val="auto"/>
                    </w:rPr>
                  </w:pPr>
                  <w:r>
                    <w:rPr>
                      <w:rFonts w:hint="eastAsia"/>
                      <w:color w:val="auto"/>
                    </w:rPr>
                    <w:t>5</w:t>
                  </w:r>
                </w:p>
              </w:tc>
              <w:tc>
                <w:tcPr>
                  <w:tcW w:w="260" w:type="pct"/>
                  <w:vMerge w:val="continue"/>
                  <w:noWrap w:val="0"/>
                  <w:vAlign w:val="center"/>
                </w:tcPr>
                <w:p>
                  <w:pPr>
                    <w:pStyle w:val="170"/>
                    <w:rPr>
                      <w:rFonts w:hint="eastAsia"/>
                      <w:color w:val="auto"/>
                    </w:rPr>
                  </w:pPr>
                </w:p>
              </w:tc>
              <w:tc>
                <w:tcPr>
                  <w:tcW w:w="370" w:type="pct"/>
                  <w:vMerge w:val="continue"/>
                  <w:noWrap w:val="0"/>
                  <w:vAlign w:val="center"/>
                </w:tcPr>
                <w:p>
                  <w:pPr>
                    <w:pStyle w:val="170"/>
                    <w:rPr>
                      <w:rFonts w:hint="eastAsia"/>
                      <w:color w:val="auto"/>
                    </w:rPr>
                  </w:pPr>
                </w:p>
              </w:tc>
              <w:tc>
                <w:tcPr>
                  <w:tcW w:w="1966" w:type="dxa"/>
                  <w:noWrap w:val="0"/>
                  <w:vAlign w:val="center"/>
                </w:tcPr>
                <w:p>
                  <w:pPr>
                    <w:pStyle w:val="170"/>
                    <w:rPr>
                      <w:rFonts w:hint="eastAsia"/>
                      <w:color w:val="auto"/>
                    </w:rPr>
                  </w:pPr>
                  <w:r>
                    <w:rPr>
                      <w:rFonts w:hint="eastAsia"/>
                      <w:color w:val="auto"/>
                    </w:rPr>
                    <w:t>自然资源管控分区</w:t>
                  </w:r>
                </w:p>
              </w:tc>
              <w:tc>
                <w:tcPr>
                  <w:tcW w:w="1850" w:type="dxa"/>
                  <w:noWrap w:val="0"/>
                  <w:vAlign w:val="center"/>
                </w:tcPr>
                <w:p>
                  <w:pPr>
                    <w:pStyle w:val="170"/>
                    <w:rPr>
                      <w:rFonts w:hint="eastAsia"/>
                      <w:color w:val="auto"/>
                    </w:rPr>
                  </w:pPr>
                  <w:r>
                    <w:rPr>
                      <w:rFonts w:hint="eastAsia"/>
                      <w:color w:val="auto"/>
                    </w:rPr>
                    <w:t>YS5111022550001</w:t>
                  </w:r>
                </w:p>
              </w:tc>
              <w:tc>
                <w:tcPr>
                  <w:tcW w:w="2053" w:type="dxa"/>
                  <w:noWrap w:val="0"/>
                  <w:vAlign w:val="center"/>
                </w:tcPr>
                <w:p>
                  <w:pPr>
                    <w:pStyle w:val="170"/>
                    <w:rPr>
                      <w:rFonts w:hint="eastAsia"/>
                      <w:color w:val="auto"/>
                    </w:rPr>
                  </w:pPr>
                  <w:r>
                    <w:rPr>
                      <w:rFonts w:hint="eastAsia"/>
                      <w:color w:val="auto"/>
                    </w:rPr>
                    <w:t>市中区自然资源重点管控区</w:t>
                  </w:r>
                </w:p>
              </w:tc>
            </w:tr>
          </w:tbl>
          <w:p>
            <w:pPr>
              <w:pStyle w:val="104"/>
              <w:ind w:firstLine="482"/>
              <w:rPr>
                <w:b/>
                <w:bCs/>
                <w:color w:val="auto"/>
              </w:rPr>
            </w:pPr>
            <w:r>
              <w:rPr>
                <w:rFonts w:hint="eastAsia"/>
                <w:b/>
                <w:bCs/>
                <w:color w:val="auto"/>
              </w:rPr>
              <w:t>（2）项目所属环境管控单元管控要求</w:t>
            </w:r>
          </w:p>
          <w:p>
            <w:pPr>
              <w:rPr>
                <w:color w:val="auto"/>
              </w:rPr>
            </w:pPr>
          </w:p>
          <w:p>
            <w:pPr>
              <w:pStyle w:val="204"/>
              <w:bidi w:val="0"/>
              <w:rPr>
                <w:rFonts w:hint="eastAsia"/>
                <w:color w:val="auto"/>
                <w:lang w:eastAsia="zh-CN"/>
              </w:rPr>
            </w:pPr>
            <w:r>
              <w:rPr>
                <w:rFonts w:hint="default"/>
                <w:color w:val="auto"/>
              </w:rPr>
              <w:drawing>
                <wp:inline distT="0" distB="0" distL="114300" distR="114300">
                  <wp:extent cx="4594225" cy="2757170"/>
                  <wp:effectExtent l="0" t="0" r="15875" b="508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76"/>
                          <a:stretch>
                            <a:fillRect/>
                          </a:stretch>
                        </pic:blipFill>
                        <pic:spPr>
                          <a:xfrm>
                            <a:off x="0" y="0"/>
                            <a:ext cx="4594225" cy="2757170"/>
                          </a:xfrm>
                          <a:prstGeom prst="rect">
                            <a:avLst/>
                          </a:prstGeom>
                          <a:noFill/>
                          <a:ln>
                            <a:noFill/>
                          </a:ln>
                        </pic:spPr>
                      </pic:pic>
                    </a:graphicData>
                  </a:graphic>
                </wp:inline>
              </w:drawing>
            </w:r>
          </w:p>
          <w:p>
            <w:pPr>
              <w:pStyle w:val="204"/>
              <w:bidi w:val="0"/>
              <w:rPr>
                <w:color w:val="auto"/>
              </w:rPr>
            </w:pPr>
            <w:r>
              <w:rPr>
                <w:rFonts w:hint="eastAsia"/>
                <w:color w:val="auto"/>
                <w:lang w:eastAsia="zh-CN"/>
              </w:rPr>
              <w:t>附图</w:t>
            </w:r>
            <w:r>
              <w:rPr>
                <w:rFonts w:hint="eastAsia"/>
                <w:color w:val="auto"/>
                <w:lang w:val="en-US" w:eastAsia="zh-CN"/>
              </w:rPr>
              <w:t>1-1  项目与环境综合管控单元的位置关系图</w:t>
            </w:r>
          </w:p>
          <w:p>
            <w:pPr>
              <w:pStyle w:val="104"/>
              <w:ind w:firstLine="480"/>
              <w:rPr>
                <w:rFonts w:hint="eastAsia" w:ascii="宋体" w:hAnsi="宋体" w:eastAsia="宋体"/>
                <w:color w:val="auto"/>
                <w:kern w:val="0"/>
                <w:lang w:eastAsia="zh-CN"/>
              </w:rPr>
            </w:pPr>
            <w:r>
              <w:rPr>
                <w:color w:val="auto"/>
              </w:rPr>
              <w:t>结合</w:t>
            </w:r>
            <w:r>
              <w:rPr>
                <w:rFonts w:hint="eastAsia"/>
                <w:color w:val="auto"/>
              </w:rPr>
              <w:t>“</w:t>
            </w:r>
            <w:r>
              <w:rPr>
                <w:color w:val="auto"/>
              </w:rPr>
              <w:t>三线一单</w:t>
            </w:r>
            <w:r>
              <w:rPr>
                <w:rFonts w:hint="eastAsia"/>
                <w:color w:val="auto"/>
              </w:rPr>
              <w:t>”</w:t>
            </w:r>
            <w:r>
              <w:rPr>
                <w:color w:val="auto"/>
              </w:rPr>
              <w:t>空间分区情况，项目所在的环境管控单元基本情况见下表</w:t>
            </w:r>
            <w:r>
              <w:rPr>
                <w:rFonts w:hint="eastAsia"/>
                <w:color w:val="auto"/>
                <w:lang w:eastAsia="zh-CN"/>
              </w:rPr>
              <w:t>：</w:t>
            </w:r>
          </w:p>
        </w:tc>
      </w:tr>
    </w:tbl>
    <w:p>
      <w:pPr>
        <w:spacing w:line="360" w:lineRule="auto"/>
        <w:ind w:firstLine="600"/>
        <w:rPr>
          <w:rFonts w:eastAsia="黑体"/>
          <w:color w:val="auto"/>
          <w:sz w:val="30"/>
        </w:rPr>
        <w:sectPr>
          <w:headerReference r:id="rId12" w:type="default"/>
          <w:footerReference r:id="rId13" w:type="default"/>
          <w:pgSz w:w="11906" w:h="16838"/>
          <w:pgMar w:top="1701" w:right="1531" w:bottom="1701" w:left="1531" w:header="851" w:footer="1077" w:gutter="0"/>
          <w:pgNumType w:start="1"/>
          <w:cols w:space="720" w:num="1"/>
          <w:docGrid w:linePitch="312" w:charSpace="0"/>
        </w:sectPr>
      </w:pPr>
    </w:p>
    <w:tbl>
      <w:tblPr>
        <w:tblStyle w:val="3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7"/>
        <w:gridCol w:w="124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 w:type="pct"/>
            <w:noWrap w:val="0"/>
            <w:vAlign w:val="center"/>
          </w:tcPr>
          <w:p>
            <w:pPr>
              <w:pStyle w:val="104"/>
              <w:bidi w:val="0"/>
              <w:ind w:left="0" w:leftChars="0" w:firstLine="0" w:firstLineChars="0"/>
              <w:jc w:val="center"/>
              <w:rPr>
                <w:color w:val="auto"/>
              </w:rPr>
            </w:pPr>
            <w:r>
              <w:rPr>
                <w:rFonts w:hint="eastAsia"/>
                <w:color w:val="auto"/>
              </w:rPr>
              <w:t>其他符合性分析</w:t>
            </w:r>
          </w:p>
        </w:tc>
        <w:tc>
          <w:tcPr>
            <w:tcW w:w="4546" w:type="pct"/>
            <w:noWrap w:val="0"/>
            <w:vAlign w:val="top"/>
          </w:tcPr>
          <w:p>
            <w:pPr>
              <w:pStyle w:val="117"/>
              <w:widowControl w:val="0"/>
              <w:bidi w:val="0"/>
              <w:rPr>
                <w:color w:val="auto"/>
              </w:rPr>
            </w:pPr>
            <w:r>
              <w:rPr>
                <w:color w:val="auto"/>
              </w:rPr>
              <w:t>表1-</w:t>
            </w:r>
            <w:r>
              <w:rPr>
                <w:rFonts w:hint="eastAsia"/>
                <w:color w:val="auto"/>
              </w:rPr>
              <w:t xml:space="preserve">4 </w:t>
            </w:r>
            <w:r>
              <w:rPr>
                <w:color w:val="auto"/>
              </w:rPr>
              <w:t>项目环境管控单元基本情况一览表</w:t>
            </w:r>
          </w:p>
          <w:tbl>
            <w:tblPr>
              <w:tblStyle w:val="38"/>
              <w:tblW w:w="4993"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36"/>
              <w:gridCol w:w="676"/>
              <w:gridCol w:w="932"/>
              <w:gridCol w:w="1225"/>
              <w:gridCol w:w="4471"/>
              <w:gridCol w:w="2343"/>
              <w:gridCol w:w="8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1" w:type="pct"/>
                  <w:noWrap w:val="0"/>
                  <w:vAlign w:val="center"/>
                </w:tcPr>
                <w:p>
                  <w:pPr>
                    <w:pStyle w:val="170"/>
                    <w:bidi w:val="0"/>
                    <w:rPr>
                      <w:b/>
                      <w:bCs/>
                      <w:color w:val="auto"/>
                    </w:rPr>
                  </w:pPr>
                  <w:r>
                    <w:rPr>
                      <w:rFonts w:hint="eastAsia"/>
                      <w:b/>
                      <w:bCs/>
                      <w:color w:val="auto"/>
                      <w:lang w:val="en-US" w:eastAsia="zh-CN"/>
                    </w:rPr>
                    <w:t>环境管控单元名称及编号</w:t>
                  </w:r>
                </w:p>
              </w:tc>
              <w:tc>
                <w:tcPr>
                  <w:tcW w:w="278" w:type="pct"/>
                  <w:noWrap w:val="0"/>
                  <w:vAlign w:val="center"/>
                </w:tcPr>
                <w:p>
                  <w:pPr>
                    <w:pStyle w:val="170"/>
                    <w:bidi w:val="0"/>
                    <w:rPr>
                      <w:rFonts w:hint="eastAsia"/>
                      <w:b/>
                      <w:bCs/>
                      <w:color w:val="auto"/>
                      <w:lang w:eastAsia="zh-CN"/>
                    </w:rPr>
                  </w:pPr>
                  <w:r>
                    <w:rPr>
                      <w:rFonts w:hint="eastAsia"/>
                      <w:b/>
                      <w:bCs/>
                      <w:color w:val="auto"/>
                      <w:lang w:eastAsia="zh-CN"/>
                    </w:rPr>
                    <w:t>类别</w:t>
                  </w:r>
                </w:p>
              </w:tc>
              <w:tc>
                <w:tcPr>
                  <w:tcW w:w="2722" w:type="pct"/>
                  <w:gridSpan w:val="3"/>
                  <w:noWrap w:val="0"/>
                  <w:vAlign w:val="center"/>
                </w:tcPr>
                <w:p>
                  <w:pPr>
                    <w:pStyle w:val="170"/>
                    <w:bidi w:val="0"/>
                    <w:rPr>
                      <w:rFonts w:hint="eastAsia"/>
                      <w:b/>
                      <w:bCs/>
                      <w:color w:val="auto"/>
                    </w:rPr>
                  </w:pPr>
                  <w:r>
                    <w:rPr>
                      <w:rFonts w:hint="eastAsia"/>
                      <w:b/>
                      <w:bCs/>
                      <w:color w:val="auto"/>
                    </w:rPr>
                    <w:t>“三线一单”</w:t>
                  </w:r>
                  <w:r>
                    <w:rPr>
                      <w:rFonts w:hint="eastAsia"/>
                      <w:b/>
                      <w:bCs/>
                      <w:color w:val="auto"/>
                      <w:lang w:eastAsia="zh-CN"/>
                    </w:rPr>
                    <w:t>的具体</w:t>
                  </w:r>
                  <w:r>
                    <w:rPr>
                      <w:rFonts w:hint="eastAsia"/>
                      <w:b/>
                      <w:bCs/>
                      <w:color w:val="auto"/>
                    </w:rPr>
                    <w:t>要求</w:t>
                  </w:r>
                </w:p>
              </w:tc>
              <w:tc>
                <w:tcPr>
                  <w:tcW w:w="962" w:type="pct"/>
                  <w:noWrap w:val="0"/>
                  <w:vAlign w:val="center"/>
                </w:tcPr>
                <w:p>
                  <w:pPr>
                    <w:pStyle w:val="170"/>
                    <w:bidi w:val="0"/>
                    <w:rPr>
                      <w:rFonts w:hint="eastAsia"/>
                      <w:b/>
                      <w:bCs/>
                      <w:color w:val="auto"/>
                      <w:lang w:eastAsia="zh-CN"/>
                    </w:rPr>
                  </w:pPr>
                  <w:r>
                    <w:rPr>
                      <w:rFonts w:hint="eastAsia"/>
                      <w:b/>
                      <w:bCs/>
                      <w:color w:val="auto"/>
                      <w:lang w:eastAsia="zh-CN"/>
                    </w:rPr>
                    <w:t>本</w:t>
                  </w:r>
                  <w:r>
                    <w:rPr>
                      <w:b/>
                      <w:bCs/>
                      <w:color w:val="auto"/>
                    </w:rPr>
                    <w:t>项目</w:t>
                  </w:r>
                  <w:r>
                    <w:rPr>
                      <w:rFonts w:hint="eastAsia"/>
                      <w:b/>
                      <w:bCs/>
                      <w:color w:val="auto"/>
                      <w:lang w:eastAsia="zh-CN"/>
                    </w:rPr>
                    <w:t>对应的情况介绍</w:t>
                  </w:r>
                </w:p>
              </w:tc>
              <w:tc>
                <w:tcPr>
                  <w:tcW w:w="365" w:type="pct"/>
                  <w:noWrap w:val="0"/>
                  <w:vAlign w:val="center"/>
                </w:tcPr>
                <w:p>
                  <w:pPr>
                    <w:pStyle w:val="170"/>
                    <w:bidi w:val="0"/>
                    <w:rPr>
                      <w:b/>
                      <w:bCs/>
                      <w:color w:val="auto"/>
                    </w:rPr>
                  </w:pPr>
                  <w:r>
                    <w:rPr>
                      <w:b/>
                      <w:bCs/>
                      <w:color w:val="auto"/>
                    </w:rPr>
                    <w:t>符合性分析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3" w:hRule="atLeast"/>
              </w:trPr>
              <w:tc>
                <w:tcPr>
                  <w:tcW w:w="671" w:type="pct"/>
                  <w:vMerge w:val="restart"/>
                  <w:noWrap w:val="0"/>
                  <w:vAlign w:val="center"/>
                </w:tcPr>
                <w:p>
                  <w:pPr>
                    <w:pStyle w:val="170"/>
                    <w:bidi w:val="0"/>
                    <w:rPr>
                      <w:color w:val="auto"/>
                    </w:rPr>
                  </w:pPr>
                </w:p>
                <w:p>
                  <w:pPr>
                    <w:pStyle w:val="170"/>
                    <w:bidi w:val="0"/>
                    <w:rPr>
                      <w:color w:val="auto"/>
                    </w:rPr>
                  </w:pPr>
                </w:p>
                <w:p>
                  <w:pPr>
                    <w:pStyle w:val="170"/>
                    <w:bidi w:val="0"/>
                    <w:rPr>
                      <w:color w:val="auto"/>
                    </w:rPr>
                  </w:pPr>
                </w:p>
                <w:p>
                  <w:pPr>
                    <w:pStyle w:val="170"/>
                    <w:bidi w:val="0"/>
                    <w:rPr>
                      <w:color w:val="auto"/>
                    </w:rPr>
                  </w:pPr>
                </w:p>
                <w:p>
                  <w:pPr>
                    <w:pStyle w:val="170"/>
                    <w:bidi w:val="0"/>
                    <w:rPr>
                      <w:color w:val="auto"/>
                    </w:rPr>
                  </w:pPr>
                </w:p>
                <w:p>
                  <w:pPr>
                    <w:pStyle w:val="170"/>
                    <w:bidi w:val="0"/>
                    <w:rPr>
                      <w:color w:val="auto"/>
                    </w:rPr>
                  </w:pPr>
                </w:p>
                <w:p>
                  <w:pPr>
                    <w:pStyle w:val="170"/>
                    <w:bidi w:val="0"/>
                    <w:rPr>
                      <w:color w:val="auto"/>
                    </w:rPr>
                  </w:pPr>
                </w:p>
                <w:p>
                  <w:pPr>
                    <w:pStyle w:val="170"/>
                    <w:bidi w:val="0"/>
                    <w:rPr>
                      <w:color w:val="auto"/>
                    </w:rPr>
                  </w:pPr>
                </w:p>
                <w:p>
                  <w:pPr>
                    <w:pStyle w:val="170"/>
                    <w:bidi w:val="0"/>
                    <w:rPr>
                      <w:color w:val="auto"/>
                    </w:rPr>
                  </w:pPr>
                </w:p>
                <w:p>
                  <w:pPr>
                    <w:pStyle w:val="170"/>
                    <w:bidi w:val="0"/>
                    <w:rPr>
                      <w:color w:val="auto"/>
                    </w:rPr>
                  </w:pPr>
                </w:p>
                <w:p>
                  <w:pPr>
                    <w:pStyle w:val="170"/>
                    <w:bidi w:val="0"/>
                    <w:rPr>
                      <w:color w:val="auto"/>
                    </w:rPr>
                  </w:pPr>
                </w:p>
                <w:p>
                  <w:pPr>
                    <w:pStyle w:val="170"/>
                    <w:bidi w:val="0"/>
                    <w:rPr>
                      <w:color w:val="auto"/>
                    </w:rPr>
                  </w:pPr>
                </w:p>
                <w:p>
                  <w:pPr>
                    <w:pStyle w:val="170"/>
                    <w:bidi w:val="0"/>
                    <w:rPr>
                      <w:color w:val="auto"/>
                    </w:rPr>
                  </w:pPr>
                </w:p>
                <w:p>
                  <w:pPr>
                    <w:pStyle w:val="170"/>
                    <w:bidi w:val="0"/>
                    <w:rPr>
                      <w:rFonts w:hint="eastAsia"/>
                      <w:color w:val="auto"/>
                    </w:rPr>
                  </w:pPr>
                  <w:r>
                    <w:rPr>
                      <w:rFonts w:hint="eastAsia"/>
                      <w:color w:val="auto"/>
                    </w:rPr>
                    <w:t>市中区中心城区</w:t>
                  </w:r>
                </w:p>
                <w:p>
                  <w:pPr>
                    <w:pStyle w:val="170"/>
                    <w:bidi w:val="0"/>
                    <w:rPr>
                      <w:rFonts w:hint="eastAsia"/>
                      <w:color w:val="auto"/>
                    </w:rPr>
                  </w:pPr>
                  <w:r>
                    <w:rPr>
                      <w:rFonts w:hint="eastAsia"/>
                      <w:color w:val="auto"/>
                    </w:rPr>
                    <w:t>ZH51110220001</w:t>
                  </w:r>
                </w:p>
                <w:p>
                  <w:pPr>
                    <w:pStyle w:val="170"/>
                    <w:bidi w:val="0"/>
                    <w:rPr>
                      <w:rFonts w:hint="eastAsia"/>
                      <w:color w:val="auto"/>
                    </w:rPr>
                  </w:pPr>
                </w:p>
                <w:p>
                  <w:pPr>
                    <w:pStyle w:val="170"/>
                    <w:bidi w:val="0"/>
                    <w:rPr>
                      <w:color w:val="auto"/>
                    </w:rPr>
                  </w:pPr>
                </w:p>
                <w:p>
                  <w:pPr>
                    <w:pStyle w:val="170"/>
                    <w:bidi w:val="0"/>
                    <w:rPr>
                      <w:color w:val="auto"/>
                    </w:rPr>
                  </w:pPr>
                </w:p>
                <w:p>
                  <w:pPr>
                    <w:pStyle w:val="170"/>
                    <w:bidi w:val="0"/>
                    <w:rPr>
                      <w:color w:val="auto"/>
                    </w:rPr>
                  </w:pPr>
                </w:p>
                <w:p>
                  <w:pPr>
                    <w:pStyle w:val="170"/>
                    <w:bidi w:val="0"/>
                    <w:rPr>
                      <w:color w:val="auto"/>
                    </w:rPr>
                  </w:pPr>
                </w:p>
                <w:p>
                  <w:pPr>
                    <w:pStyle w:val="170"/>
                    <w:bidi w:val="0"/>
                    <w:rPr>
                      <w:color w:val="auto"/>
                    </w:rPr>
                  </w:pPr>
                </w:p>
                <w:p>
                  <w:pPr>
                    <w:pStyle w:val="170"/>
                    <w:bidi w:val="0"/>
                    <w:rPr>
                      <w:color w:val="auto"/>
                    </w:rPr>
                  </w:pPr>
                </w:p>
                <w:p>
                  <w:pPr>
                    <w:pStyle w:val="170"/>
                    <w:bidi w:val="0"/>
                    <w:rPr>
                      <w:color w:val="auto"/>
                    </w:rPr>
                  </w:pPr>
                </w:p>
                <w:p>
                  <w:pPr>
                    <w:pStyle w:val="170"/>
                    <w:bidi w:val="0"/>
                    <w:rPr>
                      <w:color w:val="auto"/>
                    </w:rPr>
                  </w:pPr>
                </w:p>
                <w:p>
                  <w:pPr>
                    <w:pStyle w:val="170"/>
                    <w:bidi w:val="0"/>
                    <w:rPr>
                      <w:color w:val="auto"/>
                    </w:rPr>
                  </w:pPr>
                </w:p>
                <w:p>
                  <w:pPr>
                    <w:pStyle w:val="170"/>
                    <w:bidi w:val="0"/>
                    <w:rPr>
                      <w:color w:val="auto"/>
                    </w:rPr>
                  </w:pPr>
                </w:p>
                <w:p>
                  <w:pPr>
                    <w:pStyle w:val="170"/>
                    <w:bidi w:val="0"/>
                    <w:rPr>
                      <w:color w:val="auto"/>
                    </w:rPr>
                  </w:pPr>
                </w:p>
                <w:p>
                  <w:pPr>
                    <w:pStyle w:val="170"/>
                    <w:bidi w:val="0"/>
                    <w:rPr>
                      <w:color w:val="auto"/>
                    </w:rPr>
                  </w:pPr>
                </w:p>
                <w:p>
                  <w:pPr>
                    <w:pStyle w:val="170"/>
                    <w:bidi w:val="0"/>
                    <w:rPr>
                      <w:color w:val="auto"/>
                    </w:rPr>
                  </w:pPr>
                </w:p>
                <w:p>
                  <w:pPr>
                    <w:pStyle w:val="170"/>
                    <w:bidi w:val="0"/>
                    <w:rPr>
                      <w:color w:val="auto"/>
                    </w:rPr>
                  </w:pPr>
                </w:p>
                <w:p>
                  <w:pPr>
                    <w:pStyle w:val="170"/>
                    <w:bidi w:val="0"/>
                    <w:rPr>
                      <w:color w:val="auto"/>
                    </w:rPr>
                  </w:pPr>
                </w:p>
                <w:p>
                  <w:pPr>
                    <w:pStyle w:val="170"/>
                    <w:bidi w:val="0"/>
                    <w:rPr>
                      <w:color w:val="auto"/>
                    </w:rPr>
                  </w:pPr>
                </w:p>
                <w:p>
                  <w:pPr>
                    <w:pStyle w:val="170"/>
                    <w:bidi w:val="0"/>
                    <w:rPr>
                      <w:color w:val="auto"/>
                    </w:rPr>
                  </w:pPr>
                </w:p>
                <w:p>
                  <w:pPr>
                    <w:pStyle w:val="170"/>
                    <w:bidi w:val="0"/>
                    <w:rPr>
                      <w:color w:val="auto"/>
                    </w:rPr>
                  </w:pPr>
                </w:p>
                <w:p>
                  <w:pPr>
                    <w:pStyle w:val="170"/>
                    <w:bidi w:val="0"/>
                    <w:rPr>
                      <w:color w:val="auto"/>
                    </w:rPr>
                  </w:pPr>
                </w:p>
                <w:p>
                  <w:pPr>
                    <w:pStyle w:val="170"/>
                    <w:bidi w:val="0"/>
                    <w:rPr>
                      <w:color w:val="auto"/>
                    </w:rPr>
                  </w:pPr>
                </w:p>
                <w:p>
                  <w:pPr>
                    <w:pStyle w:val="170"/>
                    <w:bidi w:val="0"/>
                    <w:rPr>
                      <w:color w:val="auto"/>
                    </w:rPr>
                  </w:pPr>
                </w:p>
                <w:p>
                  <w:pPr>
                    <w:pStyle w:val="170"/>
                    <w:bidi w:val="0"/>
                    <w:rPr>
                      <w:color w:val="auto"/>
                    </w:rPr>
                  </w:pPr>
                </w:p>
              </w:tc>
              <w:tc>
                <w:tcPr>
                  <w:tcW w:w="278" w:type="pct"/>
                  <w:vMerge w:val="restart"/>
                  <w:noWrap w:val="0"/>
                  <w:vAlign w:val="center"/>
                </w:tcPr>
                <w:p>
                  <w:pPr>
                    <w:pStyle w:val="170"/>
                    <w:bidi w:val="0"/>
                    <w:rPr>
                      <w:color w:val="auto"/>
                    </w:rPr>
                  </w:pPr>
                </w:p>
                <w:p>
                  <w:pPr>
                    <w:pStyle w:val="170"/>
                    <w:bidi w:val="0"/>
                    <w:rPr>
                      <w:color w:val="auto"/>
                    </w:rPr>
                  </w:pPr>
                </w:p>
                <w:p>
                  <w:pPr>
                    <w:pStyle w:val="170"/>
                    <w:bidi w:val="0"/>
                    <w:rPr>
                      <w:color w:val="auto"/>
                    </w:rPr>
                  </w:pPr>
                </w:p>
                <w:p>
                  <w:pPr>
                    <w:pStyle w:val="170"/>
                    <w:bidi w:val="0"/>
                    <w:rPr>
                      <w:color w:val="auto"/>
                    </w:rPr>
                  </w:pPr>
                </w:p>
                <w:p>
                  <w:pPr>
                    <w:pStyle w:val="170"/>
                    <w:bidi w:val="0"/>
                    <w:rPr>
                      <w:color w:val="auto"/>
                    </w:rPr>
                  </w:pPr>
                </w:p>
                <w:p>
                  <w:pPr>
                    <w:pStyle w:val="170"/>
                    <w:bidi w:val="0"/>
                    <w:rPr>
                      <w:color w:val="auto"/>
                    </w:rPr>
                  </w:pPr>
                </w:p>
                <w:p>
                  <w:pPr>
                    <w:pStyle w:val="170"/>
                    <w:bidi w:val="0"/>
                    <w:rPr>
                      <w:color w:val="auto"/>
                    </w:rPr>
                  </w:pPr>
                </w:p>
                <w:p>
                  <w:pPr>
                    <w:pStyle w:val="170"/>
                    <w:bidi w:val="0"/>
                    <w:rPr>
                      <w:color w:val="auto"/>
                    </w:rPr>
                  </w:pPr>
                </w:p>
                <w:p>
                  <w:pPr>
                    <w:pStyle w:val="170"/>
                    <w:bidi w:val="0"/>
                    <w:rPr>
                      <w:color w:val="auto"/>
                    </w:rPr>
                  </w:pPr>
                </w:p>
                <w:p>
                  <w:pPr>
                    <w:pStyle w:val="170"/>
                    <w:bidi w:val="0"/>
                    <w:rPr>
                      <w:color w:val="auto"/>
                    </w:rPr>
                  </w:pPr>
                </w:p>
                <w:p>
                  <w:pPr>
                    <w:pStyle w:val="170"/>
                    <w:bidi w:val="0"/>
                    <w:rPr>
                      <w:color w:val="auto"/>
                    </w:rPr>
                  </w:pPr>
                </w:p>
                <w:p>
                  <w:pPr>
                    <w:pStyle w:val="170"/>
                    <w:bidi w:val="0"/>
                    <w:rPr>
                      <w:color w:val="auto"/>
                    </w:rPr>
                  </w:pPr>
                </w:p>
                <w:p>
                  <w:pPr>
                    <w:pStyle w:val="170"/>
                    <w:bidi w:val="0"/>
                    <w:rPr>
                      <w:color w:val="auto"/>
                    </w:rPr>
                  </w:pPr>
                  <w:r>
                    <w:rPr>
                      <w:color w:val="auto"/>
                    </w:rPr>
                    <w:t>普适性清单管控要求</w:t>
                  </w:r>
                </w:p>
              </w:tc>
              <w:tc>
                <w:tcPr>
                  <w:tcW w:w="383" w:type="pct"/>
                  <w:vMerge w:val="restart"/>
                  <w:noWrap w:val="0"/>
                  <w:vAlign w:val="center"/>
                </w:tcPr>
                <w:p>
                  <w:pPr>
                    <w:pStyle w:val="170"/>
                    <w:bidi w:val="0"/>
                    <w:rPr>
                      <w:color w:val="auto"/>
                    </w:rPr>
                  </w:pPr>
                  <w:r>
                    <w:rPr>
                      <w:color w:val="auto"/>
                    </w:rPr>
                    <w:t>空间布局约束</w:t>
                  </w:r>
                </w:p>
              </w:tc>
              <w:tc>
                <w:tcPr>
                  <w:tcW w:w="503" w:type="pct"/>
                  <w:noWrap w:val="0"/>
                  <w:vAlign w:val="center"/>
                </w:tcPr>
                <w:p>
                  <w:pPr>
                    <w:pStyle w:val="170"/>
                    <w:bidi w:val="0"/>
                    <w:rPr>
                      <w:color w:val="auto"/>
                    </w:rPr>
                  </w:pPr>
                  <w:r>
                    <w:rPr>
                      <w:color w:val="auto"/>
                    </w:rPr>
                    <w:t>禁止开发建设活动的要求</w:t>
                  </w:r>
                </w:p>
              </w:tc>
              <w:tc>
                <w:tcPr>
                  <w:tcW w:w="1835" w:type="pct"/>
                  <w:noWrap w:val="0"/>
                  <w:vAlign w:val="center"/>
                </w:tcPr>
                <w:p>
                  <w:pPr>
                    <w:pStyle w:val="170"/>
                    <w:bidi w:val="0"/>
                    <w:rPr>
                      <w:color w:val="auto"/>
                    </w:rPr>
                  </w:pPr>
                  <w:r>
                    <w:rPr>
                      <w:color w:val="auto"/>
                    </w:rPr>
                    <w:t>（1）原则上禁止新建生产性企业，经论证与周边环境相容的涉及民生的工业企业除外（2）禁止在长江干支流岸线1公里范围内新建、扩建化工园区和化工项目</w:t>
                  </w:r>
                  <w:r>
                    <w:rPr>
                      <w:rFonts w:hint="eastAsia"/>
                      <w:color w:val="auto"/>
                    </w:rPr>
                    <w:t>；</w:t>
                  </w:r>
                  <w:r>
                    <w:rPr>
                      <w:color w:val="auto"/>
                    </w:rPr>
                    <w:t> 禁止在长江重要支流岸线一公里范围内新建、改建、扩建尾矿库（以提升安全、生态环境保护水平为目的的改建除外）（3）禁止在居民区、学校、医疗和养老机构等周边新建有色金属冶炼、焦化、化工、铅蓄电池制造等行业企业</w:t>
                  </w:r>
                  <w:r>
                    <w:rPr>
                      <w:rFonts w:hint="eastAsia"/>
                      <w:color w:val="auto"/>
                    </w:rPr>
                    <w:t>；</w:t>
                  </w:r>
                  <w:r>
                    <w:rPr>
                      <w:color w:val="auto"/>
                    </w:rPr>
                    <w:t>严禁在人口聚集区新建涉及重金属排放的项目（4）禁止在长江流域禁止采砂区和禁止采砂期从事采砂活动;</w:t>
                  </w:r>
                </w:p>
              </w:tc>
              <w:tc>
                <w:tcPr>
                  <w:tcW w:w="962" w:type="pct"/>
                  <w:noWrap w:val="0"/>
                  <w:vAlign w:val="center"/>
                </w:tcPr>
                <w:p>
                  <w:pPr>
                    <w:pStyle w:val="170"/>
                    <w:bidi w:val="0"/>
                    <w:rPr>
                      <w:rFonts w:hint="eastAsia"/>
                      <w:color w:val="auto"/>
                    </w:rPr>
                  </w:pPr>
                  <w:r>
                    <w:rPr>
                      <w:rFonts w:hint="eastAsia"/>
                      <w:color w:val="auto"/>
                    </w:rPr>
                    <w:t>本项目为宠物医院服务项目，不属于生产性企业，不属于冶炼、焦化、化工、铅蓄电池制造行业，项目不涉及重金属排放，不属于禁止开发建设活动</w:t>
                  </w:r>
                </w:p>
              </w:tc>
              <w:tc>
                <w:tcPr>
                  <w:tcW w:w="365" w:type="pct"/>
                  <w:noWrap w:val="0"/>
                  <w:vAlign w:val="center"/>
                </w:tcPr>
                <w:p>
                  <w:pPr>
                    <w:pStyle w:val="170"/>
                    <w:bidi w:val="0"/>
                    <w:rPr>
                      <w:rFonts w:hint="eastAsia"/>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 w:hRule="atLeast"/>
              </w:trPr>
              <w:tc>
                <w:tcPr>
                  <w:tcW w:w="671" w:type="pct"/>
                  <w:vMerge w:val="continue"/>
                  <w:noWrap w:val="0"/>
                  <w:vAlign w:val="center"/>
                </w:tcPr>
                <w:p>
                  <w:pPr>
                    <w:pStyle w:val="170"/>
                    <w:bidi w:val="0"/>
                    <w:rPr>
                      <w:color w:val="auto"/>
                    </w:rPr>
                  </w:pPr>
                </w:p>
              </w:tc>
              <w:tc>
                <w:tcPr>
                  <w:tcW w:w="278" w:type="pct"/>
                  <w:vMerge w:val="continue"/>
                  <w:noWrap w:val="0"/>
                  <w:vAlign w:val="center"/>
                </w:tcPr>
                <w:p>
                  <w:pPr>
                    <w:pStyle w:val="170"/>
                    <w:bidi w:val="0"/>
                    <w:rPr>
                      <w:color w:val="auto"/>
                    </w:rPr>
                  </w:pPr>
                </w:p>
              </w:tc>
              <w:tc>
                <w:tcPr>
                  <w:tcW w:w="383" w:type="pct"/>
                  <w:vMerge w:val="continue"/>
                  <w:noWrap w:val="0"/>
                  <w:vAlign w:val="center"/>
                </w:tcPr>
                <w:p>
                  <w:pPr>
                    <w:pStyle w:val="170"/>
                    <w:bidi w:val="0"/>
                    <w:rPr>
                      <w:color w:val="auto"/>
                    </w:rPr>
                  </w:pPr>
                </w:p>
              </w:tc>
              <w:tc>
                <w:tcPr>
                  <w:tcW w:w="503" w:type="pct"/>
                  <w:noWrap w:val="0"/>
                  <w:vAlign w:val="center"/>
                </w:tcPr>
                <w:p>
                  <w:pPr>
                    <w:pStyle w:val="170"/>
                    <w:bidi w:val="0"/>
                    <w:rPr>
                      <w:color w:val="auto"/>
                    </w:rPr>
                  </w:pPr>
                  <w:r>
                    <w:rPr>
                      <w:color w:val="auto"/>
                    </w:rPr>
                    <w:t>限制开发建设活动的要求</w:t>
                  </w:r>
                </w:p>
              </w:tc>
              <w:tc>
                <w:tcPr>
                  <w:tcW w:w="1835" w:type="pct"/>
                  <w:noWrap w:val="0"/>
                  <w:vAlign w:val="center"/>
                </w:tcPr>
                <w:p>
                  <w:pPr>
                    <w:pStyle w:val="170"/>
                    <w:bidi w:val="0"/>
                    <w:rPr>
                      <w:color w:val="auto"/>
                    </w:rPr>
                  </w:pPr>
                  <w:r>
                    <w:rPr>
                      <w:color w:val="auto"/>
                    </w:rPr>
                    <w:t>（1）现有工业企业（涉及民生的除外）限制发展，允许以提升安全、生态环境保护水平为目的的改建，引导企业搬入产业对口园区（2）严格控制在城镇空间范围内新布设工业园区</w:t>
                  </w:r>
                  <w:r>
                    <w:rPr>
                      <w:rFonts w:hint="eastAsia"/>
                      <w:color w:val="auto"/>
                    </w:rPr>
                    <w:t>；</w:t>
                  </w:r>
                  <w:r>
                    <w:rPr>
                      <w:color w:val="auto"/>
                    </w:rPr>
                    <w:t> 若新布局工业园区，应符合乐山市国土空间规划，并结合区域环境特点、三线成果、园区产业类别，充分论证选址的环境合理性（3）长江流域河道采砂应当依法取得国务院水行政主管部门有关流域管理机构或者县级以上地方人民政府水行政主管部门的许可</w:t>
                  </w:r>
                  <w:r>
                    <w:rPr>
                      <w:rFonts w:hint="eastAsia"/>
                      <w:color w:val="auto"/>
                    </w:rPr>
                    <w:t>；</w:t>
                  </w:r>
                  <w:r>
                    <w:rPr>
                      <w:color w:val="auto"/>
                    </w:rPr>
                    <w:t>严格控制采砂区域、采砂总量和采砂区域内的采砂船舶数量;</w:t>
                  </w:r>
                </w:p>
              </w:tc>
              <w:tc>
                <w:tcPr>
                  <w:tcW w:w="962" w:type="pct"/>
                  <w:noWrap w:val="0"/>
                  <w:vAlign w:val="center"/>
                </w:tcPr>
                <w:p>
                  <w:pPr>
                    <w:pStyle w:val="170"/>
                    <w:bidi w:val="0"/>
                    <w:rPr>
                      <w:rFonts w:hint="eastAsia"/>
                      <w:color w:val="auto"/>
                    </w:rPr>
                  </w:pPr>
                  <w:r>
                    <w:rPr>
                      <w:rFonts w:hint="eastAsia"/>
                      <w:color w:val="auto"/>
                    </w:rPr>
                    <w:t>本项目为宠物医院建设项目，属于民生有需求类项目，项目为未批先建，但根据对项目现场调查，项目已采取了部分环保措施</w:t>
                  </w:r>
                </w:p>
              </w:tc>
              <w:tc>
                <w:tcPr>
                  <w:tcW w:w="365" w:type="pct"/>
                  <w:noWrap w:val="0"/>
                  <w:vAlign w:val="center"/>
                </w:tcPr>
                <w:p>
                  <w:pPr>
                    <w:pStyle w:val="170"/>
                    <w:bidi w:val="0"/>
                    <w:rPr>
                      <w:rFonts w:hint="eastAsia"/>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3" w:hRule="atLeast"/>
              </w:trPr>
              <w:tc>
                <w:tcPr>
                  <w:tcW w:w="671" w:type="pct"/>
                  <w:vMerge w:val="continue"/>
                  <w:noWrap w:val="0"/>
                  <w:vAlign w:val="center"/>
                </w:tcPr>
                <w:p>
                  <w:pPr>
                    <w:pStyle w:val="170"/>
                    <w:bidi w:val="0"/>
                    <w:rPr>
                      <w:color w:val="auto"/>
                    </w:rPr>
                  </w:pPr>
                </w:p>
              </w:tc>
              <w:tc>
                <w:tcPr>
                  <w:tcW w:w="278" w:type="pct"/>
                  <w:vMerge w:val="continue"/>
                  <w:noWrap w:val="0"/>
                  <w:vAlign w:val="center"/>
                </w:tcPr>
                <w:p>
                  <w:pPr>
                    <w:pStyle w:val="170"/>
                    <w:bidi w:val="0"/>
                    <w:rPr>
                      <w:color w:val="auto"/>
                    </w:rPr>
                  </w:pPr>
                </w:p>
              </w:tc>
              <w:tc>
                <w:tcPr>
                  <w:tcW w:w="383" w:type="pct"/>
                  <w:vMerge w:val="continue"/>
                  <w:noWrap w:val="0"/>
                  <w:vAlign w:val="center"/>
                </w:tcPr>
                <w:p>
                  <w:pPr>
                    <w:pStyle w:val="170"/>
                    <w:bidi w:val="0"/>
                    <w:rPr>
                      <w:color w:val="auto"/>
                    </w:rPr>
                  </w:pPr>
                </w:p>
              </w:tc>
              <w:tc>
                <w:tcPr>
                  <w:tcW w:w="503" w:type="pct"/>
                  <w:noWrap w:val="0"/>
                  <w:vAlign w:val="center"/>
                </w:tcPr>
                <w:p>
                  <w:pPr>
                    <w:pStyle w:val="170"/>
                    <w:bidi w:val="0"/>
                    <w:rPr>
                      <w:color w:val="auto"/>
                    </w:rPr>
                  </w:pPr>
                  <w:r>
                    <w:rPr>
                      <w:color w:val="auto"/>
                    </w:rPr>
                    <w:t>不符合空间布局要求活动的退出要求</w:t>
                  </w:r>
                </w:p>
              </w:tc>
              <w:tc>
                <w:tcPr>
                  <w:tcW w:w="1835" w:type="pct"/>
                  <w:noWrap w:val="0"/>
                  <w:vAlign w:val="center"/>
                </w:tcPr>
                <w:p>
                  <w:pPr>
                    <w:pStyle w:val="170"/>
                    <w:bidi w:val="0"/>
                    <w:rPr>
                      <w:color w:val="auto"/>
                    </w:rPr>
                  </w:pPr>
                  <w:r>
                    <w:rPr>
                      <w:color w:val="auto"/>
                    </w:rPr>
                    <w:t> （1）长江主要支流重点管控岸线：按照长江干线非法码头治理标准和生态保护红线管控等要求，持续开展长江主要支流非法码头整治（2）加快城市建成区重污染企业搬迁改造或关闭退出，推动实施一批重污染企业搬迁工程</w:t>
                  </w:r>
                  <w:r>
                    <w:rPr>
                      <w:rFonts w:hint="eastAsia"/>
                      <w:color w:val="auto"/>
                    </w:rPr>
                    <w:t>；</w:t>
                  </w:r>
                  <w:r>
                    <w:rPr>
                      <w:color w:val="auto"/>
                    </w:rPr>
                    <w:t> 大气污染防治重点区域城市钢铁企业要切实采取彻底关停、转型发展、就地改造、域外搬迁等方式转型升级（3）长江干流及主要支流岸线延伸至陆域200米范围内基本消除畜禽养殖场（小区）</w:t>
                  </w:r>
                </w:p>
              </w:tc>
              <w:tc>
                <w:tcPr>
                  <w:tcW w:w="962" w:type="pct"/>
                  <w:noWrap w:val="0"/>
                  <w:vAlign w:val="center"/>
                </w:tcPr>
                <w:p>
                  <w:pPr>
                    <w:pStyle w:val="170"/>
                    <w:bidi w:val="0"/>
                    <w:rPr>
                      <w:rFonts w:hint="eastAsia"/>
                      <w:color w:val="auto"/>
                    </w:rPr>
                  </w:pPr>
                  <w:r>
                    <w:rPr>
                      <w:rFonts w:hint="eastAsia"/>
                      <w:color w:val="auto"/>
                    </w:rPr>
                    <w:t>本项目为宠物医院建设项目，位于中心城区，不属于不符合空间布局要求的项目</w:t>
                  </w:r>
                </w:p>
              </w:tc>
              <w:tc>
                <w:tcPr>
                  <w:tcW w:w="365" w:type="pct"/>
                  <w:noWrap w:val="0"/>
                  <w:vAlign w:val="center"/>
                </w:tcPr>
                <w:p>
                  <w:pPr>
                    <w:pStyle w:val="170"/>
                    <w:bidi w:val="0"/>
                    <w:rPr>
                      <w:rFonts w:hint="eastAsia"/>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8" w:hRule="atLeast"/>
              </w:trPr>
              <w:tc>
                <w:tcPr>
                  <w:tcW w:w="671" w:type="pct"/>
                  <w:vMerge w:val="continue"/>
                  <w:noWrap w:val="0"/>
                  <w:vAlign w:val="center"/>
                </w:tcPr>
                <w:p>
                  <w:pPr>
                    <w:pStyle w:val="170"/>
                    <w:bidi w:val="0"/>
                    <w:rPr>
                      <w:color w:val="auto"/>
                    </w:rPr>
                  </w:pPr>
                </w:p>
              </w:tc>
              <w:tc>
                <w:tcPr>
                  <w:tcW w:w="278" w:type="pct"/>
                  <w:vMerge w:val="continue"/>
                  <w:noWrap w:val="0"/>
                  <w:vAlign w:val="center"/>
                </w:tcPr>
                <w:p>
                  <w:pPr>
                    <w:pStyle w:val="170"/>
                    <w:bidi w:val="0"/>
                    <w:rPr>
                      <w:color w:val="auto"/>
                    </w:rPr>
                  </w:pPr>
                </w:p>
              </w:tc>
              <w:tc>
                <w:tcPr>
                  <w:tcW w:w="383" w:type="pct"/>
                  <w:vMerge w:val="continue"/>
                  <w:noWrap w:val="0"/>
                  <w:vAlign w:val="center"/>
                </w:tcPr>
                <w:p>
                  <w:pPr>
                    <w:pStyle w:val="170"/>
                    <w:bidi w:val="0"/>
                    <w:rPr>
                      <w:color w:val="auto"/>
                    </w:rPr>
                  </w:pPr>
                </w:p>
              </w:tc>
              <w:tc>
                <w:tcPr>
                  <w:tcW w:w="503" w:type="pct"/>
                  <w:noWrap w:val="0"/>
                  <w:vAlign w:val="center"/>
                </w:tcPr>
                <w:p>
                  <w:pPr>
                    <w:pStyle w:val="170"/>
                    <w:bidi w:val="0"/>
                    <w:rPr>
                      <w:color w:val="auto"/>
                    </w:rPr>
                  </w:pPr>
                  <w:r>
                    <w:rPr>
                      <w:color w:val="auto"/>
                    </w:rPr>
                    <w:t>其他空间布局约束要求</w:t>
                  </w:r>
                </w:p>
              </w:tc>
              <w:tc>
                <w:tcPr>
                  <w:tcW w:w="1835" w:type="pct"/>
                  <w:noWrap w:val="0"/>
                  <w:vAlign w:val="center"/>
                </w:tcPr>
                <w:p>
                  <w:pPr>
                    <w:pStyle w:val="170"/>
                    <w:bidi w:val="0"/>
                    <w:rPr>
                      <w:color w:val="auto"/>
                    </w:rPr>
                  </w:pPr>
                  <w:r>
                    <w:rPr>
                      <w:color w:val="auto"/>
                    </w:rPr>
                    <w:t>（1）长江干流及主要支流重点管控岸线：加强滨水岸线管控，以生态保护为主基调，加快推进生态修复工作进程（2）加大交通运输结构优化调整力度，推动</w:t>
                  </w:r>
                  <w:r>
                    <w:rPr>
                      <w:rFonts w:hint="eastAsia"/>
                      <w:color w:val="auto"/>
                    </w:rPr>
                    <w:t>“</w:t>
                  </w:r>
                  <w:r>
                    <w:rPr>
                      <w:color w:val="auto"/>
                    </w:rPr>
                    <w:t>公转铁</w:t>
                  </w:r>
                  <w:r>
                    <w:rPr>
                      <w:rFonts w:hint="eastAsia"/>
                      <w:color w:val="auto"/>
                    </w:rPr>
                    <w:t>”“</w:t>
                  </w:r>
                  <w:r>
                    <w:rPr>
                      <w:color w:val="auto"/>
                    </w:rPr>
                    <w:t>公转水</w:t>
                  </w:r>
                  <w:r>
                    <w:rPr>
                      <w:rFonts w:hint="eastAsia"/>
                      <w:color w:val="auto"/>
                    </w:rPr>
                    <w:t>”</w:t>
                  </w:r>
                  <w:r>
                    <w:rPr>
                      <w:color w:val="auto"/>
                    </w:rPr>
                    <w:t>和多式联运，推广节能和新能源车辆</w:t>
                  </w:r>
                </w:p>
              </w:tc>
              <w:tc>
                <w:tcPr>
                  <w:tcW w:w="962" w:type="pct"/>
                  <w:noWrap w:val="0"/>
                  <w:vAlign w:val="center"/>
                </w:tcPr>
                <w:p>
                  <w:pPr>
                    <w:pStyle w:val="170"/>
                    <w:bidi w:val="0"/>
                    <w:rPr>
                      <w:rFonts w:hint="eastAsia"/>
                      <w:color w:val="auto"/>
                    </w:rPr>
                  </w:pPr>
                  <w:r>
                    <w:rPr>
                      <w:rFonts w:hint="eastAsia"/>
                      <w:color w:val="auto"/>
                    </w:rPr>
                    <w:t>本项目位于中心城区，项目运行不涉及大型交通运输</w:t>
                  </w:r>
                </w:p>
              </w:tc>
              <w:tc>
                <w:tcPr>
                  <w:tcW w:w="365" w:type="pct"/>
                  <w:noWrap w:val="0"/>
                  <w:vAlign w:val="center"/>
                </w:tcPr>
                <w:p>
                  <w:pPr>
                    <w:pStyle w:val="170"/>
                    <w:bidi w:val="0"/>
                    <w:rPr>
                      <w:rFonts w:hint="eastAsia"/>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7" w:hRule="atLeast"/>
              </w:trPr>
              <w:tc>
                <w:tcPr>
                  <w:tcW w:w="671" w:type="pct"/>
                  <w:vMerge w:val="continue"/>
                  <w:noWrap w:val="0"/>
                  <w:vAlign w:val="center"/>
                </w:tcPr>
                <w:p>
                  <w:pPr>
                    <w:pStyle w:val="170"/>
                    <w:bidi w:val="0"/>
                    <w:rPr>
                      <w:color w:val="auto"/>
                    </w:rPr>
                  </w:pPr>
                </w:p>
              </w:tc>
              <w:tc>
                <w:tcPr>
                  <w:tcW w:w="278" w:type="pct"/>
                  <w:vMerge w:val="continue"/>
                  <w:noWrap w:val="0"/>
                  <w:vAlign w:val="center"/>
                </w:tcPr>
                <w:p>
                  <w:pPr>
                    <w:pStyle w:val="170"/>
                    <w:bidi w:val="0"/>
                    <w:rPr>
                      <w:color w:val="auto"/>
                    </w:rPr>
                  </w:pPr>
                </w:p>
              </w:tc>
              <w:tc>
                <w:tcPr>
                  <w:tcW w:w="383" w:type="pct"/>
                  <w:vMerge w:val="restart"/>
                  <w:noWrap w:val="0"/>
                  <w:vAlign w:val="center"/>
                </w:tcPr>
                <w:p>
                  <w:pPr>
                    <w:pStyle w:val="170"/>
                    <w:bidi w:val="0"/>
                    <w:rPr>
                      <w:color w:val="auto"/>
                    </w:rPr>
                  </w:pPr>
                  <w:r>
                    <w:rPr>
                      <w:color w:val="auto"/>
                    </w:rPr>
                    <w:t>污染物排放管控</w:t>
                  </w:r>
                </w:p>
              </w:tc>
              <w:tc>
                <w:tcPr>
                  <w:tcW w:w="503" w:type="pct"/>
                  <w:noWrap w:val="0"/>
                  <w:vAlign w:val="center"/>
                </w:tcPr>
                <w:p>
                  <w:pPr>
                    <w:pStyle w:val="170"/>
                    <w:bidi w:val="0"/>
                    <w:rPr>
                      <w:color w:val="auto"/>
                    </w:rPr>
                  </w:pPr>
                  <w:r>
                    <w:rPr>
                      <w:color w:val="auto"/>
                    </w:rPr>
                    <w:t>允许排放量要求</w:t>
                  </w:r>
                </w:p>
              </w:tc>
              <w:tc>
                <w:tcPr>
                  <w:tcW w:w="1835" w:type="pct"/>
                  <w:noWrap w:val="0"/>
                  <w:vAlign w:val="center"/>
                </w:tcPr>
                <w:p>
                  <w:pPr>
                    <w:pStyle w:val="170"/>
                    <w:bidi w:val="0"/>
                    <w:rPr>
                      <w:color w:val="auto"/>
                    </w:rPr>
                  </w:pPr>
                  <w:r>
                    <w:rPr>
                      <w:color w:val="auto"/>
                    </w:rPr>
                    <w:t> （1）上一年度水环境质量未完成目标的，新建排放水污染的建设项目按照总量管控要求进行倍量削减替代（2）对新建排放二氧化硫、氮氧化物、工业烟粉尘和挥发性有机物的项目实施现役源2倍削减替代（3）岷江干流及其支流执行总磷排放减量置换（4）水质超标的水功能区，应当实施更严格的污染物排放总量削减要求</w:t>
                  </w:r>
                </w:p>
              </w:tc>
              <w:tc>
                <w:tcPr>
                  <w:tcW w:w="962" w:type="pct"/>
                  <w:noWrap w:val="0"/>
                  <w:vAlign w:val="center"/>
                </w:tcPr>
                <w:p>
                  <w:pPr>
                    <w:pStyle w:val="170"/>
                    <w:bidi w:val="0"/>
                    <w:rPr>
                      <w:color w:val="auto"/>
                    </w:rPr>
                  </w:pPr>
                  <w:r>
                    <w:rPr>
                      <w:rFonts w:hint="eastAsia"/>
                      <w:color w:val="auto"/>
                    </w:rPr>
                    <w:t>本项目为宠物医院建设项目</w:t>
                  </w:r>
                </w:p>
              </w:tc>
              <w:tc>
                <w:tcPr>
                  <w:tcW w:w="365" w:type="pct"/>
                  <w:noWrap w:val="0"/>
                  <w:vAlign w:val="center"/>
                </w:tcPr>
                <w:p>
                  <w:pPr>
                    <w:pStyle w:val="170"/>
                    <w:bidi w:val="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8" w:hRule="atLeast"/>
              </w:trPr>
              <w:tc>
                <w:tcPr>
                  <w:tcW w:w="671" w:type="pct"/>
                  <w:vMerge w:val="continue"/>
                  <w:noWrap w:val="0"/>
                  <w:vAlign w:val="center"/>
                </w:tcPr>
                <w:p>
                  <w:pPr>
                    <w:pStyle w:val="170"/>
                    <w:bidi w:val="0"/>
                    <w:rPr>
                      <w:color w:val="auto"/>
                    </w:rPr>
                  </w:pPr>
                </w:p>
              </w:tc>
              <w:tc>
                <w:tcPr>
                  <w:tcW w:w="278" w:type="pct"/>
                  <w:vMerge w:val="continue"/>
                  <w:noWrap w:val="0"/>
                  <w:vAlign w:val="center"/>
                </w:tcPr>
                <w:p>
                  <w:pPr>
                    <w:pStyle w:val="170"/>
                    <w:bidi w:val="0"/>
                    <w:rPr>
                      <w:color w:val="auto"/>
                    </w:rPr>
                  </w:pPr>
                </w:p>
              </w:tc>
              <w:tc>
                <w:tcPr>
                  <w:tcW w:w="383" w:type="pct"/>
                  <w:vMerge w:val="continue"/>
                  <w:noWrap w:val="0"/>
                  <w:vAlign w:val="center"/>
                </w:tcPr>
                <w:p>
                  <w:pPr>
                    <w:pStyle w:val="170"/>
                    <w:bidi w:val="0"/>
                    <w:rPr>
                      <w:color w:val="auto"/>
                    </w:rPr>
                  </w:pPr>
                </w:p>
              </w:tc>
              <w:tc>
                <w:tcPr>
                  <w:tcW w:w="503" w:type="pct"/>
                  <w:noWrap w:val="0"/>
                  <w:vAlign w:val="center"/>
                </w:tcPr>
                <w:p>
                  <w:pPr>
                    <w:pStyle w:val="170"/>
                    <w:bidi w:val="0"/>
                    <w:rPr>
                      <w:color w:val="auto"/>
                    </w:rPr>
                  </w:pPr>
                  <w:r>
                    <w:rPr>
                      <w:color w:val="auto"/>
                    </w:rPr>
                    <w:t>现有源提标升级改造</w:t>
                  </w:r>
                </w:p>
              </w:tc>
              <w:tc>
                <w:tcPr>
                  <w:tcW w:w="1835" w:type="pct"/>
                  <w:noWrap w:val="0"/>
                  <w:vAlign w:val="center"/>
                </w:tcPr>
                <w:p>
                  <w:pPr>
                    <w:pStyle w:val="170"/>
                    <w:bidi w:val="0"/>
                    <w:rPr>
                      <w:color w:val="auto"/>
                    </w:rPr>
                  </w:pPr>
                  <w:r>
                    <w:rPr>
                      <w:color w:val="auto"/>
                    </w:rPr>
                    <w:t> （1）现有及新建处理规模大于1000吨日的城镇生活污水处理厂执行《四川省岷江、沱江流域水污染物排放标准》（DB51 2311-2016）（2）市中区、五通桥区、沙湾区、犍为县、井研县、峨眉山市、夹江县属大气污染重点区域，执行大气污染物排放特别限值和特别管控要求  （3）全市燃煤锅炉稳定达到超低排放限值要求，烟粉尘低于10毫克立方米，二氧化硫低于35毫克立方米，氮氧化物低于50毫克立方米 </w:t>
                  </w:r>
                </w:p>
              </w:tc>
              <w:tc>
                <w:tcPr>
                  <w:tcW w:w="962" w:type="pct"/>
                  <w:noWrap w:val="0"/>
                  <w:vAlign w:val="center"/>
                </w:tcPr>
                <w:p>
                  <w:pPr>
                    <w:pStyle w:val="170"/>
                    <w:bidi w:val="0"/>
                    <w:rPr>
                      <w:color w:val="auto"/>
                    </w:rPr>
                  </w:pPr>
                  <w:r>
                    <w:rPr>
                      <w:rFonts w:hint="eastAsia"/>
                      <w:color w:val="auto"/>
                    </w:rPr>
                    <w:t>本项目为宠物医院建设项目</w:t>
                  </w:r>
                </w:p>
              </w:tc>
              <w:tc>
                <w:tcPr>
                  <w:tcW w:w="365" w:type="pct"/>
                  <w:noWrap w:val="0"/>
                  <w:vAlign w:val="center"/>
                </w:tcPr>
                <w:p>
                  <w:pPr>
                    <w:pStyle w:val="170"/>
                    <w:bidi w:val="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0" w:hRule="atLeast"/>
              </w:trPr>
              <w:tc>
                <w:tcPr>
                  <w:tcW w:w="671" w:type="pct"/>
                  <w:vMerge w:val="continue"/>
                  <w:noWrap w:val="0"/>
                  <w:vAlign w:val="center"/>
                </w:tcPr>
                <w:p>
                  <w:pPr>
                    <w:pStyle w:val="170"/>
                    <w:bidi w:val="0"/>
                    <w:rPr>
                      <w:color w:val="auto"/>
                    </w:rPr>
                  </w:pPr>
                </w:p>
              </w:tc>
              <w:tc>
                <w:tcPr>
                  <w:tcW w:w="278" w:type="pct"/>
                  <w:vMerge w:val="continue"/>
                  <w:noWrap w:val="0"/>
                  <w:vAlign w:val="center"/>
                </w:tcPr>
                <w:p>
                  <w:pPr>
                    <w:pStyle w:val="170"/>
                    <w:bidi w:val="0"/>
                    <w:rPr>
                      <w:color w:val="auto"/>
                    </w:rPr>
                  </w:pPr>
                </w:p>
              </w:tc>
              <w:tc>
                <w:tcPr>
                  <w:tcW w:w="383" w:type="pct"/>
                  <w:vMerge w:val="continue"/>
                  <w:noWrap w:val="0"/>
                  <w:vAlign w:val="center"/>
                </w:tcPr>
                <w:p>
                  <w:pPr>
                    <w:pStyle w:val="170"/>
                    <w:bidi w:val="0"/>
                    <w:rPr>
                      <w:color w:val="auto"/>
                    </w:rPr>
                  </w:pPr>
                </w:p>
              </w:tc>
              <w:tc>
                <w:tcPr>
                  <w:tcW w:w="503" w:type="pct"/>
                  <w:noWrap w:val="0"/>
                  <w:vAlign w:val="center"/>
                </w:tcPr>
                <w:p>
                  <w:pPr>
                    <w:pStyle w:val="170"/>
                    <w:bidi w:val="0"/>
                    <w:rPr>
                      <w:color w:val="auto"/>
                    </w:rPr>
                  </w:pPr>
                  <w:r>
                    <w:rPr>
                      <w:color w:val="auto"/>
                    </w:rPr>
                    <w:t>其他污染物排放管控要求</w:t>
                  </w:r>
                </w:p>
              </w:tc>
              <w:tc>
                <w:tcPr>
                  <w:tcW w:w="1835" w:type="pct"/>
                  <w:noWrap w:val="0"/>
                  <w:vAlign w:val="center"/>
                </w:tcPr>
                <w:p>
                  <w:pPr>
                    <w:pStyle w:val="170"/>
                    <w:bidi w:val="0"/>
                    <w:rPr>
                      <w:rFonts w:hint="eastAsia"/>
                      <w:color w:val="auto"/>
                      <w:lang w:eastAsia="zh-CN"/>
                    </w:rPr>
                  </w:pPr>
                  <w:r>
                    <w:rPr>
                      <w:color w:val="auto"/>
                    </w:rPr>
                    <w:t> （1）到2030年，城市污水处理率达到100%（2）加快城市污水处理厂提标改造，推进人工湿地等深度处理设施配套建设，进一步降低人口密集区污染入河负荷（3）严格执行《关于实施第六阶段机动车排放标准的通告》、《四川省机动车和非道路移动机械排气污染防治办法》</w:t>
                  </w:r>
                  <w:r>
                    <w:rPr>
                      <w:rFonts w:hint="eastAsia"/>
                      <w:color w:val="auto"/>
                    </w:rPr>
                    <w:t>；</w:t>
                  </w:r>
                  <w:r>
                    <w:rPr>
                      <w:color w:val="auto"/>
                    </w:rPr>
                    <w:t> 加快淘汰老旧车辆</w:t>
                  </w:r>
                  <w:r>
                    <w:rPr>
                      <w:rFonts w:hint="eastAsia"/>
                      <w:color w:val="auto"/>
                    </w:rPr>
                    <w:t>；</w:t>
                  </w:r>
                  <w:r>
                    <w:rPr>
                      <w:color w:val="auto"/>
                    </w:rPr>
                    <w:t>严禁排放不达标车辆跨区域转移，鼓励、引导老旧车等高排放车辆提前报废更新</w:t>
                  </w:r>
                  <w:r>
                    <w:rPr>
                      <w:rFonts w:hint="eastAsia"/>
                      <w:color w:val="auto"/>
                    </w:rPr>
                    <w:t>；</w:t>
                  </w:r>
                  <w:r>
                    <w:rPr>
                      <w:color w:val="auto"/>
                    </w:rPr>
                    <w:t>开展非道路移动机械污染整治</w:t>
                  </w:r>
                  <w:r>
                    <w:rPr>
                      <w:rFonts w:hint="eastAsia"/>
                      <w:color w:val="auto"/>
                    </w:rPr>
                    <w:t>；</w:t>
                  </w:r>
                  <w:r>
                    <w:rPr>
                      <w:color w:val="auto"/>
                    </w:rPr>
                    <w:t>推进不达标工程机械清洁化改造和淘汰 （4）深化扬尘污染治理</w:t>
                  </w:r>
                  <w:r>
                    <w:rPr>
                      <w:rFonts w:hint="eastAsia"/>
                      <w:color w:val="auto"/>
                    </w:rPr>
                    <w:t>；</w:t>
                  </w:r>
                  <w:r>
                    <w:rPr>
                      <w:color w:val="auto"/>
                    </w:rPr>
                    <w:t>建筑施工工地全部做到工地周边围挡、物料堆放覆盖、土方开挖湿法作业、路面硬化、出入车辆清洗、渣土车辆密闭运输</w:t>
                  </w:r>
                  <w:r>
                    <w:rPr>
                      <w:rFonts w:hint="eastAsia"/>
                      <w:color w:val="auto"/>
                    </w:rPr>
                    <w:t>“</w:t>
                  </w:r>
                  <w:r>
                    <w:rPr>
                      <w:color w:val="auto"/>
                    </w:rPr>
                    <w:t>六个百分之百</w:t>
                  </w:r>
                  <w:r>
                    <w:rPr>
                      <w:rFonts w:hint="eastAsia"/>
                      <w:color w:val="auto"/>
                    </w:rPr>
                    <w:t>”；</w:t>
                  </w:r>
                </w:p>
                <w:p>
                  <w:pPr>
                    <w:pStyle w:val="170"/>
                    <w:bidi w:val="0"/>
                    <w:rPr>
                      <w:color w:val="auto"/>
                    </w:rPr>
                  </w:pPr>
                  <w:r>
                    <w:rPr>
                      <w:color w:val="auto"/>
                    </w:rPr>
                    <w:t>施工场地全部安装高空作业雾炮和围挡喷淋装置、在线监测和视频监控设备，监测数据与市、县主管部门联网</w:t>
                  </w:r>
                  <w:r>
                    <w:rPr>
                      <w:rFonts w:hint="eastAsia"/>
                      <w:color w:val="auto"/>
                    </w:rPr>
                    <w:t>；</w:t>
                  </w:r>
                  <w:r>
                    <w:rPr>
                      <w:color w:val="auto"/>
                    </w:rPr>
                    <w:t> 严格堆场规范化全封闭管理（5）强化挥发性有机物整治</w:t>
                  </w:r>
                  <w:r>
                    <w:rPr>
                      <w:rFonts w:hint="eastAsia"/>
                      <w:color w:val="auto"/>
                    </w:rPr>
                    <w:t>；</w:t>
                  </w:r>
                  <w:r>
                    <w:rPr>
                      <w:color w:val="auto"/>
                    </w:rPr>
                    <w:t>全面淘汰开启式干洗机</w:t>
                  </w:r>
                  <w:r>
                    <w:rPr>
                      <w:rFonts w:hint="eastAsia"/>
                      <w:color w:val="auto"/>
                    </w:rPr>
                    <w:t>；</w:t>
                  </w:r>
                  <w:r>
                    <w:rPr>
                      <w:color w:val="auto"/>
                    </w:rPr>
                    <w:t>推广使用符合环保要求的建筑涂料、油墨、木器涂料、胶黏剂等产品</w:t>
                  </w:r>
                  <w:r>
                    <w:rPr>
                      <w:rFonts w:hint="eastAsia"/>
                      <w:color w:val="auto"/>
                    </w:rPr>
                    <w:t>；</w:t>
                  </w:r>
                  <w:r>
                    <w:rPr>
                      <w:color w:val="auto"/>
                    </w:rPr>
                    <w:t>全面推广汽修行业使用低挥发性涂料，采用高效涂装工艺，完善有机废气收集和处理系统，取缔露天和敞开式汽修喷涂作业</w:t>
                  </w:r>
                  <w:r>
                    <w:rPr>
                      <w:rFonts w:hint="eastAsia"/>
                      <w:color w:val="auto"/>
                    </w:rPr>
                    <w:t>；</w:t>
                  </w:r>
                  <w:r>
                    <w:rPr>
                      <w:color w:val="auto"/>
                    </w:rPr>
                    <w:t> 全面推进储油库、油罐车、加油站油气回收改造，回收率提高到80%以上</w:t>
                  </w:r>
                  <w:r>
                    <w:rPr>
                      <w:rFonts w:hint="eastAsia"/>
                      <w:color w:val="auto"/>
                    </w:rPr>
                    <w:t>；</w:t>
                  </w:r>
                  <w:r>
                    <w:rPr>
                      <w:color w:val="auto"/>
                    </w:rPr>
                    <w:t>开展餐饮、食堂、露天烧烤专项整治（6）到2023年底，市级城市污泥无害化处置率达92%、县级城市达85%</w:t>
                  </w:r>
                  <w:r>
                    <w:rPr>
                      <w:rFonts w:hint="eastAsia"/>
                      <w:color w:val="auto"/>
                    </w:rPr>
                    <w:t>；</w:t>
                  </w:r>
                  <w:r>
                    <w:rPr>
                      <w:color w:val="auto"/>
                    </w:rPr>
                    <w:t>到2030年，城市生活垃圾无害化处置率达100%，工业固体废弃物综合利用率达100%，危废处理率100%</w:t>
                  </w:r>
                </w:p>
              </w:tc>
              <w:tc>
                <w:tcPr>
                  <w:tcW w:w="962" w:type="pct"/>
                  <w:noWrap w:val="0"/>
                  <w:vAlign w:val="center"/>
                </w:tcPr>
                <w:p>
                  <w:pPr>
                    <w:pStyle w:val="170"/>
                    <w:bidi w:val="0"/>
                    <w:rPr>
                      <w:rFonts w:hint="eastAsia"/>
                      <w:color w:val="auto"/>
                    </w:rPr>
                  </w:pPr>
                  <w:r>
                    <w:rPr>
                      <w:rFonts w:hint="eastAsia"/>
                      <w:color w:val="auto"/>
                    </w:rPr>
                    <w:t>本项目为宠物医院建设项目，为租用临街商铺进行建设，项目已建成运营多年，运营过程中产生的固体废弃物均得到合理的处置，废水经污水处理设备处理后进入市政污水管网</w:t>
                  </w:r>
                </w:p>
              </w:tc>
              <w:tc>
                <w:tcPr>
                  <w:tcW w:w="365" w:type="pct"/>
                  <w:noWrap w:val="0"/>
                  <w:vAlign w:val="center"/>
                </w:tcPr>
                <w:p>
                  <w:pPr>
                    <w:pStyle w:val="170"/>
                    <w:bidi w:val="0"/>
                    <w:rPr>
                      <w:rFonts w:hint="eastAsia"/>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trPr>
              <w:tc>
                <w:tcPr>
                  <w:tcW w:w="671" w:type="pct"/>
                  <w:vMerge w:val="continue"/>
                  <w:noWrap w:val="0"/>
                  <w:vAlign w:val="center"/>
                </w:tcPr>
                <w:p>
                  <w:pPr>
                    <w:pStyle w:val="170"/>
                    <w:bidi w:val="0"/>
                    <w:rPr>
                      <w:color w:val="auto"/>
                    </w:rPr>
                  </w:pPr>
                </w:p>
              </w:tc>
              <w:tc>
                <w:tcPr>
                  <w:tcW w:w="278" w:type="pct"/>
                  <w:vMerge w:val="continue"/>
                  <w:noWrap w:val="0"/>
                  <w:vAlign w:val="center"/>
                </w:tcPr>
                <w:p>
                  <w:pPr>
                    <w:pStyle w:val="170"/>
                    <w:bidi w:val="0"/>
                    <w:rPr>
                      <w:color w:val="auto"/>
                    </w:rPr>
                  </w:pPr>
                </w:p>
              </w:tc>
              <w:tc>
                <w:tcPr>
                  <w:tcW w:w="383" w:type="pct"/>
                  <w:vMerge w:val="restart"/>
                  <w:noWrap w:val="0"/>
                  <w:vAlign w:val="center"/>
                </w:tcPr>
                <w:p>
                  <w:pPr>
                    <w:pStyle w:val="170"/>
                    <w:bidi w:val="0"/>
                    <w:rPr>
                      <w:color w:val="auto"/>
                    </w:rPr>
                  </w:pPr>
                  <w:r>
                    <w:rPr>
                      <w:color w:val="auto"/>
                    </w:rPr>
                    <w:t>环境风险防控</w:t>
                  </w:r>
                </w:p>
              </w:tc>
              <w:tc>
                <w:tcPr>
                  <w:tcW w:w="503" w:type="pct"/>
                  <w:noWrap w:val="0"/>
                  <w:vAlign w:val="center"/>
                </w:tcPr>
                <w:p>
                  <w:pPr>
                    <w:pStyle w:val="170"/>
                    <w:bidi w:val="0"/>
                    <w:rPr>
                      <w:color w:val="auto"/>
                    </w:rPr>
                  </w:pPr>
                  <w:r>
                    <w:rPr>
                      <w:color w:val="auto"/>
                    </w:rPr>
                    <w:t>联防联控要求</w:t>
                  </w:r>
                </w:p>
              </w:tc>
              <w:tc>
                <w:tcPr>
                  <w:tcW w:w="1835" w:type="pct"/>
                  <w:noWrap w:val="0"/>
                  <w:vAlign w:val="center"/>
                </w:tcPr>
                <w:p>
                  <w:pPr>
                    <w:pStyle w:val="170"/>
                    <w:bidi w:val="0"/>
                    <w:rPr>
                      <w:rFonts w:hint="eastAsia"/>
                      <w:color w:val="auto"/>
                    </w:rPr>
                  </w:pPr>
                  <w:r>
                    <w:rPr>
                      <w:rFonts w:hint="eastAsia"/>
                      <w:color w:val="auto"/>
                    </w:rPr>
                    <w:t>/</w:t>
                  </w:r>
                </w:p>
              </w:tc>
              <w:tc>
                <w:tcPr>
                  <w:tcW w:w="962" w:type="pct"/>
                  <w:noWrap w:val="0"/>
                  <w:vAlign w:val="center"/>
                </w:tcPr>
                <w:p>
                  <w:pPr>
                    <w:pStyle w:val="170"/>
                    <w:bidi w:val="0"/>
                    <w:rPr>
                      <w:rFonts w:hint="eastAsia"/>
                      <w:color w:val="auto"/>
                    </w:rPr>
                  </w:pPr>
                  <w:r>
                    <w:rPr>
                      <w:rFonts w:hint="eastAsia"/>
                      <w:color w:val="auto"/>
                    </w:rPr>
                    <w:t>/</w:t>
                  </w:r>
                </w:p>
              </w:tc>
              <w:tc>
                <w:tcPr>
                  <w:tcW w:w="365" w:type="pct"/>
                  <w:noWrap w:val="0"/>
                  <w:vAlign w:val="center"/>
                </w:tcPr>
                <w:p>
                  <w:pPr>
                    <w:pStyle w:val="170"/>
                    <w:bidi w:val="0"/>
                    <w:rPr>
                      <w:rFonts w:hint="eastAsia"/>
                      <w:color w:val="auto"/>
                    </w:rPr>
                  </w:pPr>
                  <w:r>
                    <w:rPr>
                      <w:rFonts w:hint="eastAsia"/>
                      <w:color w:val="aut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6" w:hRule="atLeast"/>
              </w:trPr>
              <w:tc>
                <w:tcPr>
                  <w:tcW w:w="671" w:type="pct"/>
                  <w:vMerge w:val="continue"/>
                  <w:noWrap w:val="0"/>
                  <w:vAlign w:val="center"/>
                </w:tcPr>
                <w:p>
                  <w:pPr>
                    <w:pStyle w:val="170"/>
                    <w:bidi w:val="0"/>
                    <w:rPr>
                      <w:color w:val="auto"/>
                    </w:rPr>
                  </w:pPr>
                </w:p>
              </w:tc>
              <w:tc>
                <w:tcPr>
                  <w:tcW w:w="278" w:type="pct"/>
                  <w:vMerge w:val="continue"/>
                  <w:noWrap w:val="0"/>
                  <w:vAlign w:val="center"/>
                </w:tcPr>
                <w:p>
                  <w:pPr>
                    <w:pStyle w:val="170"/>
                    <w:bidi w:val="0"/>
                    <w:rPr>
                      <w:color w:val="auto"/>
                    </w:rPr>
                  </w:pPr>
                </w:p>
              </w:tc>
              <w:tc>
                <w:tcPr>
                  <w:tcW w:w="383" w:type="pct"/>
                  <w:vMerge w:val="continue"/>
                  <w:noWrap w:val="0"/>
                  <w:vAlign w:val="center"/>
                </w:tcPr>
                <w:p>
                  <w:pPr>
                    <w:pStyle w:val="170"/>
                    <w:bidi w:val="0"/>
                    <w:rPr>
                      <w:color w:val="auto"/>
                    </w:rPr>
                  </w:pPr>
                </w:p>
              </w:tc>
              <w:tc>
                <w:tcPr>
                  <w:tcW w:w="503" w:type="pct"/>
                  <w:noWrap w:val="0"/>
                  <w:vAlign w:val="center"/>
                </w:tcPr>
                <w:p>
                  <w:pPr>
                    <w:pStyle w:val="170"/>
                    <w:bidi w:val="0"/>
                    <w:rPr>
                      <w:color w:val="auto"/>
                    </w:rPr>
                  </w:pPr>
                  <w:r>
                    <w:rPr>
                      <w:color w:val="auto"/>
                    </w:rPr>
                    <w:t>其他环境风险防控要求</w:t>
                  </w:r>
                </w:p>
              </w:tc>
              <w:tc>
                <w:tcPr>
                  <w:tcW w:w="1835" w:type="pct"/>
                  <w:noWrap w:val="0"/>
                  <w:vAlign w:val="center"/>
                </w:tcPr>
                <w:p>
                  <w:pPr>
                    <w:pStyle w:val="170"/>
                    <w:bidi w:val="0"/>
                    <w:rPr>
                      <w:color w:val="auto"/>
                    </w:rPr>
                  </w:pPr>
                  <w:r>
                    <w:rPr>
                      <w:color w:val="auto"/>
                    </w:rPr>
                    <w:t>（1）现有涉及五类重金属的企业，严控污染物排放，限时整治或搬迁 （2）对拟收回土地使用权的有色金属矿采选、有色金属冶炼、石油加工、化工、焦化、电镀、制革、天然（页岩）气开采、铅蓄电池、汽车制造、农药、危废处置、电子拆解等行业企业用地，以及用途拟变更为居住和商业、学校、医疗、养老机构等公共设施的上述企业用地，应按相关要求进行土壤环境状况调查评估，符合相应规划用地土壤环境质量要求的地块，方可进入用地程序</w:t>
                  </w:r>
                </w:p>
              </w:tc>
              <w:tc>
                <w:tcPr>
                  <w:tcW w:w="962" w:type="pct"/>
                  <w:noWrap w:val="0"/>
                  <w:vAlign w:val="center"/>
                </w:tcPr>
                <w:p>
                  <w:pPr>
                    <w:pStyle w:val="170"/>
                    <w:bidi w:val="0"/>
                    <w:rPr>
                      <w:color w:val="auto"/>
                    </w:rPr>
                  </w:pPr>
                  <w:r>
                    <w:rPr>
                      <w:rFonts w:hint="eastAsia"/>
                      <w:color w:val="auto"/>
                    </w:rPr>
                    <w:t>本项目为宠物医院建设项目，已建成运营多年，运营过程中不涉及重金属排放，项目用地为租用市中区城区临街商铺进行建设</w:t>
                  </w:r>
                </w:p>
              </w:tc>
              <w:tc>
                <w:tcPr>
                  <w:tcW w:w="365" w:type="pct"/>
                  <w:noWrap w:val="0"/>
                  <w:vAlign w:val="center"/>
                </w:tcPr>
                <w:p>
                  <w:pPr>
                    <w:pStyle w:val="170"/>
                    <w:bidi w:val="0"/>
                    <w:rPr>
                      <w:rFonts w:hint="eastAsia"/>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5" w:hRule="atLeast"/>
              </w:trPr>
              <w:tc>
                <w:tcPr>
                  <w:tcW w:w="671" w:type="pct"/>
                  <w:vMerge w:val="continue"/>
                  <w:noWrap w:val="0"/>
                  <w:vAlign w:val="center"/>
                </w:tcPr>
                <w:p>
                  <w:pPr>
                    <w:pStyle w:val="170"/>
                    <w:bidi w:val="0"/>
                    <w:rPr>
                      <w:color w:val="auto"/>
                    </w:rPr>
                  </w:pPr>
                </w:p>
              </w:tc>
              <w:tc>
                <w:tcPr>
                  <w:tcW w:w="278" w:type="pct"/>
                  <w:vMerge w:val="continue"/>
                  <w:noWrap w:val="0"/>
                  <w:vAlign w:val="center"/>
                </w:tcPr>
                <w:p>
                  <w:pPr>
                    <w:pStyle w:val="170"/>
                    <w:bidi w:val="0"/>
                    <w:rPr>
                      <w:color w:val="auto"/>
                    </w:rPr>
                  </w:pPr>
                </w:p>
              </w:tc>
              <w:tc>
                <w:tcPr>
                  <w:tcW w:w="383" w:type="pct"/>
                  <w:vMerge w:val="restart"/>
                  <w:noWrap w:val="0"/>
                  <w:vAlign w:val="center"/>
                </w:tcPr>
                <w:p>
                  <w:pPr>
                    <w:pStyle w:val="170"/>
                    <w:bidi w:val="0"/>
                    <w:rPr>
                      <w:color w:val="auto"/>
                    </w:rPr>
                  </w:pPr>
                  <w:r>
                    <w:rPr>
                      <w:color w:val="auto"/>
                    </w:rPr>
                    <w:t>资源开发利用效率</w:t>
                  </w:r>
                </w:p>
              </w:tc>
              <w:tc>
                <w:tcPr>
                  <w:tcW w:w="503" w:type="pct"/>
                  <w:noWrap w:val="0"/>
                  <w:vAlign w:val="center"/>
                </w:tcPr>
                <w:p>
                  <w:pPr>
                    <w:pStyle w:val="170"/>
                    <w:bidi w:val="0"/>
                    <w:rPr>
                      <w:color w:val="auto"/>
                    </w:rPr>
                  </w:pPr>
                  <w:r>
                    <w:rPr>
                      <w:color w:val="auto"/>
                    </w:rPr>
                    <w:t>水资源利用总量要求</w:t>
                  </w:r>
                </w:p>
              </w:tc>
              <w:tc>
                <w:tcPr>
                  <w:tcW w:w="1835" w:type="pct"/>
                  <w:noWrap w:val="0"/>
                  <w:vAlign w:val="center"/>
                </w:tcPr>
                <w:p>
                  <w:pPr>
                    <w:pStyle w:val="170"/>
                    <w:bidi w:val="0"/>
                    <w:rPr>
                      <w:color w:val="auto"/>
                    </w:rPr>
                  </w:pPr>
                  <w:r>
                    <w:rPr>
                      <w:color w:val="auto"/>
                    </w:rPr>
                    <w:t>（1）城镇园林绿化、河湖景观、环境卫生、消防等市政用水应当优先使用再生水、雨水等非常规水源</w:t>
                  </w:r>
                  <w:r>
                    <w:rPr>
                      <w:rFonts w:hint="eastAsia"/>
                      <w:color w:val="auto"/>
                    </w:rPr>
                    <w:t>；</w:t>
                  </w:r>
                  <w:r>
                    <w:rPr>
                      <w:color w:val="auto"/>
                    </w:rPr>
                    <w:t>鼓励园林绿化采用喷灌、微灌等高效节水灌溉方式</w:t>
                  </w:r>
                  <w:r>
                    <w:rPr>
                      <w:rFonts w:hint="eastAsia"/>
                      <w:color w:val="auto"/>
                    </w:rPr>
                    <w:t>；</w:t>
                  </w:r>
                  <w:r>
                    <w:rPr>
                      <w:color w:val="auto"/>
                    </w:rPr>
                    <w:t>洗浴、洗车、游泳场馆等场所应当采用低耗水、循环用水等节水技术、设备和设施</w:t>
                  </w:r>
                  <w:r>
                    <w:rPr>
                      <w:rFonts w:hint="eastAsia"/>
                      <w:color w:val="auto"/>
                    </w:rPr>
                    <w:t>；</w:t>
                  </w:r>
                  <w:r>
                    <w:rPr>
                      <w:color w:val="auto"/>
                    </w:rPr>
                    <w:t>餐饮、娱乐、宾馆等服务型企业应当优先采用节水型器具和设备，逐步淘汰耗水量高的用水器具和设备（2）鼓励生活污水再生利用设施建设、鼓励经处理符合使用条件的生活污水用于城市杂用、工业生产、景观用水、河道补水等方面，提高生活污水再生利用效率</w:t>
                  </w:r>
                </w:p>
              </w:tc>
              <w:tc>
                <w:tcPr>
                  <w:tcW w:w="962" w:type="pct"/>
                  <w:noWrap w:val="0"/>
                  <w:vAlign w:val="center"/>
                </w:tcPr>
                <w:p>
                  <w:pPr>
                    <w:pStyle w:val="170"/>
                    <w:bidi w:val="0"/>
                    <w:rPr>
                      <w:color w:val="auto"/>
                    </w:rPr>
                  </w:pPr>
                  <w:r>
                    <w:rPr>
                      <w:rFonts w:hint="eastAsia"/>
                      <w:color w:val="auto"/>
                    </w:rPr>
                    <w:t>本项目为宠物医院建设项目，用水环节主要为职工生活用水、宠物医疗用水和地面清洁用水，综合年用水量较小</w:t>
                  </w:r>
                </w:p>
              </w:tc>
              <w:tc>
                <w:tcPr>
                  <w:tcW w:w="365" w:type="pct"/>
                  <w:noWrap w:val="0"/>
                  <w:vAlign w:val="center"/>
                </w:tcPr>
                <w:p>
                  <w:pPr>
                    <w:pStyle w:val="170"/>
                    <w:bidi w:val="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671" w:type="pct"/>
                  <w:vMerge w:val="continue"/>
                  <w:noWrap w:val="0"/>
                  <w:vAlign w:val="center"/>
                </w:tcPr>
                <w:p>
                  <w:pPr>
                    <w:pStyle w:val="170"/>
                    <w:bidi w:val="0"/>
                    <w:rPr>
                      <w:color w:val="auto"/>
                    </w:rPr>
                  </w:pPr>
                </w:p>
              </w:tc>
              <w:tc>
                <w:tcPr>
                  <w:tcW w:w="278" w:type="pct"/>
                  <w:vMerge w:val="continue"/>
                  <w:noWrap w:val="0"/>
                  <w:vAlign w:val="center"/>
                </w:tcPr>
                <w:p>
                  <w:pPr>
                    <w:pStyle w:val="170"/>
                    <w:bidi w:val="0"/>
                    <w:rPr>
                      <w:color w:val="auto"/>
                    </w:rPr>
                  </w:pPr>
                </w:p>
              </w:tc>
              <w:tc>
                <w:tcPr>
                  <w:tcW w:w="383" w:type="pct"/>
                  <w:vMerge w:val="continue"/>
                  <w:noWrap w:val="0"/>
                  <w:vAlign w:val="center"/>
                </w:tcPr>
                <w:p>
                  <w:pPr>
                    <w:pStyle w:val="170"/>
                    <w:bidi w:val="0"/>
                    <w:rPr>
                      <w:color w:val="auto"/>
                    </w:rPr>
                  </w:pPr>
                </w:p>
              </w:tc>
              <w:tc>
                <w:tcPr>
                  <w:tcW w:w="503" w:type="pct"/>
                  <w:noWrap w:val="0"/>
                  <w:vAlign w:val="center"/>
                </w:tcPr>
                <w:p>
                  <w:pPr>
                    <w:pStyle w:val="170"/>
                    <w:bidi w:val="0"/>
                    <w:rPr>
                      <w:color w:val="auto"/>
                    </w:rPr>
                  </w:pPr>
                  <w:r>
                    <w:rPr>
                      <w:color w:val="auto"/>
                    </w:rPr>
                    <w:t>地下水开采要求</w:t>
                  </w:r>
                </w:p>
              </w:tc>
              <w:tc>
                <w:tcPr>
                  <w:tcW w:w="1835" w:type="pct"/>
                  <w:noWrap w:val="0"/>
                  <w:vAlign w:val="center"/>
                </w:tcPr>
                <w:p>
                  <w:pPr>
                    <w:pStyle w:val="170"/>
                    <w:bidi w:val="0"/>
                    <w:rPr>
                      <w:rFonts w:hint="eastAsia"/>
                      <w:color w:val="auto"/>
                    </w:rPr>
                  </w:pPr>
                  <w:r>
                    <w:rPr>
                      <w:rFonts w:hint="eastAsia"/>
                      <w:color w:val="auto"/>
                    </w:rPr>
                    <w:t>/</w:t>
                  </w:r>
                </w:p>
              </w:tc>
              <w:tc>
                <w:tcPr>
                  <w:tcW w:w="962" w:type="pct"/>
                  <w:noWrap w:val="0"/>
                  <w:vAlign w:val="center"/>
                </w:tcPr>
                <w:p>
                  <w:pPr>
                    <w:pStyle w:val="170"/>
                    <w:bidi w:val="0"/>
                    <w:rPr>
                      <w:rFonts w:hint="eastAsia"/>
                      <w:color w:val="auto"/>
                    </w:rPr>
                  </w:pPr>
                  <w:r>
                    <w:rPr>
                      <w:rFonts w:hint="eastAsia"/>
                      <w:color w:val="auto"/>
                    </w:rPr>
                    <w:t>/</w:t>
                  </w:r>
                </w:p>
              </w:tc>
              <w:tc>
                <w:tcPr>
                  <w:tcW w:w="365" w:type="pct"/>
                  <w:noWrap w:val="0"/>
                  <w:vAlign w:val="center"/>
                </w:tcPr>
                <w:p>
                  <w:pPr>
                    <w:pStyle w:val="170"/>
                    <w:bidi w:val="0"/>
                    <w:rPr>
                      <w:rFonts w:hint="eastAsia"/>
                      <w:color w:val="auto"/>
                    </w:rPr>
                  </w:pPr>
                  <w:r>
                    <w:rPr>
                      <w:rFonts w:hint="eastAsia"/>
                      <w:color w:val="aut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671" w:type="pct"/>
                  <w:vMerge w:val="continue"/>
                  <w:noWrap w:val="0"/>
                  <w:vAlign w:val="center"/>
                </w:tcPr>
                <w:p>
                  <w:pPr>
                    <w:pStyle w:val="170"/>
                    <w:bidi w:val="0"/>
                    <w:rPr>
                      <w:color w:val="auto"/>
                    </w:rPr>
                  </w:pPr>
                </w:p>
              </w:tc>
              <w:tc>
                <w:tcPr>
                  <w:tcW w:w="278" w:type="pct"/>
                  <w:vMerge w:val="continue"/>
                  <w:noWrap w:val="0"/>
                  <w:vAlign w:val="center"/>
                </w:tcPr>
                <w:p>
                  <w:pPr>
                    <w:pStyle w:val="170"/>
                    <w:bidi w:val="0"/>
                    <w:rPr>
                      <w:color w:val="auto"/>
                    </w:rPr>
                  </w:pPr>
                </w:p>
              </w:tc>
              <w:tc>
                <w:tcPr>
                  <w:tcW w:w="383" w:type="pct"/>
                  <w:vMerge w:val="continue"/>
                  <w:noWrap w:val="0"/>
                  <w:vAlign w:val="center"/>
                </w:tcPr>
                <w:p>
                  <w:pPr>
                    <w:pStyle w:val="170"/>
                    <w:bidi w:val="0"/>
                    <w:rPr>
                      <w:color w:val="auto"/>
                    </w:rPr>
                  </w:pPr>
                </w:p>
              </w:tc>
              <w:tc>
                <w:tcPr>
                  <w:tcW w:w="503" w:type="pct"/>
                  <w:noWrap w:val="0"/>
                  <w:vAlign w:val="center"/>
                </w:tcPr>
                <w:p>
                  <w:pPr>
                    <w:pStyle w:val="170"/>
                    <w:bidi w:val="0"/>
                    <w:rPr>
                      <w:color w:val="auto"/>
                    </w:rPr>
                  </w:pPr>
                  <w:r>
                    <w:rPr>
                      <w:color w:val="auto"/>
                    </w:rPr>
                    <w:t>能源利用总量及效率要求</w:t>
                  </w:r>
                </w:p>
              </w:tc>
              <w:tc>
                <w:tcPr>
                  <w:tcW w:w="1835" w:type="pct"/>
                  <w:noWrap w:val="0"/>
                  <w:vAlign w:val="center"/>
                </w:tcPr>
                <w:p>
                  <w:pPr>
                    <w:pStyle w:val="170"/>
                    <w:bidi w:val="0"/>
                    <w:rPr>
                      <w:color w:val="auto"/>
                    </w:rPr>
                  </w:pPr>
                  <w:r>
                    <w:rPr>
                      <w:color w:val="auto"/>
                    </w:rPr>
                    <w:t>（1）依据大气污染治理和环境改善的目标，强化区域能源结构优化调整，科学合理地进行分阶段、分区域禁煤（2）实施煤炭消费总量控制：严格控制煤炭消费总量</w:t>
                  </w:r>
                  <w:r>
                    <w:rPr>
                      <w:rFonts w:hint="eastAsia"/>
                      <w:color w:val="auto"/>
                    </w:rPr>
                    <w:t>；</w:t>
                  </w:r>
                  <w:r>
                    <w:rPr>
                      <w:color w:val="auto"/>
                    </w:rPr>
                    <w:t>   严格控制新建、改建、扩建耗煤项目，新增耗煤项目实行当年煤炭消耗减量倍量替代</w:t>
                  </w:r>
                </w:p>
              </w:tc>
              <w:tc>
                <w:tcPr>
                  <w:tcW w:w="962" w:type="pct"/>
                  <w:noWrap w:val="0"/>
                  <w:vAlign w:val="center"/>
                </w:tcPr>
                <w:p>
                  <w:pPr>
                    <w:pStyle w:val="170"/>
                    <w:bidi w:val="0"/>
                    <w:rPr>
                      <w:rFonts w:hint="eastAsia"/>
                      <w:color w:val="auto"/>
                    </w:rPr>
                  </w:pPr>
                  <w:r>
                    <w:rPr>
                      <w:rFonts w:hint="eastAsia"/>
                      <w:color w:val="auto"/>
                    </w:rPr>
                    <w:t>不涉及</w:t>
                  </w:r>
                </w:p>
              </w:tc>
              <w:tc>
                <w:tcPr>
                  <w:tcW w:w="365" w:type="pct"/>
                  <w:noWrap w:val="0"/>
                  <w:vAlign w:val="center"/>
                </w:tcPr>
                <w:p>
                  <w:pPr>
                    <w:pStyle w:val="170"/>
                    <w:bidi w:val="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1" w:hRule="atLeast"/>
              </w:trPr>
              <w:tc>
                <w:tcPr>
                  <w:tcW w:w="671" w:type="pct"/>
                  <w:vMerge w:val="continue"/>
                  <w:noWrap w:val="0"/>
                  <w:vAlign w:val="center"/>
                </w:tcPr>
                <w:p>
                  <w:pPr>
                    <w:pStyle w:val="170"/>
                    <w:bidi w:val="0"/>
                    <w:rPr>
                      <w:color w:val="auto"/>
                    </w:rPr>
                  </w:pPr>
                </w:p>
              </w:tc>
              <w:tc>
                <w:tcPr>
                  <w:tcW w:w="278" w:type="pct"/>
                  <w:vMerge w:val="continue"/>
                  <w:noWrap w:val="0"/>
                  <w:vAlign w:val="center"/>
                </w:tcPr>
                <w:p>
                  <w:pPr>
                    <w:pStyle w:val="170"/>
                    <w:bidi w:val="0"/>
                    <w:rPr>
                      <w:color w:val="auto"/>
                    </w:rPr>
                  </w:pPr>
                </w:p>
              </w:tc>
              <w:tc>
                <w:tcPr>
                  <w:tcW w:w="383" w:type="pct"/>
                  <w:vMerge w:val="continue"/>
                  <w:noWrap w:val="0"/>
                  <w:vAlign w:val="center"/>
                </w:tcPr>
                <w:p>
                  <w:pPr>
                    <w:pStyle w:val="170"/>
                    <w:bidi w:val="0"/>
                    <w:rPr>
                      <w:color w:val="auto"/>
                    </w:rPr>
                  </w:pPr>
                </w:p>
              </w:tc>
              <w:tc>
                <w:tcPr>
                  <w:tcW w:w="503" w:type="pct"/>
                  <w:noWrap w:val="0"/>
                  <w:vAlign w:val="center"/>
                </w:tcPr>
                <w:p>
                  <w:pPr>
                    <w:pStyle w:val="170"/>
                    <w:bidi w:val="0"/>
                    <w:rPr>
                      <w:color w:val="auto"/>
                    </w:rPr>
                  </w:pPr>
                  <w:r>
                    <w:rPr>
                      <w:color w:val="auto"/>
                    </w:rPr>
                    <w:t>禁燃区要求</w:t>
                  </w:r>
                </w:p>
              </w:tc>
              <w:tc>
                <w:tcPr>
                  <w:tcW w:w="1835" w:type="pct"/>
                  <w:noWrap w:val="0"/>
                  <w:vAlign w:val="center"/>
                </w:tcPr>
                <w:p>
                  <w:pPr>
                    <w:pStyle w:val="170"/>
                    <w:bidi w:val="0"/>
                    <w:rPr>
                      <w:color w:val="auto"/>
                    </w:rPr>
                  </w:pPr>
                  <w:r>
                    <w:rPr>
                      <w:color w:val="auto"/>
                    </w:rPr>
                    <w:t>（1）禁燃区禁止审批（核准、备案）、新建、扩建燃用高污染燃料的锅炉、炉窑等各类燃用高污染燃料的设施（2）禁止在高污染燃料禁燃区销售、燃用各类高污染燃料</w:t>
                  </w:r>
                </w:p>
              </w:tc>
              <w:tc>
                <w:tcPr>
                  <w:tcW w:w="962" w:type="pct"/>
                  <w:noWrap w:val="0"/>
                  <w:vAlign w:val="center"/>
                </w:tcPr>
                <w:p>
                  <w:pPr>
                    <w:pStyle w:val="170"/>
                    <w:bidi w:val="0"/>
                    <w:rPr>
                      <w:rFonts w:hint="eastAsia"/>
                      <w:color w:val="auto"/>
                    </w:rPr>
                  </w:pPr>
                  <w:r>
                    <w:rPr>
                      <w:rFonts w:hint="eastAsia"/>
                      <w:color w:val="auto"/>
                    </w:rPr>
                    <w:t>不涉及</w:t>
                  </w:r>
                </w:p>
              </w:tc>
              <w:tc>
                <w:tcPr>
                  <w:tcW w:w="365" w:type="pct"/>
                  <w:noWrap w:val="0"/>
                  <w:vAlign w:val="center"/>
                </w:tcPr>
                <w:p>
                  <w:pPr>
                    <w:pStyle w:val="170"/>
                    <w:bidi w:val="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 w:hRule="atLeast"/>
              </w:trPr>
              <w:tc>
                <w:tcPr>
                  <w:tcW w:w="671" w:type="pct"/>
                  <w:vMerge w:val="continue"/>
                  <w:noWrap w:val="0"/>
                  <w:vAlign w:val="center"/>
                </w:tcPr>
                <w:p>
                  <w:pPr>
                    <w:pStyle w:val="170"/>
                    <w:bidi w:val="0"/>
                    <w:rPr>
                      <w:color w:val="auto"/>
                    </w:rPr>
                  </w:pPr>
                </w:p>
              </w:tc>
              <w:tc>
                <w:tcPr>
                  <w:tcW w:w="278" w:type="pct"/>
                  <w:vMerge w:val="continue"/>
                  <w:noWrap w:val="0"/>
                  <w:vAlign w:val="center"/>
                </w:tcPr>
                <w:p>
                  <w:pPr>
                    <w:pStyle w:val="170"/>
                    <w:bidi w:val="0"/>
                    <w:rPr>
                      <w:color w:val="auto"/>
                    </w:rPr>
                  </w:pPr>
                </w:p>
              </w:tc>
              <w:tc>
                <w:tcPr>
                  <w:tcW w:w="383" w:type="pct"/>
                  <w:vMerge w:val="continue"/>
                  <w:noWrap w:val="0"/>
                  <w:vAlign w:val="center"/>
                </w:tcPr>
                <w:p>
                  <w:pPr>
                    <w:pStyle w:val="170"/>
                    <w:bidi w:val="0"/>
                    <w:rPr>
                      <w:color w:val="auto"/>
                    </w:rPr>
                  </w:pPr>
                </w:p>
              </w:tc>
              <w:tc>
                <w:tcPr>
                  <w:tcW w:w="503" w:type="pct"/>
                  <w:noWrap w:val="0"/>
                  <w:vAlign w:val="center"/>
                </w:tcPr>
                <w:p>
                  <w:pPr>
                    <w:pStyle w:val="170"/>
                    <w:bidi w:val="0"/>
                    <w:rPr>
                      <w:color w:val="auto"/>
                    </w:rPr>
                  </w:pPr>
                  <w:r>
                    <w:rPr>
                      <w:color w:val="auto"/>
                    </w:rPr>
                    <w:t>其他资源利用效率要求</w:t>
                  </w:r>
                </w:p>
              </w:tc>
              <w:tc>
                <w:tcPr>
                  <w:tcW w:w="1835" w:type="pct"/>
                  <w:noWrap w:val="0"/>
                  <w:vAlign w:val="center"/>
                </w:tcPr>
                <w:p>
                  <w:pPr>
                    <w:pStyle w:val="170"/>
                    <w:bidi w:val="0"/>
                    <w:rPr>
                      <w:rFonts w:hint="eastAsia"/>
                      <w:color w:val="auto"/>
                    </w:rPr>
                  </w:pPr>
                  <w:r>
                    <w:rPr>
                      <w:rFonts w:hint="eastAsia"/>
                      <w:color w:val="auto"/>
                    </w:rPr>
                    <w:t>/</w:t>
                  </w:r>
                </w:p>
              </w:tc>
              <w:tc>
                <w:tcPr>
                  <w:tcW w:w="962" w:type="pct"/>
                  <w:noWrap w:val="0"/>
                  <w:vAlign w:val="center"/>
                </w:tcPr>
                <w:p>
                  <w:pPr>
                    <w:pStyle w:val="170"/>
                    <w:bidi w:val="0"/>
                    <w:rPr>
                      <w:rFonts w:hint="eastAsia"/>
                      <w:color w:val="auto"/>
                    </w:rPr>
                  </w:pPr>
                  <w:r>
                    <w:rPr>
                      <w:rFonts w:hint="eastAsia"/>
                      <w:color w:val="auto"/>
                    </w:rPr>
                    <w:t>/</w:t>
                  </w:r>
                </w:p>
              </w:tc>
              <w:tc>
                <w:tcPr>
                  <w:tcW w:w="365" w:type="pct"/>
                  <w:noWrap w:val="0"/>
                  <w:vAlign w:val="center"/>
                </w:tcPr>
                <w:p>
                  <w:pPr>
                    <w:pStyle w:val="170"/>
                    <w:bidi w:val="0"/>
                    <w:rPr>
                      <w:rFonts w:hint="eastAsia"/>
                      <w:color w:val="auto"/>
                    </w:rPr>
                  </w:pPr>
                  <w:r>
                    <w:rPr>
                      <w:rFonts w:hint="eastAsia"/>
                      <w:color w:val="aut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6" w:hRule="atLeast"/>
              </w:trPr>
              <w:tc>
                <w:tcPr>
                  <w:tcW w:w="671" w:type="pct"/>
                  <w:vMerge w:val="continue"/>
                  <w:noWrap w:val="0"/>
                  <w:vAlign w:val="center"/>
                </w:tcPr>
                <w:p>
                  <w:pPr>
                    <w:pStyle w:val="170"/>
                    <w:bidi w:val="0"/>
                    <w:rPr>
                      <w:color w:val="auto"/>
                    </w:rPr>
                  </w:pPr>
                </w:p>
              </w:tc>
              <w:tc>
                <w:tcPr>
                  <w:tcW w:w="278" w:type="pct"/>
                  <w:vMerge w:val="restart"/>
                  <w:noWrap w:val="0"/>
                  <w:vAlign w:val="center"/>
                </w:tcPr>
                <w:p>
                  <w:pPr>
                    <w:pStyle w:val="170"/>
                    <w:bidi w:val="0"/>
                    <w:rPr>
                      <w:color w:val="auto"/>
                    </w:rPr>
                  </w:pPr>
                </w:p>
                <w:p>
                  <w:pPr>
                    <w:pStyle w:val="170"/>
                    <w:bidi w:val="0"/>
                    <w:rPr>
                      <w:color w:val="auto"/>
                    </w:rPr>
                  </w:pPr>
                </w:p>
                <w:p>
                  <w:pPr>
                    <w:pStyle w:val="170"/>
                    <w:bidi w:val="0"/>
                    <w:rPr>
                      <w:color w:val="auto"/>
                    </w:rPr>
                  </w:pPr>
                </w:p>
                <w:p>
                  <w:pPr>
                    <w:pStyle w:val="170"/>
                    <w:bidi w:val="0"/>
                    <w:rPr>
                      <w:color w:val="auto"/>
                    </w:rPr>
                  </w:pPr>
                </w:p>
                <w:p>
                  <w:pPr>
                    <w:pStyle w:val="170"/>
                    <w:bidi w:val="0"/>
                    <w:rPr>
                      <w:color w:val="auto"/>
                    </w:rPr>
                  </w:pPr>
                </w:p>
                <w:p>
                  <w:pPr>
                    <w:pStyle w:val="170"/>
                    <w:bidi w:val="0"/>
                    <w:rPr>
                      <w:color w:val="auto"/>
                    </w:rPr>
                  </w:pPr>
                  <w:r>
                    <w:rPr>
                      <w:color w:val="auto"/>
                    </w:rPr>
                    <w:t>单元级清单管控要求</w:t>
                  </w:r>
                </w:p>
              </w:tc>
              <w:tc>
                <w:tcPr>
                  <w:tcW w:w="383" w:type="pct"/>
                  <w:vMerge w:val="restart"/>
                  <w:noWrap w:val="0"/>
                  <w:vAlign w:val="center"/>
                </w:tcPr>
                <w:p>
                  <w:pPr>
                    <w:pStyle w:val="170"/>
                    <w:bidi w:val="0"/>
                    <w:rPr>
                      <w:color w:val="auto"/>
                    </w:rPr>
                  </w:pPr>
                  <w:r>
                    <w:rPr>
                      <w:color w:val="auto"/>
                    </w:rPr>
                    <w:t>空间布局约束</w:t>
                  </w:r>
                </w:p>
              </w:tc>
              <w:tc>
                <w:tcPr>
                  <w:tcW w:w="503" w:type="pct"/>
                  <w:noWrap w:val="0"/>
                  <w:vAlign w:val="center"/>
                </w:tcPr>
                <w:p>
                  <w:pPr>
                    <w:pStyle w:val="170"/>
                    <w:bidi w:val="0"/>
                    <w:rPr>
                      <w:color w:val="auto"/>
                    </w:rPr>
                  </w:pPr>
                  <w:r>
                    <w:rPr>
                      <w:color w:val="auto"/>
                    </w:rPr>
                    <w:t>禁止开发建设活动的要求</w:t>
                  </w:r>
                </w:p>
              </w:tc>
              <w:tc>
                <w:tcPr>
                  <w:tcW w:w="1835" w:type="pct"/>
                  <w:noWrap w:val="0"/>
                  <w:vAlign w:val="center"/>
                </w:tcPr>
                <w:p>
                  <w:pPr>
                    <w:pStyle w:val="170"/>
                    <w:bidi w:val="0"/>
                    <w:rPr>
                      <w:color w:val="auto"/>
                    </w:rPr>
                  </w:pPr>
                  <w:r>
                    <w:rPr>
                      <w:color w:val="auto"/>
                    </w:rPr>
                    <w:t>禁止在城镇用地布局规划确定的公共绿地、生态廊道内进行规模化建设开发，只允许必要的公共性园林式景观点状服务休闲设施建设2、其他执行乐山市城镇重点管控单元普适性总体准入要求</w:t>
                  </w:r>
                </w:p>
              </w:tc>
              <w:tc>
                <w:tcPr>
                  <w:tcW w:w="962" w:type="pct"/>
                  <w:noWrap w:val="0"/>
                  <w:vAlign w:val="center"/>
                </w:tcPr>
                <w:p>
                  <w:pPr>
                    <w:pStyle w:val="170"/>
                    <w:bidi w:val="0"/>
                    <w:rPr>
                      <w:rFonts w:hint="eastAsia"/>
                      <w:color w:val="auto"/>
                    </w:rPr>
                  </w:pPr>
                  <w:r>
                    <w:rPr>
                      <w:rFonts w:hint="eastAsia"/>
                      <w:color w:val="auto"/>
                    </w:rPr>
                    <w:t>本项目租用的是城区临街商铺进行项目的实施</w:t>
                  </w:r>
                </w:p>
              </w:tc>
              <w:tc>
                <w:tcPr>
                  <w:tcW w:w="365" w:type="pct"/>
                  <w:noWrap w:val="0"/>
                  <w:vAlign w:val="center"/>
                </w:tcPr>
                <w:p>
                  <w:pPr>
                    <w:pStyle w:val="170"/>
                    <w:bidi w:val="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 w:hRule="atLeast"/>
              </w:trPr>
              <w:tc>
                <w:tcPr>
                  <w:tcW w:w="671" w:type="pct"/>
                  <w:vMerge w:val="continue"/>
                  <w:noWrap w:val="0"/>
                  <w:vAlign w:val="center"/>
                </w:tcPr>
                <w:p>
                  <w:pPr>
                    <w:pStyle w:val="170"/>
                    <w:bidi w:val="0"/>
                    <w:rPr>
                      <w:color w:val="auto"/>
                    </w:rPr>
                  </w:pPr>
                </w:p>
              </w:tc>
              <w:tc>
                <w:tcPr>
                  <w:tcW w:w="278" w:type="pct"/>
                  <w:vMerge w:val="continue"/>
                  <w:noWrap w:val="0"/>
                  <w:vAlign w:val="center"/>
                </w:tcPr>
                <w:p>
                  <w:pPr>
                    <w:pStyle w:val="170"/>
                    <w:bidi w:val="0"/>
                    <w:rPr>
                      <w:color w:val="auto"/>
                    </w:rPr>
                  </w:pPr>
                </w:p>
              </w:tc>
              <w:tc>
                <w:tcPr>
                  <w:tcW w:w="383" w:type="pct"/>
                  <w:vMerge w:val="continue"/>
                  <w:noWrap w:val="0"/>
                  <w:vAlign w:val="center"/>
                </w:tcPr>
                <w:p>
                  <w:pPr>
                    <w:pStyle w:val="170"/>
                    <w:bidi w:val="0"/>
                    <w:rPr>
                      <w:color w:val="auto"/>
                    </w:rPr>
                  </w:pPr>
                </w:p>
              </w:tc>
              <w:tc>
                <w:tcPr>
                  <w:tcW w:w="503" w:type="pct"/>
                  <w:noWrap w:val="0"/>
                  <w:vAlign w:val="center"/>
                </w:tcPr>
                <w:p>
                  <w:pPr>
                    <w:pStyle w:val="170"/>
                    <w:bidi w:val="0"/>
                    <w:rPr>
                      <w:color w:val="auto"/>
                    </w:rPr>
                  </w:pPr>
                  <w:r>
                    <w:rPr>
                      <w:color w:val="auto"/>
                    </w:rPr>
                    <w:t>限制开发建设活动的要求</w:t>
                  </w:r>
                </w:p>
              </w:tc>
              <w:tc>
                <w:tcPr>
                  <w:tcW w:w="1835" w:type="pct"/>
                  <w:noWrap w:val="0"/>
                  <w:vAlign w:val="center"/>
                </w:tcPr>
                <w:p>
                  <w:pPr>
                    <w:pStyle w:val="170"/>
                    <w:bidi w:val="0"/>
                    <w:rPr>
                      <w:color w:val="auto"/>
                    </w:rPr>
                  </w:pPr>
                  <w:r>
                    <w:rPr>
                      <w:color w:val="auto"/>
                    </w:rPr>
                    <w:t> 1、西进南拓、中心提升、优化西南、控制东部、完善北部 2、其他执行乐山市城镇重点管控单元普适性总体准入要求</w:t>
                  </w:r>
                </w:p>
              </w:tc>
              <w:tc>
                <w:tcPr>
                  <w:tcW w:w="962" w:type="pct"/>
                  <w:noWrap w:val="0"/>
                  <w:vAlign w:val="center"/>
                </w:tcPr>
                <w:p>
                  <w:pPr>
                    <w:pStyle w:val="170"/>
                    <w:bidi w:val="0"/>
                    <w:rPr>
                      <w:rFonts w:hint="eastAsia"/>
                      <w:color w:val="auto"/>
                    </w:rPr>
                  </w:pPr>
                  <w:r>
                    <w:rPr>
                      <w:rFonts w:hint="eastAsia"/>
                      <w:color w:val="auto"/>
                    </w:rPr>
                    <w:t>不涉及</w:t>
                  </w:r>
                </w:p>
              </w:tc>
              <w:tc>
                <w:tcPr>
                  <w:tcW w:w="365" w:type="pct"/>
                  <w:noWrap w:val="0"/>
                  <w:vAlign w:val="center"/>
                </w:tcPr>
                <w:p>
                  <w:pPr>
                    <w:pStyle w:val="170"/>
                    <w:bidi w:val="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trPr>
              <w:tc>
                <w:tcPr>
                  <w:tcW w:w="671" w:type="pct"/>
                  <w:vMerge w:val="continue"/>
                  <w:noWrap w:val="0"/>
                  <w:vAlign w:val="center"/>
                </w:tcPr>
                <w:p>
                  <w:pPr>
                    <w:pStyle w:val="170"/>
                    <w:bidi w:val="0"/>
                    <w:rPr>
                      <w:color w:val="auto"/>
                    </w:rPr>
                  </w:pPr>
                </w:p>
              </w:tc>
              <w:tc>
                <w:tcPr>
                  <w:tcW w:w="278" w:type="pct"/>
                  <w:vMerge w:val="continue"/>
                  <w:noWrap w:val="0"/>
                  <w:vAlign w:val="center"/>
                </w:tcPr>
                <w:p>
                  <w:pPr>
                    <w:pStyle w:val="170"/>
                    <w:bidi w:val="0"/>
                    <w:rPr>
                      <w:color w:val="auto"/>
                    </w:rPr>
                  </w:pPr>
                </w:p>
              </w:tc>
              <w:tc>
                <w:tcPr>
                  <w:tcW w:w="383" w:type="pct"/>
                  <w:vMerge w:val="continue"/>
                  <w:noWrap w:val="0"/>
                  <w:vAlign w:val="center"/>
                </w:tcPr>
                <w:p>
                  <w:pPr>
                    <w:pStyle w:val="170"/>
                    <w:bidi w:val="0"/>
                    <w:rPr>
                      <w:color w:val="auto"/>
                    </w:rPr>
                  </w:pPr>
                </w:p>
              </w:tc>
              <w:tc>
                <w:tcPr>
                  <w:tcW w:w="503" w:type="pct"/>
                  <w:noWrap w:val="0"/>
                  <w:vAlign w:val="center"/>
                </w:tcPr>
                <w:p>
                  <w:pPr>
                    <w:pStyle w:val="170"/>
                    <w:bidi w:val="0"/>
                    <w:rPr>
                      <w:color w:val="auto"/>
                    </w:rPr>
                  </w:pPr>
                  <w:r>
                    <w:rPr>
                      <w:color w:val="auto"/>
                    </w:rPr>
                    <w:t>不符合空间布局要求活动的退出要求</w:t>
                  </w:r>
                </w:p>
              </w:tc>
              <w:tc>
                <w:tcPr>
                  <w:tcW w:w="1835" w:type="pct"/>
                  <w:noWrap w:val="0"/>
                  <w:vAlign w:val="center"/>
                </w:tcPr>
                <w:p>
                  <w:pPr>
                    <w:pStyle w:val="170"/>
                    <w:bidi w:val="0"/>
                    <w:rPr>
                      <w:color w:val="auto"/>
                    </w:rPr>
                  </w:pPr>
                  <w:r>
                    <w:rPr>
                      <w:color w:val="auto"/>
                    </w:rPr>
                    <w:t>  1、单元内既有合法手续的、且污染物排放和环境风险满足管控要求的企业可继续保留，不得新增污染物排放，并进一步加强监管</w:t>
                  </w:r>
                  <w:r>
                    <w:rPr>
                      <w:rFonts w:hint="eastAsia"/>
                      <w:color w:val="auto"/>
                    </w:rPr>
                    <w:t>；</w:t>
                  </w:r>
                  <w:r>
                    <w:rPr>
                      <w:color w:val="auto"/>
                    </w:rPr>
                    <w:t>否则限期进行整改，整改后任不能达到要求的，属地政府责令关停退出2、其他执行乐山市城镇重点管控单元普适性总体准入要求</w:t>
                  </w:r>
                </w:p>
              </w:tc>
              <w:tc>
                <w:tcPr>
                  <w:tcW w:w="962" w:type="pct"/>
                  <w:noWrap w:val="0"/>
                  <w:vAlign w:val="center"/>
                </w:tcPr>
                <w:p>
                  <w:pPr>
                    <w:pStyle w:val="170"/>
                    <w:bidi w:val="0"/>
                    <w:rPr>
                      <w:rFonts w:hint="eastAsia"/>
                      <w:color w:val="auto"/>
                    </w:rPr>
                  </w:pPr>
                  <w:r>
                    <w:rPr>
                      <w:rFonts w:hint="eastAsia"/>
                      <w:color w:val="auto"/>
                    </w:rPr>
                    <w:t>不涉及</w:t>
                  </w:r>
                </w:p>
              </w:tc>
              <w:tc>
                <w:tcPr>
                  <w:tcW w:w="365" w:type="pct"/>
                  <w:noWrap w:val="0"/>
                  <w:vAlign w:val="center"/>
                </w:tcPr>
                <w:p>
                  <w:pPr>
                    <w:pStyle w:val="170"/>
                    <w:bidi w:val="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trPr>
              <w:tc>
                <w:tcPr>
                  <w:tcW w:w="671" w:type="pct"/>
                  <w:vMerge w:val="continue"/>
                  <w:noWrap w:val="0"/>
                  <w:vAlign w:val="center"/>
                </w:tcPr>
                <w:p>
                  <w:pPr>
                    <w:pStyle w:val="170"/>
                    <w:bidi w:val="0"/>
                    <w:rPr>
                      <w:color w:val="auto"/>
                    </w:rPr>
                  </w:pPr>
                </w:p>
              </w:tc>
              <w:tc>
                <w:tcPr>
                  <w:tcW w:w="278" w:type="pct"/>
                  <w:vMerge w:val="continue"/>
                  <w:noWrap w:val="0"/>
                  <w:vAlign w:val="center"/>
                </w:tcPr>
                <w:p>
                  <w:pPr>
                    <w:pStyle w:val="170"/>
                    <w:bidi w:val="0"/>
                    <w:rPr>
                      <w:color w:val="auto"/>
                    </w:rPr>
                  </w:pPr>
                </w:p>
              </w:tc>
              <w:tc>
                <w:tcPr>
                  <w:tcW w:w="383" w:type="pct"/>
                  <w:vMerge w:val="restart"/>
                  <w:noWrap w:val="0"/>
                  <w:vAlign w:val="center"/>
                </w:tcPr>
                <w:p>
                  <w:pPr>
                    <w:pStyle w:val="170"/>
                    <w:bidi w:val="0"/>
                    <w:rPr>
                      <w:color w:val="auto"/>
                    </w:rPr>
                  </w:pPr>
                  <w:r>
                    <w:rPr>
                      <w:color w:val="auto"/>
                    </w:rPr>
                    <w:t>污染物排放管控</w:t>
                  </w:r>
                </w:p>
              </w:tc>
              <w:tc>
                <w:tcPr>
                  <w:tcW w:w="503" w:type="pct"/>
                  <w:noWrap w:val="0"/>
                  <w:vAlign w:val="center"/>
                </w:tcPr>
                <w:p>
                  <w:pPr>
                    <w:pStyle w:val="170"/>
                    <w:bidi w:val="0"/>
                    <w:rPr>
                      <w:color w:val="auto"/>
                    </w:rPr>
                  </w:pPr>
                  <w:r>
                    <w:rPr>
                      <w:color w:val="auto"/>
                    </w:rPr>
                    <w:t>现有源提标升级改造</w:t>
                  </w:r>
                </w:p>
              </w:tc>
              <w:tc>
                <w:tcPr>
                  <w:tcW w:w="1835" w:type="pct"/>
                  <w:noWrap w:val="0"/>
                  <w:vAlign w:val="center"/>
                </w:tcPr>
                <w:p>
                  <w:pPr>
                    <w:pStyle w:val="170"/>
                    <w:bidi w:val="0"/>
                    <w:rPr>
                      <w:color w:val="auto"/>
                    </w:rPr>
                  </w:pPr>
                  <w:r>
                    <w:rPr>
                      <w:color w:val="auto"/>
                    </w:rPr>
                    <w:t>  执行乐山市城镇重点管控单元普适性总体准入要求;</w:t>
                  </w:r>
                </w:p>
              </w:tc>
              <w:tc>
                <w:tcPr>
                  <w:tcW w:w="962" w:type="pct"/>
                  <w:noWrap w:val="0"/>
                  <w:vAlign w:val="center"/>
                </w:tcPr>
                <w:p>
                  <w:pPr>
                    <w:pStyle w:val="170"/>
                    <w:bidi w:val="0"/>
                    <w:rPr>
                      <w:rFonts w:hint="eastAsia"/>
                      <w:color w:val="auto"/>
                    </w:rPr>
                  </w:pPr>
                  <w:r>
                    <w:rPr>
                      <w:rFonts w:hint="eastAsia"/>
                      <w:color w:val="auto"/>
                    </w:rPr>
                    <w:t>/</w:t>
                  </w:r>
                </w:p>
              </w:tc>
              <w:tc>
                <w:tcPr>
                  <w:tcW w:w="365" w:type="pct"/>
                  <w:noWrap w:val="0"/>
                  <w:vAlign w:val="center"/>
                </w:tcPr>
                <w:p>
                  <w:pPr>
                    <w:pStyle w:val="170"/>
                    <w:bidi w:val="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 w:hRule="atLeast"/>
              </w:trPr>
              <w:tc>
                <w:tcPr>
                  <w:tcW w:w="671" w:type="pct"/>
                  <w:vMerge w:val="continue"/>
                  <w:noWrap w:val="0"/>
                  <w:vAlign w:val="center"/>
                </w:tcPr>
                <w:p>
                  <w:pPr>
                    <w:pStyle w:val="170"/>
                    <w:bidi w:val="0"/>
                    <w:rPr>
                      <w:color w:val="auto"/>
                    </w:rPr>
                  </w:pPr>
                </w:p>
              </w:tc>
              <w:tc>
                <w:tcPr>
                  <w:tcW w:w="278" w:type="pct"/>
                  <w:vMerge w:val="continue"/>
                  <w:noWrap w:val="0"/>
                  <w:vAlign w:val="center"/>
                </w:tcPr>
                <w:p>
                  <w:pPr>
                    <w:pStyle w:val="170"/>
                    <w:bidi w:val="0"/>
                    <w:rPr>
                      <w:color w:val="auto"/>
                    </w:rPr>
                  </w:pPr>
                </w:p>
              </w:tc>
              <w:tc>
                <w:tcPr>
                  <w:tcW w:w="383" w:type="pct"/>
                  <w:vMerge w:val="continue"/>
                  <w:noWrap w:val="0"/>
                  <w:vAlign w:val="center"/>
                </w:tcPr>
                <w:p>
                  <w:pPr>
                    <w:pStyle w:val="170"/>
                    <w:bidi w:val="0"/>
                    <w:rPr>
                      <w:color w:val="auto"/>
                    </w:rPr>
                  </w:pPr>
                </w:p>
              </w:tc>
              <w:tc>
                <w:tcPr>
                  <w:tcW w:w="503" w:type="pct"/>
                  <w:noWrap w:val="0"/>
                  <w:vAlign w:val="center"/>
                </w:tcPr>
                <w:p>
                  <w:pPr>
                    <w:pStyle w:val="170"/>
                    <w:bidi w:val="0"/>
                    <w:rPr>
                      <w:color w:val="auto"/>
                    </w:rPr>
                  </w:pPr>
                  <w:r>
                    <w:rPr>
                      <w:color w:val="auto"/>
                    </w:rPr>
                    <w:t>新增源等量或倍量替代</w:t>
                  </w:r>
                </w:p>
              </w:tc>
              <w:tc>
                <w:tcPr>
                  <w:tcW w:w="1835" w:type="pct"/>
                  <w:noWrap w:val="0"/>
                  <w:vAlign w:val="center"/>
                </w:tcPr>
                <w:p>
                  <w:pPr>
                    <w:pStyle w:val="170"/>
                    <w:bidi w:val="0"/>
                    <w:rPr>
                      <w:color w:val="auto"/>
                    </w:rPr>
                  </w:pPr>
                  <w:r>
                    <w:rPr>
                      <w:color w:val="auto"/>
                    </w:rPr>
                    <w:t> 执行乐山市城镇重点管控单元普适性总体准入要求;</w:t>
                  </w:r>
                </w:p>
              </w:tc>
              <w:tc>
                <w:tcPr>
                  <w:tcW w:w="962" w:type="pct"/>
                  <w:noWrap w:val="0"/>
                  <w:vAlign w:val="center"/>
                </w:tcPr>
                <w:p>
                  <w:pPr>
                    <w:pStyle w:val="170"/>
                    <w:bidi w:val="0"/>
                    <w:rPr>
                      <w:rFonts w:hint="eastAsia"/>
                      <w:color w:val="auto"/>
                    </w:rPr>
                  </w:pPr>
                  <w:r>
                    <w:rPr>
                      <w:rFonts w:hint="eastAsia"/>
                      <w:color w:val="auto"/>
                    </w:rPr>
                    <w:t>/</w:t>
                  </w:r>
                </w:p>
              </w:tc>
              <w:tc>
                <w:tcPr>
                  <w:tcW w:w="365" w:type="pct"/>
                  <w:noWrap w:val="0"/>
                  <w:vAlign w:val="center"/>
                </w:tcPr>
                <w:p>
                  <w:pPr>
                    <w:pStyle w:val="170"/>
                    <w:bidi w:val="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trPr>
              <w:tc>
                <w:tcPr>
                  <w:tcW w:w="671" w:type="pct"/>
                  <w:vMerge w:val="continue"/>
                  <w:noWrap w:val="0"/>
                  <w:vAlign w:val="center"/>
                </w:tcPr>
                <w:p>
                  <w:pPr>
                    <w:pStyle w:val="170"/>
                    <w:bidi w:val="0"/>
                    <w:rPr>
                      <w:color w:val="auto"/>
                    </w:rPr>
                  </w:pPr>
                </w:p>
              </w:tc>
              <w:tc>
                <w:tcPr>
                  <w:tcW w:w="278" w:type="pct"/>
                  <w:vMerge w:val="continue"/>
                  <w:noWrap w:val="0"/>
                  <w:vAlign w:val="center"/>
                </w:tcPr>
                <w:p>
                  <w:pPr>
                    <w:pStyle w:val="170"/>
                    <w:bidi w:val="0"/>
                    <w:rPr>
                      <w:color w:val="auto"/>
                    </w:rPr>
                  </w:pPr>
                </w:p>
              </w:tc>
              <w:tc>
                <w:tcPr>
                  <w:tcW w:w="383" w:type="pct"/>
                  <w:vMerge w:val="continue"/>
                  <w:noWrap w:val="0"/>
                  <w:vAlign w:val="center"/>
                </w:tcPr>
                <w:p>
                  <w:pPr>
                    <w:pStyle w:val="170"/>
                    <w:bidi w:val="0"/>
                    <w:rPr>
                      <w:color w:val="auto"/>
                    </w:rPr>
                  </w:pPr>
                </w:p>
              </w:tc>
              <w:tc>
                <w:tcPr>
                  <w:tcW w:w="503" w:type="pct"/>
                  <w:noWrap w:val="0"/>
                  <w:vAlign w:val="center"/>
                </w:tcPr>
                <w:p>
                  <w:pPr>
                    <w:pStyle w:val="170"/>
                    <w:bidi w:val="0"/>
                    <w:rPr>
                      <w:color w:val="auto"/>
                    </w:rPr>
                  </w:pPr>
                  <w:r>
                    <w:rPr>
                      <w:color w:val="auto"/>
                    </w:rPr>
                    <w:t>污染物排放绩效水平准入要求</w:t>
                  </w:r>
                </w:p>
              </w:tc>
              <w:tc>
                <w:tcPr>
                  <w:tcW w:w="1835" w:type="pct"/>
                  <w:noWrap w:val="0"/>
                  <w:vAlign w:val="center"/>
                </w:tcPr>
                <w:p>
                  <w:pPr>
                    <w:pStyle w:val="170"/>
                    <w:bidi w:val="0"/>
                    <w:rPr>
                      <w:color w:val="auto"/>
                    </w:rPr>
                  </w:pPr>
                  <w:r>
                    <w:rPr>
                      <w:color w:val="auto"/>
                    </w:rPr>
                    <w:t> 执行乐山市城镇重点管控单元普适性总体准入要求;</w:t>
                  </w:r>
                </w:p>
              </w:tc>
              <w:tc>
                <w:tcPr>
                  <w:tcW w:w="962" w:type="pct"/>
                  <w:noWrap w:val="0"/>
                  <w:vAlign w:val="center"/>
                </w:tcPr>
                <w:p>
                  <w:pPr>
                    <w:pStyle w:val="170"/>
                    <w:bidi w:val="0"/>
                    <w:rPr>
                      <w:rFonts w:hint="eastAsia"/>
                      <w:color w:val="auto"/>
                    </w:rPr>
                  </w:pPr>
                  <w:r>
                    <w:rPr>
                      <w:rFonts w:hint="eastAsia"/>
                      <w:color w:val="auto"/>
                    </w:rPr>
                    <w:t>/</w:t>
                  </w:r>
                </w:p>
              </w:tc>
              <w:tc>
                <w:tcPr>
                  <w:tcW w:w="365" w:type="pct"/>
                  <w:noWrap w:val="0"/>
                  <w:vAlign w:val="center"/>
                </w:tcPr>
                <w:p>
                  <w:pPr>
                    <w:pStyle w:val="170"/>
                    <w:bidi w:val="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71" w:type="pct"/>
                  <w:vMerge w:val="continue"/>
                  <w:noWrap w:val="0"/>
                  <w:vAlign w:val="center"/>
                </w:tcPr>
                <w:p>
                  <w:pPr>
                    <w:pStyle w:val="170"/>
                    <w:bidi w:val="0"/>
                    <w:rPr>
                      <w:color w:val="auto"/>
                    </w:rPr>
                  </w:pPr>
                </w:p>
              </w:tc>
              <w:tc>
                <w:tcPr>
                  <w:tcW w:w="278" w:type="pct"/>
                  <w:vMerge w:val="continue"/>
                  <w:noWrap w:val="0"/>
                  <w:vAlign w:val="center"/>
                </w:tcPr>
                <w:p>
                  <w:pPr>
                    <w:pStyle w:val="170"/>
                    <w:bidi w:val="0"/>
                    <w:rPr>
                      <w:color w:val="auto"/>
                    </w:rPr>
                  </w:pPr>
                </w:p>
              </w:tc>
              <w:tc>
                <w:tcPr>
                  <w:tcW w:w="383" w:type="pct"/>
                  <w:vMerge w:val="restart"/>
                  <w:noWrap w:val="0"/>
                  <w:vAlign w:val="center"/>
                </w:tcPr>
                <w:p>
                  <w:pPr>
                    <w:pStyle w:val="170"/>
                    <w:bidi w:val="0"/>
                    <w:rPr>
                      <w:color w:val="auto"/>
                    </w:rPr>
                  </w:pPr>
                  <w:r>
                    <w:rPr>
                      <w:color w:val="auto"/>
                    </w:rPr>
                    <w:t>环境风险防控</w:t>
                  </w:r>
                </w:p>
              </w:tc>
              <w:tc>
                <w:tcPr>
                  <w:tcW w:w="503" w:type="pct"/>
                  <w:noWrap w:val="0"/>
                  <w:vAlign w:val="center"/>
                </w:tcPr>
                <w:p>
                  <w:pPr>
                    <w:pStyle w:val="170"/>
                    <w:bidi w:val="0"/>
                    <w:rPr>
                      <w:color w:val="auto"/>
                    </w:rPr>
                  </w:pPr>
                  <w:r>
                    <w:rPr>
                      <w:color w:val="auto"/>
                    </w:rPr>
                    <w:t>企业环境风险防控要求</w:t>
                  </w:r>
                </w:p>
              </w:tc>
              <w:tc>
                <w:tcPr>
                  <w:tcW w:w="1835" w:type="pct"/>
                  <w:noWrap w:val="0"/>
                  <w:vAlign w:val="center"/>
                </w:tcPr>
                <w:p>
                  <w:pPr>
                    <w:pStyle w:val="170"/>
                    <w:bidi w:val="0"/>
                    <w:rPr>
                      <w:color w:val="auto"/>
                    </w:rPr>
                  </w:pPr>
                  <w:r>
                    <w:rPr>
                      <w:color w:val="auto"/>
                    </w:rPr>
                    <w:t>   1、加强涉危涉化企业管控，严控环境风险2、其他执行乐山市城镇重点管控单元普适性总体准入要求</w:t>
                  </w:r>
                </w:p>
              </w:tc>
              <w:tc>
                <w:tcPr>
                  <w:tcW w:w="962" w:type="pct"/>
                  <w:noWrap w:val="0"/>
                  <w:vAlign w:val="center"/>
                </w:tcPr>
                <w:p>
                  <w:pPr>
                    <w:pStyle w:val="170"/>
                    <w:bidi w:val="0"/>
                    <w:rPr>
                      <w:rFonts w:hint="eastAsia"/>
                      <w:color w:val="auto"/>
                    </w:rPr>
                  </w:pPr>
                  <w:r>
                    <w:rPr>
                      <w:rFonts w:hint="eastAsia"/>
                      <w:color w:val="auto"/>
                    </w:rPr>
                    <w:t>不属于涉危和涉化企业</w:t>
                  </w:r>
                </w:p>
              </w:tc>
              <w:tc>
                <w:tcPr>
                  <w:tcW w:w="365" w:type="pct"/>
                  <w:noWrap w:val="0"/>
                  <w:vAlign w:val="center"/>
                </w:tcPr>
                <w:p>
                  <w:pPr>
                    <w:pStyle w:val="170"/>
                    <w:bidi w:val="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8" w:hRule="atLeast"/>
              </w:trPr>
              <w:tc>
                <w:tcPr>
                  <w:tcW w:w="671" w:type="pct"/>
                  <w:vMerge w:val="continue"/>
                  <w:noWrap w:val="0"/>
                  <w:vAlign w:val="center"/>
                </w:tcPr>
                <w:p>
                  <w:pPr>
                    <w:pStyle w:val="170"/>
                    <w:bidi w:val="0"/>
                    <w:rPr>
                      <w:color w:val="auto"/>
                    </w:rPr>
                  </w:pPr>
                </w:p>
              </w:tc>
              <w:tc>
                <w:tcPr>
                  <w:tcW w:w="278" w:type="pct"/>
                  <w:vMerge w:val="continue"/>
                  <w:noWrap w:val="0"/>
                  <w:vAlign w:val="center"/>
                </w:tcPr>
                <w:p>
                  <w:pPr>
                    <w:pStyle w:val="170"/>
                    <w:bidi w:val="0"/>
                    <w:rPr>
                      <w:color w:val="auto"/>
                    </w:rPr>
                  </w:pPr>
                </w:p>
              </w:tc>
              <w:tc>
                <w:tcPr>
                  <w:tcW w:w="383" w:type="pct"/>
                  <w:vMerge w:val="continue"/>
                  <w:noWrap w:val="0"/>
                  <w:vAlign w:val="center"/>
                </w:tcPr>
                <w:p>
                  <w:pPr>
                    <w:pStyle w:val="170"/>
                    <w:bidi w:val="0"/>
                    <w:rPr>
                      <w:color w:val="auto"/>
                    </w:rPr>
                  </w:pPr>
                </w:p>
              </w:tc>
              <w:tc>
                <w:tcPr>
                  <w:tcW w:w="503" w:type="pct"/>
                  <w:noWrap w:val="0"/>
                  <w:vAlign w:val="center"/>
                </w:tcPr>
                <w:p>
                  <w:pPr>
                    <w:pStyle w:val="170"/>
                    <w:bidi w:val="0"/>
                    <w:rPr>
                      <w:color w:val="auto"/>
                    </w:rPr>
                  </w:pPr>
                  <w:r>
                    <w:rPr>
                      <w:color w:val="auto"/>
                    </w:rPr>
                    <w:t>其他环境风险防控要求</w:t>
                  </w:r>
                </w:p>
              </w:tc>
              <w:tc>
                <w:tcPr>
                  <w:tcW w:w="1835" w:type="pct"/>
                  <w:noWrap w:val="0"/>
                  <w:vAlign w:val="center"/>
                </w:tcPr>
                <w:p>
                  <w:pPr>
                    <w:pStyle w:val="170"/>
                    <w:bidi w:val="0"/>
                    <w:rPr>
                      <w:color w:val="auto"/>
                    </w:rPr>
                  </w:pPr>
                  <w:r>
                    <w:rPr>
                      <w:color w:val="auto"/>
                    </w:rPr>
                    <w:t> 执行乐山市城镇重点管控单元普适性总体准入要求</w:t>
                  </w:r>
                </w:p>
              </w:tc>
              <w:tc>
                <w:tcPr>
                  <w:tcW w:w="962" w:type="pct"/>
                  <w:noWrap w:val="0"/>
                  <w:vAlign w:val="center"/>
                </w:tcPr>
                <w:p>
                  <w:pPr>
                    <w:pStyle w:val="170"/>
                    <w:bidi w:val="0"/>
                    <w:rPr>
                      <w:rFonts w:hint="eastAsia"/>
                      <w:color w:val="auto"/>
                    </w:rPr>
                  </w:pPr>
                  <w:r>
                    <w:rPr>
                      <w:rFonts w:hint="eastAsia"/>
                      <w:color w:val="auto"/>
                    </w:rPr>
                    <w:t>/</w:t>
                  </w:r>
                </w:p>
              </w:tc>
              <w:tc>
                <w:tcPr>
                  <w:tcW w:w="365" w:type="pct"/>
                  <w:noWrap w:val="0"/>
                  <w:vAlign w:val="center"/>
                </w:tcPr>
                <w:p>
                  <w:pPr>
                    <w:pStyle w:val="170"/>
                    <w:bidi w:val="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trPr>
              <w:tc>
                <w:tcPr>
                  <w:tcW w:w="671" w:type="pct"/>
                  <w:vMerge w:val="continue"/>
                  <w:noWrap w:val="0"/>
                  <w:vAlign w:val="center"/>
                </w:tcPr>
                <w:p>
                  <w:pPr>
                    <w:pStyle w:val="170"/>
                    <w:bidi w:val="0"/>
                    <w:rPr>
                      <w:color w:val="auto"/>
                    </w:rPr>
                  </w:pPr>
                </w:p>
              </w:tc>
              <w:tc>
                <w:tcPr>
                  <w:tcW w:w="278" w:type="pct"/>
                  <w:vMerge w:val="continue"/>
                  <w:noWrap w:val="0"/>
                  <w:vAlign w:val="center"/>
                </w:tcPr>
                <w:p>
                  <w:pPr>
                    <w:pStyle w:val="170"/>
                    <w:bidi w:val="0"/>
                    <w:rPr>
                      <w:color w:val="auto"/>
                    </w:rPr>
                  </w:pPr>
                </w:p>
              </w:tc>
              <w:tc>
                <w:tcPr>
                  <w:tcW w:w="383" w:type="pct"/>
                  <w:vMerge w:val="restart"/>
                  <w:noWrap w:val="0"/>
                  <w:vAlign w:val="center"/>
                </w:tcPr>
                <w:p>
                  <w:pPr>
                    <w:pStyle w:val="170"/>
                    <w:bidi w:val="0"/>
                    <w:rPr>
                      <w:color w:val="auto"/>
                    </w:rPr>
                  </w:pPr>
                  <w:r>
                    <w:rPr>
                      <w:color w:val="auto"/>
                    </w:rPr>
                    <w:t>资源开发利用效率</w:t>
                  </w:r>
                </w:p>
              </w:tc>
              <w:tc>
                <w:tcPr>
                  <w:tcW w:w="503" w:type="pct"/>
                  <w:noWrap w:val="0"/>
                  <w:vAlign w:val="center"/>
                </w:tcPr>
                <w:p>
                  <w:pPr>
                    <w:pStyle w:val="170"/>
                    <w:bidi w:val="0"/>
                    <w:rPr>
                      <w:color w:val="auto"/>
                    </w:rPr>
                  </w:pPr>
                  <w:r>
                    <w:rPr>
                      <w:color w:val="auto"/>
                    </w:rPr>
                    <w:t>水资源利用效率要求</w:t>
                  </w:r>
                </w:p>
              </w:tc>
              <w:tc>
                <w:tcPr>
                  <w:tcW w:w="1835" w:type="pct"/>
                  <w:noWrap w:val="0"/>
                  <w:vAlign w:val="center"/>
                </w:tcPr>
                <w:p>
                  <w:pPr>
                    <w:pStyle w:val="170"/>
                    <w:bidi w:val="0"/>
                    <w:rPr>
                      <w:color w:val="auto"/>
                    </w:rPr>
                  </w:pPr>
                  <w:r>
                    <w:rPr>
                      <w:color w:val="auto"/>
                    </w:rPr>
                    <w:t> 执行乐山市城镇重点管控单元普适性总体准入要求</w:t>
                  </w:r>
                </w:p>
              </w:tc>
              <w:tc>
                <w:tcPr>
                  <w:tcW w:w="962" w:type="pct"/>
                  <w:noWrap w:val="0"/>
                  <w:vAlign w:val="center"/>
                </w:tcPr>
                <w:p>
                  <w:pPr>
                    <w:pStyle w:val="170"/>
                    <w:bidi w:val="0"/>
                    <w:rPr>
                      <w:rFonts w:hint="eastAsia"/>
                      <w:color w:val="auto"/>
                    </w:rPr>
                  </w:pPr>
                  <w:r>
                    <w:rPr>
                      <w:rFonts w:hint="eastAsia"/>
                      <w:color w:val="auto"/>
                    </w:rPr>
                    <w:t>/</w:t>
                  </w:r>
                </w:p>
              </w:tc>
              <w:tc>
                <w:tcPr>
                  <w:tcW w:w="365" w:type="pct"/>
                  <w:noWrap w:val="0"/>
                  <w:vAlign w:val="center"/>
                </w:tcPr>
                <w:p>
                  <w:pPr>
                    <w:pStyle w:val="170"/>
                    <w:bidi w:val="0"/>
                    <w:rPr>
                      <w:color w:val="auto"/>
                    </w:rPr>
                  </w:pPr>
                  <w:r>
                    <w:rPr>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6" w:hRule="atLeast"/>
              </w:trPr>
              <w:tc>
                <w:tcPr>
                  <w:tcW w:w="671" w:type="pct"/>
                  <w:vMerge w:val="continue"/>
                  <w:noWrap w:val="0"/>
                  <w:vAlign w:val="center"/>
                </w:tcPr>
                <w:p>
                  <w:pPr>
                    <w:pStyle w:val="170"/>
                    <w:bidi w:val="0"/>
                    <w:rPr>
                      <w:color w:val="auto"/>
                    </w:rPr>
                  </w:pPr>
                </w:p>
              </w:tc>
              <w:tc>
                <w:tcPr>
                  <w:tcW w:w="278" w:type="pct"/>
                  <w:vMerge w:val="continue"/>
                  <w:noWrap w:val="0"/>
                  <w:vAlign w:val="center"/>
                </w:tcPr>
                <w:p>
                  <w:pPr>
                    <w:pStyle w:val="170"/>
                    <w:bidi w:val="0"/>
                    <w:rPr>
                      <w:color w:val="auto"/>
                    </w:rPr>
                  </w:pPr>
                </w:p>
              </w:tc>
              <w:tc>
                <w:tcPr>
                  <w:tcW w:w="383" w:type="pct"/>
                  <w:vMerge w:val="continue"/>
                  <w:noWrap w:val="0"/>
                  <w:vAlign w:val="center"/>
                </w:tcPr>
                <w:p>
                  <w:pPr>
                    <w:pStyle w:val="170"/>
                    <w:bidi w:val="0"/>
                    <w:rPr>
                      <w:color w:val="auto"/>
                    </w:rPr>
                  </w:pPr>
                </w:p>
              </w:tc>
              <w:tc>
                <w:tcPr>
                  <w:tcW w:w="503" w:type="pct"/>
                  <w:noWrap w:val="0"/>
                  <w:vAlign w:val="center"/>
                </w:tcPr>
                <w:p>
                  <w:pPr>
                    <w:pStyle w:val="170"/>
                    <w:bidi w:val="0"/>
                    <w:rPr>
                      <w:color w:val="auto"/>
                    </w:rPr>
                  </w:pPr>
                  <w:r>
                    <w:rPr>
                      <w:color w:val="auto"/>
                    </w:rPr>
                    <w:t>能源利用效率要求</w:t>
                  </w:r>
                </w:p>
              </w:tc>
              <w:tc>
                <w:tcPr>
                  <w:tcW w:w="1835" w:type="pct"/>
                  <w:noWrap w:val="0"/>
                  <w:vAlign w:val="center"/>
                </w:tcPr>
                <w:p>
                  <w:pPr>
                    <w:pStyle w:val="170"/>
                    <w:bidi w:val="0"/>
                    <w:rPr>
                      <w:color w:val="auto"/>
                    </w:rPr>
                  </w:pPr>
                  <w:r>
                    <w:rPr>
                      <w:color w:val="auto"/>
                    </w:rPr>
                    <w:t>   1、禁燃区内禁止审批（核准、备案）、新建、扩建燃用高污染燃料的锅炉、炉窑等各类燃用高污染燃料的设施  2、其他执行乐山市城镇重点管控单元普适性总体准入要求</w:t>
                  </w:r>
                </w:p>
              </w:tc>
              <w:tc>
                <w:tcPr>
                  <w:tcW w:w="962" w:type="pct"/>
                  <w:noWrap w:val="0"/>
                  <w:vAlign w:val="center"/>
                </w:tcPr>
                <w:p>
                  <w:pPr>
                    <w:pStyle w:val="170"/>
                    <w:bidi w:val="0"/>
                    <w:rPr>
                      <w:rFonts w:hint="eastAsia"/>
                      <w:color w:val="auto"/>
                    </w:rPr>
                  </w:pPr>
                  <w:r>
                    <w:rPr>
                      <w:rFonts w:hint="eastAsia"/>
                      <w:color w:val="auto"/>
                    </w:rPr>
                    <w:t>不涉及</w:t>
                  </w:r>
                </w:p>
              </w:tc>
              <w:tc>
                <w:tcPr>
                  <w:tcW w:w="365" w:type="pct"/>
                  <w:noWrap w:val="0"/>
                  <w:vAlign w:val="center"/>
                </w:tcPr>
                <w:p>
                  <w:pPr>
                    <w:pStyle w:val="170"/>
                    <w:bidi w:val="0"/>
                    <w:rPr>
                      <w:color w:val="auto"/>
                    </w:rPr>
                  </w:pPr>
                  <w:r>
                    <w:rPr>
                      <w:rFonts w:hint="eastAsia"/>
                      <w:color w:val="auto"/>
                    </w:rPr>
                    <w:t>符合</w:t>
                  </w:r>
                </w:p>
              </w:tc>
            </w:tr>
          </w:tbl>
          <w:p>
            <w:pPr>
              <w:pStyle w:val="104"/>
              <w:bidi w:val="0"/>
              <w:rPr>
                <w:color w:val="auto"/>
              </w:rPr>
            </w:pPr>
            <w:r>
              <w:rPr>
                <w:color w:val="auto"/>
              </w:rPr>
              <w:t>本项目位于</w:t>
            </w:r>
            <w:r>
              <w:rPr>
                <w:rFonts w:hint="eastAsia"/>
                <w:color w:val="auto"/>
              </w:rPr>
              <w:t>乐山市市中区</w:t>
            </w:r>
            <w:r>
              <w:rPr>
                <w:color w:val="auto"/>
              </w:rPr>
              <w:t>，</w:t>
            </w:r>
            <w:r>
              <w:rPr>
                <w:rFonts w:hint="eastAsia"/>
                <w:color w:val="auto"/>
              </w:rPr>
              <w:t>所在位置属于城镇重点管控单元，项目</w:t>
            </w:r>
            <w:r>
              <w:rPr>
                <w:color w:val="auto"/>
              </w:rPr>
              <w:t>属于</w:t>
            </w:r>
            <w:r>
              <w:rPr>
                <w:rFonts w:hint="eastAsia"/>
                <w:color w:val="auto"/>
              </w:rPr>
              <w:t>宠物医院服务项目</w:t>
            </w:r>
            <w:r>
              <w:rPr>
                <w:color w:val="auto"/>
              </w:rPr>
              <w:t>。根据《四川省人民政府关于印发四川省生态保护红线方案的通知》（川府发[2018]24 号），项目建设不涉及川府发[2018]24 号文件划定的生态红线区城</w:t>
            </w:r>
            <w:r>
              <w:rPr>
                <w:rFonts w:hint="eastAsia"/>
                <w:color w:val="auto"/>
              </w:rPr>
              <w:t>，不属于生产性企业，不属于冶炼、焦化、化工、铅蓄电池制造行业，项目不涉及重金属排放，不属于禁止开发建设活动，</w:t>
            </w:r>
            <w:r>
              <w:rPr>
                <w:color w:val="auto"/>
              </w:rPr>
              <w:t>符合空间布局约束管控要求</w:t>
            </w:r>
            <w:r>
              <w:rPr>
                <w:rFonts w:hint="eastAsia"/>
                <w:color w:val="auto"/>
              </w:rPr>
              <w:t>，</w:t>
            </w:r>
            <w:r>
              <w:rPr>
                <w:color w:val="auto"/>
              </w:rPr>
              <w:t>符合污染物排放管控要求</w:t>
            </w:r>
            <w:r>
              <w:rPr>
                <w:rFonts w:hint="eastAsia"/>
                <w:color w:val="auto"/>
              </w:rPr>
              <w:t>，</w:t>
            </w:r>
            <w:r>
              <w:rPr>
                <w:color w:val="auto"/>
              </w:rPr>
              <w:t>符合环境风险防控要求。 综上，本项目的建设与</w:t>
            </w:r>
            <w:r>
              <w:rPr>
                <w:rFonts w:hint="eastAsia"/>
                <w:color w:val="auto"/>
              </w:rPr>
              <w:t>乐山</w:t>
            </w:r>
            <w:r>
              <w:rPr>
                <w:color w:val="auto"/>
              </w:rPr>
              <w:t>市</w:t>
            </w:r>
            <w:r>
              <w:rPr>
                <w:rFonts w:hint="eastAsia"/>
                <w:color w:val="auto"/>
              </w:rPr>
              <w:t>“</w:t>
            </w:r>
            <w:r>
              <w:rPr>
                <w:color w:val="auto"/>
              </w:rPr>
              <w:t>三线一单</w:t>
            </w:r>
            <w:r>
              <w:rPr>
                <w:rFonts w:hint="eastAsia"/>
                <w:color w:val="auto"/>
              </w:rPr>
              <w:t>”</w:t>
            </w:r>
            <w:r>
              <w:rPr>
                <w:color w:val="auto"/>
              </w:rPr>
              <w:t>相符。</w:t>
            </w:r>
          </w:p>
        </w:tc>
      </w:tr>
    </w:tbl>
    <w:p>
      <w:pPr>
        <w:pStyle w:val="2"/>
        <w:rPr>
          <w:color w:val="auto"/>
        </w:rPr>
        <w:sectPr>
          <w:headerReference r:id="rId14" w:type="default"/>
          <w:pgSz w:w="16838" w:h="11906" w:orient="landscape"/>
          <w:pgMar w:top="1531" w:right="1701" w:bottom="1531" w:left="1701" w:header="851" w:footer="1077" w:gutter="0"/>
          <w:pgNumType w:start="1"/>
          <w:cols w:space="720" w:num="1"/>
          <w:docGrid w:linePitch="312" w:charSpace="0"/>
        </w:sectPr>
      </w:pPr>
    </w:p>
    <w:tbl>
      <w:tblPr>
        <w:tblStyle w:val="3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4"/>
        <w:gridCol w:w="77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64" w:type="dxa"/>
            <w:noWrap w:val="0"/>
            <w:vAlign w:val="center"/>
          </w:tcPr>
          <w:p>
            <w:pPr>
              <w:pStyle w:val="101"/>
              <w:bidi w:val="0"/>
              <w:ind w:left="0" w:leftChars="0" w:firstLine="0" w:firstLineChars="0"/>
              <w:jc w:val="center"/>
              <w:rPr>
                <w:color w:val="auto"/>
              </w:rPr>
            </w:pPr>
            <w:r>
              <w:rPr>
                <w:rFonts w:hint="eastAsia"/>
                <w:color w:val="auto"/>
              </w:rPr>
              <w:t>其他符合性分析</w:t>
            </w:r>
          </w:p>
        </w:tc>
        <w:tc>
          <w:tcPr>
            <w:tcW w:w="7796" w:type="dxa"/>
            <w:noWrap w:val="0"/>
            <w:vAlign w:val="top"/>
          </w:tcPr>
          <w:p>
            <w:pPr>
              <w:pStyle w:val="4"/>
              <w:numPr>
                <w:ilvl w:val="0"/>
                <w:numId w:val="10"/>
              </w:numPr>
              <w:rPr>
                <w:color w:val="auto"/>
              </w:rPr>
            </w:pPr>
            <w:r>
              <w:rPr>
                <w:color w:val="auto"/>
              </w:rPr>
              <w:t>项目选址符合性分析</w:t>
            </w:r>
          </w:p>
          <w:p>
            <w:pPr>
              <w:pStyle w:val="104"/>
              <w:ind w:firstLine="480"/>
              <w:rPr>
                <w:rFonts w:hint="eastAsia"/>
                <w:color w:val="auto"/>
              </w:rPr>
            </w:pPr>
            <w:r>
              <w:rPr>
                <w:rFonts w:hint="eastAsia"/>
                <w:color w:val="auto"/>
              </w:rPr>
              <w:t>本项目位于乐山市市中区竹林路636号1楼7号，系租用中心城区嘉州春天临街商铺（租赁协议见附件），用于开展宠物医院服务项目，根据该商铺所有权不动产权证：川（2017）乐山市不动产权第0033025号：该房屋用途为批发零售用地/商业服务，因此该房屋可作为经营场所供本项目使用。因此，本项目的实施符合房屋的使用功能。</w:t>
            </w:r>
          </w:p>
          <w:p>
            <w:pPr>
              <w:pStyle w:val="104"/>
              <w:ind w:firstLine="480"/>
              <w:rPr>
                <w:rFonts w:hint="eastAsia"/>
                <w:color w:val="auto"/>
              </w:rPr>
            </w:pPr>
            <w:r>
              <w:rPr>
                <w:rFonts w:hint="eastAsia"/>
                <w:color w:val="auto"/>
              </w:rPr>
              <w:t xml:space="preserve">同时根据《动物诊疗机构管理办法》（农业部令 19 号），“（二） </w:t>
            </w:r>
          </w:p>
          <w:p>
            <w:pPr>
              <w:pStyle w:val="104"/>
              <w:ind w:firstLine="0" w:firstLineChars="0"/>
              <w:rPr>
                <w:rFonts w:hint="eastAsia"/>
                <w:color w:val="auto"/>
              </w:rPr>
            </w:pPr>
            <w:r>
              <w:rPr>
                <w:rFonts w:hint="eastAsia"/>
                <w:color w:val="auto"/>
              </w:rPr>
              <w:t>动物诊疗场所选址距离畜禽养殖场、屠宰加工厂、动物交易所不少于 200m”；“（三）动物诊疗场所设有独立的出入口，出入口不得设在居住住宅楼内或者院内，不得与同一建筑物的其他用户共用通道”。根据现场调查，本项目选址在乐山市市中区竹林路636号1楼7号商业用房，地处中心城区，周边无畜禽养殖场、屠宰加工厂、动物交易所等。</w:t>
            </w:r>
          </w:p>
          <w:p>
            <w:pPr>
              <w:pStyle w:val="104"/>
              <w:ind w:firstLine="480"/>
              <w:rPr>
                <w:rFonts w:hint="eastAsia"/>
                <w:color w:val="auto"/>
              </w:rPr>
            </w:pPr>
            <w:r>
              <w:rPr>
                <w:rFonts w:hint="eastAsia"/>
                <w:color w:val="auto"/>
              </w:rPr>
              <w:t xml:space="preserve">项目共设有一个出入口，开口正面朝向绿化公园（正南侧），该出入口为本项目专用且唯一出入口，不与项目所在的小区住宅楼及其它商户和居民共用。 </w:t>
            </w:r>
          </w:p>
          <w:p>
            <w:pPr>
              <w:pStyle w:val="104"/>
              <w:ind w:firstLine="480"/>
              <w:rPr>
                <w:rFonts w:hint="eastAsia"/>
                <w:color w:val="auto"/>
              </w:rPr>
            </w:pPr>
            <w:r>
              <w:rPr>
                <w:rFonts w:hint="eastAsia"/>
                <w:color w:val="auto"/>
              </w:rPr>
              <w:t>综上所述，项目选址合理。</w:t>
            </w:r>
          </w:p>
          <w:p>
            <w:pPr>
              <w:pStyle w:val="4"/>
              <w:numPr>
                <w:ilvl w:val="0"/>
                <w:numId w:val="10"/>
              </w:numPr>
              <w:rPr>
                <w:color w:val="auto"/>
              </w:rPr>
            </w:pPr>
            <w:r>
              <w:rPr>
                <w:color w:val="auto"/>
              </w:rPr>
              <w:t>项目外环境相容性分析</w:t>
            </w:r>
          </w:p>
          <w:p>
            <w:pPr>
              <w:pStyle w:val="104"/>
              <w:ind w:firstLine="480"/>
              <w:rPr>
                <w:rFonts w:hint="eastAsia"/>
                <w:color w:val="auto"/>
              </w:rPr>
            </w:pPr>
            <w:r>
              <w:rPr>
                <w:rFonts w:hint="eastAsia"/>
                <w:color w:val="auto"/>
              </w:rPr>
              <w:t>本项目位于乐山市市中区竹林路636号1楼7号，项目场地交通便利，道路、给排水、光纤等设施已经建设完毕，可为本项目提供完备的配套服务，以项目场地中心为起点，周边500m范围内主要分布了商业、住宅、学校及机构等，临近项目场界四周主要以商业、住宅为主。项目外环境关系见附图3。</w:t>
            </w:r>
          </w:p>
          <w:p>
            <w:pPr>
              <w:pStyle w:val="104"/>
              <w:ind w:firstLine="480"/>
              <w:rPr>
                <w:rFonts w:hint="eastAsia"/>
                <w:color w:val="auto"/>
              </w:rPr>
            </w:pPr>
            <w:r>
              <w:rPr>
                <w:rFonts w:hint="eastAsia"/>
                <w:color w:val="auto"/>
              </w:rPr>
              <w:t>根据现场踏勘，项目门市为独立的商业建筑体，与背后的住户不存在直接的上下楼关系，项目二楼楼顶为平台，本项目门面朝向为坐北朝南。</w:t>
            </w:r>
          </w:p>
          <w:p>
            <w:pPr>
              <w:pStyle w:val="104"/>
              <w:ind w:firstLine="482"/>
              <w:rPr>
                <w:rFonts w:hint="eastAsia"/>
                <w:color w:val="auto"/>
              </w:rPr>
            </w:pPr>
            <w:r>
              <w:rPr>
                <w:rFonts w:hint="eastAsia"/>
                <w:b/>
                <w:bCs/>
                <w:color w:val="auto"/>
              </w:rPr>
              <w:t>北面：</w:t>
            </w:r>
            <w:r>
              <w:rPr>
                <w:rFonts w:hint="eastAsia"/>
                <w:color w:val="auto"/>
              </w:rPr>
              <w:t>30m处为嘉州春天住宅小区楼（1044户，约3132人），69m处为文星后街，90m处为王河园二号小区（1000户，约3000人），315m处为王河园惠民小区（约500人）。</w:t>
            </w:r>
          </w:p>
          <w:p>
            <w:pPr>
              <w:pStyle w:val="104"/>
              <w:ind w:firstLine="482"/>
              <w:rPr>
                <w:rFonts w:hint="eastAsia"/>
                <w:color w:val="auto"/>
              </w:rPr>
            </w:pPr>
            <w:r>
              <w:rPr>
                <w:rFonts w:hint="eastAsia"/>
                <w:b/>
                <w:bCs/>
                <w:color w:val="auto"/>
              </w:rPr>
              <w:t>东北侧：</w:t>
            </w:r>
            <w:r>
              <w:rPr>
                <w:rFonts w:hint="eastAsia"/>
                <w:color w:val="auto"/>
              </w:rPr>
              <w:t>217m处为王河园一号小区（1300户，约3900人），457m处为敖坝社区住宅区（1000户，约3000人）。</w:t>
            </w:r>
          </w:p>
          <w:p>
            <w:pPr>
              <w:pStyle w:val="104"/>
              <w:ind w:firstLine="482"/>
              <w:rPr>
                <w:rFonts w:hint="eastAsia"/>
                <w:color w:val="auto"/>
              </w:rPr>
            </w:pPr>
            <w:r>
              <w:rPr>
                <w:rFonts w:hint="eastAsia"/>
                <w:b/>
                <w:bCs/>
                <w:color w:val="auto"/>
              </w:rPr>
              <w:t>东面：</w:t>
            </w:r>
            <w:r>
              <w:rPr>
                <w:rFonts w:hint="eastAsia"/>
                <w:color w:val="auto"/>
              </w:rPr>
              <w:t>主要为其他商业用房，50m范围内依次分别为新霞美容养身馆、阿玛尼洗护会所、马边土猪、一半服装店、爱美牙口腔诊所、佳尚大药房，55m处为竹林路，隔竹林路为沿路为摊位区，87m处为乐山一中，610m处为乐山市实验幼儿园，679m处为邦泰名门外滩住宅小区（1424户，约4272人）。</w:t>
            </w:r>
          </w:p>
          <w:p>
            <w:pPr>
              <w:pStyle w:val="104"/>
              <w:ind w:firstLine="482"/>
              <w:rPr>
                <w:rFonts w:hint="eastAsia"/>
                <w:color w:val="auto"/>
              </w:rPr>
            </w:pPr>
            <w:r>
              <w:rPr>
                <w:rFonts w:hint="eastAsia"/>
                <w:b/>
                <w:bCs/>
                <w:color w:val="auto"/>
              </w:rPr>
              <w:t>东南侧：</w:t>
            </w:r>
            <w:r>
              <w:rPr>
                <w:rFonts w:hint="eastAsia"/>
                <w:color w:val="auto"/>
              </w:rPr>
              <w:t>依次分别为星河家园住宅区（距本项目115m），学府苑住宅区（距本项目346m）、茗禾苑住宅区（距本项目209m）、文星府住宅区（距本项目362m）、干警花园（距本项目272m）、翰林印象住宅区（距本项目500m）、五洲汉唐（距本项目516m）。</w:t>
            </w:r>
          </w:p>
          <w:p>
            <w:pPr>
              <w:pStyle w:val="104"/>
              <w:ind w:firstLine="482"/>
              <w:rPr>
                <w:rFonts w:hint="eastAsia"/>
                <w:color w:val="auto"/>
              </w:rPr>
            </w:pPr>
            <w:r>
              <w:rPr>
                <w:rFonts w:hint="eastAsia"/>
                <w:b/>
                <w:bCs/>
                <w:color w:val="auto"/>
              </w:rPr>
              <w:t>南侧：</w:t>
            </w:r>
            <w:r>
              <w:rPr>
                <w:rFonts w:hint="eastAsia"/>
                <w:color w:val="auto"/>
              </w:rPr>
              <w:t>25m处为绿化公园，43m处为竹公溪，77m处为蓝湾半岛住宅小区，345m处为翰林路，401m处为警苑小区，459m处为自建房小区（1080户，约3240人），524m处为棕榈湾住宅区，481m处为新天名城住宅小区，574m处为乐山市城市绿化保障中心；</w:t>
            </w:r>
          </w:p>
          <w:p>
            <w:pPr>
              <w:pStyle w:val="104"/>
              <w:ind w:firstLine="482"/>
              <w:rPr>
                <w:rFonts w:hint="eastAsia"/>
                <w:color w:val="auto"/>
              </w:rPr>
            </w:pPr>
            <w:r>
              <w:rPr>
                <w:rFonts w:hint="eastAsia"/>
                <w:b/>
                <w:bCs/>
                <w:color w:val="auto"/>
              </w:rPr>
              <w:t>西南侧：</w:t>
            </w:r>
            <w:r>
              <w:rPr>
                <w:rFonts w:hint="eastAsia"/>
                <w:color w:val="auto"/>
              </w:rPr>
              <w:t>565m处为待拆迁区域（一），720m处为乐山天牛汽车城，700m处为二手车交易市场，543m处为乐山市消防支队，383m处为中石油加油站，608m处为CNG加气站，435m处为中国石油加油站，546m处为待拆迁区域（二）。</w:t>
            </w:r>
          </w:p>
          <w:p>
            <w:pPr>
              <w:pStyle w:val="104"/>
              <w:ind w:firstLine="482"/>
              <w:rPr>
                <w:rFonts w:hint="eastAsia"/>
                <w:color w:val="auto"/>
              </w:rPr>
            </w:pPr>
            <w:r>
              <w:rPr>
                <w:rFonts w:hint="eastAsia"/>
                <w:b/>
                <w:bCs/>
                <w:color w:val="auto"/>
              </w:rPr>
              <w:t>西侧：</w:t>
            </w:r>
            <w:r>
              <w:rPr>
                <w:rFonts w:hint="eastAsia"/>
                <w:color w:val="auto"/>
              </w:rPr>
              <w:t>紧邻项目的为嘉州春天消防通道（常闭），依次为中国体育彩票、阿拉小优母婴生活馆及其他商铺，187m处为乐青路，241m处为万达天璟住宅区。</w:t>
            </w:r>
          </w:p>
          <w:p>
            <w:pPr>
              <w:pStyle w:val="104"/>
              <w:ind w:firstLine="482"/>
              <w:rPr>
                <w:rFonts w:hint="eastAsia"/>
                <w:color w:val="auto"/>
              </w:rPr>
            </w:pPr>
            <w:r>
              <w:rPr>
                <w:rFonts w:hint="eastAsia"/>
                <w:b/>
                <w:bCs/>
                <w:color w:val="auto"/>
              </w:rPr>
              <w:t>西北侧：</w:t>
            </w:r>
            <w:r>
              <w:rPr>
                <w:rFonts w:hint="eastAsia"/>
                <w:color w:val="auto"/>
              </w:rPr>
              <w:t>270m处为万达商业圈，413m处为万达御府住宅小区，476m处为万达华府住宅区。</w:t>
            </w:r>
          </w:p>
          <w:p>
            <w:pPr>
              <w:pStyle w:val="104"/>
              <w:ind w:firstLine="480"/>
              <w:rPr>
                <w:rFonts w:hint="eastAsia"/>
                <w:color w:val="auto"/>
              </w:rPr>
            </w:pPr>
            <w:r>
              <w:rPr>
                <w:rFonts w:hint="eastAsia"/>
                <w:color w:val="auto"/>
              </w:rPr>
              <w:t>根据以上</w:t>
            </w:r>
            <w:r>
              <w:rPr>
                <w:color w:val="auto"/>
              </w:rPr>
              <w:t>外环境分析可知，项目周边主要是商业用房、居民住宅</w:t>
            </w:r>
            <w:r>
              <w:rPr>
                <w:rFonts w:hint="eastAsia"/>
                <w:color w:val="auto"/>
              </w:rPr>
              <w:t>、学校</w:t>
            </w:r>
            <w:r>
              <w:rPr>
                <w:color w:val="auto"/>
              </w:rPr>
              <w:t>等，无重大污染企业，周围环境质量较好，运营时的能源主要采用电，项目取水、排水方便，</w:t>
            </w:r>
            <w:r>
              <w:rPr>
                <w:rFonts w:hint="eastAsia"/>
                <w:color w:val="auto"/>
              </w:rPr>
              <w:t>能满足项目基本的运行需求，</w:t>
            </w:r>
            <w:r>
              <w:rPr>
                <w:color w:val="auto"/>
              </w:rPr>
              <w:t>选址符合</w:t>
            </w:r>
            <w:r>
              <w:rPr>
                <w:rFonts w:hint="eastAsia"/>
                <w:color w:val="auto"/>
              </w:rPr>
              <w:t>相关</w:t>
            </w:r>
            <w:r>
              <w:rPr>
                <w:color w:val="auto"/>
              </w:rPr>
              <w:t>规定要求，因此</w:t>
            </w:r>
            <w:r>
              <w:rPr>
                <w:rFonts w:hint="eastAsia"/>
                <w:color w:val="auto"/>
              </w:rPr>
              <w:t>周边</w:t>
            </w:r>
            <w:r>
              <w:rPr>
                <w:color w:val="auto"/>
              </w:rPr>
              <w:t>外环境对本项目</w:t>
            </w:r>
            <w:r>
              <w:rPr>
                <w:rFonts w:hint="eastAsia"/>
                <w:color w:val="auto"/>
              </w:rPr>
              <w:t>的</w:t>
            </w:r>
            <w:r>
              <w:rPr>
                <w:color w:val="auto"/>
              </w:rPr>
              <w:t>影响</w:t>
            </w:r>
            <w:r>
              <w:rPr>
                <w:rFonts w:hint="eastAsia"/>
                <w:color w:val="auto"/>
              </w:rPr>
              <w:t>极小。</w:t>
            </w:r>
          </w:p>
          <w:p>
            <w:pPr>
              <w:pStyle w:val="104"/>
              <w:ind w:firstLine="480"/>
              <w:rPr>
                <w:rFonts w:hint="eastAsia"/>
                <w:color w:val="auto"/>
              </w:rPr>
            </w:pPr>
            <w:r>
              <w:rPr>
                <w:rFonts w:hint="eastAsia"/>
                <w:color w:val="auto"/>
              </w:rPr>
              <w:t>本项目外环境关系具体情况如下表。</w:t>
            </w:r>
          </w:p>
          <w:p>
            <w:pPr>
              <w:pStyle w:val="117"/>
              <w:rPr>
                <w:rFonts w:hint="eastAsia"/>
                <w:color w:val="auto"/>
              </w:rPr>
            </w:pPr>
            <w:r>
              <w:rPr>
                <w:rFonts w:hint="eastAsia"/>
                <w:color w:val="auto"/>
              </w:rPr>
              <w:t>表1-7  项目外环境情况一览表</w:t>
            </w:r>
          </w:p>
          <w:tbl>
            <w:tblPr>
              <w:tblStyle w:val="38"/>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9"/>
              <w:gridCol w:w="2587"/>
              <w:gridCol w:w="1605"/>
              <w:gridCol w:w="1142"/>
              <w:gridCol w:w="15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475" w:type="pct"/>
                  <w:noWrap w:val="0"/>
                  <w:vAlign w:val="center"/>
                </w:tcPr>
                <w:p>
                  <w:pPr>
                    <w:pStyle w:val="170"/>
                    <w:rPr>
                      <w:rFonts w:hint="eastAsia"/>
                      <w:color w:val="auto"/>
                    </w:rPr>
                  </w:pPr>
                  <w:r>
                    <w:rPr>
                      <w:rFonts w:hint="eastAsia"/>
                      <w:color w:val="auto"/>
                    </w:rPr>
                    <w:t>序号</w:t>
                  </w:r>
                </w:p>
              </w:tc>
              <w:tc>
                <w:tcPr>
                  <w:tcW w:w="1709" w:type="pct"/>
                  <w:noWrap w:val="0"/>
                  <w:vAlign w:val="center"/>
                </w:tcPr>
                <w:p>
                  <w:pPr>
                    <w:pStyle w:val="170"/>
                    <w:rPr>
                      <w:rFonts w:hint="eastAsia"/>
                      <w:color w:val="auto"/>
                    </w:rPr>
                  </w:pPr>
                  <w:r>
                    <w:rPr>
                      <w:rFonts w:hint="eastAsia"/>
                      <w:color w:val="auto"/>
                    </w:rPr>
                    <w:t>外环境情况</w:t>
                  </w:r>
                </w:p>
              </w:tc>
              <w:tc>
                <w:tcPr>
                  <w:tcW w:w="1060" w:type="pct"/>
                  <w:noWrap w:val="0"/>
                  <w:vAlign w:val="center"/>
                </w:tcPr>
                <w:p>
                  <w:pPr>
                    <w:pStyle w:val="170"/>
                    <w:rPr>
                      <w:rFonts w:hint="eastAsia"/>
                      <w:color w:val="auto"/>
                    </w:rPr>
                  </w:pPr>
                  <w:r>
                    <w:rPr>
                      <w:rFonts w:hint="eastAsia"/>
                      <w:color w:val="auto"/>
                    </w:rPr>
                    <w:t>类型</w:t>
                  </w:r>
                </w:p>
              </w:tc>
              <w:tc>
                <w:tcPr>
                  <w:tcW w:w="754" w:type="pct"/>
                  <w:noWrap w:val="0"/>
                  <w:vAlign w:val="center"/>
                </w:tcPr>
                <w:p>
                  <w:pPr>
                    <w:pStyle w:val="170"/>
                    <w:rPr>
                      <w:rFonts w:hint="eastAsia"/>
                      <w:color w:val="auto"/>
                    </w:rPr>
                  </w:pPr>
                  <w:r>
                    <w:rPr>
                      <w:rFonts w:hint="eastAsia"/>
                      <w:color w:val="auto"/>
                    </w:rPr>
                    <w:t>方位</w:t>
                  </w:r>
                </w:p>
              </w:tc>
              <w:tc>
                <w:tcPr>
                  <w:tcW w:w="1000" w:type="pct"/>
                  <w:noWrap w:val="0"/>
                  <w:vAlign w:val="center"/>
                </w:tcPr>
                <w:p>
                  <w:pPr>
                    <w:pStyle w:val="170"/>
                    <w:rPr>
                      <w:rFonts w:hint="eastAsia"/>
                      <w:color w:val="auto"/>
                    </w:rPr>
                  </w:pPr>
                  <w:r>
                    <w:rPr>
                      <w:rFonts w:hint="eastAsia"/>
                      <w:color w:val="auto"/>
                    </w:rPr>
                    <w:t>与本项目场界最近距离（m）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5" w:type="pct"/>
                  <w:noWrap w:val="0"/>
                  <w:vAlign w:val="center"/>
                </w:tcPr>
                <w:p>
                  <w:pPr>
                    <w:pStyle w:val="170"/>
                    <w:rPr>
                      <w:rFonts w:hint="eastAsia"/>
                      <w:color w:val="auto"/>
                    </w:rPr>
                  </w:pPr>
                  <w:r>
                    <w:rPr>
                      <w:rFonts w:hint="eastAsia"/>
                      <w:color w:val="auto"/>
                    </w:rPr>
                    <w:t>1</w:t>
                  </w:r>
                </w:p>
              </w:tc>
              <w:tc>
                <w:tcPr>
                  <w:tcW w:w="1709" w:type="pct"/>
                  <w:noWrap w:val="0"/>
                  <w:vAlign w:val="center"/>
                </w:tcPr>
                <w:p>
                  <w:pPr>
                    <w:pStyle w:val="170"/>
                    <w:rPr>
                      <w:rFonts w:hint="eastAsia"/>
                      <w:color w:val="auto"/>
                    </w:rPr>
                  </w:pPr>
                  <w:r>
                    <w:rPr>
                      <w:rFonts w:hint="eastAsia"/>
                      <w:color w:val="auto"/>
                    </w:rPr>
                    <w:t>嘉州春天</w:t>
                  </w:r>
                </w:p>
              </w:tc>
              <w:tc>
                <w:tcPr>
                  <w:tcW w:w="1060" w:type="pct"/>
                  <w:noWrap w:val="0"/>
                  <w:vAlign w:val="center"/>
                </w:tcPr>
                <w:p>
                  <w:pPr>
                    <w:pStyle w:val="170"/>
                    <w:rPr>
                      <w:rFonts w:hint="eastAsia"/>
                      <w:color w:val="auto"/>
                    </w:rPr>
                  </w:pPr>
                  <w:r>
                    <w:rPr>
                      <w:rFonts w:hint="eastAsia"/>
                      <w:color w:val="auto"/>
                    </w:rPr>
                    <w:t>住宅</w:t>
                  </w:r>
                </w:p>
              </w:tc>
              <w:tc>
                <w:tcPr>
                  <w:tcW w:w="754" w:type="pct"/>
                  <w:vMerge w:val="restart"/>
                  <w:noWrap w:val="0"/>
                  <w:vAlign w:val="center"/>
                </w:tcPr>
                <w:p>
                  <w:pPr>
                    <w:pStyle w:val="170"/>
                    <w:rPr>
                      <w:rFonts w:hint="eastAsia"/>
                      <w:color w:val="auto"/>
                    </w:rPr>
                  </w:pPr>
                  <w:r>
                    <w:rPr>
                      <w:rFonts w:hint="eastAsia"/>
                      <w:color w:val="auto"/>
                    </w:rPr>
                    <w:t>北侧</w:t>
                  </w:r>
                </w:p>
              </w:tc>
              <w:tc>
                <w:tcPr>
                  <w:tcW w:w="1000" w:type="pct"/>
                  <w:noWrap w:val="0"/>
                  <w:vAlign w:val="center"/>
                </w:tcPr>
                <w:p>
                  <w:pPr>
                    <w:pStyle w:val="170"/>
                    <w:rPr>
                      <w:color w:val="auto"/>
                    </w:rPr>
                  </w:pPr>
                  <w:r>
                    <w:rPr>
                      <w:rFonts w:hint="eastAsia"/>
                      <w:color w:val="auto"/>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5" w:type="pct"/>
                  <w:noWrap w:val="0"/>
                  <w:vAlign w:val="center"/>
                </w:tcPr>
                <w:p>
                  <w:pPr>
                    <w:pStyle w:val="170"/>
                    <w:rPr>
                      <w:rFonts w:hint="eastAsia"/>
                      <w:color w:val="auto"/>
                    </w:rPr>
                  </w:pPr>
                  <w:r>
                    <w:rPr>
                      <w:rFonts w:hint="eastAsia"/>
                      <w:color w:val="auto"/>
                    </w:rPr>
                    <w:t>2</w:t>
                  </w:r>
                </w:p>
              </w:tc>
              <w:tc>
                <w:tcPr>
                  <w:tcW w:w="1709" w:type="pct"/>
                  <w:noWrap w:val="0"/>
                  <w:vAlign w:val="center"/>
                </w:tcPr>
                <w:p>
                  <w:pPr>
                    <w:pStyle w:val="170"/>
                    <w:rPr>
                      <w:rFonts w:hint="eastAsia"/>
                      <w:color w:val="auto"/>
                    </w:rPr>
                  </w:pPr>
                  <w:r>
                    <w:rPr>
                      <w:rFonts w:hint="eastAsia"/>
                      <w:color w:val="auto"/>
                    </w:rPr>
                    <w:t>王河园二号小区</w:t>
                  </w:r>
                </w:p>
              </w:tc>
              <w:tc>
                <w:tcPr>
                  <w:tcW w:w="1060" w:type="pct"/>
                  <w:noWrap w:val="0"/>
                  <w:vAlign w:val="center"/>
                </w:tcPr>
                <w:p>
                  <w:pPr>
                    <w:pStyle w:val="170"/>
                    <w:rPr>
                      <w:rFonts w:hint="eastAsia"/>
                      <w:color w:val="auto"/>
                    </w:rPr>
                  </w:pPr>
                  <w:r>
                    <w:rPr>
                      <w:rFonts w:hint="eastAsia"/>
                      <w:color w:val="auto"/>
                    </w:rPr>
                    <w:t>住宅</w:t>
                  </w:r>
                </w:p>
              </w:tc>
              <w:tc>
                <w:tcPr>
                  <w:tcW w:w="754" w:type="pct"/>
                  <w:vMerge w:val="continue"/>
                  <w:noWrap w:val="0"/>
                  <w:vAlign w:val="center"/>
                </w:tcPr>
                <w:p>
                  <w:pPr>
                    <w:pStyle w:val="170"/>
                    <w:rPr>
                      <w:rFonts w:hint="eastAsia"/>
                      <w:color w:val="auto"/>
                    </w:rPr>
                  </w:pPr>
                </w:p>
              </w:tc>
              <w:tc>
                <w:tcPr>
                  <w:tcW w:w="1000" w:type="pct"/>
                  <w:noWrap w:val="0"/>
                  <w:vAlign w:val="center"/>
                </w:tcPr>
                <w:p>
                  <w:pPr>
                    <w:pStyle w:val="170"/>
                    <w:rPr>
                      <w:color w:val="auto"/>
                    </w:rPr>
                  </w:pPr>
                  <w:r>
                    <w:rPr>
                      <w:rFonts w:hint="eastAsia"/>
                      <w:color w:val="auto"/>
                    </w:rPr>
                    <w:t>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5" w:type="pct"/>
                  <w:noWrap w:val="0"/>
                  <w:vAlign w:val="center"/>
                </w:tcPr>
                <w:p>
                  <w:pPr>
                    <w:pStyle w:val="170"/>
                    <w:rPr>
                      <w:rFonts w:hint="eastAsia"/>
                      <w:color w:val="auto"/>
                    </w:rPr>
                  </w:pPr>
                  <w:r>
                    <w:rPr>
                      <w:rFonts w:hint="eastAsia"/>
                      <w:color w:val="auto"/>
                    </w:rPr>
                    <w:t>3</w:t>
                  </w:r>
                </w:p>
              </w:tc>
              <w:tc>
                <w:tcPr>
                  <w:tcW w:w="1709" w:type="pct"/>
                  <w:noWrap w:val="0"/>
                  <w:vAlign w:val="center"/>
                </w:tcPr>
                <w:p>
                  <w:pPr>
                    <w:pStyle w:val="170"/>
                    <w:rPr>
                      <w:rFonts w:hint="eastAsia"/>
                      <w:color w:val="auto"/>
                    </w:rPr>
                  </w:pPr>
                  <w:r>
                    <w:rPr>
                      <w:rFonts w:hint="eastAsia"/>
                      <w:color w:val="auto"/>
                    </w:rPr>
                    <w:t>王河园惠民小区</w:t>
                  </w:r>
                </w:p>
              </w:tc>
              <w:tc>
                <w:tcPr>
                  <w:tcW w:w="1060" w:type="pct"/>
                  <w:noWrap w:val="0"/>
                  <w:vAlign w:val="center"/>
                </w:tcPr>
                <w:p>
                  <w:pPr>
                    <w:pStyle w:val="170"/>
                    <w:rPr>
                      <w:rFonts w:hint="eastAsia"/>
                      <w:color w:val="auto"/>
                    </w:rPr>
                  </w:pPr>
                  <w:r>
                    <w:rPr>
                      <w:rFonts w:hint="eastAsia"/>
                      <w:color w:val="auto"/>
                    </w:rPr>
                    <w:t>住宅</w:t>
                  </w:r>
                </w:p>
              </w:tc>
              <w:tc>
                <w:tcPr>
                  <w:tcW w:w="754" w:type="pct"/>
                  <w:vMerge w:val="continue"/>
                  <w:noWrap w:val="0"/>
                  <w:vAlign w:val="center"/>
                </w:tcPr>
                <w:p>
                  <w:pPr>
                    <w:pStyle w:val="170"/>
                    <w:rPr>
                      <w:rFonts w:hint="eastAsia"/>
                      <w:color w:val="auto"/>
                    </w:rPr>
                  </w:pPr>
                </w:p>
              </w:tc>
              <w:tc>
                <w:tcPr>
                  <w:tcW w:w="1000" w:type="pct"/>
                  <w:noWrap w:val="0"/>
                  <w:vAlign w:val="center"/>
                </w:tcPr>
                <w:p>
                  <w:pPr>
                    <w:pStyle w:val="170"/>
                    <w:rPr>
                      <w:color w:val="auto"/>
                    </w:rPr>
                  </w:pPr>
                  <w:r>
                    <w:rPr>
                      <w:rFonts w:hint="eastAsia"/>
                      <w:color w:val="auto"/>
                    </w:rPr>
                    <w:t>315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5" w:type="pct"/>
                  <w:noWrap w:val="0"/>
                  <w:vAlign w:val="center"/>
                </w:tcPr>
                <w:p>
                  <w:pPr>
                    <w:pStyle w:val="170"/>
                    <w:rPr>
                      <w:color w:val="auto"/>
                    </w:rPr>
                  </w:pPr>
                  <w:r>
                    <w:rPr>
                      <w:rFonts w:hint="eastAsia"/>
                      <w:color w:val="auto"/>
                    </w:rPr>
                    <w:t>4</w:t>
                  </w:r>
                </w:p>
              </w:tc>
              <w:tc>
                <w:tcPr>
                  <w:tcW w:w="1709" w:type="pct"/>
                  <w:noWrap w:val="0"/>
                  <w:vAlign w:val="center"/>
                </w:tcPr>
                <w:p>
                  <w:pPr>
                    <w:pStyle w:val="170"/>
                    <w:rPr>
                      <w:rFonts w:hint="eastAsia"/>
                      <w:color w:val="auto"/>
                    </w:rPr>
                  </w:pPr>
                  <w:r>
                    <w:rPr>
                      <w:rFonts w:hint="eastAsia"/>
                      <w:color w:val="auto"/>
                    </w:rPr>
                    <w:t>王河园一号小区</w:t>
                  </w:r>
                </w:p>
              </w:tc>
              <w:tc>
                <w:tcPr>
                  <w:tcW w:w="1060" w:type="pct"/>
                  <w:noWrap w:val="0"/>
                  <w:vAlign w:val="center"/>
                </w:tcPr>
                <w:p>
                  <w:pPr>
                    <w:pStyle w:val="170"/>
                    <w:rPr>
                      <w:rFonts w:hint="eastAsia"/>
                      <w:color w:val="auto"/>
                    </w:rPr>
                  </w:pPr>
                  <w:r>
                    <w:rPr>
                      <w:rFonts w:hint="eastAsia"/>
                      <w:color w:val="auto"/>
                    </w:rPr>
                    <w:t>住宅</w:t>
                  </w:r>
                </w:p>
              </w:tc>
              <w:tc>
                <w:tcPr>
                  <w:tcW w:w="754" w:type="pct"/>
                  <w:vMerge w:val="restart"/>
                  <w:noWrap w:val="0"/>
                  <w:vAlign w:val="center"/>
                </w:tcPr>
                <w:p>
                  <w:pPr>
                    <w:pStyle w:val="170"/>
                    <w:rPr>
                      <w:rFonts w:hint="eastAsia"/>
                      <w:color w:val="auto"/>
                    </w:rPr>
                  </w:pPr>
                  <w:r>
                    <w:rPr>
                      <w:rFonts w:hint="eastAsia"/>
                      <w:color w:val="auto"/>
                    </w:rPr>
                    <w:t>东北</w:t>
                  </w:r>
                </w:p>
              </w:tc>
              <w:tc>
                <w:tcPr>
                  <w:tcW w:w="1000" w:type="pct"/>
                  <w:noWrap w:val="0"/>
                  <w:vAlign w:val="center"/>
                </w:tcPr>
                <w:p>
                  <w:pPr>
                    <w:pStyle w:val="170"/>
                    <w:rPr>
                      <w:color w:val="auto"/>
                    </w:rPr>
                  </w:pPr>
                  <w:r>
                    <w:rPr>
                      <w:rFonts w:hint="eastAsia"/>
                      <w:color w:val="auto"/>
                    </w:rPr>
                    <w:t>217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5" w:type="pct"/>
                  <w:noWrap w:val="0"/>
                  <w:vAlign w:val="center"/>
                </w:tcPr>
                <w:p>
                  <w:pPr>
                    <w:pStyle w:val="170"/>
                    <w:rPr>
                      <w:color w:val="auto"/>
                    </w:rPr>
                  </w:pPr>
                  <w:r>
                    <w:rPr>
                      <w:rFonts w:hint="eastAsia"/>
                      <w:color w:val="auto"/>
                    </w:rPr>
                    <w:t>5</w:t>
                  </w:r>
                </w:p>
              </w:tc>
              <w:tc>
                <w:tcPr>
                  <w:tcW w:w="1709" w:type="pct"/>
                  <w:noWrap w:val="0"/>
                  <w:vAlign w:val="center"/>
                </w:tcPr>
                <w:p>
                  <w:pPr>
                    <w:pStyle w:val="170"/>
                    <w:rPr>
                      <w:rFonts w:hint="eastAsia"/>
                      <w:color w:val="auto"/>
                    </w:rPr>
                  </w:pPr>
                  <w:r>
                    <w:rPr>
                      <w:rFonts w:hint="eastAsia"/>
                      <w:color w:val="auto"/>
                    </w:rPr>
                    <w:t>敖坝社区</w:t>
                  </w:r>
                </w:p>
              </w:tc>
              <w:tc>
                <w:tcPr>
                  <w:tcW w:w="1060" w:type="pct"/>
                  <w:noWrap w:val="0"/>
                  <w:vAlign w:val="center"/>
                </w:tcPr>
                <w:p>
                  <w:pPr>
                    <w:pStyle w:val="170"/>
                    <w:rPr>
                      <w:rFonts w:hint="eastAsia"/>
                      <w:color w:val="auto"/>
                    </w:rPr>
                  </w:pPr>
                  <w:r>
                    <w:rPr>
                      <w:rFonts w:hint="eastAsia"/>
                      <w:color w:val="auto"/>
                    </w:rPr>
                    <w:t>住宅</w:t>
                  </w:r>
                </w:p>
              </w:tc>
              <w:tc>
                <w:tcPr>
                  <w:tcW w:w="754" w:type="pct"/>
                  <w:vMerge w:val="continue"/>
                  <w:noWrap w:val="0"/>
                  <w:vAlign w:val="center"/>
                </w:tcPr>
                <w:p>
                  <w:pPr>
                    <w:pStyle w:val="170"/>
                    <w:rPr>
                      <w:rFonts w:hint="eastAsia"/>
                      <w:color w:val="auto"/>
                    </w:rPr>
                  </w:pPr>
                </w:p>
              </w:tc>
              <w:tc>
                <w:tcPr>
                  <w:tcW w:w="1000" w:type="pct"/>
                  <w:noWrap w:val="0"/>
                  <w:vAlign w:val="center"/>
                </w:tcPr>
                <w:p>
                  <w:pPr>
                    <w:pStyle w:val="170"/>
                    <w:rPr>
                      <w:color w:val="auto"/>
                    </w:rPr>
                  </w:pPr>
                  <w:r>
                    <w:rPr>
                      <w:rFonts w:hint="eastAsia"/>
                      <w:color w:val="auto"/>
                    </w:rPr>
                    <w:t>457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170"/>
                    <w:rPr>
                      <w:color w:val="auto"/>
                    </w:rPr>
                  </w:pPr>
                  <w:r>
                    <w:rPr>
                      <w:rFonts w:hint="eastAsia"/>
                      <w:color w:val="auto"/>
                    </w:rPr>
                    <w:t>6</w:t>
                  </w:r>
                </w:p>
              </w:tc>
              <w:tc>
                <w:tcPr>
                  <w:tcW w:w="1709" w:type="pct"/>
                  <w:noWrap w:val="0"/>
                  <w:vAlign w:val="center"/>
                </w:tcPr>
                <w:p>
                  <w:pPr>
                    <w:pStyle w:val="170"/>
                    <w:rPr>
                      <w:rFonts w:hint="eastAsia"/>
                      <w:color w:val="auto"/>
                    </w:rPr>
                  </w:pPr>
                  <w:r>
                    <w:rPr>
                      <w:rFonts w:hint="eastAsia"/>
                      <w:color w:val="auto"/>
                    </w:rPr>
                    <w:t>乐山一中</w:t>
                  </w:r>
                </w:p>
              </w:tc>
              <w:tc>
                <w:tcPr>
                  <w:tcW w:w="1060" w:type="pct"/>
                  <w:noWrap w:val="0"/>
                  <w:vAlign w:val="center"/>
                </w:tcPr>
                <w:p>
                  <w:pPr>
                    <w:pStyle w:val="170"/>
                    <w:rPr>
                      <w:rFonts w:hint="eastAsia"/>
                      <w:color w:val="auto"/>
                    </w:rPr>
                  </w:pPr>
                  <w:r>
                    <w:rPr>
                      <w:rFonts w:hint="eastAsia"/>
                      <w:color w:val="auto"/>
                    </w:rPr>
                    <w:t>学校</w:t>
                  </w:r>
                </w:p>
              </w:tc>
              <w:tc>
                <w:tcPr>
                  <w:tcW w:w="754" w:type="pct"/>
                  <w:vMerge w:val="restart"/>
                  <w:noWrap w:val="0"/>
                  <w:vAlign w:val="center"/>
                </w:tcPr>
                <w:p>
                  <w:pPr>
                    <w:pStyle w:val="170"/>
                    <w:rPr>
                      <w:rFonts w:hint="eastAsia"/>
                      <w:color w:val="auto"/>
                    </w:rPr>
                  </w:pPr>
                  <w:r>
                    <w:rPr>
                      <w:rFonts w:hint="eastAsia"/>
                      <w:color w:val="auto"/>
                    </w:rPr>
                    <w:t>东侧</w:t>
                  </w:r>
                </w:p>
              </w:tc>
              <w:tc>
                <w:tcPr>
                  <w:tcW w:w="1000" w:type="pct"/>
                  <w:noWrap w:val="0"/>
                  <w:vAlign w:val="center"/>
                </w:tcPr>
                <w:p>
                  <w:pPr>
                    <w:pStyle w:val="170"/>
                    <w:rPr>
                      <w:color w:val="auto"/>
                    </w:rPr>
                  </w:pPr>
                  <w:r>
                    <w:rPr>
                      <w:rFonts w:hint="eastAsia"/>
                      <w:color w:val="auto"/>
                    </w:rPr>
                    <w:t>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4" w:hRule="atLeast"/>
              </w:trPr>
              <w:tc>
                <w:tcPr>
                  <w:tcW w:w="475" w:type="pct"/>
                  <w:noWrap w:val="0"/>
                  <w:vAlign w:val="center"/>
                </w:tcPr>
                <w:p>
                  <w:pPr>
                    <w:pStyle w:val="170"/>
                    <w:rPr>
                      <w:color w:val="auto"/>
                    </w:rPr>
                  </w:pPr>
                  <w:r>
                    <w:rPr>
                      <w:rFonts w:hint="eastAsia"/>
                      <w:color w:val="auto"/>
                    </w:rPr>
                    <w:t>7</w:t>
                  </w:r>
                </w:p>
              </w:tc>
              <w:tc>
                <w:tcPr>
                  <w:tcW w:w="1709" w:type="pct"/>
                  <w:noWrap w:val="0"/>
                  <w:vAlign w:val="center"/>
                </w:tcPr>
                <w:p>
                  <w:pPr>
                    <w:pStyle w:val="170"/>
                    <w:rPr>
                      <w:rFonts w:hint="eastAsia"/>
                      <w:color w:val="auto"/>
                    </w:rPr>
                  </w:pPr>
                  <w:r>
                    <w:rPr>
                      <w:rFonts w:hint="eastAsia"/>
                      <w:color w:val="auto"/>
                    </w:rPr>
                    <w:t>乐山市实验幼儿园</w:t>
                  </w:r>
                </w:p>
              </w:tc>
              <w:tc>
                <w:tcPr>
                  <w:tcW w:w="1060" w:type="pct"/>
                  <w:noWrap w:val="0"/>
                  <w:vAlign w:val="center"/>
                </w:tcPr>
                <w:p>
                  <w:pPr>
                    <w:pStyle w:val="170"/>
                    <w:rPr>
                      <w:rFonts w:hint="eastAsia"/>
                      <w:color w:val="auto"/>
                    </w:rPr>
                  </w:pPr>
                  <w:r>
                    <w:rPr>
                      <w:rFonts w:hint="eastAsia"/>
                      <w:color w:val="auto"/>
                    </w:rPr>
                    <w:t>学校</w:t>
                  </w:r>
                </w:p>
              </w:tc>
              <w:tc>
                <w:tcPr>
                  <w:tcW w:w="754" w:type="pct"/>
                  <w:vMerge w:val="continue"/>
                  <w:noWrap w:val="0"/>
                  <w:vAlign w:val="center"/>
                </w:tcPr>
                <w:p>
                  <w:pPr>
                    <w:pStyle w:val="170"/>
                    <w:rPr>
                      <w:rFonts w:hint="eastAsia"/>
                      <w:color w:val="auto"/>
                    </w:rPr>
                  </w:pPr>
                </w:p>
              </w:tc>
              <w:tc>
                <w:tcPr>
                  <w:tcW w:w="1000" w:type="pct"/>
                  <w:noWrap w:val="0"/>
                  <w:vAlign w:val="center"/>
                </w:tcPr>
                <w:p>
                  <w:pPr>
                    <w:pStyle w:val="170"/>
                    <w:rPr>
                      <w:color w:val="auto"/>
                    </w:rPr>
                  </w:pPr>
                  <w:r>
                    <w:rPr>
                      <w:rFonts w:hint="eastAsia"/>
                      <w:color w:val="auto"/>
                    </w:rPr>
                    <w:t>610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170"/>
                    <w:rPr>
                      <w:color w:val="auto"/>
                    </w:rPr>
                  </w:pPr>
                  <w:r>
                    <w:rPr>
                      <w:rFonts w:hint="eastAsia"/>
                      <w:color w:val="auto"/>
                    </w:rPr>
                    <w:t>8</w:t>
                  </w:r>
                </w:p>
              </w:tc>
              <w:tc>
                <w:tcPr>
                  <w:tcW w:w="1709" w:type="pct"/>
                  <w:noWrap w:val="0"/>
                  <w:vAlign w:val="center"/>
                </w:tcPr>
                <w:p>
                  <w:pPr>
                    <w:pStyle w:val="170"/>
                    <w:rPr>
                      <w:rFonts w:hint="eastAsia"/>
                      <w:color w:val="auto"/>
                    </w:rPr>
                  </w:pPr>
                  <w:r>
                    <w:rPr>
                      <w:rFonts w:hint="eastAsia"/>
                      <w:color w:val="auto"/>
                    </w:rPr>
                    <w:t>邦泰名门外滩</w:t>
                  </w:r>
                </w:p>
              </w:tc>
              <w:tc>
                <w:tcPr>
                  <w:tcW w:w="1060" w:type="pct"/>
                  <w:noWrap w:val="0"/>
                  <w:vAlign w:val="center"/>
                </w:tcPr>
                <w:p>
                  <w:pPr>
                    <w:pStyle w:val="170"/>
                    <w:rPr>
                      <w:rFonts w:hint="eastAsia"/>
                      <w:color w:val="auto"/>
                    </w:rPr>
                  </w:pPr>
                  <w:r>
                    <w:rPr>
                      <w:rFonts w:hint="eastAsia"/>
                      <w:color w:val="auto"/>
                    </w:rPr>
                    <w:t>住宅</w:t>
                  </w:r>
                </w:p>
              </w:tc>
              <w:tc>
                <w:tcPr>
                  <w:tcW w:w="754" w:type="pct"/>
                  <w:vMerge w:val="continue"/>
                  <w:noWrap w:val="0"/>
                  <w:vAlign w:val="center"/>
                </w:tcPr>
                <w:p>
                  <w:pPr>
                    <w:pStyle w:val="170"/>
                    <w:rPr>
                      <w:rFonts w:hint="eastAsia"/>
                      <w:color w:val="auto"/>
                    </w:rPr>
                  </w:pPr>
                </w:p>
              </w:tc>
              <w:tc>
                <w:tcPr>
                  <w:tcW w:w="1000" w:type="pct"/>
                  <w:noWrap w:val="0"/>
                  <w:vAlign w:val="center"/>
                </w:tcPr>
                <w:p>
                  <w:pPr>
                    <w:pStyle w:val="170"/>
                    <w:rPr>
                      <w:color w:val="auto"/>
                    </w:rPr>
                  </w:pPr>
                  <w:r>
                    <w:rPr>
                      <w:rFonts w:hint="eastAsia"/>
                      <w:color w:val="auto"/>
                    </w:rPr>
                    <w:t>679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4" w:hRule="atLeast"/>
              </w:trPr>
              <w:tc>
                <w:tcPr>
                  <w:tcW w:w="475" w:type="pct"/>
                  <w:noWrap w:val="0"/>
                  <w:vAlign w:val="center"/>
                </w:tcPr>
                <w:p>
                  <w:pPr>
                    <w:pStyle w:val="170"/>
                    <w:rPr>
                      <w:color w:val="auto"/>
                    </w:rPr>
                  </w:pPr>
                  <w:r>
                    <w:rPr>
                      <w:rFonts w:hint="eastAsia"/>
                      <w:color w:val="auto"/>
                    </w:rPr>
                    <w:t>9</w:t>
                  </w:r>
                </w:p>
              </w:tc>
              <w:tc>
                <w:tcPr>
                  <w:tcW w:w="1709" w:type="pct"/>
                  <w:noWrap w:val="0"/>
                  <w:vAlign w:val="center"/>
                </w:tcPr>
                <w:p>
                  <w:pPr>
                    <w:pStyle w:val="170"/>
                    <w:rPr>
                      <w:rFonts w:hint="eastAsia"/>
                      <w:color w:val="auto"/>
                    </w:rPr>
                  </w:pPr>
                  <w:r>
                    <w:rPr>
                      <w:rFonts w:hint="eastAsia"/>
                      <w:color w:val="auto"/>
                    </w:rPr>
                    <w:t>星河家园</w:t>
                  </w:r>
                </w:p>
              </w:tc>
              <w:tc>
                <w:tcPr>
                  <w:tcW w:w="1060" w:type="pct"/>
                  <w:noWrap w:val="0"/>
                  <w:vAlign w:val="center"/>
                </w:tcPr>
                <w:p>
                  <w:pPr>
                    <w:pStyle w:val="170"/>
                    <w:rPr>
                      <w:rFonts w:hint="eastAsia"/>
                      <w:color w:val="auto"/>
                    </w:rPr>
                  </w:pPr>
                  <w:r>
                    <w:rPr>
                      <w:rFonts w:hint="eastAsia"/>
                      <w:color w:val="auto"/>
                    </w:rPr>
                    <w:t>住宅</w:t>
                  </w:r>
                </w:p>
              </w:tc>
              <w:tc>
                <w:tcPr>
                  <w:tcW w:w="754" w:type="pct"/>
                  <w:vMerge w:val="restart"/>
                  <w:noWrap w:val="0"/>
                  <w:vAlign w:val="center"/>
                </w:tcPr>
                <w:p>
                  <w:pPr>
                    <w:pStyle w:val="170"/>
                    <w:rPr>
                      <w:rFonts w:hint="eastAsia"/>
                      <w:color w:val="auto"/>
                    </w:rPr>
                  </w:pPr>
                  <w:r>
                    <w:rPr>
                      <w:rFonts w:hint="eastAsia"/>
                      <w:color w:val="auto"/>
                    </w:rPr>
                    <w:t>东南侧</w:t>
                  </w:r>
                </w:p>
              </w:tc>
              <w:tc>
                <w:tcPr>
                  <w:tcW w:w="1000" w:type="pct"/>
                  <w:noWrap w:val="0"/>
                  <w:vAlign w:val="center"/>
                </w:tcPr>
                <w:p>
                  <w:pPr>
                    <w:pStyle w:val="170"/>
                    <w:rPr>
                      <w:color w:val="auto"/>
                    </w:rPr>
                  </w:pPr>
                  <w:r>
                    <w:rPr>
                      <w:rFonts w:hint="eastAsia"/>
                      <w:color w:val="auto"/>
                    </w:rPr>
                    <w:t>115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4" w:hRule="atLeast"/>
              </w:trPr>
              <w:tc>
                <w:tcPr>
                  <w:tcW w:w="475" w:type="pct"/>
                  <w:noWrap w:val="0"/>
                  <w:vAlign w:val="center"/>
                </w:tcPr>
                <w:p>
                  <w:pPr>
                    <w:pStyle w:val="170"/>
                    <w:rPr>
                      <w:color w:val="auto"/>
                    </w:rPr>
                  </w:pPr>
                  <w:r>
                    <w:rPr>
                      <w:rFonts w:hint="eastAsia"/>
                      <w:color w:val="auto"/>
                    </w:rPr>
                    <w:t>10</w:t>
                  </w:r>
                </w:p>
              </w:tc>
              <w:tc>
                <w:tcPr>
                  <w:tcW w:w="1709" w:type="pct"/>
                  <w:noWrap w:val="0"/>
                  <w:vAlign w:val="center"/>
                </w:tcPr>
                <w:p>
                  <w:pPr>
                    <w:pStyle w:val="170"/>
                    <w:rPr>
                      <w:rFonts w:hint="eastAsia"/>
                      <w:color w:val="auto"/>
                    </w:rPr>
                  </w:pPr>
                  <w:r>
                    <w:rPr>
                      <w:rFonts w:hint="eastAsia"/>
                      <w:color w:val="auto"/>
                    </w:rPr>
                    <w:t>学府苑</w:t>
                  </w:r>
                </w:p>
              </w:tc>
              <w:tc>
                <w:tcPr>
                  <w:tcW w:w="1060" w:type="pct"/>
                  <w:noWrap w:val="0"/>
                  <w:vAlign w:val="center"/>
                </w:tcPr>
                <w:p>
                  <w:pPr>
                    <w:pStyle w:val="170"/>
                    <w:rPr>
                      <w:rFonts w:hint="eastAsia"/>
                      <w:color w:val="auto"/>
                    </w:rPr>
                  </w:pPr>
                  <w:r>
                    <w:rPr>
                      <w:rFonts w:hint="eastAsia"/>
                      <w:color w:val="auto"/>
                    </w:rPr>
                    <w:t>住宅</w:t>
                  </w:r>
                </w:p>
              </w:tc>
              <w:tc>
                <w:tcPr>
                  <w:tcW w:w="754" w:type="pct"/>
                  <w:vMerge w:val="continue"/>
                  <w:noWrap w:val="0"/>
                  <w:vAlign w:val="center"/>
                </w:tcPr>
                <w:p>
                  <w:pPr>
                    <w:pStyle w:val="170"/>
                    <w:rPr>
                      <w:rFonts w:hint="eastAsia"/>
                      <w:color w:val="auto"/>
                    </w:rPr>
                  </w:pPr>
                </w:p>
              </w:tc>
              <w:tc>
                <w:tcPr>
                  <w:tcW w:w="1000" w:type="pct"/>
                  <w:noWrap w:val="0"/>
                  <w:vAlign w:val="center"/>
                </w:tcPr>
                <w:p>
                  <w:pPr>
                    <w:pStyle w:val="170"/>
                    <w:rPr>
                      <w:color w:val="auto"/>
                    </w:rPr>
                  </w:pPr>
                  <w:r>
                    <w:rPr>
                      <w:rFonts w:hint="eastAsia"/>
                      <w:color w:val="auto"/>
                    </w:rPr>
                    <w:t>346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4" w:hRule="atLeast"/>
              </w:trPr>
              <w:tc>
                <w:tcPr>
                  <w:tcW w:w="475" w:type="pct"/>
                  <w:noWrap w:val="0"/>
                  <w:vAlign w:val="center"/>
                </w:tcPr>
                <w:p>
                  <w:pPr>
                    <w:pStyle w:val="170"/>
                    <w:rPr>
                      <w:color w:val="auto"/>
                    </w:rPr>
                  </w:pPr>
                  <w:r>
                    <w:rPr>
                      <w:rFonts w:hint="eastAsia"/>
                      <w:color w:val="auto"/>
                    </w:rPr>
                    <w:t>11</w:t>
                  </w:r>
                </w:p>
              </w:tc>
              <w:tc>
                <w:tcPr>
                  <w:tcW w:w="1709" w:type="pct"/>
                  <w:noWrap w:val="0"/>
                  <w:vAlign w:val="center"/>
                </w:tcPr>
                <w:p>
                  <w:pPr>
                    <w:pStyle w:val="170"/>
                    <w:rPr>
                      <w:rFonts w:hint="eastAsia"/>
                      <w:color w:val="auto"/>
                    </w:rPr>
                  </w:pPr>
                  <w:r>
                    <w:rPr>
                      <w:rFonts w:hint="eastAsia"/>
                      <w:color w:val="auto"/>
                    </w:rPr>
                    <w:t>茗禾苑</w:t>
                  </w:r>
                </w:p>
              </w:tc>
              <w:tc>
                <w:tcPr>
                  <w:tcW w:w="1060" w:type="pct"/>
                  <w:noWrap w:val="0"/>
                  <w:vAlign w:val="center"/>
                </w:tcPr>
                <w:p>
                  <w:pPr>
                    <w:pStyle w:val="170"/>
                    <w:rPr>
                      <w:rFonts w:hint="eastAsia"/>
                      <w:color w:val="auto"/>
                    </w:rPr>
                  </w:pPr>
                  <w:r>
                    <w:rPr>
                      <w:rFonts w:hint="eastAsia"/>
                      <w:color w:val="auto"/>
                    </w:rPr>
                    <w:t>住宅</w:t>
                  </w:r>
                </w:p>
              </w:tc>
              <w:tc>
                <w:tcPr>
                  <w:tcW w:w="754" w:type="pct"/>
                  <w:vMerge w:val="continue"/>
                  <w:noWrap w:val="0"/>
                  <w:vAlign w:val="center"/>
                </w:tcPr>
                <w:p>
                  <w:pPr>
                    <w:pStyle w:val="170"/>
                    <w:rPr>
                      <w:rFonts w:hint="eastAsia"/>
                      <w:color w:val="auto"/>
                    </w:rPr>
                  </w:pPr>
                </w:p>
              </w:tc>
              <w:tc>
                <w:tcPr>
                  <w:tcW w:w="1000" w:type="pct"/>
                  <w:noWrap w:val="0"/>
                  <w:vAlign w:val="center"/>
                </w:tcPr>
                <w:p>
                  <w:pPr>
                    <w:pStyle w:val="170"/>
                    <w:rPr>
                      <w:color w:val="auto"/>
                    </w:rPr>
                  </w:pPr>
                  <w:r>
                    <w:rPr>
                      <w:rFonts w:hint="eastAsia"/>
                      <w:color w:val="auto"/>
                    </w:rPr>
                    <w:t>209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170"/>
                    <w:rPr>
                      <w:color w:val="auto"/>
                    </w:rPr>
                  </w:pPr>
                  <w:r>
                    <w:rPr>
                      <w:rFonts w:hint="eastAsia"/>
                      <w:color w:val="auto"/>
                    </w:rPr>
                    <w:t>12</w:t>
                  </w:r>
                </w:p>
              </w:tc>
              <w:tc>
                <w:tcPr>
                  <w:tcW w:w="1709" w:type="pct"/>
                  <w:noWrap w:val="0"/>
                  <w:vAlign w:val="center"/>
                </w:tcPr>
                <w:p>
                  <w:pPr>
                    <w:pStyle w:val="170"/>
                    <w:rPr>
                      <w:rFonts w:hint="eastAsia"/>
                      <w:color w:val="auto"/>
                    </w:rPr>
                  </w:pPr>
                  <w:r>
                    <w:rPr>
                      <w:rFonts w:hint="eastAsia"/>
                      <w:color w:val="auto"/>
                    </w:rPr>
                    <w:t>文星府</w:t>
                  </w:r>
                </w:p>
              </w:tc>
              <w:tc>
                <w:tcPr>
                  <w:tcW w:w="1060" w:type="pct"/>
                  <w:noWrap w:val="0"/>
                  <w:vAlign w:val="center"/>
                </w:tcPr>
                <w:p>
                  <w:pPr>
                    <w:pStyle w:val="170"/>
                    <w:rPr>
                      <w:rFonts w:hint="eastAsia"/>
                      <w:color w:val="auto"/>
                    </w:rPr>
                  </w:pPr>
                  <w:r>
                    <w:rPr>
                      <w:rFonts w:hint="eastAsia"/>
                      <w:color w:val="auto"/>
                    </w:rPr>
                    <w:t>住宅</w:t>
                  </w:r>
                </w:p>
              </w:tc>
              <w:tc>
                <w:tcPr>
                  <w:tcW w:w="754" w:type="pct"/>
                  <w:vMerge w:val="continue"/>
                  <w:noWrap w:val="0"/>
                  <w:vAlign w:val="center"/>
                </w:tcPr>
                <w:p>
                  <w:pPr>
                    <w:pStyle w:val="170"/>
                    <w:rPr>
                      <w:rFonts w:hint="eastAsia"/>
                      <w:color w:val="auto"/>
                    </w:rPr>
                  </w:pPr>
                </w:p>
              </w:tc>
              <w:tc>
                <w:tcPr>
                  <w:tcW w:w="1000" w:type="pct"/>
                  <w:noWrap w:val="0"/>
                  <w:vAlign w:val="center"/>
                </w:tcPr>
                <w:p>
                  <w:pPr>
                    <w:pStyle w:val="170"/>
                    <w:rPr>
                      <w:color w:val="auto"/>
                    </w:rPr>
                  </w:pPr>
                  <w:r>
                    <w:rPr>
                      <w:rFonts w:hint="eastAsia"/>
                      <w:color w:val="auto"/>
                    </w:rPr>
                    <w:t>362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170"/>
                    <w:rPr>
                      <w:color w:val="auto"/>
                    </w:rPr>
                  </w:pPr>
                  <w:r>
                    <w:rPr>
                      <w:rFonts w:hint="eastAsia"/>
                      <w:color w:val="auto"/>
                    </w:rPr>
                    <w:t>13</w:t>
                  </w:r>
                </w:p>
              </w:tc>
              <w:tc>
                <w:tcPr>
                  <w:tcW w:w="1709" w:type="pct"/>
                  <w:noWrap w:val="0"/>
                  <w:vAlign w:val="center"/>
                </w:tcPr>
                <w:p>
                  <w:pPr>
                    <w:pStyle w:val="170"/>
                    <w:rPr>
                      <w:rFonts w:hint="eastAsia"/>
                      <w:color w:val="auto"/>
                    </w:rPr>
                  </w:pPr>
                  <w:r>
                    <w:rPr>
                      <w:rFonts w:hint="eastAsia"/>
                      <w:color w:val="auto"/>
                    </w:rPr>
                    <w:t>干警花园</w:t>
                  </w:r>
                </w:p>
              </w:tc>
              <w:tc>
                <w:tcPr>
                  <w:tcW w:w="1060" w:type="pct"/>
                  <w:noWrap w:val="0"/>
                  <w:vAlign w:val="center"/>
                </w:tcPr>
                <w:p>
                  <w:pPr>
                    <w:pStyle w:val="170"/>
                    <w:rPr>
                      <w:rFonts w:hint="eastAsia"/>
                      <w:color w:val="auto"/>
                    </w:rPr>
                  </w:pPr>
                  <w:r>
                    <w:rPr>
                      <w:rFonts w:hint="eastAsia"/>
                      <w:color w:val="auto"/>
                    </w:rPr>
                    <w:t>住宅</w:t>
                  </w:r>
                </w:p>
              </w:tc>
              <w:tc>
                <w:tcPr>
                  <w:tcW w:w="754" w:type="pct"/>
                  <w:vMerge w:val="continue"/>
                  <w:noWrap w:val="0"/>
                  <w:vAlign w:val="center"/>
                </w:tcPr>
                <w:p>
                  <w:pPr>
                    <w:pStyle w:val="170"/>
                    <w:rPr>
                      <w:rFonts w:hint="eastAsia"/>
                      <w:color w:val="auto"/>
                    </w:rPr>
                  </w:pPr>
                </w:p>
              </w:tc>
              <w:tc>
                <w:tcPr>
                  <w:tcW w:w="1000" w:type="pct"/>
                  <w:noWrap w:val="0"/>
                  <w:vAlign w:val="center"/>
                </w:tcPr>
                <w:p>
                  <w:pPr>
                    <w:pStyle w:val="170"/>
                    <w:rPr>
                      <w:color w:val="auto"/>
                    </w:rPr>
                  </w:pPr>
                  <w:r>
                    <w:rPr>
                      <w:rFonts w:hint="eastAsia"/>
                      <w:color w:val="auto"/>
                    </w:rPr>
                    <w:t>272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170"/>
                    <w:rPr>
                      <w:color w:val="auto"/>
                    </w:rPr>
                  </w:pPr>
                  <w:r>
                    <w:rPr>
                      <w:rFonts w:hint="eastAsia"/>
                      <w:color w:val="auto"/>
                    </w:rPr>
                    <w:t>14</w:t>
                  </w:r>
                </w:p>
              </w:tc>
              <w:tc>
                <w:tcPr>
                  <w:tcW w:w="1709" w:type="pct"/>
                  <w:noWrap w:val="0"/>
                  <w:vAlign w:val="center"/>
                </w:tcPr>
                <w:p>
                  <w:pPr>
                    <w:pStyle w:val="170"/>
                    <w:rPr>
                      <w:rFonts w:hint="eastAsia"/>
                      <w:color w:val="auto"/>
                    </w:rPr>
                  </w:pPr>
                  <w:r>
                    <w:rPr>
                      <w:rFonts w:hint="eastAsia"/>
                      <w:color w:val="auto"/>
                    </w:rPr>
                    <w:t>翰林印象</w:t>
                  </w:r>
                </w:p>
              </w:tc>
              <w:tc>
                <w:tcPr>
                  <w:tcW w:w="1060" w:type="pct"/>
                  <w:noWrap w:val="0"/>
                  <w:vAlign w:val="center"/>
                </w:tcPr>
                <w:p>
                  <w:pPr>
                    <w:pStyle w:val="170"/>
                    <w:rPr>
                      <w:rFonts w:hint="eastAsia"/>
                      <w:color w:val="auto"/>
                    </w:rPr>
                  </w:pPr>
                  <w:r>
                    <w:rPr>
                      <w:rFonts w:hint="eastAsia"/>
                      <w:color w:val="auto"/>
                    </w:rPr>
                    <w:t>住宅</w:t>
                  </w:r>
                </w:p>
              </w:tc>
              <w:tc>
                <w:tcPr>
                  <w:tcW w:w="754" w:type="pct"/>
                  <w:vMerge w:val="continue"/>
                  <w:noWrap w:val="0"/>
                  <w:vAlign w:val="center"/>
                </w:tcPr>
                <w:p>
                  <w:pPr>
                    <w:pStyle w:val="170"/>
                    <w:rPr>
                      <w:rFonts w:hint="eastAsia"/>
                      <w:color w:val="auto"/>
                    </w:rPr>
                  </w:pPr>
                </w:p>
              </w:tc>
              <w:tc>
                <w:tcPr>
                  <w:tcW w:w="1000" w:type="pct"/>
                  <w:noWrap w:val="0"/>
                  <w:vAlign w:val="center"/>
                </w:tcPr>
                <w:p>
                  <w:pPr>
                    <w:pStyle w:val="170"/>
                    <w:rPr>
                      <w:color w:val="auto"/>
                    </w:rPr>
                  </w:pPr>
                  <w:r>
                    <w:rPr>
                      <w:rFonts w:hint="eastAsia"/>
                      <w:color w:val="auto"/>
                    </w:rPr>
                    <w:t>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170"/>
                    <w:rPr>
                      <w:color w:val="auto"/>
                    </w:rPr>
                  </w:pPr>
                  <w:r>
                    <w:rPr>
                      <w:rFonts w:hint="eastAsia"/>
                      <w:color w:val="auto"/>
                    </w:rPr>
                    <w:t>15</w:t>
                  </w:r>
                </w:p>
              </w:tc>
              <w:tc>
                <w:tcPr>
                  <w:tcW w:w="1709" w:type="pct"/>
                  <w:noWrap w:val="0"/>
                  <w:vAlign w:val="center"/>
                </w:tcPr>
                <w:p>
                  <w:pPr>
                    <w:pStyle w:val="170"/>
                    <w:rPr>
                      <w:rFonts w:hint="eastAsia"/>
                      <w:color w:val="auto"/>
                    </w:rPr>
                  </w:pPr>
                  <w:r>
                    <w:rPr>
                      <w:rFonts w:hint="eastAsia"/>
                      <w:color w:val="auto"/>
                    </w:rPr>
                    <w:t>五洲汉唐</w:t>
                  </w:r>
                </w:p>
              </w:tc>
              <w:tc>
                <w:tcPr>
                  <w:tcW w:w="1060" w:type="pct"/>
                  <w:noWrap w:val="0"/>
                  <w:vAlign w:val="center"/>
                </w:tcPr>
                <w:p>
                  <w:pPr>
                    <w:pStyle w:val="170"/>
                    <w:rPr>
                      <w:rFonts w:hint="eastAsia"/>
                      <w:color w:val="auto"/>
                    </w:rPr>
                  </w:pPr>
                  <w:r>
                    <w:rPr>
                      <w:rFonts w:hint="eastAsia"/>
                      <w:color w:val="auto"/>
                    </w:rPr>
                    <w:t>住宅</w:t>
                  </w:r>
                </w:p>
              </w:tc>
              <w:tc>
                <w:tcPr>
                  <w:tcW w:w="754" w:type="pct"/>
                  <w:vMerge w:val="continue"/>
                  <w:noWrap w:val="0"/>
                  <w:vAlign w:val="center"/>
                </w:tcPr>
                <w:p>
                  <w:pPr>
                    <w:pStyle w:val="170"/>
                    <w:rPr>
                      <w:rFonts w:hint="eastAsia"/>
                      <w:color w:val="auto"/>
                    </w:rPr>
                  </w:pPr>
                </w:p>
              </w:tc>
              <w:tc>
                <w:tcPr>
                  <w:tcW w:w="1000" w:type="pct"/>
                  <w:noWrap w:val="0"/>
                  <w:vAlign w:val="center"/>
                </w:tcPr>
                <w:p>
                  <w:pPr>
                    <w:pStyle w:val="170"/>
                    <w:rPr>
                      <w:color w:val="auto"/>
                    </w:rPr>
                  </w:pPr>
                  <w:r>
                    <w:rPr>
                      <w:rFonts w:hint="eastAsia"/>
                      <w:color w:val="auto"/>
                    </w:rPr>
                    <w:t>516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4" w:hRule="atLeast"/>
              </w:trPr>
              <w:tc>
                <w:tcPr>
                  <w:tcW w:w="475" w:type="pct"/>
                  <w:noWrap w:val="0"/>
                  <w:vAlign w:val="center"/>
                </w:tcPr>
                <w:p>
                  <w:pPr>
                    <w:pStyle w:val="170"/>
                    <w:rPr>
                      <w:color w:val="auto"/>
                    </w:rPr>
                  </w:pPr>
                  <w:r>
                    <w:rPr>
                      <w:rFonts w:hint="eastAsia"/>
                      <w:color w:val="auto"/>
                    </w:rPr>
                    <w:t>16</w:t>
                  </w:r>
                </w:p>
              </w:tc>
              <w:tc>
                <w:tcPr>
                  <w:tcW w:w="1709" w:type="pct"/>
                  <w:noWrap w:val="0"/>
                  <w:vAlign w:val="center"/>
                </w:tcPr>
                <w:p>
                  <w:pPr>
                    <w:pStyle w:val="170"/>
                    <w:rPr>
                      <w:rFonts w:hint="eastAsia"/>
                      <w:color w:val="auto"/>
                    </w:rPr>
                  </w:pPr>
                  <w:r>
                    <w:rPr>
                      <w:rFonts w:hint="eastAsia"/>
                      <w:color w:val="auto"/>
                    </w:rPr>
                    <w:t>蓝湾半岛</w:t>
                  </w:r>
                </w:p>
              </w:tc>
              <w:tc>
                <w:tcPr>
                  <w:tcW w:w="1060" w:type="pct"/>
                  <w:noWrap w:val="0"/>
                  <w:vAlign w:val="center"/>
                </w:tcPr>
                <w:p>
                  <w:pPr>
                    <w:pStyle w:val="170"/>
                    <w:rPr>
                      <w:rFonts w:hint="eastAsia"/>
                      <w:color w:val="auto"/>
                    </w:rPr>
                  </w:pPr>
                  <w:r>
                    <w:rPr>
                      <w:rFonts w:hint="eastAsia"/>
                      <w:color w:val="auto"/>
                    </w:rPr>
                    <w:t>住宅</w:t>
                  </w:r>
                </w:p>
              </w:tc>
              <w:tc>
                <w:tcPr>
                  <w:tcW w:w="754" w:type="pct"/>
                  <w:vMerge w:val="restart"/>
                  <w:noWrap w:val="0"/>
                  <w:vAlign w:val="center"/>
                </w:tcPr>
                <w:p>
                  <w:pPr>
                    <w:pStyle w:val="170"/>
                    <w:rPr>
                      <w:rFonts w:hint="eastAsia"/>
                      <w:color w:val="auto"/>
                    </w:rPr>
                  </w:pPr>
                  <w:r>
                    <w:rPr>
                      <w:rFonts w:hint="eastAsia"/>
                      <w:color w:val="auto"/>
                    </w:rPr>
                    <w:t>南侧</w:t>
                  </w:r>
                </w:p>
              </w:tc>
              <w:tc>
                <w:tcPr>
                  <w:tcW w:w="1000" w:type="pct"/>
                  <w:noWrap w:val="0"/>
                  <w:vAlign w:val="center"/>
                </w:tcPr>
                <w:p>
                  <w:pPr>
                    <w:pStyle w:val="170"/>
                    <w:rPr>
                      <w:color w:val="auto"/>
                    </w:rPr>
                  </w:pPr>
                  <w:r>
                    <w:rPr>
                      <w:rFonts w:hint="eastAsia"/>
                      <w:color w:val="auto"/>
                    </w:rPr>
                    <w:t>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170"/>
                    <w:rPr>
                      <w:color w:val="auto"/>
                    </w:rPr>
                  </w:pPr>
                  <w:r>
                    <w:rPr>
                      <w:rFonts w:hint="eastAsia"/>
                      <w:color w:val="auto"/>
                    </w:rPr>
                    <w:t>17</w:t>
                  </w:r>
                </w:p>
              </w:tc>
              <w:tc>
                <w:tcPr>
                  <w:tcW w:w="1709" w:type="pct"/>
                  <w:noWrap w:val="0"/>
                  <w:vAlign w:val="center"/>
                </w:tcPr>
                <w:p>
                  <w:pPr>
                    <w:pStyle w:val="170"/>
                    <w:rPr>
                      <w:rFonts w:hint="eastAsia"/>
                      <w:color w:val="auto"/>
                    </w:rPr>
                  </w:pPr>
                  <w:r>
                    <w:rPr>
                      <w:rFonts w:hint="eastAsia"/>
                      <w:color w:val="auto"/>
                    </w:rPr>
                    <w:t>警苑</w:t>
                  </w:r>
                </w:p>
              </w:tc>
              <w:tc>
                <w:tcPr>
                  <w:tcW w:w="1060" w:type="pct"/>
                  <w:noWrap w:val="0"/>
                  <w:vAlign w:val="center"/>
                </w:tcPr>
                <w:p>
                  <w:pPr>
                    <w:pStyle w:val="170"/>
                    <w:rPr>
                      <w:rFonts w:hint="eastAsia"/>
                      <w:color w:val="auto"/>
                    </w:rPr>
                  </w:pPr>
                  <w:r>
                    <w:rPr>
                      <w:rFonts w:hint="eastAsia"/>
                      <w:color w:val="auto"/>
                    </w:rPr>
                    <w:t>住宅</w:t>
                  </w:r>
                </w:p>
              </w:tc>
              <w:tc>
                <w:tcPr>
                  <w:tcW w:w="754" w:type="pct"/>
                  <w:vMerge w:val="continue"/>
                  <w:noWrap w:val="0"/>
                  <w:vAlign w:val="center"/>
                </w:tcPr>
                <w:p>
                  <w:pPr>
                    <w:pStyle w:val="170"/>
                    <w:rPr>
                      <w:rFonts w:hint="eastAsia"/>
                      <w:color w:val="auto"/>
                    </w:rPr>
                  </w:pPr>
                </w:p>
              </w:tc>
              <w:tc>
                <w:tcPr>
                  <w:tcW w:w="1000" w:type="pct"/>
                  <w:noWrap w:val="0"/>
                  <w:vAlign w:val="center"/>
                </w:tcPr>
                <w:p>
                  <w:pPr>
                    <w:pStyle w:val="170"/>
                    <w:rPr>
                      <w:color w:val="auto"/>
                    </w:rPr>
                  </w:pPr>
                  <w:r>
                    <w:rPr>
                      <w:rFonts w:hint="eastAsia"/>
                      <w:color w:val="auto"/>
                    </w:rPr>
                    <w:t>401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170"/>
                    <w:rPr>
                      <w:color w:val="auto"/>
                    </w:rPr>
                  </w:pPr>
                  <w:r>
                    <w:rPr>
                      <w:rFonts w:hint="eastAsia"/>
                      <w:color w:val="auto"/>
                    </w:rPr>
                    <w:t>18</w:t>
                  </w:r>
                </w:p>
              </w:tc>
              <w:tc>
                <w:tcPr>
                  <w:tcW w:w="1709" w:type="pct"/>
                  <w:noWrap w:val="0"/>
                  <w:vAlign w:val="center"/>
                </w:tcPr>
                <w:p>
                  <w:pPr>
                    <w:pStyle w:val="170"/>
                    <w:rPr>
                      <w:rFonts w:hint="eastAsia"/>
                      <w:color w:val="auto"/>
                    </w:rPr>
                  </w:pPr>
                  <w:r>
                    <w:rPr>
                      <w:rFonts w:hint="eastAsia"/>
                      <w:color w:val="auto"/>
                    </w:rPr>
                    <w:t>自建房小区</w:t>
                  </w:r>
                </w:p>
              </w:tc>
              <w:tc>
                <w:tcPr>
                  <w:tcW w:w="1060" w:type="pct"/>
                  <w:noWrap w:val="0"/>
                  <w:vAlign w:val="center"/>
                </w:tcPr>
                <w:p>
                  <w:pPr>
                    <w:pStyle w:val="170"/>
                    <w:rPr>
                      <w:rFonts w:hint="eastAsia"/>
                      <w:color w:val="auto"/>
                    </w:rPr>
                  </w:pPr>
                  <w:r>
                    <w:rPr>
                      <w:rFonts w:hint="eastAsia"/>
                      <w:color w:val="auto"/>
                    </w:rPr>
                    <w:t>住宅</w:t>
                  </w:r>
                </w:p>
              </w:tc>
              <w:tc>
                <w:tcPr>
                  <w:tcW w:w="754" w:type="pct"/>
                  <w:vMerge w:val="continue"/>
                  <w:noWrap w:val="0"/>
                  <w:vAlign w:val="center"/>
                </w:tcPr>
                <w:p>
                  <w:pPr>
                    <w:pStyle w:val="170"/>
                    <w:rPr>
                      <w:rFonts w:hint="eastAsia"/>
                      <w:color w:val="auto"/>
                    </w:rPr>
                  </w:pPr>
                </w:p>
              </w:tc>
              <w:tc>
                <w:tcPr>
                  <w:tcW w:w="1000" w:type="pct"/>
                  <w:noWrap w:val="0"/>
                  <w:vAlign w:val="center"/>
                </w:tcPr>
                <w:p>
                  <w:pPr>
                    <w:pStyle w:val="170"/>
                    <w:rPr>
                      <w:color w:val="auto"/>
                    </w:rPr>
                  </w:pPr>
                  <w:r>
                    <w:rPr>
                      <w:rFonts w:hint="eastAsia"/>
                      <w:color w:val="auto"/>
                    </w:rPr>
                    <w:t>459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4" w:hRule="atLeast"/>
              </w:trPr>
              <w:tc>
                <w:tcPr>
                  <w:tcW w:w="475" w:type="pct"/>
                  <w:noWrap w:val="0"/>
                  <w:vAlign w:val="center"/>
                </w:tcPr>
                <w:p>
                  <w:pPr>
                    <w:pStyle w:val="170"/>
                    <w:rPr>
                      <w:color w:val="auto"/>
                    </w:rPr>
                  </w:pPr>
                  <w:r>
                    <w:rPr>
                      <w:rFonts w:hint="eastAsia"/>
                      <w:color w:val="auto"/>
                    </w:rPr>
                    <w:t>19</w:t>
                  </w:r>
                </w:p>
              </w:tc>
              <w:tc>
                <w:tcPr>
                  <w:tcW w:w="1709" w:type="pct"/>
                  <w:noWrap w:val="0"/>
                  <w:vAlign w:val="center"/>
                </w:tcPr>
                <w:p>
                  <w:pPr>
                    <w:pStyle w:val="170"/>
                    <w:rPr>
                      <w:rFonts w:hint="eastAsia"/>
                      <w:color w:val="auto"/>
                    </w:rPr>
                  </w:pPr>
                  <w:r>
                    <w:rPr>
                      <w:rFonts w:hint="eastAsia"/>
                      <w:color w:val="auto"/>
                    </w:rPr>
                    <w:t>棕榈湾</w:t>
                  </w:r>
                </w:p>
              </w:tc>
              <w:tc>
                <w:tcPr>
                  <w:tcW w:w="1060" w:type="pct"/>
                  <w:noWrap w:val="0"/>
                  <w:vAlign w:val="center"/>
                </w:tcPr>
                <w:p>
                  <w:pPr>
                    <w:pStyle w:val="170"/>
                    <w:rPr>
                      <w:rFonts w:hint="eastAsia"/>
                      <w:color w:val="auto"/>
                    </w:rPr>
                  </w:pPr>
                  <w:r>
                    <w:rPr>
                      <w:rFonts w:hint="eastAsia"/>
                      <w:color w:val="auto"/>
                    </w:rPr>
                    <w:t>住宅</w:t>
                  </w:r>
                </w:p>
              </w:tc>
              <w:tc>
                <w:tcPr>
                  <w:tcW w:w="754" w:type="pct"/>
                  <w:vMerge w:val="continue"/>
                  <w:noWrap w:val="0"/>
                  <w:vAlign w:val="center"/>
                </w:tcPr>
                <w:p>
                  <w:pPr>
                    <w:pStyle w:val="170"/>
                    <w:rPr>
                      <w:rFonts w:hint="eastAsia"/>
                      <w:color w:val="auto"/>
                    </w:rPr>
                  </w:pPr>
                </w:p>
              </w:tc>
              <w:tc>
                <w:tcPr>
                  <w:tcW w:w="1000" w:type="pct"/>
                  <w:noWrap w:val="0"/>
                  <w:vAlign w:val="center"/>
                </w:tcPr>
                <w:p>
                  <w:pPr>
                    <w:pStyle w:val="170"/>
                    <w:rPr>
                      <w:color w:val="auto"/>
                    </w:rPr>
                  </w:pPr>
                  <w:r>
                    <w:rPr>
                      <w:rFonts w:hint="eastAsia"/>
                      <w:color w:val="auto"/>
                    </w:rPr>
                    <w:t>524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170"/>
                    <w:rPr>
                      <w:color w:val="auto"/>
                    </w:rPr>
                  </w:pPr>
                  <w:r>
                    <w:rPr>
                      <w:rFonts w:hint="eastAsia"/>
                      <w:color w:val="auto"/>
                    </w:rPr>
                    <w:t>20</w:t>
                  </w:r>
                </w:p>
              </w:tc>
              <w:tc>
                <w:tcPr>
                  <w:tcW w:w="1709" w:type="pct"/>
                  <w:noWrap w:val="0"/>
                  <w:vAlign w:val="center"/>
                </w:tcPr>
                <w:p>
                  <w:pPr>
                    <w:pStyle w:val="170"/>
                    <w:rPr>
                      <w:rFonts w:hint="eastAsia"/>
                      <w:color w:val="auto"/>
                    </w:rPr>
                  </w:pPr>
                  <w:r>
                    <w:rPr>
                      <w:rFonts w:hint="eastAsia"/>
                      <w:color w:val="auto"/>
                    </w:rPr>
                    <w:t>新天名城</w:t>
                  </w:r>
                </w:p>
              </w:tc>
              <w:tc>
                <w:tcPr>
                  <w:tcW w:w="1060" w:type="pct"/>
                  <w:noWrap w:val="0"/>
                  <w:vAlign w:val="center"/>
                </w:tcPr>
                <w:p>
                  <w:pPr>
                    <w:pStyle w:val="170"/>
                    <w:rPr>
                      <w:rFonts w:hint="eastAsia"/>
                      <w:color w:val="auto"/>
                    </w:rPr>
                  </w:pPr>
                  <w:r>
                    <w:rPr>
                      <w:rFonts w:hint="eastAsia"/>
                      <w:color w:val="auto"/>
                    </w:rPr>
                    <w:t>住宅</w:t>
                  </w:r>
                </w:p>
              </w:tc>
              <w:tc>
                <w:tcPr>
                  <w:tcW w:w="754" w:type="pct"/>
                  <w:vMerge w:val="continue"/>
                  <w:noWrap w:val="0"/>
                  <w:vAlign w:val="center"/>
                </w:tcPr>
                <w:p>
                  <w:pPr>
                    <w:pStyle w:val="170"/>
                    <w:rPr>
                      <w:rFonts w:hint="eastAsia"/>
                      <w:color w:val="auto"/>
                    </w:rPr>
                  </w:pPr>
                </w:p>
              </w:tc>
              <w:tc>
                <w:tcPr>
                  <w:tcW w:w="1000" w:type="pct"/>
                  <w:noWrap w:val="0"/>
                  <w:vAlign w:val="center"/>
                </w:tcPr>
                <w:p>
                  <w:pPr>
                    <w:pStyle w:val="170"/>
                    <w:rPr>
                      <w:color w:val="auto"/>
                    </w:rPr>
                  </w:pPr>
                  <w:r>
                    <w:rPr>
                      <w:rFonts w:hint="eastAsia"/>
                      <w:color w:val="auto"/>
                    </w:rPr>
                    <w:t>481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170"/>
                    <w:rPr>
                      <w:color w:val="auto"/>
                    </w:rPr>
                  </w:pPr>
                  <w:r>
                    <w:rPr>
                      <w:rFonts w:hint="eastAsia"/>
                      <w:color w:val="auto"/>
                    </w:rPr>
                    <w:t>21</w:t>
                  </w:r>
                </w:p>
              </w:tc>
              <w:tc>
                <w:tcPr>
                  <w:tcW w:w="1709" w:type="pct"/>
                  <w:noWrap w:val="0"/>
                  <w:vAlign w:val="center"/>
                </w:tcPr>
                <w:p>
                  <w:pPr>
                    <w:pStyle w:val="170"/>
                    <w:rPr>
                      <w:rFonts w:hint="eastAsia"/>
                      <w:color w:val="auto"/>
                    </w:rPr>
                  </w:pPr>
                  <w:r>
                    <w:rPr>
                      <w:rFonts w:hint="eastAsia"/>
                      <w:color w:val="auto"/>
                    </w:rPr>
                    <w:t>乐山市城市绿化保障中心</w:t>
                  </w:r>
                </w:p>
              </w:tc>
              <w:tc>
                <w:tcPr>
                  <w:tcW w:w="1060" w:type="pct"/>
                  <w:noWrap w:val="0"/>
                  <w:vAlign w:val="center"/>
                </w:tcPr>
                <w:p>
                  <w:pPr>
                    <w:pStyle w:val="170"/>
                    <w:rPr>
                      <w:rFonts w:hint="eastAsia"/>
                      <w:color w:val="auto"/>
                    </w:rPr>
                  </w:pPr>
                  <w:r>
                    <w:rPr>
                      <w:rFonts w:hint="eastAsia"/>
                      <w:color w:val="auto"/>
                    </w:rPr>
                    <w:t>机构</w:t>
                  </w:r>
                </w:p>
              </w:tc>
              <w:tc>
                <w:tcPr>
                  <w:tcW w:w="754" w:type="pct"/>
                  <w:vMerge w:val="continue"/>
                  <w:noWrap w:val="0"/>
                  <w:vAlign w:val="center"/>
                </w:tcPr>
                <w:p>
                  <w:pPr>
                    <w:pStyle w:val="170"/>
                    <w:rPr>
                      <w:rFonts w:hint="eastAsia"/>
                      <w:color w:val="auto"/>
                    </w:rPr>
                  </w:pPr>
                </w:p>
              </w:tc>
              <w:tc>
                <w:tcPr>
                  <w:tcW w:w="1000" w:type="pct"/>
                  <w:noWrap w:val="0"/>
                  <w:vAlign w:val="center"/>
                </w:tcPr>
                <w:p>
                  <w:pPr>
                    <w:pStyle w:val="170"/>
                    <w:rPr>
                      <w:color w:val="auto"/>
                    </w:rPr>
                  </w:pPr>
                  <w:r>
                    <w:rPr>
                      <w:rFonts w:hint="eastAsia"/>
                      <w:color w:val="auto"/>
                    </w:rPr>
                    <w:t>574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170"/>
                    <w:rPr>
                      <w:color w:val="auto"/>
                    </w:rPr>
                  </w:pPr>
                  <w:r>
                    <w:rPr>
                      <w:rFonts w:hint="eastAsia"/>
                      <w:color w:val="auto"/>
                    </w:rPr>
                    <w:t>22</w:t>
                  </w:r>
                </w:p>
              </w:tc>
              <w:tc>
                <w:tcPr>
                  <w:tcW w:w="1709" w:type="pct"/>
                  <w:noWrap w:val="0"/>
                  <w:vAlign w:val="center"/>
                </w:tcPr>
                <w:p>
                  <w:pPr>
                    <w:pStyle w:val="170"/>
                    <w:rPr>
                      <w:rFonts w:hint="eastAsia"/>
                      <w:color w:val="auto"/>
                    </w:rPr>
                  </w:pPr>
                  <w:r>
                    <w:rPr>
                      <w:rFonts w:hint="eastAsia"/>
                      <w:color w:val="auto"/>
                    </w:rPr>
                    <w:t>乐山市消防支队</w:t>
                  </w:r>
                </w:p>
              </w:tc>
              <w:tc>
                <w:tcPr>
                  <w:tcW w:w="1060" w:type="pct"/>
                  <w:noWrap w:val="0"/>
                  <w:vAlign w:val="center"/>
                </w:tcPr>
                <w:p>
                  <w:pPr>
                    <w:pStyle w:val="170"/>
                    <w:rPr>
                      <w:rFonts w:hint="eastAsia"/>
                      <w:color w:val="auto"/>
                    </w:rPr>
                  </w:pPr>
                  <w:r>
                    <w:rPr>
                      <w:rFonts w:hint="eastAsia"/>
                      <w:color w:val="auto"/>
                    </w:rPr>
                    <w:t>单位</w:t>
                  </w:r>
                </w:p>
              </w:tc>
              <w:tc>
                <w:tcPr>
                  <w:tcW w:w="754" w:type="pct"/>
                  <w:vMerge w:val="restart"/>
                  <w:noWrap w:val="0"/>
                  <w:vAlign w:val="center"/>
                </w:tcPr>
                <w:p>
                  <w:pPr>
                    <w:pStyle w:val="170"/>
                    <w:rPr>
                      <w:rFonts w:hint="eastAsia"/>
                      <w:color w:val="auto"/>
                    </w:rPr>
                  </w:pPr>
                  <w:r>
                    <w:rPr>
                      <w:rFonts w:hint="eastAsia"/>
                      <w:color w:val="auto"/>
                    </w:rPr>
                    <w:t>西南侧</w:t>
                  </w:r>
                </w:p>
              </w:tc>
              <w:tc>
                <w:tcPr>
                  <w:tcW w:w="1000" w:type="pct"/>
                  <w:noWrap w:val="0"/>
                  <w:vAlign w:val="center"/>
                </w:tcPr>
                <w:p>
                  <w:pPr>
                    <w:pStyle w:val="170"/>
                    <w:rPr>
                      <w:color w:val="auto"/>
                    </w:rPr>
                  </w:pPr>
                  <w:r>
                    <w:rPr>
                      <w:rFonts w:hint="eastAsia"/>
                      <w:color w:val="auto"/>
                    </w:rPr>
                    <w:t>543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4" w:hRule="atLeast"/>
              </w:trPr>
              <w:tc>
                <w:tcPr>
                  <w:tcW w:w="475" w:type="pct"/>
                  <w:noWrap w:val="0"/>
                  <w:vAlign w:val="center"/>
                </w:tcPr>
                <w:p>
                  <w:pPr>
                    <w:pStyle w:val="170"/>
                    <w:rPr>
                      <w:color w:val="auto"/>
                    </w:rPr>
                  </w:pPr>
                  <w:r>
                    <w:rPr>
                      <w:rFonts w:hint="eastAsia"/>
                      <w:color w:val="auto"/>
                    </w:rPr>
                    <w:t>23</w:t>
                  </w:r>
                </w:p>
              </w:tc>
              <w:tc>
                <w:tcPr>
                  <w:tcW w:w="1709" w:type="pct"/>
                  <w:noWrap w:val="0"/>
                  <w:vAlign w:val="center"/>
                </w:tcPr>
                <w:p>
                  <w:pPr>
                    <w:pStyle w:val="170"/>
                    <w:rPr>
                      <w:rFonts w:hint="eastAsia"/>
                      <w:color w:val="auto"/>
                    </w:rPr>
                  </w:pPr>
                  <w:r>
                    <w:rPr>
                      <w:rFonts w:hint="eastAsia"/>
                      <w:color w:val="auto"/>
                    </w:rPr>
                    <w:t>乐山天牛汽车城</w:t>
                  </w:r>
                </w:p>
              </w:tc>
              <w:tc>
                <w:tcPr>
                  <w:tcW w:w="1060" w:type="pct"/>
                  <w:noWrap w:val="0"/>
                  <w:vAlign w:val="center"/>
                </w:tcPr>
                <w:p>
                  <w:pPr>
                    <w:pStyle w:val="170"/>
                    <w:rPr>
                      <w:rFonts w:hint="eastAsia"/>
                      <w:color w:val="auto"/>
                    </w:rPr>
                  </w:pPr>
                  <w:r>
                    <w:rPr>
                      <w:rFonts w:hint="eastAsia"/>
                      <w:color w:val="auto"/>
                    </w:rPr>
                    <w:t>商业</w:t>
                  </w:r>
                </w:p>
              </w:tc>
              <w:tc>
                <w:tcPr>
                  <w:tcW w:w="754" w:type="pct"/>
                  <w:vMerge w:val="continue"/>
                  <w:noWrap w:val="0"/>
                  <w:vAlign w:val="center"/>
                </w:tcPr>
                <w:p>
                  <w:pPr>
                    <w:pStyle w:val="170"/>
                    <w:rPr>
                      <w:rFonts w:hint="eastAsia"/>
                      <w:color w:val="auto"/>
                    </w:rPr>
                  </w:pPr>
                </w:p>
              </w:tc>
              <w:tc>
                <w:tcPr>
                  <w:tcW w:w="1000" w:type="pct"/>
                  <w:noWrap w:val="0"/>
                  <w:vAlign w:val="center"/>
                </w:tcPr>
                <w:p>
                  <w:pPr>
                    <w:pStyle w:val="170"/>
                    <w:rPr>
                      <w:color w:val="auto"/>
                    </w:rPr>
                  </w:pPr>
                  <w:r>
                    <w:rPr>
                      <w:rFonts w:hint="eastAsia"/>
                      <w:color w:val="auto"/>
                    </w:rPr>
                    <w:t>720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4" w:hRule="atLeast"/>
              </w:trPr>
              <w:tc>
                <w:tcPr>
                  <w:tcW w:w="475" w:type="pct"/>
                  <w:noWrap w:val="0"/>
                  <w:vAlign w:val="center"/>
                </w:tcPr>
                <w:p>
                  <w:pPr>
                    <w:pStyle w:val="170"/>
                    <w:rPr>
                      <w:color w:val="auto"/>
                    </w:rPr>
                  </w:pPr>
                  <w:r>
                    <w:rPr>
                      <w:rFonts w:hint="eastAsia"/>
                      <w:color w:val="auto"/>
                    </w:rPr>
                    <w:t>24</w:t>
                  </w:r>
                </w:p>
              </w:tc>
              <w:tc>
                <w:tcPr>
                  <w:tcW w:w="1709" w:type="pct"/>
                  <w:noWrap w:val="0"/>
                  <w:vAlign w:val="center"/>
                </w:tcPr>
                <w:p>
                  <w:pPr>
                    <w:pStyle w:val="170"/>
                    <w:rPr>
                      <w:rFonts w:hint="eastAsia"/>
                      <w:color w:val="auto"/>
                    </w:rPr>
                  </w:pPr>
                  <w:r>
                    <w:rPr>
                      <w:rFonts w:hint="eastAsia"/>
                      <w:color w:val="auto"/>
                    </w:rPr>
                    <w:t>二手车交易市场</w:t>
                  </w:r>
                </w:p>
              </w:tc>
              <w:tc>
                <w:tcPr>
                  <w:tcW w:w="1060" w:type="pct"/>
                  <w:noWrap w:val="0"/>
                  <w:vAlign w:val="center"/>
                </w:tcPr>
                <w:p>
                  <w:pPr>
                    <w:pStyle w:val="170"/>
                    <w:rPr>
                      <w:rFonts w:hint="eastAsia"/>
                      <w:color w:val="auto"/>
                    </w:rPr>
                  </w:pPr>
                  <w:r>
                    <w:rPr>
                      <w:rFonts w:hint="eastAsia"/>
                      <w:color w:val="auto"/>
                    </w:rPr>
                    <w:t>商业</w:t>
                  </w:r>
                </w:p>
              </w:tc>
              <w:tc>
                <w:tcPr>
                  <w:tcW w:w="754" w:type="pct"/>
                  <w:vMerge w:val="continue"/>
                  <w:noWrap w:val="0"/>
                  <w:vAlign w:val="center"/>
                </w:tcPr>
                <w:p>
                  <w:pPr>
                    <w:pStyle w:val="170"/>
                    <w:rPr>
                      <w:rFonts w:hint="eastAsia"/>
                      <w:color w:val="auto"/>
                    </w:rPr>
                  </w:pPr>
                </w:p>
              </w:tc>
              <w:tc>
                <w:tcPr>
                  <w:tcW w:w="1000" w:type="pct"/>
                  <w:noWrap w:val="0"/>
                  <w:vAlign w:val="center"/>
                </w:tcPr>
                <w:p>
                  <w:pPr>
                    <w:pStyle w:val="170"/>
                    <w:rPr>
                      <w:color w:val="auto"/>
                    </w:rPr>
                  </w:pPr>
                  <w:r>
                    <w:rPr>
                      <w:rFonts w:hint="eastAsia"/>
                      <w:color w:val="auto"/>
                    </w:rPr>
                    <w:t>700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170"/>
                    <w:rPr>
                      <w:color w:val="auto"/>
                    </w:rPr>
                  </w:pPr>
                  <w:r>
                    <w:rPr>
                      <w:rFonts w:hint="eastAsia"/>
                      <w:color w:val="auto"/>
                    </w:rPr>
                    <w:t>25</w:t>
                  </w:r>
                </w:p>
              </w:tc>
              <w:tc>
                <w:tcPr>
                  <w:tcW w:w="1709" w:type="pct"/>
                  <w:noWrap w:val="0"/>
                  <w:vAlign w:val="center"/>
                </w:tcPr>
                <w:p>
                  <w:pPr>
                    <w:pStyle w:val="170"/>
                    <w:rPr>
                      <w:rFonts w:hint="eastAsia"/>
                      <w:color w:val="auto"/>
                    </w:rPr>
                  </w:pPr>
                  <w:r>
                    <w:rPr>
                      <w:rFonts w:hint="eastAsia"/>
                      <w:color w:val="auto"/>
                    </w:rPr>
                    <w:t>CNG加气站</w:t>
                  </w:r>
                </w:p>
              </w:tc>
              <w:tc>
                <w:tcPr>
                  <w:tcW w:w="1060" w:type="pct"/>
                  <w:noWrap w:val="0"/>
                  <w:vAlign w:val="center"/>
                </w:tcPr>
                <w:p>
                  <w:pPr>
                    <w:pStyle w:val="170"/>
                    <w:rPr>
                      <w:rFonts w:hint="eastAsia"/>
                      <w:color w:val="auto"/>
                    </w:rPr>
                  </w:pPr>
                  <w:r>
                    <w:rPr>
                      <w:rFonts w:hint="eastAsia"/>
                      <w:color w:val="auto"/>
                    </w:rPr>
                    <w:t>服务业</w:t>
                  </w:r>
                </w:p>
              </w:tc>
              <w:tc>
                <w:tcPr>
                  <w:tcW w:w="754" w:type="pct"/>
                  <w:vMerge w:val="continue"/>
                  <w:noWrap w:val="0"/>
                  <w:vAlign w:val="center"/>
                </w:tcPr>
                <w:p>
                  <w:pPr>
                    <w:pStyle w:val="170"/>
                    <w:rPr>
                      <w:rFonts w:hint="eastAsia"/>
                      <w:color w:val="auto"/>
                    </w:rPr>
                  </w:pPr>
                </w:p>
              </w:tc>
              <w:tc>
                <w:tcPr>
                  <w:tcW w:w="1000" w:type="pct"/>
                  <w:noWrap w:val="0"/>
                  <w:vAlign w:val="center"/>
                </w:tcPr>
                <w:p>
                  <w:pPr>
                    <w:pStyle w:val="170"/>
                    <w:rPr>
                      <w:color w:val="auto"/>
                    </w:rPr>
                  </w:pPr>
                  <w:r>
                    <w:rPr>
                      <w:rFonts w:hint="eastAsia"/>
                      <w:color w:val="auto"/>
                    </w:rPr>
                    <w:t>608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170"/>
                    <w:rPr>
                      <w:color w:val="auto"/>
                    </w:rPr>
                  </w:pPr>
                  <w:r>
                    <w:rPr>
                      <w:rFonts w:hint="eastAsia"/>
                      <w:color w:val="auto"/>
                    </w:rPr>
                    <w:t>26</w:t>
                  </w:r>
                </w:p>
              </w:tc>
              <w:tc>
                <w:tcPr>
                  <w:tcW w:w="1709" w:type="pct"/>
                  <w:noWrap w:val="0"/>
                  <w:vAlign w:val="center"/>
                </w:tcPr>
                <w:p>
                  <w:pPr>
                    <w:pStyle w:val="170"/>
                    <w:rPr>
                      <w:rFonts w:hint="eastAsia"/>
                      <w:color w:val="auto"/>
                    </w:rPr>
                  </w:pPr>
                  <w:r>
                    <w:rPr>
                      <w:rFonts w:hint="eastAsia"/>
                      <w:color w:val="auto"/>
                    </w:rPr>
                    <w:t>中国石油加油站</w:t>
                  </w:r>
                </w:p>
              </w:tc>
              <w:tc>
                <w:tcPr>
                  <w:tcW w:w="1060" w:type="pct"/>
                  <w:noWrap w:val="0"/>
                  <w:vAlign w:val="center"/>
                </w:tcPr>
                <w:p>
                  <w:pPr>
                    <w:pStyle w:val="170"/>
                    <w:rPr>
                      <w:rFonts w:hint="eastAsia"/>
                      <w:color w:val="auto"/>
                    </w:rPr>
                  </w:pPr>
                  <w:r>
                    <w:rPr>
                      <w:rFonts w:hint="eastAsia"/>
                      <w:color w:val="auto"/>
                    </w:rPr>
                    <w:t>服务业</w:t>
                  </w:r>
                </w:p>
              </w:tc>
              <w:tc>
                <w:tcPr>
                  <w:tcW w:w="754" w:type="pct"/>
                  <w:vMerge w:val="continue"/>
                  <w:noWrap w:val="0"/>
                  <w:vAlign w:val="center"/>
                </w:tcPr>
                <w:p>
                  <w:pPr>
                    <w:pStyle w:val="170"/>
                    <w:rPr>
                      <w:rFonts w:hint="eastAsia"/>
                      <w:color w:val="auto"/>
                    </w:rPr>
                  </w:pPr>
                </w:p>
              </w:tc>
              <w:tc>
                <w:tcPr>
                  <w:tcW w:w="1000" w:type="pct"/>
                  <w:noWrap w:val="0"/>
                  <w:vAlign w:val="center"/>
                </w:tcPr>
                <w:p>
                  <w:pPr>
                    <w:pStyle w:val="170"/>
                    <w:rPr>
                      <w:color w:val="auto"/>
                    </w:rPr>
                  </w:pPr>
                  <w:r>
                    <w:rPr>
                      <w:rFonts w:hint="eastAsia"/>
                      <w:color w:val="auto"/>
                    </w:rPr>
                    <w:t>383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170"/>
                    <w:rPr>
                      <w:color w:val="auto"/>
                    </w:rPr>
                  </w:pPr>
                  <w:r>
                    <w:rPr>
                      <w:rFonts w:hint="eastAsia"/>
                      <w:color w:val="auto"/>
                    </w:rPr>
                    <w:t>27</w:t>
                  </w:r>
                </w:p>
              </w:tc>
              <w:tc>
                <w:tcPr>
                  <w:tcW w:w="1709" w:type="pct"/>
                  <w:noWrap w:val="0"/>
                  <w:vAlign w:val="center"/>
                </w:tcPr>
                <w:p>
                  <w:pPr>
                    <w:pStyle w:val="170"/>
                    <w:rPr>
                      <w:rFonts w:hint="eastAsia"/>
                      <w:color w:val="auto"/>
                    </w:rPr>
                  </w:pPr>
                  <w:r>
                    <w:rPr>
                      <w:rFonts w:hint="eastAsia"/>
                      <w:color w:val="auto"/>
                    </w:rPr>
                    <w:t>待拆迁区域（一）</w:t>
                  </w:r>
                </w:p>
              </w:tc>
              <w:tc>
                <w:tcPr>
                  <w:tcW w:w="1060" w:type="pct"/>
                  <w:noWrap w:val="0"/>
                  <w:vAlign w:val="center"/>
                </w:tcPr>
                <w:p>
                  <w:pPr>
                    <w:pStyle w:val="170"/>
                    <w:rPr>
                      <w:color w:val="auto"/>
                    </w:rPr>
                  </w:pPr>
                  <w:r>
                    <w:rPr>
                      <w:rFonts w:hint="eastAsia"/>
                      <w:color w:val="auto"/>
                    </w:rPr>
                    <w:t>/</w:t>
                  </w:r>
                </w:p>
              </w:tc>
              <w:tc>
                <w:tcPr>
                  <w:tcW w:w="754" w:type="pct"/>
                  <w:vMerge w:val="continue"/>
                  <w:noWrap w:val="0"/>
                  <w:vAlign w:val="center"/>
                </w:tcPr>
                <w:p>
                  <w:pPr>
                    <w:pStyle w:val="170"/>
                    <w:rPr>
                      <w:rFonts w:hint="eastAsia"/>
                      <w:color w:val="auto"/>
                    </w:rPr>
                  </w:pPr>
                </w:p>
              </w:tc>
              <w:tc>
                <w:tcPr>
                  <w:tcW w:w="1000" w:type="pct"/>
                  <w:noWrap w:val="0"/>
                  <w:vAlign w:val="center"/>
                </w:tcPr>
                <w:p>
                  <w:pPr>
                    <w:pStyle w:val="170"/>
                    <w:rPr>
                      <w:color w:val="auto"/>
                    </w:rPr>
                  </w:pPr>
                  <w:r>
                    <w:rPr>
                      <w:rFonts w:hint="eastAsia"/>
                      <w:color w:val="auto"/>
                    </w:rPr>
                    <w:t>565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170"/>
                    <w:rPr>
                      <w:color w:val="auto"/>
                    </w:rPr>
                  </w:pPr>
                  <w:r>
                    <w:rPr>
                      <w:rFonts w:hint="eastAsia"/>
                      <w:color w:val="auto"/>
                    </w:rPr>
                    <w:t>28</w:t>
                  </w:r>
                </w:p>
              </w:tc>
              <w:tc>
                <w:tcPr>
                  <w:tcW w:w="1709" w:type="pct"/>
                  <w:noWrap w:val="0"/>
                  <w:vAlign w:val="center"/>
                </w:tcPr>
                <w:p>
                  <w:pPr>
                    <w:pStyle w:val="170"/>
                    <w:rPr>
                      <w:rFonts w:hint="eastAsia"/>
                      <w:color w:val="auto"/>
                    </w:rPr>
                  </w:pPr>
                  <w:r>
                    <w:rPr>
                      <w:rFonts w:hint="eastAsia"/>
                      <w:color w:val="auto"/>
                    </w:rPr>
                    <w:t>待拆迁区域（二）</w:t>
                  </w:r>
                </w:p>
              </w:tc>
              <w:tc>
                <w:tcPr>
                  <w:tcW w:w="1060" w:type="pct"/>
                  <w:noWrap w:val="0"/>
                  <w:vAlign w:val="center"/>
                </w:tcPr>
                <w:p>
                  <w:pPr>
                    <w:pStyle w:val="170"/>
                    <w:rPr>
                      <w:color w:val="auto"/>
                    </w:rPr>
                  </w:pPr>
                  <w:r>
                    <w:rPr>
                      <w:rFonts w:hint="eastAsia"/>
                      <w:color w:val="auto"/>
                    </w:rPr>
                    <w:t>/</w:t>
                  </w:r>
                </w:p>
              </w:tc>
              <w:tc>
                <w:tcPr>
                  <w:tcW w:w="754" w:type="pct"/>
                  <w:vMerge w:val="continue"/>
                  <w:noWrap w:val="0"/>
                  <w:vAlign w:val="center"/>
                </w:tcPr>
                <w:p>
                  <w:pPr>
                    <w:pStyle w:val="170"/>
                    <w:rPr>
                      <w:rFonts w:hint="eastAsia"/>
                      <w:color w:val="auto"/>
                    </w:rPr>
                  </w:pPr>
                </w:p>
              </w:tc>
              <w:tc>
                <w:tcPr>
                  <w:tcW w:w="1000" w:type="pct"/>
                  <w:noWrap w:val="0"/>
                  <w:vAlign w:val="center"/>
                </w:tcPr>
                <w:p>
                  <w:pPr>
                    <w:pStyle w:val="170"/>
                    <w:rPr>
                      <w:color w:val="auto"/>
                    </w:rPr>
                  </w:pPr>
                  <w:r>
                    <w:rPr>
                      <w:rFonts w:hint="eastAsia"/>
                      <w:color w:val="auto"/>
                    </w:rPr>
                    <w:t>546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170"/>
                    <w:rPr>
                      <w:color w:val="auto"/>
                    </w:rPr>
                  </w:pPr>
                  <w:r>
                    <w:rPr>
                      <w:rFonts w:hint="eastAsia"/>
                      <w:color w:val="auto"/>
                    </w:rPr>
                    <w:t>29</w:t>
                  </w:r>
                </w:p>
              </w:tc>
              <w:tc>
                <w:tcPr>
                  <w:tcW w:w="1709" w:type="pct"/>
                  <w:noWrap w:val="0"/>
                  <w:vAlign w:val="center"/>
                </w:tcPr>
                <w:p>
                  <w:pPr>
                    <w:pStyle w:val="170"/>
                    <w:rPr>
                      <w:rFonts w:hint="eastAsia"/>
                      <w:color w:val="auto"/>
                    </w:rPr>
                  </w:pPr>
                  <w:r>
                    <w:rPr>
                      <w:rFonts w:hint="eastAsia"/>
                      <w:color w:val="auto"/>
                    </w:rPr>
                    <w:t>万达天璟</w:t>
                  </w:r>
                </w:p>
              </w:tc>
              <w:tc>
                <w:tcPr>
                  <w:tcW w:w="1060" w:type="pct"/>
                  <w:noWrap w:val="0"/>
                  <w:vAlign w:val="center"/>
                </w:tcPr>
                <w:p>
                  <w:pPr>
                    <w:pStyle w:val="170"/>
                    <w:rPr>
                      <w:rFonts w:hint="eastAsia"/>
                      <w:color w:val="auto"/>
                    </w:rPr>
                  </w:pPr>
                  <w:r>
                    <w:rPr>
                      <w:rFonts w:hint="eastAsia"/>
                      <w:color w:val="auto"/>
                    </w:rPr>
                    <w:t>住宅</w:t>
                  </w:r>
                </w:p>
              </w:tc>
              <w:tc>
                <w:tcPr>
                  <w:tcW w:w="754" w:type="pct"/>
                  <w:noWrap w:val="0"/>
                  <w:vAlign w:val="center"/>
                </w:tcPr>
                <w:p>
                  <w:pPr>
                    <w:pStyle w:val="170"/>
                    <w:rPr>
                      <w:color w:val="auto"/>
                    </w:rPr>
                  </w:pPr>
                  <w:r>
                    <w:rPr>
                      <w:rFonts w:hint="eastAsia"/>
                      <w:color w:val="auto"/>
                    </w:rPr>
                    <w:t>西侧</w:t>
                  </w:r>
                </w:p>
              </w:tc>
              <w:tc>
                <w:tcPr>
                  <w:tcW w:w="1000" w:type="pct"/>
                  <w:noWrap w:val="0"/>
                  <w:vAlign w:val="center"/>
                </w:tcPr>
                <w:p>
                  <w:pPr>
                    <w:pStyle w:val="170"/>
                    <w:rPr>
                      <w:color w:val="auto"/>
                    </w:rPr>
                  </w:pPr>
                  <w:r>
                    <w:rPr>
                      <w:rFonts w:hint="eastAsia"/>
                      <w:color w:val="auto"/>
                    </w:rPr>
                    <w:t>241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170"/>
                    <w:rPr>
                      <w:color w:val="auto"/>
                    </w:rPr>
                  </w:pPr>
                  <w:r>
                    <w:rPr>
                      <w:rFonts w:hint="eastAsia"/>
                      <w:color w:val="auto"/>
                    </w:rPr>
                    <w:t>30</w:t>
                  </w:r>
                </w:p>
              </w:tc>
              <w:tc>
                <w:tcPr>
                  <w:tcW w:w="1709" w:type="pct"/>
                  <w:noWrap w:val="0"/>
                  <w:vAlign w:val="center"/>
                </w:tcPr>
                <w:p>
                  <w:pPr>
                    <w:pStyle w:val="170"/>
                    <w:rPr>
                      <w:rFonts w:hint="eastAsia"/>
                      <w:color w:val="auto"/>
                    </w:rPr>
                  </w:pPr>
                  <w:r>
                    <w:rPr>
                      <w:rFonts w:hint="eastAsia"/>
                      <w:color w:val="auto"/>
                    </w:rPr>
                    <w:t>万达商业圈</w:t>
                  </w:r>
                </w:p>
              </w:tc>
              <w:tc>
                <w:tcPr>
                  <w:tcW w:w="1060" w:type="pct"/>
                  <w:noWrap w:val="0"/>
                  <w:vAlign w:val="center"/>
                </w:tcPr>
                <w:p>
                  <w:pPr>
                    <w:pStyle w:val="170"/>
                    <w:rPr>
                      <w:rFonts w:hint="eastAsia"/>
                      <w:color w:val="auto"/>
                    </w:rPr>
                  </w:pPr>
                  <w:r>
                    <w:rPr>
                      <w:rFonts w:hint="eastAsia"/>
                      <w:color w:val="auto"/>
                    </w:rPr>
                    <w:t>商业、服务业</w:t>
                  </w:r>
                </w:p>
              </w:tc>
              <w:tc>
                <w:tcPr>
                  <w:tcW w:w="754" w:type="pct"/>
                  <w:vMerge w:val="restart"/>
                  <w:noWrap w:val="0"/>
                  <w:vAlign w:val="center"/>
                </w:tcPr>
                <w:p>
                  <w:pPr>
                    <w:pStyle w:val="170"/>
                    <w:rPr>
                      <w:rFonts w:hint="eastAsia"/>
                      <w:color w:val="auto"/>
                    </w:rPr>
                  </w:pPr>
                  <w:r>
                    <w:rPr>
                      <w:rFonts w:hint="eastAsia"/>
                      <w:color w:val="auto"/>
                    </w:rPr>
                    <w:t>西北侧</w:t>
                  </w:r>
                </w:p>
              </w:tc>
              <w:tc>
                <w:tcPr>
                  <w:tcW w:w="1000" w:type="pct"/>
                  <w:noWrap w:val="0"/>
                  <w:vAlign w:val="center"/>
                </w:tcPr>
                <w:p>
                  <w:pPr>
                    <w:pStyle w:val="170"/>
                    <w:rPr>
                      <w:color w:val="auto"/>
                    </w:rPr>
                  </w:pPr>
                  <w:r>
                    <w:rPr>
                      <w:rFonts w:hint="eastAsia"/>
                      <w:color w:val="auto"/>
                    </w:rPr>
                    <w:t>270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170"/>
                    <w:rPr>
                      <w:color w:val="auto"/>
                    </w:rPr>
                  </w:pPr>
                  <w:r>
                    <w:rPr>
                      <w:rFonts w:hint="eastAsia"/>
                      <w:color w:val="auto"/>
                    </w:rPr>
                    <w:t>31</w:t>
                  </w:r>
                </w:p>
              </w:tc>
              <w:tc>
                <w:tcPr>
                  <w:tcW w:w="1709" w:type="pct"/>
                  <w:noWrap w:val="0"/>
                  <w:vAlign w:val="center"/>
                </w:tcPr>
                <w:p>
                  <w:pPr>
                    <w:pStyle w:val="170"/>
                    <w:rPr>
                      <w:rFonts w:hint="eastAsia"/>
                      <w:color w:val="auto"/>
                    </w:rPr>
                  </w:pPr>
                  <w:r>
                    <w:rPr>
                      <w:rFonts w:hint="eastAsia"/>
                      <w:color w:val="auto"/>
                    </w:rPr>
                    <w:t>万达御府</w:t>
                  </w:r>
                </w:p>
              </w:tc>
              <w:tc>
                <w:tcPr>
                  <w:tcW w:w="1060" w:type="pct"/>
                  <w:noWrap w:val="0"/>
                  <w:vAlign w:val="center"/>
                </w:tcPr>
                <w:p>
                  <w:pPr>
                    <w:ind w:firstLine="420"/>
                    <w:rPr>
                      <w:rFonts w:hint="eastAsia"/>
                      <w:color w:val="auto"/>
                    </w:rPr>
                  </w:pPr>
                  <w:r>
                    <w:rPr>
                      <w:rFonts w:hint="eastAsia"/>
                      <w:color w:val="auto"/>
                    </w:rPr>
                    <w:t>住宅</w:t>
                  </w:r>
                </w:p>
              </w:tc>
              <w:tc>
                <w:tcPr>
                  <w:tcW w:w="754" w:type="pct"/>
                  <w:vMerge w:val="continue"/>
                  <w:noWrap w:val="0"/>
                  <w:vAlign w:val="center"/>
                </w:tcPr>
                <w:p>
                  <w:pPr>
                    <w:pStyle w:val="170"/>
                    <w:rPr>
                      <w:rFonts w:hint="eastAsia"/>
                      <w:color w:val="auto"/>
                    </w:rPr>
                  </w:pPr>
                </w:p>
              </w:tc>
              <w:tc>
                <w:tcPr>
                  <w:tcW w:w="1000" w:type="pct"/>
                  <w:noWrap w:val="0"/>
                  <w:vAlign w:val="center"/>
                </w:tcPr>
                <w:p>
                  <w:pPr>
                    <w:pStyle w:val="170"/>
                    <w:rPr>
                      <w:color w:val="auto"/>
                    </w:rPr>
                  </w:pPr>
                  <w:r>
                    <w:rPr>
                      <w:rFonts w:hint="eastAsia"/>
                      <w:color w:val="auto"/>
                    </w:rPr>
                    <w:t>413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170"/>
                    <w:rPr>
                      <w:color w:val="auto"/>
                    </w:rPr>
                  </w:pPr>
                  <w:r>
                    <w:rPr>
                      <w:rFonts w:hint="eastAsia"/>
                      <w:color w:val="auto"/>
                    </w:rPr>
                    <w:t>32</w:t>
                  </w:r>
                </w:p>
              </w:tc>
              <w:tc>
                <w:tcPr>
                  <w:tcW w:w="1709" w:type="pct"/>
                  <w:noWrap w:val="0"/>
                  <w:vAlign w:val="center"/>
                </w:tcPr>
                <w:p>
                  <w:pPr>
                    <w:pStyle w:val="170"/>
                    <w:rPr>
                      <w:rFonts w:hint="eastAsia"/>
                      <w:color w:val="auto"/>
                    </w:rPr>
                  </w:pPr>
                  <w:r>
                    <w:rPr>
                      <w:rFonts w:hint="eastAsia"/>
                      <w:color w:val="auto"/>
                    </w:rPr>
                    <w:t>万达华府</w:t>
                  </w:r>
                </w:p>
              </w:tc>
              <w:tc>
                <w:tcPr>
                  <w:tcW w:w="1060" w:type="pct"/>
                  <w:noWrap w:val="0"/>
                  <w:vAlign w:val="center"/>
                </w:tcPr>
                <w:p>
                  <w:pPr>
                    <w:ind w:firstLine="420"/>
                    <w:rPr>
                      <w:rFonts w:hint="eastAsia"/>
                      <w:color w:val="auto"/>
                    </w:rPr>
                  </w:pPr>
                  <w:r>
                    <w:rPr>
                      <w:rFonts w:hint="eastAsia"/>
                      <w:color w:val="auto"/>
                    </w:rPr>
                    <w:t>住宅</w:t>
                  </w:r>
                </w:p>
              </w:tc>
              <w:tc>
                <w:tcPr>
                  <w:tcW w:w="754" w:type="pct"/>
                  <w:vMerge w:val="continue"/>
                  <w:noWrap w:val="0"/>
                  <w:vAlign w:val="center"/>
                </w:tcPr>
                <w:p>
                  <w:pPr>
                    <w:pStyle w:val="170"/>
                    <w:rPr>
                      <w:rFonts w:hint="eastAsia"/>
                      <w:color w:val="auto"/>
                    </w:rPr>
                  </w:pPr>
                </w:p>
              </w:tc>
              <w:tc>
                <w:tcPr>
                  <w:tcW w:w="1000" w:type="pct"/>
                  <w:noWrap w:val="0"/>
                  <w:vAlign w:val="center"/>
                </w:tcPr>
                <w:p>
                  <w:pPr>
                    <w:pStyle w:val="170"/>
                    <w:rPr>
                      <w:color w:val="auto"/>
                    </w:rPr>
                  </w:pPr>
                  <w:r>
                    <w:rPr>
                      <w:rFonts w:hint="eastAsia"/>
                      <w:color w:val="auto"/>
                    </w:rPr>
                    <w:t>476</w:t>
                  </w:r>
                </w:p>
              </w:tc>
            </w:tr>
          </w:tbl>
          <w:p>
            <w:pPr>
              <w:pStyle w:val="104"/>
              <w:ind w:firstLine="480"/>
              <w:rPr>
                <w:rFonts w:hint="eastAsia"/>
                <w:color w:val="auto"/>
              </w:rPr>
            </w:pPr>
            <w:r>
              <w:rPr>
                <w:rFonts w:hint="eastAsia"/>
                <w:color w:val="auto"/>
              </w:rPr>
              <w:t>同时，该项目为宠物医院服务项目，该项目的实施，能够满足周边百姓对宠物医疗的需求。项目在运营过程中，对环境影响的表现为废水、废气、固废、噪声，其中项目产生的医疗废水经一体化污水处理设施处理后同生活污水一同进入嘉州春天商住小区污水预处理池，经嘉州春天商住小区污水预处理池处理后进入市政污水管网，最终经乐山市第一污水处理厂处理达标后排入岷江；项目产生的废气主要为在诊疗过程中动物自身散发出的少量异味、医疗废物暂存间异味及带菌医疗废气，定期开窗通风加强院内空气流通，日常采用移动式紫外线灯及臭氧消毒机加强对院内环境消毒来降低废气对周边环境的影响；项目产生的固废主要为生活垃圾、宠物粪便、宠物毛发、医疗废物、宠物粪便及废紫外线灯管，其中宠物粪便及宠物毛发经消毒杀菌后同生活垃圾收集堆放至片区垃圾桶，由街道环卫部门清运处理，医疗废物收集后暂存于医疗废物暂存间，定期交由成都市科农动物无害化处置有限公司转运处置，更换的废紫外线灯管暂存于与医疗废物暂存间，交由具有相应的资质单位处理；项目运营过程中产生的噪声主要表现为空调外机噪声和宠物叫声，噪声经墙体隔音及日常加强对宠物的管理后，噪声对声环境的影响较小。</w:t>
            </w:r>
          </w:p>
          <w:p>
            <w:pPr>
              <w:pStyle w:val="104"/>
              <w:ind w:firstLine="480"/>
              <w:rPr>
                <w:color w:val="auto"/>
              </w:rPr>
            </w:pPr>
            <w:r>
              <w:rPr>
                <w:rFonts w:hint="eastAsia"/>
                <w:color w:val="auto"/>
              </w:rPr>
              <w:t>综上，项目在对运营期产生的污染物采取合理措施后，本项目的建设运营对区域环境影响较小，项目周边主要以商业及居住为主，因此，项目周边</w:t>
            </w:r>
            <w:r>
              <w:rPr>
                <w:color w:val="auto"/>
              </w:rPr>
              <w:t>不存在明显的环境制约因素</w:t>
            </w:r>
            <w:r>
              <w:rPr>
                <w:rFonts w:hint="eastAsia"/>
                <w:color w:val="auto"/>
              </w:rPr>
              <w:t>。本项目于周边外环境基本相容。</w:t>
            </w:r>
          </w:p>
        </w:tc>
      </w:tr>
    </w:tbl>
    <w:p>
      <w:pPr>
        <w:pStyle w:val="170"/>
        <w:rPr>
          <w:color w:val="auto"/>
        </w:rPr>
        <w:sectPr>
          <w:headerReference r:id="rId15" w:type="default"/>
          <w:pgSz w:w="11906" w:h="16838"/>
          <w:pgMar w:top="1701" w:right="1531" w:bottom="1701" w:left="1531" w:header="851" w:footer="1077" w:gutter="0"/>
          <w:cols w:space="720" w:num="1"/>
          <w:docGrid w:linePitch="312" w:charSpace="0"/>
        </w:sectPr>
      </w:pPr>
    </w:p>
    <w:p>
      <w:pPr>
        <w:pStyle w:val="3"/>
        <w:ind w:firstLine="602"/>
        <w:rPr>
          <w:color w:val="auto"/>
        </w:rPr>
      </w:pPr>
      <w:bookmarkStart w:id="35" w:name="_Toc10655"/>
      <w:r>
        <w:rPr>
          <w:rFonts w:hint="eastAsia"/>
          <w:color w:val="auto"/>
        </w:rPr>
        <w:t>二、建设项目工程分析</w:t>
      </w:r>
      <w:bookmarkEnd w:id="35"/>
    </w:p>
    <w:tbl>
      <w:tblPr>
        <w:tblStyle w:val="3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627"/>
        <w:gridCol w:w="843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502" w:hRule="atLeast"/>
          <w:jc w:val="center"/>
        </w:trPr>
        <w:tc>
          <w:tcPr>
            <w:tcW w:w="627" w:type="dxa"/>
            <w:noWrap w:val="0"/>
            <w:vAlign w:val="center"/>
          </w:tcPr>
          <w:p>
            <w:pPr>
              <w:pStyle w:val="101"/>
              <w:ind w:firstLine="0" w:firstLineChars="0"/>
              <w:jc w:val="center"/>
              <w:rPr>
                <w:rFonts w:hint="eastAsia"/>
                <w:color w:val="auto"/>
              </w:rPr>
            </w:pPr>
            <w:r>
              <w:rPr>
                <w:rFonts w:hint="eastAsia"/>
                <w:color w:val="auto"/>
              </w:rPr>
              <w:t>建</w:t>
            </w:r>
          </w:p>
          <w:p>
            <w:pPr>
              <w:pStyle w:val="101"/>
              <w:ind w:firstLine="0" w:firstLineChars="0"/>
              <w:jc w:val="center"/>
              <w:rPr>
                <w:rFonts w:hint="eastAsia"/>
                <w:color w:val="auto"/>
              </w:rPr>
            </w:pPr>
            <w:r>
              <w:rPr>
                <w:rFonts w:hint="eastAsia"/>
                <w:color w:val="auto"/>
              </w:rPr>
              <w:t>设</w:t>
            </w:r>
          </w:p>
          <w:p>
            <w:pPr>
              <w:pStyle w:val="101"/>
              <w:ind w:firstLine="0" w:firstLineChars="0"/>
              <w:jc w:val="center"/>
              <w:rPr>
                <w:rFonts w:hint="eastAsia"/>
                <w:color w:val="auto"/>
              </w:rPr>
            </w:pPr>
            <w:r>
              <w:rPr>
                <w:rFonts w:hint="eastAsia"/>
                <w:color w:val="auto"/>
              </w:rPr>
              <w:t>内</w:t>
            </w:r>
          </w:p>
          <w:p>
            <w:pPr>
              <w:pStyle w:val="101"/>
              <w:ind w:firstLine="0" w:firstLineChars="0"/>
              <w:jc w:val="center"/>
              <w:rPr>
                <w:rFonts w:cs="宋体"/>
                <w:color w:val="auto"/>
                <w:szCs w:val="21"/>
              </w:rPr>
            </w:pPr>
            <w:r>
              <w:rPr>
                <w:rFonts w:hint="eastAsia"/>
                <w:color w:val="auto"/>
              </w:rPr>
              <w:t>容</w:t>
            </w:r>
          </w:p>
        </w:tc>
        <w:tc>
          <w:tcPr>
            <w:tcW w:w="8433" w:type="dxa"/>
            <w:noWrap w:val="0"/>
            <w:vAlign w:val="top"/>
          </w:tcPr>
          <w:p>
            <w:pPr>
              <w:pStyle w:val="4"/>
              <w:numPr>
                <w:ilvl w:val="0"/>
                <w:numId w:val="11"/>
              </w:numPr>
              <w:spacing w:after="120"/>
              <w:rPr>
                <w:color w:val="auto"/>
              </w:rPr>
            </w:pPr>
            <w:r>
              <w:rPr>
                <w:color w:val="auto"/>
              </w:rPr>
              <w:t>项目背景</w:t>
            </w:r>
          </w:p>
          <w:p>
            <w:pPr>
              <w:pStyle w:val="104"/>
              <w:ind w:firstLine="480"/>
              <w:rPr>
                <w:color w:val="auto"/>
              </w:rPr>
            </w:pPr>
            <w:r>
              <w:rPr>
                <w:rFonts w:hint="eastAsia"/>
                <w:color w:val="auto"/>
              </w:rPr>
              <w:t>乐山市市中区嘉和宠物医院于2017年3月在乐山市市中区市场和质量监督管理局登记注册成立，于2017年5月3日取得了由乐山市市中区行政审批局颁发的动物诊疗许可证[动诊证(2017)第003号]，</w:t>
            </w:r>
            <w:r>
              <w:rPr>
                <w:rFonts w:hint="eastAsia"/>
                <w:color w:val="auto"/>
                <w:lang w:eastAsia="zh-CN"/>
              </w:rPr>
              <w:t>批准</w:t>
            </w:r>
            <w:r>
              <w:rPr>
                <w:rFonts w:hint="eastAsia"/>
                <w:color w:val="auto"/>
              </w:rPr>
              <w:t>了该项目，项目</w:t>
            </w:r>
            <w:r>
              <w:rPr>
                <w:rFonts w:hint="eastAsia"/>
                <w:color w:val="auto"/>
                <w:lang w:eastAsia="zh-CN"/>
              </w:rPr>
              <w:t>已于</w:t>
            </w:r>
            <w:r>
              <w:rPr>
                <w:rFonts w:hint="eastAsia"/>
                <w:color w:val="auto"/>
                <w:lang w:val="en-US" w:eastAsia="zh-CN"/>
              </w:rPr>
              <w:t>2017年基本建成并投产运营</w:t>
            </w:r>
            <w:r>
              <w:rPr>
                <w:rFonts w:hint="eastAsia"/>
                <w:color w:val="auto"/>
              </w:rPr>
              <w:t>。根据现场调查，项目实施的医疗行为包括了动物疾病诊疗、疫病预防、三腔手术、常规检验化验等，项目安装了解剖手术台、心电监护仪、麻醉机、DR机、B超仪等设备，按照《建设项目环境影响评价分类管理名录（2021年版）》第123项“设有动物颅腔、胸腔或腹腔手术设施的动物医院，应组织编制环境影响报告表”的要求，建设单位违反了相关要求。</w:t>
            </w:r>
          </w:p>
          <w:p>
            <w:pPr>
              <w:pStyle w:val="104"/>
              <w:ind w:firstLine="480"/>
              <w:rPr>
                <w:color w:val="auto"/>
              </w:rPr>
            </w:pPr>
            <w:r>
              <w:rPr>
                <w:rFonts w:hint="eastAsia"/>
                <w:color w:val="auto"/>
              </w:rPr>
              <w:t>2022年3月3日至3月7日，乐山市生态环境局对建设单位现场进行了调查，发现项目实施了相关环境违法行为：乐山市生态环境局陆续下发了行政处罚事先告知书（乐中环罚告字[2022]18号）和行政处罚决定书（乐中环罚[2022]19号），对建设单位处以人民币2900元罚款， 建设单位于2022年6月10日缴纳了相关罚款，并开始环境影响评价编制工作，本次项目为新建补评。</w:t>
            </w:r>
          </w:p>
          <w:p>
            <w:pPr>
              <w:pStyle w:val="104"/>
              <w:ind w:firstLine="480"/>
              <w:rPr>
                <w:rFonts w:hint="eastAsia"/>
                <w:color w:val="auto"/>
              </w:rPr>
            </w:pPr>
            <w:r>
              <w:rPr>
                <w:rFonts w:hint="eastAsia"/>
                <w:color w:val="auto"/>
              </w:rPr>
              <w:t>根据动物诊疗许可证，乐山市市中区嘉和宠物医院诊疗范围为宠物疾病诊疗及预防保健，具体包括动物疾病诊疗、疫病预防、三腔手术、常规检验化验及仅针对手术后的宠物留院观察服务，不涉及传染病宠物的收治，不涉及人畜共生病治科目。</w:t>
            </w:r>
            <w:r>
              <w:rPr>
                <w:rFonts w:hint="eastAsia"/>
                <w:b/>
                <w:bCs/>
                <w:color w:val="auto"/>
              </w:rPr>
              <w:t>本项目已设置有一间DR室，使用 DR 数字化检查设备，根据《医用诊断 X 线卫生防护标准》、《中华人民共和国放射性污染防治法》，本项目 DR 室所设的 X 射线影像系统已经完成环境影响登记表备案，备案号：202251110200000024。</w:t>
            </w:r>
          </w:p>
          <w:p>
            <w:pPr>
              <w:pStyle w:val="104"/>
              <w:ind w:firstLine="480"/>
              <w:rPr>
                <w:rFonts w:hint="eastAsia"/>
                <w:color w:val="auto"/>
              </w:rPr>
            </w:pPr>
            <w:r>
              <w:rPr>
                <w:rFonts w:hint="eastAsia"/>
                <w:color w:val="auto"/>
              </w:rPr>
              <w:t>根据《中华人民共和国环境影响评价法》和《建设项目环境保护管理条例》的有关规定，本项目需进行环境影响评价工作。根据《建设项目环境影响评价分类管理名录》， 本项目属于“五十、社会事业与服务业 123 动物医院”，本项目环境影响评价类别为编制环境影响报告表。</w:t>
            </w:r>
          </w:p>
          <w:p>
            <w:pPr>
              <w:pStyle w:val="4"/>
              <w:spacing w:after="120"/>
              <w:rPr>
                <w:color w:val="auto"/>
              </w:rPr>
            </w:pPr>
            <w:r>
              <w:rPr>
                <w:color w:val="auto"/>
              </w:rPr>
              <w:t>二、项目基本情况</w:t>
            </w:r>
          </w:p>
          <w:p>
            <w:pPr>
              <w:pStyle w:val="104"/>
              <w:ind w:firstLine="482"/>
              <w:rPr>
                <w:rFonts w:hint="eastAsia" w:eastAsia="宋体"/>
                <w:color w:val="auto"/>
                <w:lang w:eastAsia="zh-CN"/>
              </w:rPr>
            </w:pPr>
            <w:r>
              <w:rPr>
                <w:rFonts w:hint="eastAsia"/>
                <w:b/>
                <w:bCs/>
                <w:color w:val="auto"/>
              </w:rPr>
              <w:t>项目名称：</w:t>
            </w:r>
            <w:r>
              <w:rPr>
                <w:rFonts w:hint="eastAsia"/>
                <w:color w:val="auto"/>
                <w:lang w:eastAsia="zh-CN"/>
              </w:rPr>
              <w:t>乐山市市中区嘉和宠物医院</w:t>
            </w:r>
          </w:p>
          <w:p>
            <w:pPr>
              <w:pStyle w:val="104"/>
              <w:ind w:firstLine="482"/>
              <w:rPr>
                <w:rFonts w:hint="eastAsia"/>
                <w:color w:val="auto"/>
              </w:rPr>
            </w:pPr>
            <w:r>
              <w:rPr>
                <w:rFonts w:hint="eastAsia"/>
                <w:b/>
                <w:bCs/>
                <w:color w:val="auto"/>
              </w:rPr>
              <w:t>建设单位：</w:t>
            </w:r>
            <w:r>
              <w:rPr>
                <w:rFonts w:hint="eastAsia"/>
                <w:color w:val="auto"/>
              </w:rPr>
              <w:t>乐山市市中区嘉和宠物医院</w:t>
            </w:r>
          </w:p>
          <w:p>
            <w:pPr>
              <w:pStyle w:val="104"/>
              <w:ind w:firstLine="482"/>
              <w:rPr>
                <w:rFonts w:hint="eastAsia"/>
                <w:color w:val="auto"/>
              </w:rPr>
            </w:pPr>
            <w:r>
              <w:rPr>
                <w:rFonts w:hint="eastAsia"/>
                <w:b/>
                <w:bCs/>
                <w:color w:val="auto"/>
              </w:rPr>
              <w:t>项目性质：</w:t>
            </w:r>
            <w:r>
              <w:rPr>
                <w:rFonts w:hint="eastAsia"/>
                <w:color w:val="auto"/>
              </w:rPr>
              <w:t>新建</w:t>
            </w:r>
          </w:p>
          <w:p>
            <w:pPr>
              <w:pStyle w:val="104"/>
              <w:ind w:firstLine="482"/>
              <w:rPr>
                <w:color w:val="auto"/>
              </w:rPr>
            </w:pPr>
            <w:r>
              <w:rPr>
                <w:rFonts w:hint="eastAsia"/>
                <w:b/>
                <w:bCs/>
                <w:color w:val="auto"/>
              </w:rPr>
              <w:t>建设地点：</w:t>
            </w:r>
            <w:r>
              <w:rPr>
                <w:rFonts w:hint="eastAsia"/>
                <w:color w:val="auto"/>
              </w:rPr>
              <w:t>乐山市市中区竹林路636号1楼7号</w:t>
            </w:r>
          </w:p>
          <w:p>
            <w:pPr>
              <w:pStyle w:val="104"/>
              <w:ind w:firstLine="482"/>
              <w:rPr>
                <w:color w:val="auto"/>
              </w:rPr>
            </w:pPr>
            <w:r>
              <w:rPr>
                <w:rFonts w:hint="eastAsia"/>
                <w:b/>
                <w:bCs/>
                <w:color w:val="auto"/>
              </w:rPr>
              <w:t>建设内容：</w:t>
            </w:r>
            <w:r>
              <w:rPr>
                <w:rFonts w:hint="eastAsia"/>
                <w:color w:val="auto"/>
              </w:rPr>
              <w:t>项目总投资17万元，租用乐山市市中区竹林路636号1楼7号商铺进行项目的建设，建筑面积约74m</w:t>
            </w:r>
            <w:r>
              <w:rPr>
                <w:rFonts w:hint="eastAsia"/>
                <w:color w:val="auto"/>
                <w:vertAlign w:val="superscript"/>
              </w:rPr>
              <w:t>2</w:t>
            </w:r>
            <w:r>
              <w:rPr>
                <w:rFonts w:hint="eastAsia"/>
                <w:color w:val="auto"/>
              </w:rPr>
              <w:t>，主要为宠物提供医疗服务，不涉及动物美容，洗浴等服务，项目建设总共2层楼，主要是对商铺房间进行隔断并装修，主要设置了诊断室、化验室、手术室、B超室、住院病房、药房及DR室等，对各科室安装相应的医疗设备。项目建成后门诊最大流量为10只/天，住院室设计最大接纳量为5只</w:t>
            </w:r>
            <w:r>
              <w:rPr>
                <w:rStyle w:val="45"/>
                <w:rFonts w:hint="eastAsia" w:cs="Times New Roman"/>
                <w:color w:val="auto"/>
                <w:kern w:val="0"/>
                <w:szCs w:val="20"/>
              </w:rPr>
              <w:t>/d</w:t>
            </w:r>
            <w:r>
              <w:rPr>
                <w:rFonts w:hint="eastAsia"/>
                <w:color w:val="auto"/>
              </w:rPr>
              <w:t>。</w:t>
            </w:r>
          </w:p>
          <w:p>
            <w:pPr>
              <w:pStyle w:val="4"/>
              <w:spacing w:after="120"/>
              <w:rPr>
                <w:color w:val="auto"/>
              </w:rPr>
            </w:pPr>
            <w:r>
              <w:rPr>
                <w:color w:val="auto"/>
              </w:rPr>
              <w:t>三、项目组成与主要环境问题</w:t>
            </w:r>
          </w:p>
          <w:p>
            <w:pPr>
              <w:pStyle w:val="101"/>
              <w:ind w:firstLine="480"/>
              <w:rPr>
                <w:color w:val="auto"/>
              </w:rPr>
            </w:pPr>
            <w:r>
              <w:rPr>
                <w:color w:val="auto"/>
              </w:rPr>
              <w:t>本项目主要由主体工程、辅助工程、公用工程及环保工程</w:t>
            </w:r>
            <w:r>
              <w:rPr>
                <w:rFonts w:hint="eastAsia"/>
                <w:color w:val="auto"/>
              </w:rPr>
              <w:t>等</w:t>
            </w:r>
            <w:r>
              <w:rPr>
                <w:color w:val="auto"/>
              </w:rPr>
              <w:t>组成</w:t>
            </w:r>
            <w:r>
              <w:rPr>
                <w:rFonts w:hint="eastAsia"/>
                <w:color w:val="auto"/>
              </w:rPr>
              <w:t>，整个项目场地由走廊相隔，功能分区明确</w:t>
            </w:r>
            <w:r>
              <w:rPr>
                <w:color w:val="auto"/>
              </w:rPr>
              <w:t>。现就本项目的项目组成及主要的环境问题列表如下表</w:t>
            </w:r>
            <w:r>
              <w:rPr>
                <w:rFonts w:hint="eastAsia"/>
                <w:color w:val="auto"/>
              </w:rPr>
              <w:t>2</w:t>
            </w:r>
            <w:r>
              <w:rPr>
                <w:color w:val="auto"/>
              </w:rPr>
              <w:t>-</w:t>
            </w:r>
            <w:r>
              <w:rPr>
                <w:rFonts w:hint="eastAsia"/>
                <w:color w:val="auto"/>
              </w:rPr>
              <w:t>1</w:t>
            </w:r>
            <w:r>
              <w:rPr>
                <w:color w:val="auto"/>
              </w:rPr>
              <w:t>：</w:t>
            </w:r>
          </w:p>
          <w:p>
            <w:pPr>
              <w:pStyle w:val="102"/>
              <w:ind w:left="422" w:hanging="422"/>
              <w:rPr>
                <w:color w:val="auto"/>
              </w:rPr>
            </w:pPr>
            <w:r>
              <w:rPr>
                <w:color w:val="auto"/>
              </w:rPr>
              <w:t>表</w:t>
            </w:r>
            <w:r>
              <w:rPr>
                <w:rFonts w:hint="eastAsia"/>
                <w:color w:val="auto"/>
              </w:rPr>
              <w:t>2</w:t>
            </w:r>
            <w:r>
              <w:rPr>
                <w:color w:val="auto"/>
              </w:rPr>
              <w:t>-</w:t>
            </w:r>
            <w:r>
              <w:rPr>
                <w:rFonts w:hint="eastAsia"/>
                <w:color w:val="auto"/>
              </w:rPr>
              <w:t>1</w:t>
            </w:r>
            <w:r>
              <w:rPr>
                <w:color w:val="auto"/>
              </w:rPr>
              <w:t xml:space="preserve"> 工程组成及主要环境问题一览表</w:t>
            </w:r>
          </w:p>
          <w:tbl>
            <w:tblPr>
              <w:tblStyle w:val="38"/>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5"/>
              <w:gridCol w:w="426"/>
              <w:gridCol w:w="1188"/>
              <w:gridCol w:w="3322"/>
              <w:gridCol w:w="816"/>
              <w:gridCol w:w="1070"/>
              <w:gridCol w:w="4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5" w:hRule="atLeast"/>
                <w:jc w:val="center"/>
              </w:trPr>
              <w:tc>
                <w:tcPr>
                  <w:tcW w:w="582" w:type="pct"/>
                  <w:vMerge w:val="restart"/>
                  <w:noWrap w:val="0"/>
                  <w:vAlign w:val="center"/>
                </w:tcPr>
                <w:p>
                  <w:pPr>
                    <w:pStyle w:val="170"/>
                    <w:rPr>
                      <w:rFonts w:hint="eastAsia"/>
                      <w:color w:val="auto"/>
                    </w:rPr>
                  </w:pPr>
                  <w:r>
                    <w:rPr>
                      <w:rFonts w:hint="eastAsia"/>
                      <w:color w:val="auto"/>
                    </w:rPr>
                    <w:t>工程类别</w:t>
                  </w:r>
                </w:p>
              </w:tc>
              <w:tc>
                <w:tcPr>
                  <w:tcW w:w="983" w:type="pct"/>
                  <w:gridSpan w:val="2"/>
                  <w:vMerge w:val="restart"/>
                  <w:noWrap w:val="0"/>
                  <w:vAlign w:val="center"/>
                </w:tcPr>
                <w:p>
                  <w:pPr>
                    <w:pStyle w:val="170"/>
                    <w:rPr>
                      <w:rFonts w:hint="eastAsia"/>
                      <w:color w:val="auto"/>
                    </w:rPr>
                  </w:pPr>
                  <w:r>
                    <w:rPr>
                      <w:rFonts w:hint="eastAsia"/>
                      <w:color w:val="auto"/>
                    </w:rPr>
                    <w:t>项目名称</w:t>
                  </w:r>
                </w:p>
              </w:tc>
              <w:tc>
                <w:tcPr>
                  <w:tcW w:w="2024" w:type="pct"/>
                  <w:vMerge w:val="restart"/>
                  <w:noWrap w:val="0"/>
                  <w:vAlign w:val="center"/>
                </w:tcPr>
                <w:p>
                  <w:pPr>
                    <w:pStyle w:val="170"/>
                    <w:rPr>
                      <w:color w:val="auto"/>
                    </w:rPr>
                  </w:pPr>
                  <w:r>
                    <w:rPr>
                      <w:color w:val="auto"/>
                    </w:rPr>
                    <w:t>建设内容及规模</w:t>
                  </w:r>
                </w:p>
              </w:tc>
              <w:tc>
                <w:tcPr>
                  <w:tcW w:w="1149" w:type="pct"/>
                  <w:gridSpan w:val="2"/>
                  <w:noWrap w:val="0"/>
                  <w:vAlign w:val="center"/>
                </w:tcPr>
                <w:p>
                  <w:pPr>
                    <w:pStyle w:val="170"/>
                    <w:rPr>
                      <w:rFonts w:hint="eastAsia"/>
                      <w:color w:val="auto"/>
                    </w:rPr>
                  </w:pPr>
                  <w:r>
                    <w:rPr>
                      <w:color w:val="auto"/>
                    </w:rPr>
                    <w:t>可能产生的环境</w:t>
                  </w:r>
                  <w:r>
                    <w:rPr>
                      <w:rFonts w:hint="eastAsia"/>
                      <w:color w:val="auto"/>
                    </w:rPr>
                    <w:t>问题</w:t>
                  </w:r>
                </w:p>
              </w:tc>
              <w:tc>
                <w:tcPr>
                  <w:tcW w:w="260" w:type="pct"/>
                  <w:vMerge w:val="restart"/>
                  <w:noWrap w:val="0"/>
                  <w:vAlign w:val="center"/>
                </w:tcPr>
                <w:p>
                  <w:pPr>
                    <w:pStyle w:val="170"/>
                    <w:rPr>
                      <w:color w:val="auto"/>
                    </w:rPr>
                  </w:pPr>
                  <w:r>
                    <w:rPr>
                      <w:color w:val="auto"/>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7" w:hRule="atLeast"/>
                <w:jc w:val="center"/>
              </w:trPr>
              <w:tc>
                <w:tcPr>
                  <w:tcW w:w="582" w:type="pct"/>
                  <w:vMerge w:val="continue"/>
                  <w:noWrap w:val="0"/>
                  <w:vAlign w:val="center"/>
                </w:tcPr>
                <w:p>
                  <w:pPr>
                    <w:pStyle w:val="170"/>
                    <w:rPr>
                      <w:color w:val="auto"/>
                    </w:rPr>
                  </w:pPr>
                </w:p>
              </w:tc>
              <w:tc>
                <w:tcPr>
                  <w:tcW w:w="983" w:type="pct"/>
                  <w:gridSpan w:val="2"/>
                  <w:vMerge w:val="continue"/>
                  <w:noWrap w:val="0"/>
                  <w:vAlign w:val="center"/>
                </w:tcPr>
                <w:p>
                  <w:pPr>
                    <w:pStyle w:val="170"/>
                    <w:rPr>
                      <w:color w:val="auto"/>
                    </w:rPr>
                  </w:pPr>
                </w:p>
              </w:tc>
              <w:tc>
                <w:tcPr>
                  <w:tcW w:w="2024" w:type="pct"/>
                  <w:vMerge w:val="continue"/>
                  <w:noWrap w:val="0"/>
                  <w:vAlign w:val="center"/>
                </w:tcPr>
                <w:p>
                  <w:pPr>
                    <w:pStyle w:val="170"/>
                    <w:rPr>
                      <w:color w:val="auto"/>
                    </w:rPr>
                  </w:pPr>
                </w:p>
              </w:tc>
              <w:tc>
                <w:tcPr>
                  <w:tcW w:w="497" w:type="pct"/>
                  <w:noWrap w:val="0"/>
                  <w:vAlign w:val="center"/>
                </w:tcPr>
                <w:p>
                  <w:pPr>
                    <w:pStyle w:val="170"/>
                    <w:rPr>
                      <w:color w:val="auto"/>
                    </w:rPr>
                  </w:pPr>
                  <w:r>
                    <w:rPr>
                      <w:color w:val="auto"/>
                    </w:rPr>
                    <w:t>施工期</w:t>
                  </w:r>
                </w:p>
              </w:tc>
              <w:tc>
                <w:tcPr>
                  <w:tcW w:w="652" w:type="pct"/>
                  <w:noWrap w:val="0"/>
                  <w:vAlign w:val="center"/>
                </w:tcPr>
                <w:p>
                  <w:pPr>
                    <w:pStyle w:val="170"/>
                    <w:rPr>
                      <w:color w:val="auto"/>
                    </w:rPr>
                  </w:pPr>
                  <w:r>
                    <w:rPr>
                      <w:color w:val="auto"/>
                    </w:rPr>
                    <w:t>营运期</w:t>
                  </w:r>
                </w:p>
              </w:tc>
              <w:tc>
                <w:tcPr>
                  <w:tcW w:w="260" w:type="pct"/>
                  <w:vMerge w:val="continue"/>
                  <w:noWrap w:val="0"/>
                  <w:vAlign w:val="center"/>
                </w:tcPr>
                <w:p>
                  <w:pPr>
                    <w:pStyle w:val="170"/>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9" w:hRule="atLeast"/>
                <w:jc w:val="center"/>
              </w:trPr>
              <w:tc>
                <w:tcPr>
                  <w:tcW w:w="582" w:type="pct"/>
                  <w:vMerge w:val="restart"/>
                  <w:noWrap w:val="0"/>
                  <w:vAlign w:val="center"/>
                </w:tcPr>
                <w:p>
                  <w:pPr>
                    <w:pStyle w:val="170"/>
                    <w:rPr>
                      <w:color w:val="auto"/>
                    </w:rPr>
                  </w:pPr>
                  <w:r>
                    <w:rPr>
                      <w:color w:val="auto"/>
                    </w:rPr>
                    <w:t>主体</w:t>
                  </w:r>
                </w:p>
                <w:p>
                  <w:pPr>
                    <w:pStyle w:val="170"/>
                    <w:rPr>
                      <w:rFonts w:hint="eastAsia"/>
                      <w:color w:val="auto"/>
                    </w:rPr>
                  </w:pPr>
                  <w:r>
                    <w:rPr>
                      <w:color w:val="auto"/>
                    </w:rPr>
                    <w:t>工程</w:t>
                  </w:r>
                  <w:r>
                    <w:rPr>
                      <w:rFonts w:hint="eastAsia"/>
                      <w:color w:val="auto"/>
                    </w:rPr>
                    <w:t>（装修及设备安装）</w:t>
                  </w:r>
                </w:p>
              </w:tc>
              <w:tc>
                <w:tcPr>
                  <w:tcW w:w="983" w:type="pct"/>
                  <w:gridSpan w:val="2"/>
                  <w:noWrap w:val="0"/>
                  <w:vAlign w:val="center"/>
                </w:tcPr>
                <w:p>
                  <w:pPr>
                    <w:pStyle w:val="170"/>
                    <w:rPr>
                      <w:rFonts w:hint="eastAsia"/>
                      <w:color w:val="auto"/>
                    </w:rPr>
                  </w:pPr>
                  <w:r>
                    <w:rPr>
                      <w:rFonts w:hint="eastAsia"/>
                      <w:color w:val="auto"/>
                    </w:rPr>
                    <w:t>诊断室</w:t>
                  </w:r>
                </w:p>
              </w:tc>
              <w:tc>
                <w:tcPr>
                  <w:tcW w:w="2024" w:type="pct"/>
                  <w:noWrap w:val="0"/>
                  <w:vAlign w:val="center"/>
                </w:tcPr>
                <w:p>
                  <w:pPr>
                    <w:pStyle w:val="170"/>
                    <w:rPr>
                      <w:rFonts w:hint="eastAsia"/>
                      <w:color w:val="auto"/>
                    </w:rPr>
                  </w:pPr>
                  <w:r>
                    <w:rPr>
                      <w:rFonts w:hint="eastAsia"/>
                      <w:color w:val="auto"/>
                    </w:rPr>
                    <w:t>位于一层，医院走廊的东侧，靠近医院的入口处</w:t>
                  </w:r>
                </w:p>
              </w:tc>
              <w:tc>
                <w:tcPr>
                  <w:tcW w:w="497" w:type="pct"/>
                  <w:vMerge w:val="restart"/>
                  <w:noWrap w:val="0"/>
                  <w:vAlign w:val="center"/>
                </w:tcPr>
                <w:p>
                  <w:pPr>
                    <w:pStyle w:val="170"/>
                    <w:rPr>
                      <w:color w:val="auto"/>
                    </w:rPr>
                  </w:pPr>
                </w:p>
              </w:tc>
              <w:tc>
                <w:tcPr>
                  <w:tcW w:w="652" w:type="pct"/>
                  <w:vMerge w:val="restart"/>
                  <w:noWrap w:val="0"/>
                  <w:vAlign w:val="center"/>
                </w:tcPr>
                <w:p>
                  <w:pPr>
                    <w:pStyle w:val="170"/>
                    <w:rPr>
                      <w:rFonts w:hint="eastAsia"/>
                      <w:color w:val="auto"/>
                    </w:rPr>
                  </w:pPr>
                  <w:r>
                    <w:rPr>
                      <w:rFonts w:hint="eastAsia"/>
                      <w:color w:val="auto"/>
                    </w:rPr>
                    <w:t>医疗废水、医疗垃圾、医疗废气、职工生活垃圾、噪声</w:t>
                  </w:r>
                </w:p>
              </w:tc>
              <w:tc>
                <w:tcPr>
                  <w:tcW w:w="260" w:type="pct"/>
                  <w:vMerge w:val="restart"/>
                  <w:noWrap w:val="0"/>
                  <w:vAlign w:val="center"/>
                </w:tcPr>
                <w:p>
                  <w:pPr>
                    <w:pStyle w:val="170"/>
                    <w:rPr>
                      <w:rFonts w:hint="eastAsia"/>
                      <w:color w:val="auto"/>
                    </w:rPr>
                  </w:pPr>
                  <w:r>
                    <w:rPr>
                      <w:rFonts w:hint="eastAsia"/>
                      <w:color w:val="auto"/>
                    </w:rPr>
                    <w:t>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0" w:hRule="atLeast"/>
                <w:jc w:val="center"/>
              </w:trPr>
              <w:tc>
                <w:tcPr>
                  <w:tcW w:w="582" w:type="pct"/>
                  <w:vMerge w:val="continue"/>
                  <w:noWrap w:val="0"/>
                  <w:vAlign w:val="center"/>
                </w:tcPr>
                <w:p>
                  <w:pPr>
                    <w:pStyle w:val="170"/>
                    <w:rPr>
                      <w:color w:val="auto"/>
                    </w:rPr>
                  </w:pPr>
                </w:p>
              </w:tc>
              <w:tc>
                <w:tcPr>
                  <w:tcW w:w="983" w:type="pct"/>
                  <w:gridSpan w:val="2"/>
                  <w:noWrap w:val="0"/>
                  <w:vAlign w:val="center"/>
                </w:tcPr>
                <w:p>
                  <w:pPr>
                    <w:pStyle w:val="170"/>
                    <w:rPr>
                      <w:rFonts w:hint="eastAsia"/>
                      <w:color w:val="auto"/>
                    </w:rPr>
                  </w:pPr>
                  <w:r>
                    <w:rPr>
                      <w:rFonts w:hint="eastAsia"/>
                      <w:color w:val="auto"/>
                    </w:rPr>
                    <w:t>药房</w:t>
                  </w:r>
                </w:p>
              </w:tc>
              <w:tc>
                <w:tcPr>
                  <w:tcW w:w="2024" w:type="pct"/>
                  <w:noWrap w:val="0"/>
                  <w:vAlign w:val="center"/>
                </w:tcPr>
                <w:p>
                  <w:pPr>
                    <w:pStyle w:val="170"/>
                    <w:rPr>
                      <w:rFonts w:hint="eastAsia"/>
                      <w:color w:val="auto"/>
                    </w:rPr>
                  </w:pPr>
                  <w:r>
                    <w:rPr>
                      <w:rFonts w:hint="eastAsia"/>
                      <w:color w:val="auto"/>
                    </w:rPr>
                    <w:t>设置于一层，位于医院走廊的东侧，紧挨诊断室的北侧</w:t>
                  </w:r>
                </w:p>
              </w:tc>
              <w:tc>
                <w:tcPr>
                  <w:tcW w:w="497" w:type="pct"/>
                  <w:vMerge w:val="continue"/>
                  <w:noWrap w:val="0"/>
                  <w:vAlign w:val="center"/>
                </w:tcPr>
                <w:p>
                  <w:pPr>
                    <w:pStyle w:val="170"/>
                    <w:rPr>
                      <w:color w:val="auto"/>
                    </w:rPr>
                  </w:pPr>
                </w:p>
              </w:tc>
              <w:tc>
                <w:tcPr>
                  <w:tcW w:w="652" w:type="pct"/>
                  <w:vMerge w:val="continue"/>
                  <w:noWrap w:val="0"/>
                  <w:vAlign w:val="center"/>
                </w:tcPr>
                <w:p>
                  <w:pPr>
                    <w:pStyle w:val="170"/>
                    <w:rPr>
                      <w:rFonts w:hint="eastAsia"/>
                      <w:color w:val="auto"/>
                    </w:rPr>
                  </w:pPr>
                </w:p>
              </w:tc>
              <w:tc>
                <w:tcPr>
                  <w:tcW w:w="260" w:type="pct"/>
                  <w:vMerge w:val="continue"/>
                  <w:noWrap w:val="0"/>
                  <w:vAlign w:val="center"/>
                </w:tcPr>
                <w:p>
                  <w:pPr>
                    <w:pStyle w:val="170"/>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55" w:hRule="atLeast"/>
                <w:jc w:val="center"/>
              </w:trPr>
              <w:tc>
                <w:tcPr>
                  <w:tcW w:w="582" w:type="pct"/>
                  <w:vMerge w:val="continue"/>
                  <w:noWrap w:val="0"/>
                  <w:vAlign w:val="center"/>
                </w:tcPr>
                <w:p>
                  <w:pPr>
                    <w:pStyle w:val="170"/>
                    <w:rPr>
                      <w:color w:val="auto"/>
                    </w:rPr>
                  </w:pPr>
                </w:p>
              </w:tc>
              <w:tc>
                <w:tcPr>
                  <w:tcW w:w="983" w:type="pct"/>
                  <w:gridSpan w:val="2"/>
                  <w:noWrap w:val="0"/>
                  <w:vAlign w:val="center"/>
                </w:tcPr>
                <w:p>
                  <w:pPr>
                    <w:pStyle w:val="170"/>
                    <w:rPr>
                      <w:rFonts w:hint="eastAsia"/>
                      <w:color w:val="auto"/>
                    </w:rPr>
                  </w:pPr>
                  <w:r>
                    <w:rPr>
                      <w:rFonts w:hint="eastAsia"/>
                      <w:color w:val="auto"/>
                    </w:rPr>
                    <w:t>保健室</w:t>
                  </w:r>
                </w:p>
              </w:tc>
              <w:tc>
                <w:tcPr>
                  <w:tcW w:w="2024" w:type="pct"/>
                  <w:noWrap w:val="0"/>
                  <w:vAlign w:val="center"/>
                </w:tcPr>
                <w:p>
                  <w:pPr>
                    <w:pStyle w:val="170"/>
                    <w:rPr>
                      <w:rFonts w:hint="eastAsia"/>
                      <w:color w:val="auto"/>
                    </w:rPr>
                  </w:pPr>
                  <w:r>
                    <w:rPr>
                      <w:rFonts w:hint="eastAsia"/>
                      <w:color w:val="auto"/>
                    </w:rPr>
                    <w:t>位于一层，走廊的西侧，紧挨前台区的北侧</w:t>
                  </w:r>
                </w:p>
              </w:tc>
              <w:tc>
                <w:tcPr>
                  <w:tcW w:w="497" w:type="pct"/>
                  <w:vMerge w:val="continue"/>
                  <w:noWrap w:val="0"/>
                  <w:vAlign w:val="center"/>
                </w:tcPr>
                <w:p>
                  <w:pPr>
                    <w:pStyle w:val="170"/>
                    <w:rPr>
                      <w:color w:val="auto"/>
                    </w:rPr>
                  </w:pPr>
                </w:p>
              </w:tc>
              <w:tc>
                <w:tcPr>
                  <w:tcW w:w="652" w:type="pct"/>
                  <w:vMerge w:val="continue"/>
                  <w:noWrap w:val="0"/>
                  <w:vAlign w:val="center"/>
                </w:tcPr>
                <w:p>
                  <w:pPr>
                    <w:pStyle w:val="170"/>
                    <w:rPr>
                      <w:rFonts w:hint="eastAsia"/>
                      <w:color w:val="auto"/>
                    </w:rPr>
                  </w:pPr>
                </w:p>
              </w:tc>
              <w:tc>
                <w:tcPr>
                  <w:tcW w:w="260" w:type="pct"/>
                  <w:vMerge w:val="continue"/>
                  <w:noWrap w:val="0"/>
                  <w:vAlign w:val="center"/>
                </w:tcPr>
                <w:p>
                  <w:pPr>
                    <w:pStyle w:val="170"/>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3" w:hRule="atLeast"/>
                <w:jc w:val="center"/>
              </w:trPr>
              <w:tc>
                <w:tcPr>
                  <w:tcW w:w="582" w:type="pct"/>
                  <w:vMerge w:val="continue"/>
                  <w:noWrap w:val="0"/>
                  <w:vAlign w:val="center"/>
                </w:tcPr>
                <w:p>
                  <w:pPr>
                    <w:pStyle w:val="170"/>
                    <w:rPr>
                      <w:color w:val="auto"/>
                    </w:rPr>
                  </w:pPr>
                </w:p>
              </w:tc>
              <w:tc>
                <w:tcPr>
                  <w:tcW w:w="983" w:type="pct"/>
                  <w:gridSpan w:val="2"/>
                  <w:noWrap w:val="0"/>
                  <w:vAlign w:val="center"/>
                </w:tcPr>
                <w:p>
                  <w:pPr>
                    <w:pStyle w:val="170"/>
                    <w:rPr>
                      <w:rFonts w:hint="eastAsia"/>
                      <w:color w:val="auto"/>
                    </w:rPr>
                  </w:pPr>
                  <w:r>
                    <w:rPr>
                      <w:rFonts w:hint="eastAsia"/>
                      <w:color w:val="auto"/>
                    </w:rPr>
                    <w:t>化验室</w:t>
                  </w:r>
                </w:p>
              </w:tc>
              <w:tc>
                <w:tcPr>
                  <w:tcW w:w="2024" w:type="pct"/>
                  <w:noWrap w:val="0"/>
                  <w:vAlign w:val="center"/>
                </w:tcPr>
                <w:p>
                  <w:pPr>
                    <w:pStyle w:val="170"/>
                    <w:rPr>
                      <w:color w:val="auto"/>
                    </w:rPr>
                  </w:pPr>
                  <w:r>
                    <w:rPr>
                      <w:rFonts w:hint="eastAsia"/>
                      <w:color w:val="auto"/>
                    </w:rPr>
                    <w:t>位于一层，紧邻保健室的北侧</w:t>
                  </w:r>
                </w:p>
              </w:tc>
              <w:tc>
                <w:tcPr>
                  <w:tcW w:w="497" w:type="pct"/>
                  <w:vMerge w:val="continue"/>
                  <w:noWrap w:val="0"/>
                  <w:vAlign w:val="center"/>
                </w:tcPr>
                <w:p>
                  <w:pPr>
                    <w:pStyle w:val="170"/>
                    <w:rPr>
                      <w:color w:val="auto"/>
                    </w:rPr>
                  </w:pPr>
                </w:p>
              </w:tc>
              <w:tc>
                <w:tcPr>
                  <w:tcW w:w="652" w:type="pct"/>
                  <w:vMerge w:val="continue"/>
                  <w:noWrap w:val="0"/>
                  <w:vAlign w:val="center"/>
                </w:tcPr>
                <w:p>
                  <w:pPr>
                    <w:pStyle w:val="170"/>
                    <w:rPr>
                      <w:rFonts w:hint="eastAsia"/>
                      <w:color w:val="auto"/>
                    </w:rPr>
                  </w:pPr>
                </w:p>
              </w:tc>
              <w:tc>
                <w:tcPr>
                  <w:tcW w:w="260" w:type="pct"/>
                  <w:vMerge w:val="continue"/>
                  <w:noWrap w:val="0"/>
                  <w:vAlign w:val="center"/>
                </w:tcPr>
                <w:p>
                  <w:pPr>
                    <w:pStyle w:val="170"/>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9" w:hRule="atLeast"/>
                <w:jc w:val="center"/>
              </w:trPr>
              <w:tc>
                <w:tcPr>
                  <w:tcW w:w="582" w:type="pct"/>
                  <w:vMerge w:val="continue"/>
                  <w:noWrap w:val="0"/>
                  <w:vAlign w:val="center"/>
                </w:tcPr>
                <w:p>
                  <w:pPr>
                    <w:pStyle w:val="170"/>
                    <w:rPr>
                      <w:color w:val="auto"/>
                    </w:rPr>
                  </w:pPr>
                </w:p>
              </w:tc>
              <w:tc>
                <w:tcPr>
                  <w:tcW w:w="983" w:type="pct"/>
                  <w:gridSpan w:val="2"/>
                  <w:noWrap w:val="0"/>
                  <w:vAlign w:val="center"/>
                </w:tcPr>
                <w:p>
                  <w:pPr>
                    <w:pStyle w:val="170"/>
                    <w:rPr>
                      <w:rFonts w:hint="eastAsia"/>
                      <w:color w:val="auto"/>
                    </w:rPr>
                  </w:pPr>
                  <w:r>
                    <w:rPr>
                      <w:rFonts w:hint="eastAsia"/>
                      <w:color w:val="auto"/>
                    </w:rPr>
                    <w:t>手术室</w:t>
                  </w:r>
                </w:p>
              </w:tc>
              <w:tc>
                <w:tcPr>
                  <w:tcW w:w="2024" w:type="pct"/>
                  <w:noWrap w:val="0"/>
                  <w:vAlign w:val="center"/>
                </w:tcPr>
                <w:p>
                  <w:pPr>
                    <w:pStyle w:val="170"/>
                    <w:rPr>
                      <w:rFonts w:hint="eastAsia"/>
                      <w:color w:val="auto"/>
                    </w:rPr>
                  </w:pPr>
                  <w:r>
                    <w:rPr>
                      <w:rFonts w:hint="eastAsia"/>
                      <w:color w:val="auto"/>
                    </w:rPr>
                    <w:t>位于二层，走廊的西侧</w:t>
                  </w:r>
                </w:p>
              </w:tc>
              <w:tc>
                <w:tcPr>
                  <w:tcW w:w="497" w:type="pct"/>
                  <w:vMerge w:val="continue"/>
                  <w:noWrap w:val="0"/>
                  <w:vAlign w:val="center"/>
                </w:tcPr>
                <w:p>
                  <w:pPr>
                    <w:pStyle w:val="170"/>
                    <w:rPr>
                      <w:color w:val="auto"/>
                    </w:rPr>
                  </w:pPr>
                </w:p>
              </w:tc>
              <w:tc>
                <w:tcPr>
                  <w:tcW w:w="652" w:type="pct"/>
                  <w:vMerge w:val="continue"/>
                  <w:noWrap w:val="0"/>
                  <w:vAlign w:val="center"/>
                </w:tcPr>
                <w:p>
                  <w:pPr>
                    <w:pStyle w:val="170"/>
                    <w:rPr>
                      <w:rFonts w:hint="eastAsia"/>
                      <w:color w:val="auto"/>
                    </w:rPr>
                  </w:pPr>
                </w:p>
              </w:tc>
              <w:tc>
                <w:tcPr>
                  <w:tcW w:w="260" w:type="pct"/>
                  <w:vMerge w:val="continue"/>
                  <w:noWrap w:val="0"/>
                  <w:vAlign w:val="center"/>
                </w:tcPr>
                <w:p>
                  <w:pPr>
                    <w:pStyle w:val="170"/>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4" w:hRule="atLeast"/>
                <w:jc w:val="center"/>
              </w:trPr>
              <w:tc>
                <w:tcPr>
                  <w:tcW w:w="582" w:type="pct"/>
                  <w:vMerge w:val="continue"/>
                  <w:noWrap w:val="0"/>
                  <w:vAlign w:val="center"/>
                </w:tcPr>
                <w:p>
                  <w:pPr>
                    <w:pStyle w:val="170"/>
                    <w:rPr>
                      <w:color w:val="auto"/>
                    </w:rPr>
                  </w:pPr>
                </w:p>
              </w:tc>
              <w:tc>
                <w:tcPr>
                  <w:tcW w:w="983" w:type="pct"/>
                  <w:gridSpan w:val="2"/>
                  <w:noWrap w:val="0"/>
                  <w:vAlign w:val="center"/>
                </w:tcPr>
                <w:p>
                  <w:pPr>
                    <w:pStyle w:val="170"/>
                    <w:rPr>
                      <w:rFonts w:hint="eastAsia"/>
                      <w:color w:val="auto"/>
                    </w:rPr>
                  </w:pPr>
                  <w:r>
                    <w:rPr>
                      <w:rFonts w:hint="eastAsia"/>
                      <w:color w:val="auto"/>
                    </w:rPr>
                    <w:t>住院病房</w:t>
                  </w:r>
                </w:p>
              </w:tc>
              <w:tc>
                <w:tcPr>
                  <w:tcW w:w="2024" w:type="pct"/>
                  <w:noWrap w:val="0"/>
                  <w:vAlign w:val="center"/>
                </w:tcPr>
                <w:p>
                  <w:pPr>
                    <w:pStyle w:val="170"/>
                    <w:rPr>
                      <w:rFonts w:hint="eastAsia"/>
                      <w:color w:val="auto"/>
                    </w:rPr>
                  </w:pPr>
                  <w:r>
                    <w:rPr>
                      <w:rFonts w:hint="eastAsia"/>
                      <w:color w:val="auto"/>
                    </w:rPr>
                    <w:t>共3间，均位于二层，分布于走廊的两侧，其中病房一紧邻手术室南侧，其余两间病房均位于走廊的东侧并列设置</w:t>
                  </w:r>
                </w:p>
              </w:tc>
              <w:tc>
                <w:tcPr>
                  <w:tcW w:w="497" w:type="pct"/>
                  <w:vMerge w:val="continue"/>
                  <w:noWrap w:val="0"/>
                  <w:vAlign w:val="center"/>
                </w:tcPr>
                <w:p>
                  <w:pPr>
                    <w:pStyle w:val="170"/>
                    <w:rPr>
                      <w:color w:val="auto"/>
                    </w:rPr>
                  </w:pPr>
                </w:p>
              </w:tc>
              <w:tc>
                <w:tcPr>
                  <w:tcW w:w="652" w:type="pct"/>
                  <w:vMerge w:val="continue"/>
                  <w:noWrap w:val="0"/>
                  <w:vAlign w:val="center"/>
                </w:tcPr>
                <w:p>
                  <w:pPr>
                    <w:pStyle w:val="170"/>
                    <w:rPr>
                      <w:rFonts w:hint="eastAsia"/>
                      <w:color w:val="auto"/>
                    </w:rPr>
                  </w:pPr>
                </w:p>
              </w:tc>
              <w:tc>
                <w:tcPr>
                  <w:tcW w:w="260" w:type="pct"/>
                  <w:vMerge w:val="continue"/>
                  <w:noWrap w:val="0"/>
                  <w:vAlign w:val="center"/>
                </w:tcPr>
                <w:p>
                  <w:pPr>
                    <w:pStyle w:val="170"/>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7" w:hRule="atLeast"/>
                <w:jc w:val="center"/>
              </w:trPr>
              <w:tc>
                <w:tcPr>
                  <w:tcW w:w="582" w:type="pct"/>
                  <w:vMerge w:val="continue"/>
                  <w:noWrap w:val="0"/>
                  <w:vAlign w:val="center"/>
                </w:tcPr>
                <w:p>
                  <w:pPr>
                    <w:pStyle w:val="170"/>
                    <w:rPr>
                      <w:color w:val="auto"/>
                    </w:rPr>
                  </w:pPr>
                </w:p>
              </w:tc>
              <w:tc>
                <w:tcPr>
                  <w:tcW w:w="983" w:type="pct"/>
                  <w:gridSpan w:val="2"/>
                  <w:noWrap w:val="0"/>
                  <w:vAlign w:val="center"/>
                </w:tcPr>
                <w:p>
                  <w:pPr>
                    <w:pStyle w:val="170"/>
                    <w:rPr>
                      <w:rFonts w:hint="eastAsia"/>
                      <w:color w:val="auto"/>
                    </w:rPr>
                  </w:pPr>
                  <w:r>
                    <w:rPr>
                      <w:rFonts w:hint="eastAsia"/>
                      <w:color w:val="auto"/>
                    </w:rPr>
                    <w:t>DR室</w:t>
                  </w:r>
                </w:p>
              </w:tc>
              <w:tc>
                <w:tcPr>
                  <w:tcW w:w="2024" w:type="pct"/>
                  <w:noWrap w:val="0"/>
                  <w:vAlign w:val="center"/>
                </w:tcPr>
                <w:p>
                  <w:pPr>
                    <w:pStyle w:val="170"/>
                    <w:rPr>
                      <w:color w:val="auto"/>
                    </w:rPr>
                  </w:pPr>
                  <w:r>
                    <w:rPr>
                      <w:rFonts w:hint="eastAsia"/>
                      <w:color w:val="auto"/>
                    </w:rPr>
                    <w:t>位于一层药房内的隔间</w:t>
                  </w:r>
                </w:p>
              </w:tc>
              <w:tc>
                <w:tcPr>
                  <w:tcW w:w="497" w:type="pct"/>
                  <w:vMerge w:val="continue"/>
                  <w:noWrap w:val="0"/>
                  <w:vAlign w:val="center"/>
                </w:tcPr>
                <w:p>
                  <w:pPr>
                    <w:pStyle w:val="170"/>
                    <w:rPr>
                      <w:color w:val="auto"/>
                    </w:rPr>
                  </w:pPr>
                </w:p>
              </w:tc>
              <w:tc>
                <w:tcPr>
                  <w:tcW w:w="652" w:type="pct"/>
                  <w:vMerge w:val="continue"/>
                  <w:noWrap w:val="0"/>
                  <w:vAlign w:val="center"/>
                </w:tcPr>
                <w:p>
                  <w:pPr>
                    <w:pStyle w:val="170"/>
                    <w:rPr>
                      <w:rFonts w:hint="eastAsia"/>
                      <w:color w:val="auto"/>
                    </w:rPr>
                  </w:pPr>
                </w:p>
              </w:tc>
              <w:tc>
                <w:tcPr>
                  <w:tcW w:w="260" w:type="pct"/>
                  <w:vMerge w:val="continue"/>
                  <w:noWrap w:val="0"/>
                  <w:vAlign w:val="center"/>
                </w:tcPr>
                <w:p>
                  <w:pPr>
                    <w:pStyle w:val="170"/>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6" w:hRule="atLeast"/>
                <w:jc w:val="center"/>
              </w:trPr>
              <w:tc>
                <w:tcPr>
                  <w:tcW w:w="582" w:type="pct"/>
                  <w:vMerge w:val="continue"/>
                  <w:noWrap w:val="0"/>
                  <w:vAlign w:val="center"/>
                </w:tcPr>
                <w:p>
                  <w:pPr>
                    <w:pStyle w:val="170"/>
                    <w:rPr>
                      <w:color w:val="auto"/>
                    </w:rPr>
                  </w:pPr>
                </w:p>
              </w:tc>
              <w:tc>
                <w:tcPr>
                  <w:tcW w:w="983" w:type="pct"/>
                  <w:gridSpan w:val="2"/>
                  <w:noWrap w:val="0"/>
                  <w:vAlign w:val="center"/>
                </w:tcPr>
                <w:p>
                  <w:pPr>
                    <w:pStyle w:val="170"/>
                    <w:rPr>
                      <w:rFonts w:hint="eastAsia"/>
                      <w:color w:val="auto"/>
                    </w:rPr>
                  </w:pPr>
                  <w:r>
                    <w:rPr>
                      <w:rFonts w:hint="eastAsia"/>
                      <w:color w:val="auto"/>
                    </w:rPr>
                    <w:t>B超室</w:t>
                  </w:r>
                </w:p>
              </w:tc>
              <w:tc>
                <w:tcPr>
                  <w:tcW w:w="2024" w:type="pct"/>
                  <w:noWrap w:val="0"/>
                  <w:vAlign w:val="center"/>
                </w:tcPr>
                <w:p>
                  <w:pPr>
                    <w:pStyle w:val="170"/>
                    <w:rPr>
                      <w:rFonts w:hint="eastAsia"/>
                      <w:color w:val="auto"/>
                    </w:rPr>
                  </w:pPr>
                  <w:r>
                    <w:rPr>
                      <w:rFonts w:hint="eastAsia"/>
                      <w:color w:val="auto"/>
                    </w:rPr>
                    <w:t>位于二层，走廊东侧，与二楼污水处理间兼卫生间南侧紧邻</w:t>
                  </w:r>
                </w:p>
              </w:tc>
              <w:tc>
                <w:tcPr>
                  <w:tcW w:w="497" w:type="pct"/>
                  <w:vMerge w:val="continue"/>
                  <w:noWrap w:val="0"/>
                  <w:vAlign w:val="center"/>
                </w:tcPr>
                <w:p>
                  <w:pPr>
                    <w:pStyle w:val="170"/>
                    <w:rPr>
                      <w:color w:val="auto"/>
                    </w:rPr>
                  </w:pPr>
                </w:p>
              </w:tc>
              <w:tc>
                <w:tcPr>
                  <w:tcW w:w="652" w:type="pct"/>
                  <w:vMerge w:val="continue"/>
                  <w:noWrap w:val="0"/>
                  <w:vAlign w:val="center"/>
                </w:tcPr>
                <w:p>
                  <w:pPr>
                    <w:pStyle w:val="170"/>
                    <w:rPr>
                      <w:rFonts w:hint="eastAsia"/>
                      <w:color w:val="auto"/>
                    </w:rPr>
                  </w:pPr>
                </w:p>
              </w:tc>
              <w:tc>
                <w:tcPr>
                  <w:tcW w:w="260" w:type="pct"/>
                  <w:vMerge w:val="continue"/>
                  <w:noWrap w:val="0"/>
                  <w:vAlign w:val="center"/>
                </w:tcPr>
                <w:p>
                  <w:pPr>
                    <w:pStyle w:val="170"/>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1" w:hRule="atLeast"/>
                <w:jc w:val="center"/>
              </w:trPr>
              <w:tc>
                <w:tcPr>
                  <w:tcW w:w="582" w:type="pct"/>
                  <w:vMerge w:val="continue"/>
                  <w:noWrap w:val="0"/>
                  <w:vAlign w:val="center"/>
                </w:tcPr>
                <w:p>
                  <w:pPr>
                    <w:pStyle w:val="170"/>
                    <w:rPr>
                      <w:color w:val="auto"/>
                    </w:rPr>
                  </w:pPr>
                </w:p>
              </w:tc>
              <w:tc>
                <w:tcPr>
                  <w:tcW w:w="983" w:type="pct"/>
                  <w:gridSpan w:val="2"/>
                  <w:noWrap w:val="0"/>
                  <w:vAlign w:val="center"/>
                </w:tcPr>
                <w:p>
                  <w:pPr>
                    <w:pStyle w:val="170"/>
                    <w:rPr>
                      <w:color w:val="auto"/>
                    </w:rPr>
                  </w:pPr>
                </w:p>
              </w:tc>
              <w:tc>
                <w:tcPr>
                  <w:tcW w:w="2024" w:type="pct"/>
                  <w:noWrap w:val="0"/>
                  <w:vAlign w:val="center"/>
                </w:tcPr>
                <w:p>
                  <w:pPr>
                    <w:pStyle w:val="170"/>
                    <w:rPr>
                      <w:rFonts w:hint="eastAsia"/>
                      <w:color w:val="auto"/>
                    </w:rPr>
                  </w:pPr>
                </w:p>
              </w:tc>
              <w:tc>
                <w:tcPr>
                  <w:tcW w:w="497" w:type="pct"/>
                  <w:vMerge w:val="continue"/>
                  <w:noWrap w:val="0"/>
                  <w:vAlign w:val="center"/>
                </w:tcPr>
                <w:p>
                  <w:pPr>
                    <w:pStyle w:val="170"/>
                    <w:rPr>
                      <w:color w:val="auto"/>
                    </w:rPr>
                  </w:pPr>
                </w:p>
              </w:tc>
              <w:tc>
                <w:tcPr>
                  <w:tcW w:w="652" w:type="pct"/>
                  <w:vMerge w:val="continue"/>
                  <w:noWrap w:val="0"/>
                  <w:vAlign w:val="center"/>
                </w:tcPr>
                <w:p>
                  <w:pPr>
                    <w:pStyle w:val="170"/>
                    <w:rPr>
                      <w:rFonts w:hint="eastAsia"/>
                      <w:color w:val="auto"/>
                    </w:rPr>
                  </w:pPr>
                </w:p>
              </w:tc>
              <w:tc>
                <w:tcPr>
                  <w:tcW w:w="260" w:type="pct"/>
                  <w:vMerge w:val="continue"/>
                  <w:noWrap w:val="0"/>
                  <w:vAlign w:val="center"/>
                </w:tcPr>
                <w:p>
                  <w:pPr>
                    <w:pStyle w:val="170"/>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2" w:hRule="atLeast"/>
                <w:jc w:val="center"/>
              </w:trPr>
              <w:tc>
                <w:tcPr>
                  <w:tcW w:w="582" w:type="pct"/>
                  <w:vMerge w:val="restart"/>
                  <w:noWrap w:val="0"/>
                  <w:vAlign w:val="center"/>
                </w:tcPr>
                <w:p>
                  <w:pPr>
                    <w:pStyle w:val="170"/>
                    <w:rPr>
                      <w:rFonts w:hint="eastAsia"/>
                      <w:color w:val="auto"/>
                    </w:rPr>
                  </w:pPr>
                  <w:r>
                    <w:rPr>
                      <w:rFonts w:hint="eastAsia"/>
                      <w:color w:val="auto"/>
                    </w:rPr>
                    <w:t>辅助工程</w:t>
                  </w:r>
                </w:p>
              </w:tc>
              <w:tc>
                <w:tcPr>
                  <w:tcW w:w="983" w:type="pct"/>
                  <w:gridSpan w:val="2"/>
                  <w:noWrap w:val="0"/>
                  <w:vAlign w:val="center"/>
                </w:tcPr>
                <w:p>
                  <w:pPr>
                    <w:pStyle w:val="170"/>
                    <w:rPr>
                      <w:rFonts w:hint="eastAsia"/>
                      <w:color w:val="auto"/>
                    </w:rPr>
                  </w:pPr>
                  <w:r>
                    <w:rPr>
                      <w:rFonts w:hint="eastAsia"/>
                      <w:color w:val="auto"/>
                    </w:rPr>
                    <w:t>前台及大厅</w:t>
                  </w:r>
                </w:p>
              </w:tc>
              <w:tc>
                <w:tcPr>
                  <w:tcW w:w="2024" w:type="pct"/>
                  <w:noWrap w:val="0"/>
                  <w:vAlign w:val="center"/>
                </w:tcPr>
                <w:p>
                  <w:pPr>
                    <w:pStyle w:val="170"/>
                    <w:rPr>
                      <w:rFonts w:hint="eastAsia"/>
                      <w:color w:val="auto"/>
                    </w:rPr>
                  </w:pPr>
                  <w:r>
                    <w:rPr>
                      <w:rFonts w:hint="eastAsia"/>
                      <w:color w:val="auto"/>
                    </w:rPr>
                    <w:t>位于整个项目的南部，包含前台、休息区、宠物使用品的货架</w:t>
                  </w:r>
                </w:p>
              </w:tc>
              <w:tc>
                <w:tcPr>
                  <w:tcW w:w="497" w:type="pct"/>
                  <w:vMerge w:val="continue"/>
                  <w:noWrap w:val="0"/>
                  <w:vAlign w:val="center"/>
                </w:tcPr>
                <w:p>
                  <w:pPr>
                    <w:pStyle w:val="170"/>
                    <w:rPr>
                      <w:color w:val="auto"/>
                    </w:rPr>
                  </w:pPr>
                </w:p>
              </w:tc>
              <w:tc>
                <w:tcPr>
                  <w:tcW w:w="652" w:type="pct"/>
                  <w:noWrap w:val="0"/>
                  <w:vAlign w:val="center"/>
                </w:tcPr>
                <w:p>
                  <w:pPr>
                    <w:pStyle w:val="170"/>
                    <w:rPr>
                      <w:rFonts w:hint="eastAsia"/>
                      <w:color w:val="auto"/>
                    </w:rPr>
                  </w:pPr>
                  <w:r>
                    <w:rPr>
                      <w:rFonts w:hint="eastAsia"/>
                      <w:color w:val="auto"/>
                    </w:rPr>
                    <w:t>噪声</w:t>
                  </w:r>
                </w:p>
              </w:tc>
              <w:tc>
                <w:tcPr>
                  <w:tcW w:w="260" w:type="pct"/>
                  <w:noWrap w:val="0"/>
                  <w:vAlign w:val="center"/>
                </w:tcPr>
                <w:p>
                  <w:pPr>
                    <w:pStyle w:val="170"/>
                    <w:rPr>
                      <w:rFonts w:hint="eastAsia"/>
                      <w:color w:val="auto"/>
                    </w:rPr>
                  </w:pPr>
                  <w:r>
                    <w:rPr>
                      <w:rFonts w:hint="eastAsia"/>
                      <w:color w:val="auto"/>
                    </w:rPr>
                    <w:t>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1" w:hRule="atLeast"/>
                <w:jc w:val="center"/>
              </w:trPr>
              <w:tc>
                <w:tcPr>
                  <w:tcW w:w="582" w:type="pct"/>
                  <w:vMerge w:val="continue"/>
                  <w:noWrap w:val="0"/>
                  <w:vAlign w:val="center"/>
                </w:tcPr>
                <w:p>
                  <w:pPr>
                    <w:pStyle w:val="170"/>
                    <w:rPr>
                      <w:color w:val="auto"/>
                    </w:rPr>
                  </w:pPr>
                </w:p>
              </w:tc>
              <w:tc>
                <w:tcPr>
                  <w:tcW w:w="983" w:type="pct"/>
                  <w:gridSpan w:val="2"/>
                  <w:noWrap w:val="0"/>
                  <w:vAlign w:val="center"/>
                </w:tcPr>
                <w:p>
                  <w:pPr>
                    <w:pStyle w:val="170"/>
                    <w:rPr>
                      <w:rFonts w:hint="eastAsia"/>
                      <w:color w:val="auto"/>
                    </w:rPr>
                  </w:pPr>
                  <w:r>
                    <w:rPr>
                      <w:rFonts w:hint="eastAsia"/>
                      <w:color w:val="auto"/>
                    </w:rPr>
                    <w:t>空调系统</w:t>
                  </w:r>
                </w:p>
              </w:tc>
              <w:tc>
                <w:tcPr>
                  <w:tcW w:w="2024" w:type="pct"/>
                  <w:noWrap w:val="0"/>
                  <w:vAlign w:val="center"/>
                </w:tcPr>
                <w:p>
                  <w:pPr>
                    <w:pStyle w:val="170"/>
                    <w:rPr>
                      <w:rFonts w:hint="eastAsia"/>
                      <w:color w:val="auto"/>
                    </w:rPr>
                  </w:pPr>
                  <w:r>
                    <w:rPr>
                      <w:rFonts w:hint="eastAsia"/>
                      <w:color w:val="auto"/>
                    </w:rPr>
                    <w:t>项目各科室空调采用分体式家用空调，空调外机机组位于项目入口处的西侧</w:t>
                  </w:r>
                </w:p>
              </w:tc>
              <w:tc>
                <w:tcPr>
                  <w:tcW w:w="497" w:type="pct"/>
                  <w:vMerge w:val="continue"/>
                  <w:noWrap w:val="0"/>
                  <w:vAlign w:val="center"/>
                </w:tcPr>
                <w:p>
                  <w:pPr>
                    <w:pStyle w:val="170"/>
                    <w:rPr>
                      <w:color w:val="auto"/>
                    </w:rPr>
                  </w:pPr>
                </w:p>
              </w:tc>
              <w:tc>
                <w:tcPr>
                  <w:tcW w:w="652" w:type="pct"/>
                  <w:noWrap w:val="0"/>
                  <w:vAlign w:val="center"/>
                </w:tcPr>
                <w:p>
                  <w:pPr>
                    <w:pStyle w:val="170"/>
                    <w:rPr>
                      <w:rFonts w:hint="eastAsia"/>
                      <w:color w:val="auto"/>
                    </w:rPr>
                  </w:pPr>
                  <w:r>
                    <w:rPr>
                      <w:rFonts w:hint="eastAsia"/>
                      <w:color w:val="auto"/>
                    </w:rPr>
                    <w:t>噪声</w:t>
                  </w:r>
                </w:p>
              </w:tc>
              <w:tc>
                <w:tcPr>
                  <w:tcW w:w="260" w:type="pct"/>
                  <w:noWrap w:val="0"/>
                  <w:vAlign w:val="center"/>
                </w:tcPr>
                <w:p>
                  <w:pPr>
                    <w:pStyle w:val="170"/>
                    <w:rPr>
                      <w:rFonts w:hint="eastAsia"/>
                      <w:color w:val="auto"/>
                    </w:rPr>
                  </w:pPr>
                  <w:r>
                    <w:rPr>
                      <w:rFonts w:hint="eastAsia"/>
                      <w:color w:val="auto"/>
                    </w:rPr>
                    <w:t>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582" w:type="pct"/>
                  <w:vMerge w:val="restart"/>
                  <w:noWrap w:val="0"/>
                  <w:vAlign w:val="center"/>
                </w:tcPr>
                <w:p>
                  <w:pPr>
                    <w:pStyle w:val="170"/>
                    <w:rPr>
                      <w:color w:val="auto"/>
                    </w:rPr>
                  </w:pPr>
                  <w:r>
                    <w:rPr>
                      <w:color w:val="auto"/>
                    </w:rPr>
                    <w:t>公</w:t>
                  </w:r>
                  <w:r>
                    <w:rPr>
                      <w:rFonts w:hint="eastAsia"/>
                      <w:color w:val="auto"/>
                    </w:rPr>
                    <w:t>用</w:t>
                  </w:r>
                  <w:r>
                    <w:rPr>
                      <w:color w:val="auto"/>
                    </w:rPr>
                    <w:t>工程</w:t>
                  </w:r>
                </w:p>
              </w:tc>
              <w:tc>
                <w:tcPr>
                  <w:tcW w:w="983" w:type="pct"/>
                  <w:gridSpan w:val="2"/>
                  <w:noWrap w:val="0"/>
                  <w:vAlign w:val="center"/>
                </w:tcPr>
                <w:p>
                  <w:pPr>
                    <w:pStyle w:val="170"/>
                    <w:rPr>
                      <w:rFonts w:hint="eastAsia"/>
                      <w:color w:val="auto"/>
                    </w:rPr>
                  </w:pPr>
                  <w:r>
                    <w:rPr>
                      <w:rFonts w:hint="eastAsia"/>
                      <w:color w:val="auto"/>
                    </w:rPr>
                    <w:t>供水</w:t>
                  </w:r>
                </w:p>
              </w:tc>
              <w:tc>
                <w:tcPr>
                  <w:tcW w:w="2024" w:type="pct"/>
                  <w:noWrap w:val="0"/>
                  <w:vAlign w:val="center"/>
                </w:tcPr>
                <w:p>
                  <w:pPr>
                    <w:pStyle w:val="170"/>
                    <w:rPr>
                      <w:rFonts w:hint="eastAsia"/>
                      <w:color w:val="auto"/>
                    </w:rPr>
                  </w:pPr>
                  <w:r>
                    <w:rPr>
                      <w:rFonts w:hint="eastAsia"/>
                      <w:color w:val="auto"/>
                    </w:rPr>
                    <w:t>由市政自来水管网供给</w:t>
                  </w:r>
                </w:p>
              </w:tc>
              <w:tc>
                <w:tcPr>
                  <w:tcW w:w="497" w:type="pct"/>
                  <w:vMerge w:val="continue"/>
                  <w:noWrap w:val="0"/>
                  <w:vAlign w:val="center"/>
                </w:tcPr>
                <w:p>
                  <w:pPr>
                    <w:pStyle w:val="170"/>
                    <w:rPr>
                      <w:color w:val="auto"/>
                    </w:rPr>
                  </w:pPr>
                </w:p>
              </w:tc>
              <w:tc>
                <w:tcPr>
                  <w:tcW w:w="652" w:type="pct"/>
                  <w:vMerge w:val="restart"/>
                  <w:noWrap w:val="0"/>
                  <w:vAlign w:val="center"/>
                </w:tcPr>
                <w:p>
                  <w:pPr>
                    <w:pStyle w:val="170"/>
                    <w:rPr>
                      <w:rFonts w:hint="eastAsia"/>
                      <w:color w:val="auto"/>
                    </w:rPr>
                  </w:pPr>
                  <w:r>
                    <w:rPr>
                      <w:rFonts w:hint="eastAsia"/>
                      <w:color w:val="auto"/>
                    </w:rPr>
                    <w:t>/</w:t>
                  </w:r>
                </w:p>
              </w:tc>
              <w:tc>
                <w:tcPr>
                  <w:tcW w:w="260" w:type="pct"/>
                  <w:vMerge w:val="restart"/>
                  <w:noWrap w:val="0"/>
                  <w:vAlign w:val="center"/>
                </w:tcPr>
                <w:p>
                  <w:pPr>
                    <w:pStyle w:val="170"/>
                    <w:rPr>
                      <w:rFonts w:hint="eastAsia"/>
                      <w:color w:val="auto"/>
                    </w:rPr>
                  </w:pPr>
                  <w:r>
                    <w:rPr>
                      <w:rFonts w:hint="eastAsia"/>
                      <w:color w:val="auto"/>
                    </w:rPr>
                    <w:t>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5" w:hRule="atLeast"/>
                <w:jc w:val="center"/>
              </w:trPr>
              <w:tc>
                <w:tcPr>
                  <w:tcW w:w="582" w:type="pct"/>
                  <w:vMerge w:val="continue"/>
                  <w:noWrap w:val="0"/>
                  <w:vAlign w:val="center"/>
                </w:tcPr>
                <w:p>
                  <w:pPr>
                    <w:pStyle w:val="170"/>
                    <w:rPr>
                      <w:color w:val="auto"/>
                    </w:rPr>
                  </w:pPr>
                </w:p>
              </w:tc>
              <w:tc>
                <w:tcPr>
                  <w:tcW w:w="983" w:type="pct"/>
                  <w:gridSpan w:val="2"/>
                  <w:noWrap w:val="0"/>
                  <w:vAlign w:val="center"/>
                </w:tcPr>
                <w:p>
                  <w:pPr>
                    <w:pStyle w:val="170"/>
                    <w:rPr>
                      <w:rFonts w:hint="eastAsia"/>
                      <w:color w:val="auto"/>
                    </w:rPr>
                  </w:pPr>
                  <w:r>
                    <w:rPr>
                      <w:rFonts w:hint="eastAsia"/>
                      <w:color w:val="auto"/>
                    </w:rPr>
                    <w:t>排水</w:t>
                  </w:r>
                </w:p>
              </w:tc>
              <w:tc>
                <w:tcPr>
                  <w:tcW w:w="2024" w:type="pct"/>
                  <w:noWrap w:val="0"/>
                  <w:vAlign w:val="center"/>
                </w:tcPr>
                <w:p>
                  <w:pPr>
                    <w:pStyle w:val="170"/>
                    <w:rPr>
                      <w:rFonts w:hint="eastAsia"/>
                      <w:color w:val="auto"/>
                    </w:rPr>
                  </w:pPr>
                  <w:r>
                    <w:rPr>
                      <w:rFonts w:hint="eastAsia"/>
                      <w:color w:val="auto"/>
                    </w:rPr>
                    <w:t>经医院内预处理池处理后排入市政污水管网</w:t>
                  </w:r>
                </w:p>
              </w:tc>
              <w:tc>
                <w:tcPr>
                  <w:tcW w:w="497" w:type="pct"/>
                  <w:vMerge w:val="continue"/>
                  <w:noWrap w:val="0"/>
                  <w:vAlign w:val="center"/>
                </w:tcPr>
                <w:p>
                  <w:pPr>
                    <w:pStyle w:val="170"/>
                    <w:rPr>
                      <w:color w:val="auto"/>
                    </w:rPr>
                  </w:pPr>
                </w:p>
              </w:tc>
              <w:tc>
                <w:tcPr>
                  <w:tcW w:w="652" w:type="pct"/>
                  <w:vMerge w:val="continue"/>
                  <w:noWrap w:val="0"/>
                  <w:vAlign w:val="center"/>
                </w:tcPr>
                <w:p>
                  <w:pPr>
                    <w:pStyle w:val="170"/>
                    <w:rPr>
                      <w:rFonts w:hint="eastAsia"/>
                      <w:color w:val="auto"/>
                    </w:rPr>
                  </w:pPr>
                </w:p>
              </w:tc>
              <w:tc>
                <w:tcPr>
                  <w:tcW w:w="260" w:type="pct"/>
                  <w:vMerge w:val="continue"/>
                  <w:noWrap w:val="0"/>
                  <w:vAlign w:val="center"/>
                </w:tcPr>
                <w:p>
                  <w:pPr>
                    <w:pStyle w:val="170"/>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5" w:hRule="atLeast"/>
                <w:jc w:val="center"/>
              </w:trPr>
              <w:tc>
                <w:tcPr>
                  <w:tcW w:w="582" w:type="pct"/>
                  <w:vMerge w:val="continue"/>
                  <w:noWrap w:val="0"/>
                  <w:vAlign w:val="center"/>
                </w:tcPr>
                <w:p>
                  <w:pPr>
                    <w:pStyle w:val="170"/>
                    <w:rPr>
                      <w:color w:val="auto"/>
                    </w:rPr>
                  </w:pPr>
                </w:p>
              </w:tc>
              <w:tc>
                <w:tcPr>
                  <w:tcW w:w="983" w:type="pct"/>
                  <w:gridSpan w:val="2"/>
                  <w:noWrap w:val="0"/>
                  <w:vAlign w:val="center"/>
                </w:tcPr>
                <w:p>
                  <w:pPr>
                    <w:pStyle w:val="170"/>
                    <w:rPr>
                      <w:color w:val="auto"/>
                    </w:rPr>
                  </w:pPr>
                  <w:r>
                    <w:rPr>
                      <w:rFonts w:hint="eastAsia"/>
                      <w:color w:val="auto"/>
                    </w:rPr>
                    <w:t>供电</w:t>
                  </w:r>
                </w:p>
              </w:tc>
              <w:tc>
                <w:tcPr>
                  <w:tcW w:w="2024" w:type="pct"/>
                  <w:noWrap w:val="0"/>
                  <w:vAlign w:val="center"/>
                </w:tcPr>
                <w:p>
                  <w:pPr>
                    <w:pStyle w:val="170"/>
                    <w:rPr>
                      <w:rFonts w:hint="eastAsia"/>
                      <w:color w:val="auto"/>
                    </w:rPr>
                  </w:pPr>
                  <w:r>
                    <w:rPr>
                      <w:rFonts w:hint="eastAsia"/>
                      <w:color w:val="auto"/>
                    </w:rPr>
                    <w:t>由市政电网供给</w:t>
                  </w:r>
                </w:p>
              </w:tc>
              <w:tc>
                <w:tcPr>
                  <w:tcW w:w="497" w:type="pct"/>
                  <w:vMerge w:val="continue"/>
                  <w:noWrap w:val="0"/>
                  <w:vAlign w:val="center"/>
                </w:tcPr>
                <w:p>
                  <w:pPr>
                    <w:pStyle w:val="170"/>
                    <w:rPr>
                      <w:color w:val="auto"/>
                    </w:rPr>
                  </w:pPr>
                </w:p>
              </w:tc>
              <w:tc>
                <w:tcPr>
                  <w:tcW w:w="652" w:type="pct"/>
                  <w:vMerge w:val="continue"/>
                  <w:noWrap w:val="0"/>
                  <w:vAlign w:val="center"/>
                </w:tcPr>
                <w:p>
                  <w:pPr>
                    <w:pStyle w:val="170"/>
                    <w:rPr>
                      <w:color w:val="auto"/>
                    </w:rPr>
                  </w:pPr>
                </w:p>
              </w:tc>
              <w:tc>
                <w:tcPr>
                  <w:tcW w:w="260" w:type="pct"/>
                  <w:vMerge w:val="continue"/>
                  <w:noWrap w:val="0"/>
                  <w:vAlign w:val="center"/>
                </w:tcPr>
                <w:p>
                  <w:pPr>
                    <w:pStyle w:val="170"/>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5" w:hRule="atLeast"/>
                <w:jc w:val="center"/>
              </w:trPr>
              <w:tc>
                <w:tcPr>
                  <w:tcW w:w="582" w:type="pct"/>
                  <w:vMerge w:val="restart"/>
                  <w:noWrap w:val="0"/>
                  <w:vAlign w:val="center"/>
                </w:tcPr>
                <w:p>
                  <w:pPr>
                    <w:pStyle w:val="170"/>
                    <w:rPr>
                      <w:rFonts w:hint="eastAsia"/>
                      <w:color w:val="auto"/>
                    </w:rPr>
                  </w:pPr>
                  <w:r>
                    <w:rPr>
                      <w:rFonts w:hint="eastAsia"/>
                      <w:color w:val="auto"/>
                    </w:rPr>
                    <w:t>环保工程</w:t>
                  </w:r>
                </w:p>
              </w:tc>
              <w:tc>
                <w:tcPr>
                  <w:tcW w:w="983" w:type="pct"/>
                  <w:gridSpan w:val="2"/>
                  <w:noWrap w:val="0"/>
                  <w:vAlign w:val="center"/>
                </w:tcPr>
                <w:p>
                  <w:pPr>
                    <w:pStyle w:val="170"/>
                    <w:rPr>
                      <w:rFonts w:hint="eastAsia"/>
                      <w:color w:val="auto"/>
                    </w:rPr>
                  </w:pPr>
                  <w:r>
                    <w:rPr>
                      <w:rFonts w:hint="eastAsia"/>
                      <w:color w:val="auto"/>
                    </w:rPr>
                    <w:t>废水</w:t>
                  </w:r>
                </w:p>
              </w:tc>
              <w:tc>
                <w:tcPr>
                  <w:tcW w:w="2024" w:type="pct"/>
                  <w:noWrap w:val="0"/>
                  <w:vAlign w:val="center"/>
                </w:tcPr>
                <w:p>
                  <w:pPr>
                    <w:pStyle w:val="170"/>
                    <w:rPr>
                      <w:rFonts w:hint="default" w:eastAsia="宋体"/>
                      <w:color w:val="auto"/>
                      <w:vertAlign w:val="baseline"/>
                      <w:lang w:val="en-US" w:eastAsia="zh-CN"/>
                    </w:rPr>
                  </w:pPr>
                  <w:r>
                    <w:rPr>
                      <w:rFonts w:hint="eastAsia"/>
                      <w:color w:val="auto"/>
                    </w:rPr>
                    <w:t>雨污分流，医疗废水采用专用管道收集，经密闭一体化污水处理设施采用“</w:t>
                  </w:r>
                  <w:r>
                    <w:rPr>
                      <w:rFonts w:hint="eastAsia"/>
                      <w:color w:val="auto"/>
                      <w:lang w:eastAsia="zh-CN"/>
                    </w:rPr>
                    <w:t>混凝沉淀</w:t>
                  </w:r>
                  <w:r>
                    <w:rPr>
                      <w:rFonts w:hint="eastAsia"/>
                      <w:color w:val="auto"/>
                    </w:rPr>
                    <w:t>+消毒”处理后，与</w:t>
                  </w:r>
                  <w:r>
                    <w:rPr>
                      <w:rFonts w:hint="eastAsia"/>
                      <w:color w:val="auto"/>
                      <w:lang w:eastAsia="zh-CN"/>
                    </w:rPr>
                    <w:t>职工</w:t>
                  </w:r>
                  <w:r>
                    <w:rPr>
                      <w:rFonts w:hint="eastAsia"/>
                      <w:color w:val="auto"/>
                    </w:rPr>
                    <w:t>生活污水一起排入嘉州春天小区预处理池处理后，排入市政管网</w:t>
                  </w:r>
                  <w:r>
                    <w:rPr>
                      <w:rFonts w:hint="eastAsia"/>
                      <w:color w:val="auto"/>
                      <w:lang w:eastAsia="zh-CN"/>
                    </w:rPr>
                    <w:t>。设计处理能力</w:t>
                  </w:r>
                  <w:r>
                    <w:rPr>
                      <w:rFonts w:hint="eastAsia"/>
                      <w:color w:val="auto"/>
                      <w:lang w:val="en-US" w:eastAsia="zh-CN"/>
                    </w:rPr>
                    <w:t>2m</w:t>
                  </w:r>
                  <w:r>
                    <w:rPr>
                      <w:rFonts w:hint="eastAsia"/>
                      <w:color w:val="auto"/>
                      <w:vertAlign w:val="superscript"/>
                      <w:lang w:val="en-US" w:eastAsia="zh-CN"/>
                    </w:rPr>
                    <w:t>3</w:t>
                  </w:r>
                  <w:r>
                    <w:rPr>
                      <w:rFonts w:hint="eastAsia"/>
                      <w:color w:val="auto"/>
                      <w:vertAlign w:val="baseline"/>
                      <w:lang w:val="en-US" w:eastAsia="zh-CN"/>
                    </w:rPr>
                    <w:t>/d。</w:t>
                  </w:r>
                </w:p>
              </w:tc>
              <w:tc>
                <w:tcPr>
                  <w:tcW w:w="497" w:type="pct"/>
                  <w:vMerge w:val="continue"/>
                  <w:noWrap w:val="0"/>
                  <w:vAlign w:val="center"/>
                </w:tcPr>
                <w:p>
                  <w:pPr>
                    <w:pStyle w:val="170"/>
                    <w:rPr>
                      <w:color w:val="auto"/>
                    </w:rPr>
                  </w:pPr>
                </w:p>
              </w:tc>
              <w:tc>
                <w:tcPr>
                  <w:tcW w:w="652" w:type="pct"/>
                  <w:noWrap w:val="0"/>
                  <w:vAlign w:val="center"/>
                </w:tcPr>
                <w:p>
                  <w:pPr>
                    <w:pStyle w:val="170"/>
                    <w:rPr>
                      <w:rFonts w:hint="eastAsia"/>
                      <w:color w:val="auto"/>
                    </w:rPr>
                  </w:pPr>
                  <w:r>
                    <w:rPr>
                      <w:rFonts w:hint="eastAsia"/>
                      <w:color w:val="auto"/>
                    </w:rPr>
                    <w:t>噪声</w:t>
                  </w:r>
                </w:p>
              </w:tc>
              <w:tc>
                <w:tcPr>
                  <w:tcW w:w="260" w:type="pct"/>
                  <w:noWrap w:val="0"/>
                  <w:vAlign w:val="center"/>
                </w:tcPr>
                <w:p>
                  <w:pPr>
                    <w:pStyle w:val="170"/>
                    <w:rPr>
                      <w:rFonts w:hint="eastAsia"/>
                      <w:color w:val="auto"/>
                    </w:rPr>
                  </w:pPr>
                  <w:r>
                    <w:rPr>
                      <w:rFonts w:hint="eastAsia"/>
                      <w:color w:val="auto"/>
                    </w:rPr>
                    <w:t>整改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0" w:hRule="atLeast"/>
                <w:jc w:val="center"/>
              </w:trPr>
              <w:tc>
                <w:tcPr>
                  <w:tcW w:w="582" w:type="pct"/>
                  <w:vMerge w:val="continue"/>
                  <w:noWrap w:val="0"/>
                  <w:vAlign w:val="center"/>
                </w:tcPr>
                <w:p>
                  <w:pPr>
                    <w:pStyle w:val="170"/>
                    <w:rPr>
                      <w:color w:val="auto"/>
                    </w:rPr>
                  </w:pPr>
                </w:p>
              </w:tc>
              <w:tc>
                <w:tcPr>
                  <w:tcW w:w="259" w:type="pct"/>
                  <w:vMerge w:val="restart"/>
                  <w:noWrap w:val="0"/>
                  <w:vAlign w:val="center"/>
                </w:tcPr>
                <w:p>
                  <w:pPr>
                    <w:pStyle w:val="170"/>
                    <w:rPr>
                      <w:rFonts w:hint="eastAsia"/>
                      <w:color w:val="auto"/>
                    </w:rPr>
                  </w:pPr>
                  <w:r>
                    <w:rPr>
                      <w:rFonts w:hint="eastAsia"/>
                      <w:color w:val="auto"/>
                    </w:rPr>
                    <w:t>固废</w:t>
                  </w:r>
                </w:p>
              </w:tc>
              <w:tc>
                <w:tcPr>
                  <w:tcW w:w="724" w:type="pct"/>
                  <w:noWrap w:val="0"/>
                  <w:vAlign w:val="center"/>
                </w:tcPr>
                <w:p>
                  <w:pPr>
                    <w:pStyle w:val="170"/>
                    <w:rPr>
                      <w:rFonts w:hint="eastAsia"/>
                      <w:color w:val="auto"/>
                    </w:rPr>
                  </w:pPr>
                  <w:r>
                    <w:rPr>
                      <w:rFonts w:hint="eastAsia"/>
                      <w:color w:val="auto"/>
                    </w:rPr>
                    <w:t>生活垃圾</w:t>
                  </w:r>
                </w:p>
              </w:tc>
              <w:tc>
                <w:tcPr>
                  <w:tcW w:w="2024" w:type="pct"/>
                  <w:noWrap w:val="0"/>
                  <w:vAlign w:val="center"/>
                </w:tcPr>
                <w:p>
                  <w:pPr>
                    <w:pStyle w:val="170"/>
                    <w:rPr>
                      <w:rFonts w:hint="eastAsia"/>
                      <w:color w:val="auto"/>
                    </w:rPr>
                  </w:pPr>
                  <w:r>
                    <w:rPr>
                      <w:rFonts w:hint="eastAsia"/>
                      <w:color w:val="auto"/>
                    </w:rPr>
                    <w:t>于各科室设置生活垃圾收集桶，生活垃圾统一收集后放置于社区生活垃圾暂存点待环卫部门转运处置</w:t>
                  </w:r>
                </w:p>
              </w:tc>
              <w:tc>
                <w:tcPr>
                  <w:tcW w:w="497" w:type="pct"/>
                  <w:vMerge w:val="continue"/>
                  <w:noWrap w:val="0"/>
                  <w:vAlign w:val="center"/>
                </w:tcPr>
                <w:p>
                  <w:pPr>
                    <w:pStyle w:val="170"/>
                    <w:rPr>
                      <w:color w:val="auto"/>
                    </w:rPr>
                  </w:pPr>
                </w:p>
              </w:tc>
              <w:tc>
                <w:tcPr>
                  <w:tcW w:w="652" w:type="pct"/>
                  <w:noWrap w:val="0"/>
                  <w:vAlign w:val="center"/>
                </w:tcPr>
                <w:p>
                  <w:pPr>
                    <w:pStyle w:val="170"/>
                    <w:rPr>
                      <w:rFonts w:hint="eastAsia"/>
                      <w:color w:val="auto"/>
                    </w:rPr>
                  </w:pPr>
                  <w:r>
                    <w:rPr>
                      <w:rFonts w:hint="eastAsia"/>
                      <w:color w:val="auto"/>
                    </w:rPr>
                    <w:t>/</w:t>
                  </w:r>
                </w:p>
              </w:tc>
              <w:tc>
                <w:tcPr>
                  <w:tcW w:w="260" w:type="pct"/>
                  <w:noWrap w:val="0"/>
                  <w:vAlign w:val="center"/>
                </w:tcPr>
                <w:p>
                  <w:pPr>
                    <w:pStyle w:val="170"/>
                    <w:rPr>
                      <w:rFonts w:hint="eastAsia"/>
                      <w:color w:val="auto"/>
                    </w:rPr>
                  </w:pPr>
                  <w:r>
                    <w:rPr>
                      <w:rFonts w:hint="eastAsia"/>
                      <w:color w:val="auto"/>
                    </w:rPr>
                    <w:t>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375" w:hRule="atLeast"/>
                <w:jc w:val="center"/>
              </w:trPr>
              <w:tc>
                <w:tcPr>
                  <w:tcW w:w="582" w:type="pct"/>
                  <w:vMerge w:val="continue"/>
                  <w:noWrap w:val="0"/>
                  <w:vAlign w:val="center"/>
                </w:tcPr>
                <w:p>
                  <w:pPr>
                    <w:pStyle w:val="170"/>
                    <w:rPr>
                      <w:color w:val="auto"/>
                    </w:rPr>
                  </w:pPr>
                </w:p>
              </w:tc>
              <w:tc>
                <w:tcPr>
                  <w:tcW w:w="259" w:type="pct"/>
                  <w:vMerge w:val="continue"/>
                  <w:noWrap w:val="0"/>
                  <w:vAlign w:val="center"/>
                </w:tcPr>
                <w:p>
                  <w:pPr>
                    <w:pStyle w:val="170"/>
                    <w:rPr>
                      <w:rFonts w:hint="eastAsia"/>
                      <w:color w:val="auto"/>
                    </w:rPr>
                  </w:pPr>
                </w:p>
              </w:tc>
              <w:tc>
                <w:tcPr>
                  <w:tcW w:w="724" w:type="pct"/>
                  <w:noWrap w:val="0"/>
                  <w:vAlign w:val="center"/>
                </w:tcPr>
                <w:p>
                  <w:pPr>
                    <w:pStyle w:val="170"/>
                    <w:rPr>
                      <w:rFonts w:hint="eastAsia"/>
                      <w:color w:val="auto"/>
                    </w:rPr>
                  </w:pPr>
                  <w:r>
                    <w:rPr>
                      <w:rFonts w:hint="eastAsia"/>
                      <w:color w:val="auto"/>
                    </w:rPr>
                    <w:t>医疗废物</w:t>
                  </w:r>
                </w:p>
              </w:tc>
              <w:tc>
                <w:tcPr>
                  <w:tcW w:w="2024" w:type="pct"/>
                  <w:noWrap w:val="0"/>
                  <w:vAlign w:val="center"/>
                </w:tcPr>
                <w:p>
                  <w:pPr>
                    <w:pStyle w:val="170"/>
                    <w:rPr>
                      <w:rFonts w:hint="eastAsia"/>
                      <w:color w:val="auto"/>
                    </w:rPr>
                  </w:pPr>
                  <w:r>
                    <w:rPr>
                      <w:rFonts w:hint="eastAsia"/>
                      <w:color w:val="auto"/>
                    </w:rPr>
                    <w:t>设置医疗废物暂存间一间，医疗废物（除病理性医疗废物外）经收集后暂存于医疗废物暂存间，定期交由资质单位处理；动物尸体经消毒后采用密封袋封存并于当天交由资质单位处置</w:t>
                  </w:r>
                </w:p>
              </w:tc>
              <w:tc>
                <w:tcPr>
                  <w:tcW w:w="497" w:type="pct"/>
                  <w:vMerge w:val="continue"/>
                  <w:noWrap w:val="0"/>
                  <w:vAlign w:val="center"/>
                </w:tcPr>
                <w:p>
                  <w:pPr>
                    <w:pStyle w:val="170"/>
                    <w:rPr>
                      <w:color w:val="auto"/>
                    </w:rPr>
                  </w:pPr>
                </w:p>
              </w:tc>
              <w:tc>
                <w:tcPr>
                  <w:tcW w:w="652" w:type="pct"/>
                  <w:noWrap w:val="0"/>
                  <w:vAlign w:val="center"/>
                </w:tcPr>
                <w:p>
                  <w:pPr>
                    <w:pStyle w:val="170"/>
                    <w:rPr>
                      <w:color w:val="auto"/>
                    </w:rPr>
                  </w:pPr>
                  <w:r>
                    <w:rPr>
                      <w:rFonts w:hint="eastAsia"/>
                      <w:color w:val="auto"/>
                    </w:rPr>
                    <w:t>废气</w:t>
                  </w:r>
                </w:p>
              </w:tc>
              <w:tc>
                <w:tcPr>
                  <w:tcW w:w="260" w:type="pct"/>
                  <w:noWrap w:val="0"/>
                  <w:vAlign w:val="center"/>
                </w:tcPr>
                <w:p>
                  <w:pPr>
                    <w:pStyle w:val="170"/>
                    <w:rPr>
                      <w:rFonts w:hint="eastAsia"/>
                      <w:color w:val="auto"/>
                    </w:rPr>
                  </w:pPr>
                  <w:r>
                    <w:rPr>
                      <w:rFonts w:hint="eastAsia"/>
                      <w:color w:val="auto"/>
                    </w:rPr>
                    <w:t>整改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1" w:hRule="atLeast"/>
                <w:jc w:val="center"/>
              </w:trPr>
              <w:tc>
                <w:tcPr>
                  <w:tcW w:w="582" w:type="pct"/>
                  <w:vMerge w:val="continue"/>
                  <w:noWrap w:val="0"/>
                  <w:vAlign w:val="center"/>
                </w:tcPr>
                <w:p>
                  <w:pPr>
                    <w:pStyle w:val="170"/>
                    <w:rPr>
                      <w:color w:val="auto"/>
                    </w:rPr>
                  </w:pPr>
                </w:p>
              </w:tc>
              <w:tc>
                <w:tcPr>
                  <w:tcW w:w="259" w:type="pct"/>
                  <w:vMerge w:val="continue"/>
                  <w:noWrap w:val="0"/>
                  <w:vAlign w:val="center"/>
                </w:tcPr>
                <w:p>
                  <w:pPr>
                    <w:pStyle w:val="170"/>
                    <w:rPr>
                      <w:rFonts w:hint="eastAsia"/>
                      <w:color w:val="auto"/>
                    </w:rPr>
                  </w:pPr>
                </w:p>
              </w:tc>
              <w:tc>
                <w:tcPr>
                  <w:tcW w:w="724" w:type="pct"/>
                  <w:noWrap w:val="0"/>
                  <w:vAlign w:val="center"/>
                </w:tcPr>
                <w:p>
                  <w:pPr>
                    <w:pStyle w:val="170"/>
                    <w:rPr>
                      <w:rFonts w:hint="eastAsia"/>
                      <w:color w:val="auto"/>
                    </w:rPr>
                  </w:pPr>
                  <w:r>
                    <w:rPr>
                      <w:rFonts w:hint="eastAsia"/>
                      <w:color w:val="auto"/>
                    </w:rPr>
                    <w:t>宠物毛发</w:t>
                  </w:r>
                </w:p>
              </w:tc>
              <w:tc>
                <w:tcPr>
                  <w:tcW w:w="2024" w:type="pct"/>
                  <w:noWrap w:val="0"/>
                  <w:vAlign w:val="center"/>
                </w:tcPr>
                <w:p>
                  <w:pPr>
                    <w:pStyle w:val="170"/>
                    <w:rPr>
                      <w:rFonts w:hint="eastAsia"/>
                      <w:color w:val="auto"/>
                    </w:rPr>
                  </w:pPr>
                  <w:r>
                    <w:rPr>
                      <w:rFonts w:hint="eastAsia"/>
                      <w:color w:val="auto"/>
                    </w:rPr>
                    <w:t>经消毒灭活后同生活垃圾一同收集后交由环卫部门处置</w:t>
                  </w:r>
                </w:p>
              </w:tc>
              <w:tc>
                <w:tcPr>
                  <w:tcW w:w="497" w:type="pct"/>
                  <w:vMerge w:val="continue"/>
                  <w:noWrap w:val="0"/>
                  <w:vAlign w:val="center"/>
                </w:tcPr>
                <w:p>
                  <w:pPr>
                    <w:pStyle w:val="170"/>
                    <w:rPr>
                      <w:color w:val="auto"/>
                    </w:rPr>
                  </w:pPr>
                </w:p>
              </w:tc>
              <w:tc>
                <w:tcPr>
                  <w:tcW w:w="652" w:type="pct"/>
                  <w:noWrap w:val="0"/>
                  <w:vAlign w:val="center"/>
                </w:tcPr>
                <w:p>
                  <w:pPr>
                    <w:pStyle w:val="170"/>
                    <w:rPr>
                      <w:color w:val="auto"/>
                    </w:rPr>
                  </w:pPr>
                  <w:r>
                    <w:rPr>
                      <w:rFonts w:hint="eastAsia"/>
                      <w:color w:val="auto"/>
                    </w:rPr>
                    <w:t>/</w:t>
                  </w:r>
                </w:p>
              </w:tc>
              <w:tc>
                <w:tcPr>
                  <w:tcW w:w="260" w:type="pct"/>
                  <w:noWrap w:val="0"/>
                  <w:vAlign w:val="center"/>
                </w:tcPr>
                <w:p>
                  <w:pPr>
                    <w:pStyle w:val="170"/>
                    <w:rPr>
                      <w:rFonts w:hint="eastAsia"/>
                      <w:color w:val="auto"/>
                    </w:rPr>
                  </w:pPr>
                  <w:r>
                    <w:rPr>
                      <w:rFonts w:hint="eastAsia"/>
                      <w:color w:val="auto"/>
                    </w:rPr>
                    <w:t>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582" w:type="pct"/>
                  <w:vMerge w:val="continue"/>
                  <w:noWrap w:val="0"/>
                  <w:vAlign w:val="center"/>
                </w:tcPr>
                <w:p>
                  <w:pPr>
                    <w:pStyle w:val="170"/>
                    <w:rPr>
                      <w:color w:val="auto"/>
                    </w:rPr>
                  </w:pPr>
                </w:p>
              </w:tc>
              <w:tc>
                <w:tcPr>
                  <w:tcW w:w="259" w:type="pct"/>
                  <w:vMerge w:val="continue"/>
                  <w:noWrap w:val="0"/>
                  <w:vAlign w:val="center"/>
                </w:tcPr>
                <w:p>
                  <w:pPr>
                    <w:pStyle w:val="170"/>
                    <w:rPr>
                      <w:rFonts w:hint="eastAsia"/>
                      <w:color w:val="auto"/>
                    </w:rPr>
                  </w:pPr>
                </w:p>
              </w:tc>
              <w:tc>
                <w:tcPr>
                  <w:tcW w:w="724" w:type="pct"/>
                  <w:noWrap w:val="0"/>
                  <w:vAlign w:val="center"/>
                </w:tcPr>
                <w:p>
                  <w:pPr>
                    <w:pStyle w:val="170"/>
                    <w:rPr>
                      <w:rFonts w:hint="eastAsia"/>
                      <w:color w:val="auto"/>
                    </w:rPr>
                  </w:pPr>
                  <w:r>
                    <w:rPr>
                      <w:rFonts w:hint="eastAsia"/>
                      <w:color w:val="auto"/>
                    </w:rPr>
                    <w:t>宠物粪便</w:t>
                  </w:r>
                </w:p>
              </w:tc>
              <w:tc>
                <w:tcPr>
                  <w:tcW w:w="2024" w:type="pct"/>
                  <w:noWrap w:val="0"/>
                  <w:vAlign w:val="center"/>
                </w:tcPr>
                <w:p>
                  <w:pPr>
                    <w:pStyle w:val="170"/>
                    <w:rPr>
                      <w:rFonts w:hint="eastAsia"/>
                      <w:color w:val="auto"/>
                    </w:rPr>
                  </w:pPr>
                  <w:r>
                    <w:rPr>
                      <w:rFonts w:hint="eastAsia"/>
                      <w:color w:val="auto"/>
                    </w:rPr>
                    <w:t>经消毒灭活后同生活垃圾一同收集后交由环卫部门处置</w:t>
                  </w:r>
                </w:p>
              </w:tc>
              <w:tc>
                <w:tcPr>
                  <w:tcW w:w="497" w:type="pct"/>
                  <w:vMerge w:val="continue"/>
                  <w:noWrap w:val="0"/>
                  <w:vAlign w:val="center"/>
                </w:tcPr>
                <w:p>
                  <w:pPr>
                    <w:pStyle w:val="170"/>
                    <w:rPr>
                      <w:color w:val="auto"/>
                    </w:rPr>
                  </w:pPr>
                </w:p>
              </w:tc>
              <w:tc>
                <w:tcPr>
                  <w:tcW w:w="652" w:type="pct"/>
                  <w:noWrap w:val="0"/>
                  <w:vAlign w:val="center"/>
                </w:tcPr>
                <w:p>
                  <w:pPr>
                    <w:pStyle w:val="170"/>
                    <w:rPr>
                      <w:rFonts w:hint="eastAsia"/>
                      <w:color w:val="auto"/>
                    </w:rPr>
                  </w:pPr>
                  <w:r>
                    <w:rPr>
                      <w:rFonts w:hint="eastAsia"/>
                      <w:color w:val="auto"/>
                    </w:rPr>
                    <w:t>/</w:t>
                  </w:r>
                </w:p>
              </w:tc>
              <w:tc>
                <w:tcPr>
                  <w:tcW w:w="260" w:type="pct"/>
                  <w:noWrap w:val="0"/>
                  <w:vAlign w:val="center"/>
                </w:tcPr>
                <w:p>
                  <w:pPr>
                    <w:pStyle w:val="170"/>
                    <w:rPr>
                      <w:rFonts w:hint="eastAsia"/>
                      <w:color w:val="auto"/>
                    </w:rPr>
                  </w:pPr>
                  <w:r>
                    <w:rPr>
                      <w:rFonts w:hint="eastAsia"/>
                      <w:color w:val="auto"/>
                    </w:rPr>
                    <w:t>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4" w:hRule="atLeast"/>
                <w:jc w:val="center"/>
              </w:trPr>
              <w:tc>
                <w:tcPr>
                  <w:tcW w:w="582" w:type="pct"/>
                  <w:vMerge w:val="continue"/>
                  <w:noWrap w:val="0"/>
                  <w:vAlign w:val="center"/>
                </w:tcPr>
                <w:p>
                  <w:pPr>
                    <w:pStyle w:val="170"/>
                    <w:rPr>
                      <w:color w:val="auto"/>
                    </w:rPr>
                  </w:pPr>
                </w:p>
              </w:tc>
              <w:tc>
                <w:tcPr>
                  <w:tcW w:w="259" w:type="pct"/>
                  <w:vMerge w:val="continue"/>
                  <w:noWrap w:val="0"/>
                  <w:vAlign w:val="center"/>
                </w:tcPr>
                <w:p>
                  <w:pPr>
                    <w:pStyle w:val="170"/>
                    <w:rPr>
                      <w:rFonts w:hint="eastAsia"/>
                      <w:color w:val="auto"/>
                    </w:rPr>
                  </w:pPr>
                </w:p>
              </w:tc>
              <w:tc>
                <w:tcPr>
                  <w:tcW w:w="724" w:type="pct"/>
                  <w:noWrap w:val="0"/>
                  <w:vAlign w:val="center"/>
                </w:tcPr>
                <w:p>
                  <w:pPr>
                    <w:pStyle w:val="170"/>
                    <w:rPr>
                      <w:rFonts w:hint="eastAsia"/>
                      <w:color w:val="auto"/>
                    </w:rPr>
                  </w:pPr>
                  <w:r>
                    <w:rPr>
                      <w:rFonts w:hint="eastAsia"/>
                      <w:color w:val="auto"/>
                    </w:rPr>
                    <w:t>废紫外线灯管</w:t>
                  </w:r>
                </w:p>
              </w:tc>
              <w:tc>
                <w:tcPr>
                  <w:tcW w:w="2024" w:type="pct"/>
                  <w:noWrap w:val="0"/>
                  <w:vAlign w:val="center"/>
                </w:tcPr>
                <w:p>
                  <w:pPr>
                    <w:pStyle w:val="170"/>
                    <w:rPr>
                      <w:rFonts w:hint="eastAsia"/>
                      <w:color w:val="auto"/>
                    </w:rPr>
                  </w:pPr>
                  <w:r>
                    <w:rPr>
                      <w:rFonts w:hint="eastAsia"/>
                      <w:color w:val="auto"/>
                    </w:rPr>
                    <w:t>收集后暂存于医疗废物暂存间，定期交由资质单位处置</w:t>
                  </w:r>
                </w:p>
              </w:tc>
              <w:tc>
                <w:tcPr>
                  <w:tcW w:w="497" w:type="pct"/>
                  <w:vMerge w:val="continue"/>
                  <w:noWrap w:val="0"/>
                  <w:vAlign w:val="center"/>
                </w:tcPr>
                <w:p>
                  <w:pPr>
                    <w:pStyle w:val="170"/>
                    <w:rPr>
                      <w:color w:val="auto"/>
                    </w:rPr>
                  </w:pPr>
                </w:p>
              </w:tc>
              <w:tc>
                <w:tcPr>
                  <w:tcW w:w="652" w:type="pct"/>
                  <w:noWrap w:val="0"/>
                  <w:vAlign w:val="center"/>
                </w:tcPr>
                <w:p>
                  <w:pPr>
                    <w:pStyle w:val="170"/>
                    <w:rPr>
                      <w:color w:val="auto"/>
                    </w:rPr>
                  </w:pPr>
                  <w:r>
                    <w:rPr>
                      <w:rFonts w:hint="eastAsia"/>
                      <w:color w:val="auto"/>
                    </w:rPr>
                    <w:t>/</w:t>
                  </w:r>
                </w:p>
              </w:tc>
              <w:tc>
                <w:tcPr>
                  <w:tcW w:w="260" w:type="pct"/>
                  <w:noWrap w:val="0"/>
                  <w:vAlign w:val="center"/>
                </w:tcPr>
                <w:p>
                  <w:pPr>
                    <w:pStyle w:val="170"/>
                    <w:rPr>
                      <w:rFonts w:hint="eastAsia"/>
                      <w:color w:val="auto"/>
                    </w:rPr>
                  </w:pPr>
                  <w:r>
                    <w:rPr>
                      <w:rFonts w:hint="eastAsia"/>
                      <w:color w:val="auto"/>
                    </w:rPr>
                    <w:t>整改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27" w:hRule="atLeast"/>
                <w:jc w:val="center"/>
              </w:trPr>
              <w:tc>
                <w:tcPr>
                  <w:tcW w:w="582" w:type="pct"/>
                  <w:vMerge w:val="continue"/>
                  <w:noWrap w:val="0"/>
                  <w:vAlign w:val="center"/>
                </w:tcPr>
                <w:p>
                  <w:pPr>
                    <w:pStyle w:val="170"/>
                    <w:rPr>
                      <w:color w:val="auto"/>
                    </w:rPr>
                  </w:pPr>
                </w:p>
              </w:tc>
              <w:tc>
                <w:tcPr>
                  <w:tcW w:w="983" w:type="pct"/>
                  <w:gridSpan w:val="2"/>
                  <w:noWrap w:val="0"/>
                  <w:vAlign w:val="center"/>
                </w:tcPr>
                <w:p>
                  <w:pPr>
                    <w:pStyle w:val="170"/>
                    <w:rPr>
                      <w:rFonts w:hint="eastAsia"/>
                      <w:color w:val="auto"/>
                    </w:rPr>
                  </w:pPr>
                  <w:r>
                    <w:rPr>
                      <w:rFonts w:hint="eastAsia"/>
                      <w:color w:val="auto"/>
                    </w:rPr>
                    <w:t>废气</w:t>
                  </w:r>
                </w:p>
              </w:tc>
              <w:tc>
                <w:tcPr>
                  <w:tcW w:w="2024" w:type="pct"/>
                  <w:noWrap w:val="0"/>
                  <w:vAlign w:val="center"/>
                </w:tcPr>
                <w:p>
                  <w:pPr>
                    <w:pStyle w:val="170"/>
                    <w:rPr>
                      <w:rFonts w:hint="eastAsia"/>
                      <w:color w:val="auto"/>
                    </w:rPr>
                  </w:pPr>
                  <w:r>
                    <w:rPr>
                      <w:rFonts w:hint="eastAsia"/>
                      <w:color w:val="auto"/>
                    </w:rPr>
                    <w:t>日常采用移动式紫外线灯及臭氧消毒机加强对院内环境消毒来降低少量异味对周边环境的影响，定期开窗通风，加强院内空气流通，定期对医院环境进行清洁</w:t>
                  </w:r>
                </w:p>
              </w:tc>
              <w:tc>
                <w:tcPr>
                  <w:tcW w:w="497" w:type="pct"/>
                  <w:noWrap w:val="0"/>
                  <w:vAlign w:val="center"/>
                </w:tcPr>
                <w:p>
                  <w:pPr>
                    <w:pStyle w:val="170"/>
                    <w:rPr>
                      <w:color w:val="auto"/>
                    </w:rPr>
                  </w:pPr>
                </w:p>
              </w:tc>
              <w:tc>
                <w:tcPr>
                  <w:tcW w:w="652" w:type="pct"/>
                  <w:noWrap w:val="0"/>
                  <w:vAlign w:val="center"/>
                </w:tcPr>
                <w:p>
                  <w:pPr>
                    <w:pStyle w:val="170"/>
                    <w:rPr>
                      <w:rFonts w:hint="eastAsia"/>
                      <w:color w:val="auto"/>
                    </w:rPr>
                  </w:pPr>
                  <w:r>
                    <w:rPr>
                      <w:rFonts w:hint="eastAsia"/>
                      <w:color w:val="auto"/>
                    </w:rPr>
                    <w:t>废气</w:t>
                  </w:r>
                </w:p>
              </w:tc>
              <w:tc>
                <w:tcPr>
                  <w:tcW w:w="260" w:type="pct"/>
                  <w:noWrap w:val="0"/>
                  <w:vAlign w:val="center"/>
                </w:tcPr>
                <w:p>
                  <w:pPr>
                    <w:pStyle w:val="170"/>
                    <w:rPr>
                      <w:rFonts w:hint="eastAsia"/>
                      <w:color w:val="auto"/>
                    </w:rPr>
                  </w:pPr>
                  <w:r>
                    <w:rPr>
                      <w:rFonts w:hint="eastAsia"/>
                      <w:color w:val="auto"/>
                    </w:rPr>
                    <w:t>已建</w:t>
                  </w:r>
                </w:p>
              </w:tc>
            </w:tr>
          </w:tbl>
          <w:p>
            <w:pPr>
              <w:pStyle w:val="4"/>
              <w:numPr>
                <w:ilvl w:val="0"/>
                <w:numId w:val="0"/>
              </w:numPr>
              <w:spacing w:after="120"/>
              <w:ind w:leftChars="0"/>
              <w:rPr>
                <w:rFonts w:hint="eastAsia"/>
                <w:color w:val="auto"/>
                <w:lang w:eastAsia="zh-CN"/>
              </w:rPr>
            </w:pPr>
            <w:r>
              <w:rPr>
                <w:rFonts w:hint="eastAsia"/>
                <w:color w:val="auto"/>
                <w:lang w:eastAsia="zh-CN"/>
              </w:rPr>
              <w:t>四、工程依托情况</w:t>
            </w:r>
          </w:p>
          <w:p>
            <w:pPr>
              <w:pStyle w:val="104"/>
              <w:bidi w:val="0"/>
              <w:rPr>
                <w:rFonts w:hint="eastAsia"/>
                <w:color w:val="auto"/>
                <w:lang w:eastAsia="zh-CN"/>
              </w:rPr>
            </w:pPr>
            <w:r>
              <w:rPr>
                <w:rFonts w:hint="eastAsia"/>
                <w:color w:val="auto"/>
                <w:lang w:eastAsia="zh-CN"/>
              </w:rPr>
              <w:t>本项目位于乐山市市中区竹林路636号嘉州春天小区商住楼</w:t>
            </w:r>
            <w:r>
              <w:rPr>
                <w:rFonts w:hint="eastAsia"/>
                <w:color w:val="auto"/>
                <w:lang w:val="en-US" w:eastAsia="zh-CN"/>
              </w:rPr>
              <w:t>1F商铺</w:t>
            </w:r>
            <w:r>
              <w:rPr>
                <w:rFonts w:hint="eastAsia"/>
                <w:color w:val="auto"/>
                <w:lang w:eastAsia="zh-CN"/>
              </w:rPr>
              <w:t>，区域内供水、供电、供气、通讯、道路、交通及排水等基础设施完善。本项目所在地地势平坦，有完善的水、电、气接入口，依托工程可行。</w:t>
            </w:r>
          </w:p>
          <w:p>
            <w:pPr>
              <w:pStyle w:val="4"/>
              <w:spacing w:after="120"/>
              <w:rPr>
                <w:color w:val="auto"/>
              </w:rPr>
            </w:pPr>
            <w:r>
              <w:rPr>
                <w:rFonts w:hint="eastAsia"/>
                <w:color w:val="auto"/>
                <w:lang w:eastAsia="zh-CN"/>
              </w:rPr>
              <w:t>五</w:t>
            </w:r>
            <w:r>
              <w:rPr>
                <w:color w:val="auto"/>
              </w:rPr>
              <w:t>、主要原辅材料及能耗</w:t>
            </w:r>
          </w:p>
          <w:p>
            <w:pPr>
              <w:pStyle w:val="101"/>
              <w:ind w:firstLine="480"/>
              <w:rPr>
                <w:color w:val="auto"/>
              </w:rPr>
            </w:pPr>
            <w:r>
              <w:rPr>
                <w:rFonts w:hint="eastAsia"/>
                <w:color w:val="auto"/>
              </w:rPr>
              <w:t>项目消耗的原辅材料主要为各类药品及一次性医用材料，如口罩、注射器、输液器等。</w:t>
            </w:r>
            <w:r>
              <w:rPr>
                <w:color w:val="auto"/>
              </w:rPr>
              <w:t>项目运营期所使用的原辅材料及消耗量见下表：</w:t>
            </w:r>
          </w:p>
          <w:p>
            <w:pPr>
              <w:pStyle w:val="102"/>
              <w:ind w:left="422" w:hanging="422"/>
              <w:rPr>
                <w:color w:val="auto"/>
              </w:rPr>
            </w:pPr>
            <w:r>
              <w:rPr>
                <w:color w:val="auto"/>
              </w:rPr>
              <w:t>表</w:t>
            </w:r>
            <w:r>
              <w:rPr>
                <w:rFonts w:hint="eastAsia"/>
                <w:color w:val="auto"/>
              </w:rPr>
              <w:t>2</w:t>
            </w:r>
            <w:r>
              <w:rPr>
                <w:color w:val="auto"/>
              </w:rPr>
              <w:t>-</w:t>
            </w:r>
            <w:r>
              <w:rPr>
                <w:rFonts w:hint="eastAsia"/>
                <w:color w:val="auto"/>
              </w:rPr>
              <w:t>2</w:t>
            </w:r>
            <w:r>
              <w:rPr>
                <w:color w:val="auto"/>
              </w:rPr>
              <w:t xml:space="preserve">  主要原辅料及能耗消耗表</w:t>
            </w:r>
          </w:p>
          <w:tbl>
            <w:tblPr>
              <w:tblStyle w:val="38"/>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0"/>
              <w:gridCol w:w="2907"/>
              <w:gridCol w:w="1103"/>
              <w:gridCol w:w="1244"/>
              <w:gridCol w:w="19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56" w:type="pct"/>
                  <w:gridSpan w:val="2"/>
                  <w:noWrap w:val="0"/>
                  <w:vAlign w:val="center"/>
                </w:tcPr>
                <w:p>
                  <w:pPr>
                    <w:pStyle w:val="118"/>
                    <w:rPr>
                      <w:rFonts w:hint="eastAsia"/>
                      <w:b/>
                      <w:bCs/>
                      <w:color w:val="auto"/>
                    </w:rPr>
                  </w:pPr>
                  <w:r>
                    <w:rPr>
                      <w:rFonts w:hint="eastAsia"/>
                      <w:b/>
                      <w:bCs/>
                      <w:color w:val="auto"/>
                    </w:rPr>
                    <w:t>名称</w:t>
                  </w:r>
                </w:p>
              </w:tc>
              <w:tc>
                <w:tcPr>
                  <w:tcW w:w="672" w:type="pct"/>
                  <w:noWrap w:val="0"/>
                  <w:vAlign w:val="center"/>
                </w:tcPr>
                <w:p>
                  <w:pPr>
                    <w:pStyle w:val="118"/>
                    <w:rPr>
                      <w:rFonts w:hint="eastAsia"/>
                      <w:b/>
                      <w:bCs/>
                      <w:color w:val="auto"/>
                    </w:rPr>
                  </w:pPr>
                  <w:r>
                    <w:rPr>
                      <w:rFonts w:hint="eastAsia"/>
                      <w:b/>
                      <w:bCs/>
                      <w:color w:val="auto"/>
                    </w:rPr>
                    <w:t>年耗量</w:t>
                  </w:r>
                </w:p>
              </w:tc>
              <w:tc>
                <w:tcPr>
                  <w:tcW w:w="758" w:type="pct"/>
                  <w:noWrap w:val="0"/>
                  <w:vAlign w:val="center"/>
                </w:tcPr>
                <w:p>
                  <w:pPr>
                    <w:pStyle w:val="118"/>
                    <w:rPr>
                      <w:rFonts w:hint="eastAsia"/>
                      <w:b/>
                      <w:bCs/>
                      <w:color w:val="auto"/>
                    </w:rPr>
                  </w:pPr>
                  <w:r>
                    <w:rPr>
                      <w:rFonts w:hint="eastAsia"/>
                      <w:b/>
                      <w:bCs/>
                      <w:color w:val="auto"/>
                    </w:rPr>
                    <w:t>单位</w:t>
                  </w:r>
                </w:p>
              </w:tc>
              <w:tc>
                <w:tcPr>
                  <w:tcW w:w="1212" w:type="pct"/>
                  <w:noWrap w:val="0"/>
                  <w:vAlign w:val="center"/>
                </w:tcPr>
                <w:p>
                  <w:pPr>
                    <w:pStyle w:val="118"/>
                    <w:rPr>
                      <w:rFonts w:hint="eastAsia"/>
                      <w:b/>
                      <w:bCs/>
                      <w:color w:val="auto"/>
                    </w:rPr>
                  </w:pPr>
                  <w:r>
                    <w:rPr>
                      <w:rFonts w:hint="eastAsia"/>
                      <w:b/>
                      <w:bCs/>
                      <w:color w:val="auto"/>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pct"/>
                  <w:vMerge w:val="restart"/>
                  <w:noWrap w:val="0"/>
                  <w:vAlign w:val="center"/>
                </w:tcPr>
                <w:p>
                  <w:pPr>
                    <w:pStyle w:val="118"/>
                    <w:rPr>
                      <w:rFonts w:hint="eastAsia"/>
                      <w:color w:val="auto"/>
                    </w:rPr>
                  </w:pPr>
                  <w:r>
                    <w:rPr>
                      <w:rFonts w:hint="eastAsia"/>
                      <w:color w:val="auto"/>
                    </w:rPr>
                    <w:t>药品</w:t>
                  </w:r>
                </w:p>
                <w:p>
                  <w:pPr>
                    <w:pStyle w:val="118"/>
                    <w:rPr>
                      <w:rFonts w:hint="eastAsia"/>
                      <w:color w:val="auto"/>
                    </w:rPr>
                  </w:pPr>
                </w:p>
                <w:p>
                  <w:pPr>
                    <w:pStyle w:val="118"/>
                    <w:rPr>
                      <w:rFonts w:hint="eastAsia"/>
                      <w:color w:val="auto"/>
                    </w:rPr>
                  </w:pPr>
                </w:p>
                <w:p>
                  <w:pPr>
                    <w:pStyle w:val="118"/>
                    <w:rPr>
                      <w:rFonts w:hint="eastAsia"/>
                      <w:color w:val="auto"/>
                    </w:rPr>
                  </w:pPr>
                </w:p>
              </w:tc>
              <w:tc>
                <w:tcPr>
                  <w:tcW w:w="1771" w:type="pct"/>
                  <w:noWrap w:val="0"/>
                  <w:vAlign w:val="center"/>
                </w:tcPr>
                <w:p>
                  <w:pPr>
                    <w:pStyle w:val="118"/>
                    <w:rPr>
                      <w:rFonts w:hint="eastAsia"/>
                      <w:color w:val="auto"/>
                    </w:rPr>
                  </w:pPr>
                  <w:r>
                    <w:rPr>
                      <w:rFonts w:hint="eastAsia"/>
                      <w:color w:val="auto"/>
                    </w:rPr>
                    <w:t>异氟烷</w:t>
                  </w:r>
                </w:p>
              </w:tc>
              <w:tc>
                <w:tcPr>
                  <w:tcW w:w="672" w:type="pct"/>
                  <w:noWrap w:val="0"/>
                  <w:vAlign w:val="center"/>
                </w:tcPr>
                <w:p>
                  <w:pPr>
                    <w:pStyle w:val="118"/>
                    <w:rPr>
                      <w:color w:val="auto"/>
                    </w:rPr>
                  </w:pPr>
                  <w:r>
                    <w:rPr>
                      <w:rFonts w:hint="eastAsia"/>
                      <w:color w:val="auto"/>
                    </w:rPr>
                    <w:t>12</w:t>
                  </w:r>
                </w:p>
              </w:tc>
              <w:tc>
                <w:tcPr>
                  <w:tcW w:w="758" w:type="pct"/>
                  <w:noWrap w:val="0"/>
                  <w:vAlign w:val="center"/>
                </w:tcPr>
                <w:p>
                  <w:pPr>
                    <w:pStyle w:val="170"/>
                    <w:rPr>
                      <w:rFonts w:hint="eastAsia"/>
                      <w:color w:val="auto"/>
                    </w:rPr>
                  </w:pPr>
                  <w:r>
                    <w:rPr>
                      <w:rFonts w:hint="eastAsia"/>
                      <w:color w:val="auto"/>
                    </w:rPr>
                    <w:t>盒</w:t>
                  </w:r>
                </w:p>
              </w:tc>
              <w:tc>
                <w:tcPr>
                  <w:tcW w:w="1212" w:type="pct"/>
                  <w:noWrap w:val="0"/>
                  <w:vAlign w:val="center"/>
                </w:tcPr>
                <w:p>
                  <w:pPr>
                    <w:pStyle w:val="118"/>
                    <w:rPr>
                      <w:rFonts w:hint="eastAsia"/>
                      <w:color w:val="auto"/>
                    </w:rPr>
                  </w:pPr>
                  <w:r>
                    <w:rPr>
                      <w:rFonts w:hint="eastAsia"/>
                      <w:color w:val="aut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trPr>
              <w:tc>
                <w:tcPr>
                  <w:tcW w:w="585" w:type="pct"/>
                  <w:vMerge w:val="continue"/>
                  <w:noWrap w:val="0"/>
                  <w:vAlign w:val="center"/>
                </w:tcPr>
                <w:p>
                  <w:pPr>
                    <w:pStyle w:val="118"/>
                    <w:rPr>
                      <w:rFonts w:hint="eastAsia"/>
                      <w:color w:val="auto"/>
                    </w:rPr>
                  </w:pPr>
                </w:p>
              </w:tc>
              <w:tc>
                <w:tcPr>
                  <w:tcW w:w="1771" w:type="pct"/>
                  <w:noWrap w:val="0"/>
                  <w:vAlign w:val="center"/>
                </w:tcPr>
                <w:p>
                  <w:pPr>
                    <w:pStyle w:val="118"/>
                    <w:rPr>
                      <w:rFonts w:hint="eastAsia"/>
                      <w:color w:val="auto"/>
                    </w:rPr>
                  </w:pPr>
                  <w:r>
                    <w:rPr>
                      <w:rFonts w:hint="eastAsia"/>
                      <w:color w:val="auto"/>
                    </w:rPr>
                    <w:t>君乐</w:t>
                  </w:r>
                </w:p>
              </w:tc>
              <w:tc>
                <w:tcPr>
                  <w:tcW w:w="672" w:type="pct"/>
                  <w:noWrap w:val="0"/>
                  <w:vAlign w:val="center"/>
                </w:tcPr>
                <w:p>
                  <w:pPr>
                    <w:pStyle w:val="118"/>
                    <w:rPr>
                      <w:color w:val="auto"/>
                    </w:rPr>
                  </w:pPr>
                  <w:r>
                    <w:rPr>
                      <w:rFonts w:hint="eastAsia"/>
                      <w:color w:val="auto"/>
                    </w:rPr>
                    <w:t>200</w:t>
                  </w:r>
                </w:p>
              </w:tc>
              <w:tc>
                <w:tcPr>
                  <w:tcW w:w="758" w:type="pct"/>
                  <w:noWrap w:val="0"/>
                  <w:vAlign w:val="center"/>
                </w:tcPr>
                <w:p>
                  <w:pPr>
                    <w:pStyle w:val="170"/>
                    <w:rPr>
                      <w:color w:val="auto"/>
                    </w:rPr>
                  </w:pPr>
                  <w:r>
                    <w:rPr>
                      <w:rFonts w:hint="eastAsia"/>
                      <w:color w:val="auto"/>
                    </w:rPr>
                    <w:t>袋</w:t>
                  </w:r>
                </w:p>
              </w:tc>
              <w:tc>
                <w:tcPr>
                  <w:tcW w:w="1212" w:type="pct"/>
                  <w:noWrap w:val="0"/>
                  <w:vAlign w:val="center"/>
                </w:tcPr>
                <w:p>
                  <w:pPr>
                    <w:pStyle w:val="118"/>
                    <w:rPr>
                      <w:color w:val="auto"/>
                    </w:rPr>
                  </w:pPr>
                  <w:r>
                    <w:rPr>
                      <w:rFonts w:hint="eastAsia"/>
                      <w:color w:val="auto"/>
                    </w:rPr>
                    <w:t>0.5g/1g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4" w:hRule="atLeast"/>
              </w:trPr>
              <w:tc>
                <w:tcPr>
                  <w:tcW w:w="585" w:type="pct"/>
                  <w:vMerge w:val="continue"/>
                  <w:noWrap w:val="0"/>
                  <w:vAlign w:val="center"/>
                </w:tcPr>
                <w:p>
                  <w:pPr>
                    <w:pStyle w:val="118"/>
                    <w:rPr>
                      <w:rFonts w:hint="eastAsia"/>
                      <w:color w:val="auto"/>
                    </w:rPr>
                  </w:pPr>
                </w:p>
              </w:tc>
              <w:tc>
                <w:tcPr>
                  <w:tcW w:w="1771" w:type="pct"/>
                  <w:noWrap w:val="0"/>
                  <w:vAlign w:val="center"/>
                </w:tcPr>
                <w:p>
                  <w:pPr>
                    <w:pStyle w:val="118"/>
                    <w:rPr>
                      <w:color w:val="auto"/>
                    </w:rPr>
                  </w:pPr>
                  <w:r>
                    <w:rPr>
                      <w:rFonts w:hint="eastAsia"/>
                      <w:color w:val="auto"/>
                    </w:rPr>
                    <w:t>耦合剂</w:t>
                  </w:r>
                </w:p>
              </w:tc>
              <w:tc>
                <w:tcPr>
                  <w:tcW w:w="672" w:type="pct"/>
                  <w:noWrap w:val="0"/>
                  <w:vAlign w:val="center"/>
                </w:tcPr>
                <w:p>
                  <w:pPr>
                    <w:pStyle w:val="118"/>
                    <w:rPr>
                      <w:color w:val="auto"/>
                    </w:rPr>
                  </w:pPr>
                  <w:r>
                    <w:rPr>
                      <w:rFonts w:hint="eastAsia"/>
                      <w:color w:val="auto"/>
                    </w:rPr>
                    <w:t>30</w:t>
                  </w:r>
                </w:p>
              </w:tc>
              <w:tc>
                <w:tcPr>
                  <w:tcW w:w="758" w:type="pct"/>
                  <w:noWrap w:val="0"/>
                  <w:vAlign w:val="center"/>
                </w:tcPr>
                <w:p>
                  <w:pPr>
                    <w:pStyle w:val="170"/>
                    <w:rPr>
                      <w:rFonts w:hint="eastAsia"/>
                      <w:color w:val="auto"/>
                    </w:rPr>
                  </w:pPr>
                  <w:r>
                    <w:rPr>
                      <w:rFonts w:hint="eastAsia"/>
                      <w:color w:val="auto"/>
                    </w:rPr>
                    <w:t>瓶</w:t>
                  </w:r>
                </w:p>
              </w:tc>
              <w:tc>
                <w:tcPr>
                  <w:tcW w:w="1212" w:type="pct"/>
                  <w:noWrap w:val="0"/>
                  <w:vAlign w:val="center"/>
                </w:tcPr>
                <w:p>
                  <w:pPr>
                    <w:pStyle w:val="118"/>
                    <w:rPr>
                      <w:color w:val="auto"/>
                    </w:rPr>
                  </w:pPr>
                  <w:r>
                    <w:rPr>
                      <w:rFonts w:hint="eastAsia"/>
                      <w:color w:val="auto"/>
                    </w:rPr>
                    <w:t>250ml/瓶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2" w:hRule="atLeast"/>
              </w:trPr>
              <w:tc>
                <w:tcPr>
                  <w:tcW w:w="585" w:type="pct"/>
                  <w:vMerge w:val="continue"/>
                  <w:noWrap w:val="0"/>
                  <w:vAlign w:val="center"/>
                </w:tcPr>
                <w:p>
                  <w:pPr>
                    <w:pStyle w:val="118"/>
                    <w:rPr>
                      <w:rFonts w:hint="eastAsia"/>
                      <w:color w:val="auto"/>
                    </w:rPr>
                  </w:pPr>
                </w:p>
              </w:tc>
              <w:tc>
                <w:tcPr>
                  <w:tcW w:w="1771" w:type="pct"/>
                  <w:noWrap w:val="0"/>
                  <w:vAlign w:val="center"/>
                </w:tcPr>
                <w:p>
                  <w:pPr>
                    <w:pStyle w:val="118"/>
                    <w:rPr>
                      <w:rFonts w:hint="eastAsia"/>
                      <w:color w:val="auto"/>
                    </w:rPr>
                  </w:pPr>
                  <w:r>
                    <w:rPr>
                      <w:rFonts w:hint="eastAsia"/>
                      <w:color w:val="auto"/>
                    </w:rPr>
                    <w:t>大宠爱</w:t>
                  </w:r>
                </w:p>
              </w:tc>
              <w:tc>
                <w:tcPr>
                  <w:tcW w:w="672" w:type="pct"/>
                  <w:noWrap w:val="0"/>
                  <w:vAlign w:val="center"/>
                </w:tcPr>
                <w:p>
                  <w:pPr>
                    <w:pStyle w:val="118"/>
                    <w:rPr>
                      <w:color w:val="auto"/>
                    </w:rPr>
                  </w:pPr>
                  <w:r>
                    <w:rPr>
                      <w:rFonts w:hint="eastAsia"/>
                      <w:color w:val="auto"/>
                    </w:rPr>
                    <w:t>30</w:t>
                  </w:r>
                </w:p>
              </w:tc>
              <w:tc>
                <w:tcPr>
                  <w:tcW w:w="758" w:type="pct"/>
                  <w:noWrap w:val="0"/>
                  <w:vAlign w:val="center"/>
                </w:tcPr>
                <w:p>
                  <w:pPr>
                    <w:pStyle w:val="170"/>
                    <w:rPr>
                      <w:color w:val="auto"/>
                    </w:rPr>
                  </w:pPr>
                  <w:r>
                    <w:rPr>
                      <w:rFonts w:hint="eastAsia"/>
                      <w:color w:val="auto"/>
                    </w:rPr>
                    <w:t>盒</w:t>
                  </w:r>
                </w:p>
              </w:tc>
              <w:tc>
                <w:tcPr>
                  <w:tcW w:w="1212" w:type="pct"/>
                  <w:noWrap w:val="0"/>
                  <w:vAlign w:val="center"/>
                </w:tcPr>
                <w:p>
                  <w:pPr>
                    <w:pStyle w:val="118"/>
                    <w:rPr>
                      <w:color w:val="auto"/>
                    </w:rPr>
                  </w:pPr>
                  <w:r>
                    <w:rPr>
                      <w:rFonts w:hint="eastAsia"/>
                      <w:color w:val="auto"/>
                    </w:rPr>
                    <w:t>15mg, 30mg, 45mg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 w:hRule="atLeast"/>
              </w:trPr>
              <w:tc>
                <w:tcPr>
                  <w:tcW w:w="585" w:type="pct"/>
                  <w:vMerge w:val="continue"/>
                  <w:noWrap w:val="0"/>
                  <w:vAlign w:val="center"/>
                </w:tcPr>
                <w:p>
                  <w:pPr>
                    <w:pStyle w:val="118"/>
                    <w:rPr>
                      <w:rFonts w:hint="eastAsia"/>
                      <w:color w:val="auto"/>
                    </w:rPr>
                  </w:pPr>
                </w:p>
              </w:tc>
              <w:tc>
                <w:tcPr>
                  <w:tcW w:w="1771" w:type="pct"/>
                  <w:noWrap w:val="0"/>
                  <w:vAlign w:val="center"/>
                </w:tcPr>
                <w:p>
                  <w:pPr>
                    <w:pStyle w:val="118"/>
                    <w:rPr>
                      <w:rFonts w:hint="eastAsia"/>
                      <w:color w:val="auto"/>
                    </w:rPr>
                  </w:pPr>
                  <w:r>
                    <w:rPr>
                      <w:rFonts w:hint="eastAsia"/>
                      <w:color w:val="auto"/>
                    </w:rPr>
                    <w:t>头孢噻呋钠</w:t>
                  </w:r>
                </w:p>
              </w:tc>
              <w:tc>
                <w:tcPr>
                  <w:tcW w:w="672" w:type="pct"/>
                  <w:noWrap w:val="0"/>
                  <w:vAlign w:val="center"/>
                </w:tcPr>
                <w:p>
                  <w:pPr>
                    <w:pStyle w:val="118"/>
                    <w:rPr>
                      <w:color w:val="auto"/>
                    </w:rPr>
                  </w:pPr>
                  <w:r>
                    <w:rPr>
                      <w:rFonts w:hint="eastAsia"/>
                      <w:color w:val="auto"/>
                    </w:rPr>
                    <w:t>30</w:t>
                  </w:r>
                </w:p>
              </w:tc>
              <w:tc>
                <w:tcPr>
                  <w:tcW w:w="758" w:type="pct"/>
                  <w:noWrap w:val="0"/>
                  <w:vAlign w:val="center"/>
                </w:tcPr>
                <w:p>
                  <w:pPr>
                    <w:pStyle w:val="170"/>
                    <w:rPr>
                      <w:rFonts w:hint="eastAsia"/>
                      <w:color w:val="auto"/>
                    </w:rPr>
                  </w:pPr>
                  <w:r>
                    <w:rPr>
                      <w:rFonts w:hint="eastAsia"/>
                      <w:color w:val="auto"/>
                    </w:rPr>
                    <w:t>盒</w:t>
                  </w:r>
                </w:p>
              </w:tc>
              <w:tc>
                <w:tcPr>
                  <w:tcW w:w="1212" w:type="pct"/>
                  <w:noWrap w:val="0"/>
                  <w:vAlign w:val="center"/>
                </w:tcPr>
                <w:p>
                  <w:pPr>
                    <w:pStyle w:val="118"/>
                    <w:rPr>
                      <w:color w:val="auto"/>
                    </w:rPr>
                  </w:pPr>
                  <w:r>
                    <w:rPr>
                      <w:rFonts w:hint="eastAsia"/>
                      <w:color w:val="auto"/>
                    </w:rPr>
                    <w:t>10支/盒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85" w:type="pct"/>
                  <w:vMerge w:val="continue"/>
                  <w:noWrap w:val="0"/>
                  <w:vAlign w:val="center"/>
                </w:tcPr>
                <w:p>
                  <w:pPr>
                    <w:pStyle w:val="118"/>
                    <w:rPr>
                      <w:rFonts w:hint="eastAsia"/>
                      <w:color w:val="auto"/>
                    </w:rPr>
                  </w:pPr>
                </w:p>
              </w:tc>
              <w:tc>
                <w:tcPr>
                  <w:tcW w:w="1771" w:type="pct"/>
                  <w:noWrap w:val="0"/>
                  <w:vAlign w:val="center"/>
                </w:tcPr>
                <w:p>
                  <w:pPr>
                    <w:pStyle w:val="118"/>
                    <w:rPr>
                      <w:color w:val="auto"/>
                    </w:rPr>
                  </w:pPr>
                  <w:r>
                    <w:rPr>
                      <w:rFonts w:hint="eastAsia"/>
                      <w:color w:val="auto"/>
                    </w:rPr>
                    <w:t>0.9%氯化钠注射液</w:t>
                  </w:r>
                </w:p>
              </w:tc>
              <w:tc>
                <w:tcPr>
                  <w:tcW w:w="672" w:type="pct"/>
                  <w:noWrap w:val="0"/>
                  <w:vAlign w:val="center"/>
                </w:tcPr>
                <w:p>
                  <w:pPr>
                    <w:pStyle w:val="118"/>
                    <w:rPr>
                      <w:color w:val="auto"/>
                    </w:rPr>
                  </w:pPr>
                  <w:r>
                    <w:rPr>
                      <w:rFonts w:hint="eastAsia"/>
                      <w:color w:val="auto"/>
                    </w:rPr>
                    <w:t>3</w:t>
                  </w:r>
                </w:p>
              </w:tc>
              <w:tc>
                <w:tcPr>
                  <w:tcW w:w="758" w:type="pct"/>
                  <w:noWrap w:val="0"/>
                  <w:vAlign w:val="center"/>
                </w:tcPr>
                <w:p>
                  <w:pPr>
                    <w:pStyle w:val="170"/>
                    <w:rPr>
                      <w:rFonts w:hint="eastAsia"/>
                      <w:color w:val="auto"/>
                    </w:rPr>
                  </w:pPr>
                  <w:r>
                    <w:rPr>
                      <w:rFonts w:hint="eastAsia"/>
                      <w:color w:val="auto"/>
                    </w:rPr>
                    <w:t>箱</w:t>
                  </w:r>
                </w:p>
              </w:tc>
              <w:tc>
                <w:tcPr>
                  <w:tcW w:w="1212" w:type="pct"/>
                  <w:noWrap w:val="0"/>
                  <w:vAlign w:val="center"/>
                </w:tcPr>
                <w:p>
                  <w:pPr>
                    <w:pStyle w:val="118"/>
                    <w:rPr>
                      <w:rFonts w:hint="eastAsia"/>
                      <w:color w:val="auto"/>
                    </w:rPr>
                  </w:pPr>
                  <w:r>
                    <w:rPr>
                      <w:rFonts w:hint="eastAsia"/>
                      <w:color w:val="auto"/>
                    </w:rPr>
                    <w:t>500ml/瓶、30瓶/箱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pct"/>
                  <w:vMerge w:val="continue"/>
                  <w:noWrap w:val="0"/>
                  <w:vAlign w:val="center"/>
                </w:tcPr>
                <w:p>
                  <w:pPr>
                    <w:pStyle w:val="118"/>
                    <w:rPr>
                      <w:rFonts w:hint="eastAsia"/>
                      <w:color w:val="auto"/>
                    </w:rPr>
                  </w:pPr>
                </w:p>
              </w:tc>
              <w:tc>
                <w:tcPr>
                  <w:tcW w:w="1771" w:type="pct"/>
                  <w:noWrap w:val="0"/>
                  <w:vAlign w:val="center"/>
                </w:tcPr>
                <w:p>
                  <w:pPr>
                    <w:pStyle w:val="118"/>
                    <w:rPr>
                      <w:color w:val="auto"/>
                    </w:rPr>
                  </w:pPr>
                  <w:r>
                    <w:rPr>
                      <w:rFonts w:hint="eastAsia"/>
                      <w:color w:val="auto"/>
                    </w:rPr>
                    <w:t>5%葡萄糖注射液</w:t>
                  </w:r>
                </w:p>
              </w:tc>
              <w:tc>
                <w:tcPr>
                  <w:tcW w:w="672" w:type="pct"/>
                  <w:noWrap w:val="0"/>
                  <w:vAlign w:val="center"/>
                </w:tcPr>
                <w:p>
                  <w:pPr>
                    <w:pStyle w:val="118"/>
                    <w:rPr>
                      <w:color w:val="auto"/>
                    </w:rPr>
                  </w:pPr>
                  <w:r>
                    <w:rPr>
                      <w:rFonts w:hint="eastAsia"/>
                      <w:color w:val="auto"/>
                    </w:rPr>
                    <w:t>4</w:t>
                  </w:r>
                </w:p>
              </w:tc>
              <w:tc>
                <w:tcPr>
                  <w:tcW w:w="758" w:type="pct"/>
                  <w:noWrap w:val="0"/>
                  <w:vAlign w:val="center"/>
                </w:tcPr>
                <w:p>
                  <w:pPr>
                    <w:pStyle w:val="170"/>
                    <w:rPr>
                      <w:rFonts w:hint="eastAsia"/>
                      <w:color w:val="auto"/>
                    </w:rPr>
                  </w:pPr>
                  <w:r>
                    <w:rPr>
                      <w:rFonts w:hint="eastAsia"/>
                      <w:color w:val="auto"/>
                    </w:rPr>
                    <w:t>箱</w:t>
                  </w:r>
                </w:p>
              </w:tc>
              <w:tc>
                <w:tcPr>
                  <w:tcW w:w="1212" w:type="pct"/>
                  <w:noWrap w:val="0"/>
                  <w:vAlign w:val="center"/>
                </w:tcPr>
                <w:p>
                  <w:pPr>
                    <w:pStyle w:val="118"/>
                    <w:rPr>
                      <w:color w:val="auto"/>
                    </w:rPr>
                  </w:pPr>
                  <w:r>
                    <w:rPr>
                      <w:rFonts w:hint="eastAsia"/>
                      <w:color w:val="auto"/>
                    </w:rPr>
                    <w:t>500ml/瓶、30瓶/箱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85" w:type="pct"/>
                  <w:vMerge w:val="continue"/>
                  <w:noWrap w:val="0"/>
                  <w:vAlign w:val="center"/>
                </w:tcPr>
                <w:p>
                  <w:pPr>
                    <w:pStyle w:val="118"/>
                    <w:rPr>
                      <w:rFonts w:hint="eastAsia"/>
                      <w:color w:val="auto"/>
                    </w:rPr>
                  </w:pPr>
                </w:p>
              </w:tc>
              <w:tc>
                <w:tcPr>
                  <w:tcW w:w="1771" w:type="pct"/>
                  <w:noWrap w:val="0"/>
                  <w:vAlign w:val="center"/>
                </w:tcPr>
                <w:p>
                  <w:pPr>
                    <w:pStyle w:val="118"/>
                    <w:rPr>
                      <w:rFonts w:hint="eastAsia"/>
                      <w:color w:val="auto"/>
                    </w:rPr>
                  </w:pPr>
                  <w:r>
                    <w:rPr>
                      <w:rFonts w:hint="eastAsia"/>
                      <w:color w:val="auto"/>
                    </w:rPr>
                    <w:t>碘伏</w:t>
                  </w:r>
                </w:p>
              </w:tc>
              <w:tc>
                <w:tcPr>
                  <w:tcW w:w="672" w:type="pct"/>
                  <w:noWrap w:val="0"/>
                  <w:vAlign w:val="center"/>
                </w:tcPr>
                <w:p>
                  <w:pPr>
                    <w:pStyle w:val="118"/>
                    <w:rPr>
                      <w:rFonts w:hint="eastAsia"/>
                      <w:color w:val="auto"/>
                    </w:rPr>
                  </w:pPr>
                  <w:r>
                    <w:rPr>
                      <w:rFonts w:hint="eastAsia"/>
                      <w:color w:val="auto"/>
                    </w:rPr>
                    <w:t>6</w:t>
                  </w:r>
                </w:p>
              </w:tc>
              <w:tc>
                <w:tcPr>
                  <w:tcW w:w="758" w:type="pct"/>
                  <w:noWrap w:val="0"/>
                  <w:vAlign w:val="center"/>
                </w:tcPr>
                <w:p>
                  <w:pPr>
                    <w:pStyle w:val="170"/>
                    <w:rPr>
                      <w:rFonts w:hint="eastAsia"/>
                      <w:color w:val="auto"/>
                    </w:rPr>
                  </w:pPr>
                  <w:r>
                    <w:rPr>
                      <w:rFonts w:hint="eastAsia"/>
                      <w:color w:val="auto"/>
                    </w:rPr>
                    <w:t>瓶</w:t>
                  </w:r>
                </w:p>
              </w:tc>
              <w:tc>
                <w:tcPr>
                  <w:tcW w:w="1212" w:type="pct"/>
                  <w:noWrap w:val="0"/>
                  <w:vAlign w:val="center"/>
                </w:tcPr>
                <w:p>
                  <w:pPr>
                    <w:pStyle w:val="118"/>
                    <w:rPr>
                      <w:color w:val="auto"/>
                    </w:rPr>
                  </w:pPr>
                  <w:r>
                    <w:rPr>
                      <w:rFonts w:hint="eastAsia"/>
                      <w:color w:val="auto"/>
                    </w:rPr>
                    <w:t>500ml/瓶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585" w:type="pct"/>
                  <w:vMerge w:val="continue"/>
                  <w:noWrap w:val="0"/>
                  <w:vAlign w:val="center"/>
                </w:tcPr>
                <w:p>
                  <w:pPr>
                    <w:pStyle w:val="118"/>
                    <w:rPr>
                      <w:rFonts w:hint="eastAsia"/>
                      <w:color w:val="auto"/>
                    </w:rPr>
                  </w:pPr>
                </w:p>
              </w:tc>
              <w:tc>
                <w:tcPr>
                  <w:tcW w:w="1771" w:type="pct"/>
                  <w:noWrap w:val="0"/>
                  <w:vAlign w:val="center"/>
                </w:tcPr>
                <w:p>
                  <w:pPr>
                    <w:pStyle w:val="118"/>
                    <w:rPr>
                      <w:rFonts w:hint="eastAsia"/>
                      <w:color w:val="auto"/>
                    </w:rPr>
                  </w:pPr>
                  <w:r>
                    <w:rPr>
                      <w:rFonts w:hint="eastAsia"/>
                      <w:color w:val="auto"/>
                    </w:rPr>
                    <w:t>酒精</w:t>
                  </w:r>
                </w:p>
              </w:tc>
              <w:tc>
                <w:tcPr>
                  <w:tcW w:w="672" w:type="pct"/>
                  <w:noWrap w:val="0"/>
                  <w:vAlign w:val="center"/>
                </w:tcPr>
                <w:p>
                  <w:pPr>
                    <w:pStyle w:val="118"/>
                    <w:rPr>
                      <w:color w:val="auto"/>
                    </w:rPr>
                  </w:pPr>
                  <w:r>
                    <w:rPr>
                      <w:rFonts w:hint="eastAsia"/>
                      <w:color w:val="auto"/>
                    </w:rPr>
                    <w:t>5</w:t>
                  </w:r>
                </w:p>
              </w:tc>
              <w:tc>
                <w:tcPr>
                  <w:tcW w:w="758" w:type="pct"/>
                  <w:noWrap w:val="0"/>
                  <w:vAlign w:val="center"/>
                </w:tcPr>
                <w:p>
                  <w:pPr>
                    <w:pStyle w:val="170"/>
                    <w:rPr>
                      <w:rFonts w:hint="eastAsia"/>
                      <w:color w:val="auto"/>
                    </w:rPr>
                  </w:pPr>
                  <w:r>
                    <w:rPr>
                      <w:rFonts w:hint="eastAsia"/>
                      <w:color w:val="auto"/>
                    </w:rPr>
                    <w:t>瓶</w:t>
                  </w:r>
                </w:p>
              </w:tc>
              <w:tc>
                <w:tcPr>
                  <w:tcW w:w="1212" w:type="pct"/>
                  <w:vMerge w:val="restart"/>
                  <w:noWrap w:val="0"/>
                  <w:vAlign w:val="center"/>
                </w:tcPr>
                <w:p>
                  <w:pPr>
                    <w:pStyle w:val="118"/>
                    <w:rPr>
                      <w:color w:val="auto"/>
                    </w:rPr>
                  </w:pPr>
                  <w:r>
                    <w:rPr>
                      <w:rFonts w:hint="eastAsia"/>
                      <w:color w:val="auto"/>
                    </w:rPr>
                    <w:t>2.5L/瓶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trPr>
              <w:tc>
                <w:tcPr>
                  <w:tcW w:w="585" w:type="pct"/>
                  <w:vMerge w:val="continue"/>
                  <w:noWrap w:val="0"/>
                  <w:vAlign w:val="center"/>
                </w:tcPr>
                <w:p>
                  <w:pPr>
                    <w:pStyle w:val="118"/>
                    <w:rPr>
                      <w:rFonts w:hint="eastAsia"/>
                      <w:color w:val="auto"/>
                    </w:rPr>
                  </w:pPr>
                </w:p>
              </w:tc>
              <w:tc>
                <w:tcPr>
                  <w:tcW w:w="1771" w:type="pct"/>
                  <w:noWrap w:val="0"/>
                  <w:vAlign w:val="center"/>
                </w:tcPr>
                <w:p>
                  <w:pPr>
                    <w:pStyle w:val="118"/>
                    <w:rPr>
                      <w:rFonts w:hint="eastAsia"/>
                      <w:color w:val="auto"/>
                    </w:rPr>
                  </w:pPr>
                  <w:r>
                    <w:rPr>
                      <w:rFonts w:hint="eastAsia"/>
                      <w:color w:val="auto"/>
                    </w:rPr>
                    <w:t>二氧化氯泡腾片（溶解后释放的二氧化氯纯度≥98%）</w:t>
                  </w:r>
                </w:p>
              </w:tc>
              <w:tc>
                <w:tcPr>
                  <w:tcW w:w="672" w:type="pct"/>
                  <w:noWrap w:val="0"/>
                  <w:vAlign w:val="center"/>
                </w:tcPr>
                <w:p>
                  <w:pPr>
                    <w:pStyle w:val="118"/>
                    <w:rPr>
                      <w:color w:val="auto"/>
                    </w:rPr>
                  </w:pPr>
                  <w:r>
                    <w:rPr>
                      <w:rFonts w:hint="eastAsia"/>
                      <w:color w:val="auto"/>
                    </w:rPr>
                    <w:t>30</w:t>
                  </w:r>
                </w:p>
              </w:tc>
              <w:tc>
                <w:tcPr>
                  <w:tcW w:w="758" w:type="pct"/>
                  <w:noWrap w:val="0"/>
                  <w:vAlign w:val="center"/>
                </w:tcPr>
                <w:p>
                  <w:pPr>
                    <w:pStyle w:val="170"/>
                    <w:rPr>
                      <w:color w:val="auto"/>
                    </w:rPr>
                  </w:pPr>
                  <w:r>
                    <w:rPr>
                      <w:rFonts w:hint="eastAsia"/>
                      <w:color w:val="auto"/>
                    </w:rPr>
                    <w:t>瓶</w:t>
                  </w:r>
                </w:p>
              </w:tc>
              <w:tc>
                <w:tcPr>
                  <w:tcW w:w="1212" w:type="pct"/>
                  <w:vMerge w:val="continue"/>
                  <w:noWrap w:val="0"/>
                  <w:vAlign w:val="center"/>
                </w:tcPr>
                <w:p>
                  <w:pPr>
                    <w:pStyle w:val="118"/>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trPr>
              <w:tc>
                <w:tcPr>
                  <w:tcW w:w="585" w:type="pct"/>
                  <w:vMerge w:val="continue"/>
                  <w:noWrap w:val="0"/>
                  <w:vAlign w:val="center"/>
                </w:tcPr>
                <w:p>
                  <w:pPr>
                    <w:pStyle w:val="118"/>
                    <w:rPr>
                      <w:rFonts w:hint="eastAsia"/>
                      <w:color w:val="auto"/>
                    </w:rPr>
                  </w:pPr>
                </w:p>
              </w:tc>
              <w:tc>
                <w:tcPr>
                  <w:tcW w:w="1771" w:type="pct"/>
                  <w:noWrap w:val="0"/>
                  <w:vAlign w:val="center"/>
                </w:tcPr>
                <w:p>
                  <w:pPr>
                    <w:pStyle w:val="118"/>
                    <w:rPr>
                      <w:rFonts w:hint="eastAsia"/>
                      <w:color w:val="auto"/>
                    </w:rPr>
                  </w:pPr>
                  <w:r>
                    <w:rPr>
                      <w:rFonts w:hint="eastAsia"/>
                      <w:color w:val="auto"/>
                    </w:rPr>
                    <w:t>月苄三甲氯铵溶液</w:t>
                  </w:r>
                </w:p>
              </w:tc>
              <w:tc>
                <w:tcPr>
                  <w:tcW w:w="672" w:type="pct"/>
                  <w:noWrap w:val="0"/>
                  <w:vAlign w:val="center"/>
                </w:tcPr>
                <w:p>
                  <w:pPr>
                    <w:pStyle w:val="118"/>
                    <w:rPr>
                      <w:color w:val="auto"/>
                    </w:rPr>
                  </w:pPr>
                  <w:r>
                    <w:rPr>
                      <w:rFonts w:hint="eastAsia"/>
                      <w:color w:val="auto"/>
                    </w:rPr>
                    <w:t>50</w:t>
                  </w:r>
                </w:p>
              </w:tc>
              <w:tc>
                <w:tcPr>
                  <w:tcW w:w="758" w:type="pct"/>
                  <w:noWrap w:val="0"/>
                  <w:vAlign w:val="center"/>
                </w:tcPr>
                <w:p>
                  <w:pPr>
                    <w:pStyle w:val="170"/>
                    <w:rPr>
                      <w:rFonts w:hint="eastAsia"/>
                      <w:color w:val="auto"/>
                    </w:rPr>
                  </w:pPr>
                  <w:r>
                    <w:rPr>
                      <w:rFonts w:hint="eastAsia"/>
                      <w:color w:val="auto"/>
                    </w:rPr>
                    <w:t>瓶</w:t>
                  </w:r>
                </w:p>
              </w:tc>
              <w:tc>
                <w:tcPr>
                  <w:tcW w:w="1212" w:type="pct"/>
                  <w:vMerge w:val="continue"/>
                  <w:noWrap w:val="0"/>
                  <w:vAlign w:val="center"/>
                </w:tcPr>
                <w:p>
                  <w:pPr>
                    <w:pStyle w:val="118"/>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5" w:hRule="atLeast"/>
              </w:trPr>
              <w:tc>
                <w:tcPr>
                  <w:tcW w:w="585" w:type="pct"/>
                  <w:vMerge w:val="restart"/>
                  <w:noWrap w:val="0"/>
                  <w:vAlign w:val="center"/>
                </w:tcPr>
                <w:p>
                  <w:pPr>
                    <w:pStyle w:val="118"/>
                    <w:rPr>
                      <w:rFonts w:hint="eastAsia"/>
                      <w:color w:val="auto"/>
                    </w:rPr>
                  </w:pPr>
                </w:p>
                <w:p>
                  <w:pPr>
                    <w:pStyle w:val="118"/>
                    <w:rPr>
                      <w:rFonts w:hint="eastAsia"/>
                      <w:color w:val="auto"/>
                    </w:rPr>
                  </w:pPr>
                  <w:r>
                    <w:rPr>
                      <w:rFonts w:hint="eastAsia"/>
                      <w:color w:val="auto"/>
                    </w:rPr>
                    <w:t>医疗耗材</w:t>
                  </w:r>
                </w:p>
              </w:tc>
              <w:tc>
                <w:tcPr>
                  <w:tcW w:w="1771" w:type="pct"/>
                  <w:noWrap w:val="0"/>
                  <w:vAlign w:val="center"/>
                </w:tcPr>
                <w:p>
                  <w:pPr>
                    <w:pStyle w:val="118"/>
                    <w:rPr>
                      <w:rFonts w:hint="eastAsia"/>
                      <w:color w:val="auto"/>
                    </w:rPr>
                  </w:pPr>
                  <w:r>
                    <w:rPr>
                      <w:rFonts w:hint="eastAsia"/>
                      <w:color w:val="auto"/>
                    </w:rPr>
                    <w:t>医疗器材</w:t>
                  </w:r>
                </w:p>
              </w:tc>
              <w:tc>
                <w:tcPr>
                  <w:tcW w:w="672" w:type="pct"/>
                  <w:noWrap w:val="0"/>
                  <w:vAlign w:val="center"/>
                </w:tcPr>
                <w:p>
                  <w:pPr>
                    <w:pStyle w:val="118"/>
                    <w:rPr>
                      <w:color w:val="auto"/>
                    </w:rPr>
                  </w:pPr>
                  <w:r>
                    <w:rPr>
                      <w:rFonts w:hint="eastAsia"/>
                      <w:color w:val="auto"/>
                    </w:rPr>
                    <w:t>10</w:t>
                  </w:r>
                </w:p>
              </w:tc>
              <w:tc>
                <w:tcPr>
                  <w:tcW w:w="758" w:type="pct"/>
                  <w:noWrap w:val="0"/>
                  <w:vAlign w:val="center"/>
                </w:tcPr>
                <w:p>
                  <w:pPr>
                    <w:pStyle w:val="118"/>
                    <w:rPr>
                      <w:color w:val="auto"/>
                    </w:rPr>
                  </w:pPr>
                  <w:r>
                    <w:rPr>
                      <w:rFonts w:hint="eastAsia"/>
                      <w:color w:val="auto"/>
                    </w:rPr>
                    <w:t>kg</w:t>
                  </w:r>
                </w:p>
              </w:tc>
              <w:tc>
                <w:tcPr>
                  <w:tcW w:w="1212" w:type="pct"/>
                  <w:noWrap w:val="0"/>
                  <w:vAlign w:val="center"/>
                </w:tcPr>
                <w:p>
                  <w:pPr>
                    <w:pStyle w:val="118"/>
                    <w:rPr>
                      <w:rFonts w:hint="eastAsia"/>
                      <w:color w:val="auto"/>
                    </w:rPr>
                  </w:pPr>
                  <w:r>
                    <w:rPr>
                      <w:rFonts w:hint="eastAsia"/>
                      <w:color w:val="auto"/>
                    </w:rPr>
                    <w:t>含一次性针管、输液袋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585" w:type="pct"/>
                  <w:vMerge w:val="continue"/>
                  <w:noWrap w:val="0"/>
                  <w:vAlign w:val="center"/>
                </w:tcPr>
                <w:p>
                  <w:pPr>
                    <w:pStyle w:val="118"/>
                    <w:rPr>
                      <w:rFonts w:hint="eastAsia"/>
                      <w:color w:val="auto"/>
                    </w:rPr>
                  </w:pPr>
                </w:p>
              </w:tc>
              <w:tc>
                <w:tcPr>
                  <w:tcW w:w="1771" w:type="pct"/>
                  <w:noWrap w:val="0"/>
                  <w:vAlign w:val="center"/>
                </w:tcPr>
                <w:p>
                  <w:pPr>
                    <w:pStyle w:val="118"/>
                    <w:rPr>
                      <w:rFonts w:hint="eastAsia"/>
                      <w:color w:val="auto"/>
                    </w:rPr>
                  </w:pPr>
                  <w:r>
                    <w:rPr>
                      <w:rFonts w:hint="eastAsia"/>
                      <w:color w:val="auto"/>
                    </w:rPr>
                    <w:t>棉签</w:t>
                  </w:r>
                </w:p>
              </w:tc>
              <w:tc>
                <w:tcPr>
                  <w:tcW w:w="672" w:type="pct"/>
                  <w:noWrap w:val="0"/>
                  <w:vAlign w:val="center"/>
                </w:tcPr>
                <w:p>
                  <w:pPr>
                    <w:pStyle w:val="118"/>
                    <w:rPr>
                      <w:color w:val="auto"/>
                    </w:rPr>
                  </w:pPr>
                  <w:r>
                    <w:rPr>
                      <w:rFonts w:hint="eastAsia"/>
                      <w:color w:val="auto"/>
                    </w:rPr>
                    <w:t>20</w:t>
                  </w:r>
                </w:p>
              </w:tc>
              <w:tc>
                <w:tcPr>
                  <w:tcW w:w="758" w:type="pct"/>
                  <w:noWrap w:val="0"/>
                  <w:vAlign w:val="center"/>
                </w:tcPr>
                <w:p>
                  <w:pPr>
                    <w:pStyle w:val="118"/>
                    <w:rPr>
                      <w:rFonts w:hint="eastAsia"/>
                      <w:color w:val="auto"/>
                    </w:rPr>
                  </w:pPr>
                  <w:r>
                    <w:rPr>
                      <w:rFonts w:hint="eastAsia"/>
                      <w:color w:val="auto"/>
                    </w:rPr>
                    <w:t>袋</w:t>
                  </w:r>
                </w:p>
              </w:tc>
              <w:tc>
                <w:tcPr>
                  <w:tcW w:w="1212" w:type="pct"/>
                  <w:noWrap w:val="0"/>
                  <w:vAlign w:val="center"/>
                </w:tcPr>
                <w:p>
                  <w:pPr>
                    <w:pStyle w:val="118"/>
                    <w:rPr>
                      <w:color w:val="auto"/>
                    </w:rPr>
                  </w:pPr>
                  <w:r>
                    <w:rPr>
                      <w:rFonts w:hint="eastAsia"/>
                      <w:color w:val="auto"/>
                    </w:rPr>
                    <w:t>10-12cm不等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trPr>
              <w:tc>
                <w:tcPr>
                  <w:tcW w:w="585" w:type="pct"/>
                  <w:vMerge w:val="continue"/>
                  <w:noWrap w:val="0"/>
                  <w:vAlign w:val="center"/>
                </w:tcPr>
                <w:p>
                  <w:pPr>
                    <w:pStyle w:val="118"/>
                    <w:rPr>
                      <w:rFonts w:hint="eastAsia"/>
                      <w:color w:val="auto"/>
                    </w:rPr>
                  </w:pPr>
                </w:p>
              </w:tc>
              <w:tc>
                <w:tcPr>
                  <w:tcW w:w="1771" w:type="pct"/>
                  <w:noWrap w:val="0"/>
                  <w:vAlign w:val="center"/>
                </w:tcPr>
                <w:p>
                  <w:pPr>
                    <w:pStyle w:val="118"/>
                    <w:rPr>
                      <w:rFonts w:hint="eastAsia"/>
                      <w:color w:val="auto"/>
                    </w:rPr>
                  </w:pPr>
                  <w:r>
                    <w:rPr>
                      <w:rFonts w:hint="eastAsia"/>
                      <w:color w:val="auto"/>
                    </w:rPr>
                    <w:t>带线缝合针</w:t>
                  </w:r>
                </w:p>
              </w:tc>
              <w:tc>
                <w:tcPr>
                  <w:tcW w:w="672" w:type="pct"/>
                  <w:noWrap w:val="0"/>
                  <w:vAlign w:val="center"/>
                </w:tcPr>
                <w:p>
                  <w:pPr>
                    <w:pStyle w:val="118"/>
                    <w:rPr>
                      <w:color w:val="auto"/>
                    </w:rPr>
                  </w:pPr>
                  <w:r>
                    <w:rPr>
                      <w:rFonts w:hint="eastAsia"/>
                      <w:color w:val="auto"/>
                    </w:rPr>
                    <w:t>15</w:t>
                  </w:r>
                </w:p>
              </w:tc>
              <w:tc>
                <w:tcPr>
                  <w:tcW w:w="758" w:type="pct"/>
                  <w:noWrap w:val="0"/>
                  <w:vAlign w:val="center"/>
                </w:tcPr>
                <w:p>
                  <w:pPr>
                    <w:pStyle w:val="118"/>
                    <w:rPr>
                      <w:rFonts w:hint="eastAsia"/>
                      <w:color w:val="auto"/>
                    </w:rPr>
                  </w:pPr>
                  <w:r>
                    <w:rPr>
                      <w:rFonts w:hint="eastAsia"/>
                      <w:color w:val="auto"/>
                    </w:rPr>
                    <w:t>盒</w:t>
                  </w:r>
                </w:p>
              </w:tc>
              <w:tc>
                <w:tcPr>
                  <w:tcW w:w="1212" w:type="pct"/>
                  <w:noWrap w:val="0"/>
                  <w:vAlign w:val="center"/>
                </w:tcPr>
                <w:p>
                  <w:pPr>
                    <w:pStyle w:val="118"/>
                    <w:rPr>
                      <w:color w:val="auto"/>
                    </w:rPr>
                  </w:pPr>
                  <w:r>
                    <w:rPr>
                      <w:rFonts w:hint="eastAsia"/>
                      <w:color w:val="auto"/>
                    </w:rPr>
                    <w:t>2-0,3-0,4-0,5-0,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pct"/>
                  <w:vMerge w:val="continue"/>
                  <w:noWrap w:val="0"/>
                  <w:vAlign w:val="center"/>
                </w:tcPr>
                <w:p>
                  <w:pPr>
                    <w:pStyle w:val="118"/>
                    <w:rPr>
                      <w:rFonts w:hint="eastAsia"/>
                      <w:color w:val="auto"/>
                    </w:rPr>
                  </w:pPr>
                </w:p>
              </w:tc>
              <w:tc>
                <w:tcPr>
                  <w:tcW w:w="1771" w:type="pct"/>
                  <w:noWrap w:val="0"/>
                  <w:vAlign w:val="center"/>
                </w:tcPr>
                <w:p>
                  <w:pPr>
                    <w:pStyle w:val="118"/>
                    <w:rPr>
                      <w:color w:val="auto"/>
                    </w:rPr>
                  </w:pPr>
                  <w:r>
                    <w:rPr>
                      <w:rFonts w:hint="eastAsia"/>
                      <w:color w:val="auto"/>
                    </w:rPr>
                    <w:t>纱布块</w:t>
                  </w:r>
                </w:p>
              </w:tc>
              <w:tc>
                <w:tcPr>
                  <w:tcW w:w="672" w:type="pct"/>
                  <w:noWrap w:val="0"/>
                  <w:vAlign w:val="center"/>
                </w:tcPr>
                <w:p>
                  <w:pPr>
                    <w:pStyle w:val="118"/>
                    <w:rPr>
                      <w:color w:val="auto"/>
                    </w:rPr>
                  </w:pPr>
                  <w:r>
                    <w:rPr>
                      <w:rFonts w:hint="eastAsia"/>
                      <w:color w:val="auto"/>
                    </w:rPr>
                    <w:t>5</w:t>
                  </w:r>
                </w:p>
              </w:tc>
              <w:tc>
                <w:tcPr>
                  <w:tcW w:w="758" w:type="pct"/>
                  <w:noWrap w:val="0"/>
                  <w:vAlign w:val="center"/>
                </w:tcPr>
                <w:p>
                  <w:pPr>
                    <w:pStyle w:val="118"/>
                    <w:rPr>
                      <w:rFonts w:hint="eastAsia"/>
                      <w:color w:val="auto"/>
                    </w:rPr>
                  </w:pPr>
                  <w:r>
                    <w:rPr>
                      <w:rFonts w:hint="eastAsia"/>
                      <w:color w:val="auto"/>
                    </w:rPr>
                    <w:t>袋</w:t>
                  </w:r>
                </w:p>
              </w:tc>
              <w:tc>
                <w:tcPr>
                  <w:tcW w:w="1212" w:type="pct"/>
                  <w:noWrap w:val="0"/>
                  <w:vAlign w:val="center"/>
                </w:tcPr>
                <w:p>
                  <w:pPr>
                    <w:pStyle w:val="118"/>
                    <w:rPr>
                      <w:rFonts w:hint="eastAsia"/>
                      <w:color w:val="auto"/>
                    </w:rPr>
                  </w:pPr>
                  <w:r>
                    <w:rPr>
                      <w:rFonts w:hint="eastAsia"/>
                      <w:color w:val="aut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3" w:hRule="atLeast"/>
              </w:trPr>
              <w:tc>
                <w:tcPr>
                  <w:tcW w:w="585" w:type="pct"/>
                  <w:vMerge w:val="continue"/>
                  <w:noWrap w:val="0"/>
                  <w:vAlign w:val="center"/>
                </w:tcPr>
                <w:p>
                  <w:pPr>
                    <w:pStyle w:val="118"/>
                    <w:rPr>
                      <w:rFonts w:hint="eastAsia"/>
                      <w:color w:val="auto"/>
                    </w:rPr>
                  </w:pPr>
                </w:p>
              </w:tc>
              <w:tc>
                <w:tcPr>
                  <w:tcW w:w="1771" w:type="pct"/>
                  <w:noWrap w:val="0"/>
                  <w:vAlign w:val="center"/>
                </w:tcPr>
                <w:p>
                  <w:pPr>
                    <w:pStyle w:val="118"/>
                    <w:rPr>
                      <w:rFonts w:hint="eastAsia"/>
                      <w:color w:val="auto"/>
                    </w:rPr>
                  </w:pPr>
                  <w:r>
                    <w:rPr>
                      <w:rFonts w:hint="eastAsia"/>
                      <w:color w:val="auto"/>
                    </w:rPr>
                    <w:t>棉球</w:t>
                  </w:r>
                </w:p>
              </w:tc>
              <w:tc>
                <w:tcPr>
                  <w:tcW w:w="672" w:type="pct"/>
                  <w:noWrap w:val="0"/>
                  <w:vAlign w:val="center"/>
                </w:tcPr>
                <w:p>
                  <w:pPr>
                    <w:pStyle w:val="118"/>
                    <w:rPr>
                      <w:color w:val="auto"/>
                    </w:rPr>
                  </w:pPr>
                  <w:r>
                    <w:rPr>
                      <w:rFonts w:hint="eastAsia"/>
                      <w:color w:val="auto"/>
                    </w:rPr>
                    <w:t>2</w:t>
                  </w:r>
                </w:p>
              </w:tc>
              <w:tc>
                <w:tcPr>
                  <w:tcW w:w="758" w:type="pct"/>
                  <w:noWrap w:val="0"/>
                  <w:vAlign w:val="center"/>
                </w:tcPr>
                <w:p>
                  <w:pPr>
                    <w:pStyle w:val="118"/>
                    <w:rPr>
                      <w:color w:val="auto"/>
                    </w:rPr>
                  </w:pPr>
                  <w:r>
                    <w:rPr>
                      <w:rFonts w:hint="eastAsia"/>
                      <w:color w:val="auto"/>
                    </w:rPr>
                    <w:t>包</w:t>
                  </w:r>
                </w:p>
              </w:tc>
              <w:tc>
                <w:tcPr>
                  <w:tcW w:w="1212" w:type="pct"/>
                  <w:noWrap w:val="0"/>
                  <w:vAlign w:val="center"/>
                </w:tcPr>
                <w:p>
                  <w:pPr>
                    <w:pStyle w:val="118"/>
                    <w:rPr>
                      <w:color w:val="auto"/>
                    </w:rPr>
                  </w:pPr>
                  <w:r>
                    <w:rPr>
                      <w:rFonts w:hint="eastAsia"/>
                      <w:color w:val="auto"/>
                    </w:rPr>
                    <w:t>500g/包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7" w:hRule="atLeast"/>
              </w:trPr>
              <w:tc>
                <w:tcPr>
                  <w:tcW w:w="585" w:type="pct"/>
                  <w:vMerge w:val="continue"/>
                  <w:noWrap w:val="0"/>
                  <w:vAlign w:val="center"/>
                </w:tcPr>
                <w:p>
                  <w:pPr>
                    <w:pStyle w:val="118"/>
                    <w:rPr>
                      <w:rFonts w:hint="eastAsia"/>
                      <w:color w:val="auto"/>
                    </w:rPr>
                  </w:pPr>
                </w:p>
              </w:tc>
              <w:tc>
                <w:tcPr>
                  <w:tcW w:w="1771" w:type="pct"/>
                  <w:noWrap w:val="0"/>
                  <w:vAlign w:val="center"/>
                </w:tcPr>
                <w:p>
                  <w:pPr>
                    <w:pStyle w:val="118"/>
                    <w:rPr>
                      <w:rFonts w:hint="eastAsia"/>
                      <w:color w:val="auto"/>
                    </w:rPr>
                  </w:pPr>
                  <w:r>
                    <w:rPr>
                      <w:rFonts w:hint="eastAsia"/>
                      <w:color w:val="auto"/>
                    </w:rPr>
                    <w:t>口罩</w:t>
                  </w:r>
                </w:p>
              </w:tc>
              <w:tc>
                <w:tcPr>
                  <w:tcW w:w="672" w:type="pct"/>
                  <w:noWrap w:val="0"/>
                  <w:vAlign w:val="center"/>
                </w:tcPr>
                <w:p>
                  <w:pPr>
                    <w:pStyle w:val="118"/>
                    <w:rPr>
                      <w:color w:val="auto"/>
                    </w:rPr>
                  </w:pPr>
                  <w:r>
                    <w:rPr>
                      <w:rFonts w:hint="eastAsia"/>
                      <w:color w:val="auto"/>
                    </w:rPr>
                    <w:t>5</w:t>
                  </w:r>
                </w:p>
              </w:tc>
              <w:tc>
                <w:tcPr>
                  <w:tcW w:w="758" w:type="pct"/>
                  <w:noWrap w:val="0"/>
                  <w:vAlign w:val="center"/>
                </w:tcPr>
                <w:p>
                  <w:pPr>
                    <w:pStyle w:val="118"/>
                    <w:rPr>
                      <w:rFonts w:hint="eastAsia"/>
                      <w:color w:val="auto"/>
                    </w:rPr>
                  </w:pPr>
                  <w:r>
                    <w:rPr>
                      <w:rFonts w:hint="eastAsia"/>
                      <w:color w:val="auto"/>
                    </w:rPr>
                    <w:t>盒</w:t>
                  </w:r>
                </w:p>
              </w:tc>
              <w:tc>
                <w:tcPr>
                  <w:tcW w:w="1212" w:type="pct"/>
                  <w:noWrap w:val="0"/>
                  <w:vAlign w:val="center"/>
                </w:tcPr>
                <w:p>
                  <w:pPr>
                    <w:pStyle w:val="118"/>
                    <w:rPr>
                      <w:color w:val="auto"/>
                    </w:rPr>
                  </w:pPr>
                  <w:r>
                    <w:rPr>
                      <w:rFonts w:hint="eastAsia"/>
                      <w:color w:val="auto"/>
                    </w:rPr>
                    <w:t>100个/盒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pct"/>
                  <w:vMerge w:val="restart"/>
                  <w:noWrap w:val="0"/>
                  <w:vAlign w:val="center"/>
                </w:tcPr>
                <w:p>
                  <w:pPr>
                    <w:pStyle w:val="118"/>
                    <w:rPr>
                      <w:rFonts w:hint="eastAsia"/>
                      <w:color w:val="auto"/>
                    </w:rPr>
                  </w:pPr>
                  <w:r>
                    <w:rPr>
                      <w:rFonts w:hint="eastAsia"/>
                      <w:color w:val="auto"/>
                    </w:rPr>
                    <w:t>能源</w:t>
                  </w:r>
                </w:p>
              </w:tc>
              <w:tc>
                <w:tcPr>
                  <w:tcW w:w="1771" w:type="pct"/>
                  <w:noWrap w:val="0"/>
                  <w:vAlign w:val="center"/>
                </w:tcPr>
                <w:p>
                  <w:pPr>
                    <w:pStyle w:val="118"/>
                    <w:rPr>
                      <w:rFonts w:hint="eastAsia"/>
                      <w:color w:val="auto"/>
                    </w:rPr>
                  </w:pPr>
                  <w:r>
                    <w:rPr>
                      <w:rFonts w:hint="eastAsia"/>
                      <w:color w:val="auto"/>
                    </w:rPr>
                    <w:t>水</w:t>
                  </w:r>
                </w:p>
              </w:tc>
              <w:tc>
                <w:tcPr>
                  <w:tcW w:w="672" w:type="pct"/>
                  <w:noWrap w:val="0"/>
                  <w:vAlign w:val="center"/>
                </w:tcPr>
                <w:p>
                  <w:pPr>
                    <w:pStyle w:val="118"/>
                    <w:rPr>
                      <w:color w:val="auto"/>
                    </w:rPr>
                  </w:pPr>
                  <w:r>
                    <w:rPr>
                      <w:rFonts w:hint="eastAsia"/>
                      <w:color w:val="auto"/>
                    </w:rPr>
                    <w:t>569.4</w:t>
                  </w:r>
                </w:p>
              </w:tc>
              <w:tc>
                <w:tcPr>
                  <w:tcW w:w="758" w:type="pct"/>
                  <w:noWrap w:val="0"/>
                  <w:vAlign w:val="center"/>
                </w:tcPr>
                <w:p>
                  <w:pPr>
                    <w:pStyle w:val="118"/>
                    <w:rPr>
                      <w:color w:val="auto"/>
                    </w:rPr>
                  </w:pPr>
                  <w:r>
                    <w:rPr>
                      <w:rFonts w:hint="eastAsia"/>
                      <w:color w:val="auto"/>
                    </w:rPr>
                    <w:t>m</w:t>
                  </w:r>
                  <w:r>
                    <w:rPr>
                      <w:rFonts w:hint="eastAsia"/>
                      <w:color w:val="auto"/>
                      <w:vertAlign w:val="superscript"/>
                    </w:rPr>
                    <w:t>3</w:t>
                  </w:r>
                  <w:r>
                    <w:rPr>
                      <w:rFonts w:hint="eastAsia"/>
                      <w:color w:val="auto"/>
                    </w:rPr>
                    <w:t>/a</w:t>
                  </w:r>
                </w:p>
              </w:tc>
              <w:tc>
                <w:tcPr>
                  <w:tcW w:w="1212" w:type="pct"/>
                  <w:noWrap w:val="0"/>
                  <w:vAlign w:val="center"/>
                </w:tcPr>
                <w:p>
                  <w:pPr>
                    <w:pStyle w:val="118"/>
                    <w:rPr>
                      <w:rFonts w:hint="eastAsia"/>
                      <w:color w:val="auto"/>
                    </w:rPr>
                  </w:pPr>
                  <w:r>
                    <w:rPr>
                      <w:rFonts w:hint="eastAsia"/>
                      <w:color w:val="aut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5" w:type="pct"/>
                  <w:vMerge w:val="continue"/>
                  <w:noWrap w:val="0"/>
                  <w:vAlign w:val="center"/>
                </w:tcPr>
                <w:p>
                  <w:pPr>
                    <w:pStyle w:val="118"/>
                    <w:rPr>
                      <w:rFonts w:hint="eastAsia"/>
                      <w:color w:val="auto"/>
                    </w:rPr>
                  </w:pPr>
                </w:p>
              </w:tc>
              <w:tc>
                <w:tcPr>
                  <w:tcW w:w="1771" w:type="pct"/>
                  <w:noWrap w:val="0"/>
                  <w:vAlign w:val="center"/>
                </w:tcPr>
                <w:p>
                  <w:pPr>
                    <w:pStyle w:val="118"/>
                    <w:rPr>
                      <w:rFonts w:hint="eastAsia"/>
                      <w:color w:val="auto"/>
                    </w:rPr>
                  </w:pPr>
                  <w:r>
                    <w:rPr>
                      <w:rFonts w:hint="eastAsia"/>
                      <w:color w:val="auto"/>
                    </w:rPr>
                    <w:t>电</w:t>
                  </w:r>
                </w:p>
              </w:tc>
              <w:tc>
                <w:tcPr>
                  <w:tcW w:w="672" w:type="pct"/>
                  <w:noWrap w:val="0"/>
                  <w:vAlign w:val="center"/>
                </w:tcPr>
                <w:p>
                  <w:pPr>
                    <w:pStyle w:val="118"/>
                    <w:rPr>
                      <w:rFonts w:hint="eastAsia"/>
                      <w:color w:val="auto"/>
                    </w:rPr>
                  </w:pPr>
                  <w:r>
                    <w:rPr>
                      <w:rFonts w:hint="eastAsia"/>
                      <w:color w:val="auto"/>
                    </w:rPr>
                    <w:t>4000</w:t>
                  </w:r>
                </w:p>
              </w:tc>
              <w:tc>
                <w:tcPr>
                  <w:tcW w:w="758" w:type="pct"/>
                  <w:noWrap w:val="0"/>
                  <w:vAlign w:val="center"/>
                </w:tcPr>
                <w:p>
                  <w:pPr>
                    <w:pStyle w:val="118"/>
                    <w:rPr>
                      <w:color w:val="auto"/>
                    </w:rPr>
                  </w:pPr>
                  <w:r>
                    <w:rPr>
                      <w:rFonts w:hint="eastAsia"/>
                      <w:color w:val="auto"/>
                    </w:rPr>
                    <w:t>kw·h/a</w:t>
                  </w:r>
                </w:p>
              </w:tc>
              <w:tc>
                <w:tcPr>
                  <w:tcW w:w="1212" w:type="pct"/>
                  <w:noWrap w:val="0"/>
                  <w:vAlign w:val="center"/>
                </w:tcPr>
                <w:p>
                  <w:pPr>
                    <w:pStyle w:val="118"/>
                    <w:rPr>
                      <w:rFonts w:hint="eastAsia"/>
                      <w:color w:val="auto"/>
                    </w:rPr>
                  </w:pPr>
                  <w:r>
                    <w:rPr>
                      <w:rFonts w:hint="eastAsia"/>
                      <w:color w:val="auto"/>
                    </w:rPr>
                    <w:t>/</w:t>
                  </w:r>
                </w:p>
              </w:tc>
            </w:tr>
          </w:tbl>
          <w:p>
            <w:pPr>
              <w:pStyle w:val="4"/>
              <w:spacing w:after="120"/>
              <w:rPr>
                <w:color w:val="auto"/>
              </w:rPr>
            </w:pPr>
            <w:r>
              <w:rPr>
                <w:rFonts w:hint="eastAsia"/>
                <w:color w:val="auto"/>
                <w:lang w:eastAsia="zh-CN"/>
              </w:rPr>
              <w:t>六</w:t>
            </w:r>
            <w:r>
              <w:rPr>
                <w:color w:val="auto"/>
              </w:rPr>
              <w:t>、主要设施规格、数量</w:t>
            </w:r>
          </w:p>
          <w:p>
            <w:pPr>
              <w:pStyle w:val="101"/>
              <w:spacing w:line="360" w:lineRule="auto"/>
              <w:ind w:firstLine="480"/>
              <w:rPr>
                <w:color w:val="auto"/>
              </w:rPr>
            </w:pPr>
            <w:r>
              <w:rPr>
                <w:color w:val="auto"/>
              </w:rPr>
              <w:t>本项目运营期主要医疗设备如下表：</w:t>
            </w:r>
          </w:p>
          <w:p>
            <w:pPr>
              <w:pStyle w:val="102"/>
              <w:ind w:left="422" w:hanging="422"/>
              <w:rPr>
                <w:color w:val="auto"/>
              </w:rPr>
            </w:pPr>
            <w:r>
              <w:rPr>
                <w:color w:val="auto"/>
              </w:rPr>
              <w:t>表</w:t>
            </w:r>
            <w:r>
              <w:rPr>
                <w:rFonts w:hint="eastAsia"/>
                <w:color w:val="auto"/>
              </w:rPr>
              <w:t>2</w:t>
            </w:r>
            <w:r>
              <w:rPr>
                <w:color w:val="auto"/>
              </w:rPr>
              <w:t>-</w:t>
            </w:r>
            <w:r>
              <w:rPr>
                <w:rFonts w:hint="eastAsia"/>
                <w:color w:val="auto"/>
              </w:rPr>
              <w:t>3</w:t>
            </w:r>
            <w:r>
              <w:rPr>
                <w:color w:val="auto"/>
              </w:rPr>
              <w:t xml:space="preserve"> 主要医疗设备配置表</w:t>
            </w:r>
          </w:p>
          <w:tbl>
            <w:tblPr>
              <w:tblStyle w:val="38"/>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58"/>
              <w:gridCol w:w="1398"/>
              <w:gridCol w:w="3137"/>
              <w:gridCol w:w="880"/>
              <w:gridCol w:w="22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jc w:val="center"/>
              </w:trPr>
              <w:tc>
                <w:tcPr>
                  <w:tcW w:w="340" w:type="pct"/>
                  <w:noWrap w:val="0"/>
                  <w:vAlign w:val="center"/>
                </w:tcPr>
                <w:p>
                  <w:pPr>
                    <w:pStyle w:val="170"/>
                    <w:rPr>
                      <w:b/>
                      <w:bCs/>
                      <w:color w:val="auto"/>
                    </w:rPr>
                  </w:pPr>
                  <w:r>
                    <w:rPr>
                      <w:b/>
                      <w:bCs/>
                      <w:color w:val="auto"/>
                    </w:rPr>
                    <w:t>序号</w:t>
                  </w:r>
                </w:p>
              </w:tc>
              <w:tc>
                <w:tcPr>
                  <w:tcW w:w="852" w:type="pct"/>
                  <w:noWrap w:val="0"/>
                  <w:vAlign w:val="center"/>
                </w:tcPr>
                <w:p>
                  <w:pPr>
                    <w:pStyle w:val="170"/>
                    <w:rPr>
                      <w:rFonts w:hint="eastAsia"/>
                      <w:b/>
                      <w:bCs/>
                      <w:color w:val="auto"/>
                    </w:rPr>
                  </w:pPr>
                  <w:r>
                    <w:rPr>
                      <w:rFonts w:hint="eastAsia"/>
                      <w:b/>
                      <w:bCs/>
                      <w:color w:val="auto"/>
                    </w:rPr>
                    <w:t>所在科室</w:t>
                  </w:r>
                </w:p>
              </w:tc>
              <w:tc>
                <w:tcPr>
                  <w:tcW w:w="1911" w:type="pct"/>
                  <w:noWrap w:val="0"/>
                  <w:vAlign w:val="center"/>
                </w:tcPr>
                <w:p>
                  <w:pPr>
                    <w:pStyle w:val="170"/>
                    <w:rPr>
                      <w:b/>
                      <w:bCs/>
                      <w:color w:val="auto"/>
                    </w:rPr>
                  </w:pPr>
                  <w:r>
                    <w:rPr>
                      <w:b/>
                      <w:bCs/>
                      <w:color w:val="auto"/>
                    </w:rPr>
                    <w:t>设备名称</w:t>
                  </w:r>
                </w:p>
              </w:tc>
              <w:tc>
                <w:tcPr>
                  <w:tcW w:w="536" w:type="pct"/>
                  <w:noWrap w:val="0"/>
                  <w:vAlign w:val="center"/>
                </w:tcPr>
                <w:p>
                  <w:pPr>
                    <w:pStyle w:val="170"/>
                    <w:rPr>
                      <w:b/>
                      <w:bCs/>
                      <w:color w:val="auto"/>
                    </w:rPr>
                  </w:pPr>
                  <w:r>
                    <w:rPr>
                      <w:b/>
                      <w:bCs/>
                      <w:color w:val="auto"/>
                    </w:rPr>
                    <w:t>数量</w:t>
                  </w:r>
                </w:p>
              </w:tc>
              <w:tc>
                <w:tcPr>
                  <w:tcW w:w="1359" w:type="pct"/>
                  <w:noWrap w:val="0"/>
                  <w:vAlign w:val="center"/>
                </w:tcPr>
                <w:p>
                  <w:pPr>
                    <w:pStyle w:val="170"/>
                    <w:rPr>
                      <w:rFonts w:hint="eastAsia"/>
                      <w:b/>
                      <w:bCs/>
                      <w:color w:val="auto"/>
                    </w:rPr>
                  </w:pPr>
                  <w:r>
                    <w:rPr>
                      <w:rFonts w:hint="eastAsia"/>
                      <w:b/>
                      <w:bCs/>
                      <w:color w:val="auto"/>
                    </w:rPr>
                    <w:t>型号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 w:hRule="atLeast"/>
                <w:jc w:val="center"/>
              </w:trPr>
              <w:tc>
                <w:tcPr>
                  <w:tcW w:w="340" w:type="pct"/>
                  <w:noWrap w:val="0"/>
                  <w:vAlign w:val="center"/>
                </w:tcPr>
                <w:p>
                  <w:pPr>
                    <w:pStyle w:val="170"/>
                    <w:rPr>
                      <w:rFonts w:hint="eastAsia"/>
                      <w:color w:val="auto"/>
                    </w:rPr>
                  </w:pPr>
                  <w:r>
                    <w:rPr>
                      <w:rFonts w:hint="eastAsia"/>
                      <w:color w:val="auto"/>
                    </w:rPr>
                    <w:t>1</w:t>
                  </w:r>
                </w:p>
              </w:tc>
              <w:tc>
                <w:tcPr>
                  <w:tcW w:w="852" w:type="pct"/>
                  <w:vMerge w:val="restart"/>
                  <w:noWrap w:val="0"/>
                  <w:vAlign w:val="center"/>
                </w:tcPr>
                <w:p>
                  <w:pPr>
                    <w:pStyle w:val="170"/>
                    <w:rPr>
                      <w:rFonts w:hint="eastAsia"/>
                      <w:color w:val="auto"/>
                    </w:rPr>
                  </w:pPr>
                  <w:r>
                    <w:rPr>
                      <w:rFonts w:hint="eastAsia"/>
                      <w:color w:val="auto"/>
                    </w:rPr>
                    <w:t>输液室</w:t>
                  </w:r>
                </w:p>
              </w:tc>
              <w:tc>
                <w:tcPr>
                  <w:tcW w:w="1911" w:type="pct"/>
                  <w:noWrap w:val="0"/>
                  <w:vAlign w:val="center"/>
                </w:tcPr>
                <w:p>
                  <w:pPr>
                    <w:pStyle w:val="170"/>
                    <w:rPr>
                      <w:rFonts w:hint="eastAsia"/>
                      <w:color w:val="auto"/>
                    </w:rPr>
                  </w:pPr>
                  <w:r>
                    <w:rPr>
                      <w:rFonts w:hint="eastAsia"/>
                      <w:color w:val="auto"/>
                    </w:rPr>
                    <w:t>制氧机</w:t>
                  </w:r>
                </w:p>
              </w:tc>
              <w:tc>
                <w:tcPr>
                  <w:tcW w:w="536" w:type="pct"/>
                  <w:noWrap w:val="0"/>
                  <w:vAlign w:val="center"/>
                </w:tcPr>
                <w:p>
                  <w:pPr>
                    <w:pStyle w:val="170"/>
                    <w:rPr>
                      <w:color w:val="auto"/>
                    </w:rPr>
                  </w:pPr>
                  <w:r>
                    <w:rPr>
                      <w:color w:val="auto"/>
                    </w:rPr>
                    <w:t>1</w:t>
                  </w:r>
                </w:p>
              </w:tc>
              <w:tc>
                <w:tcPr>
                  <w:tcW w:w="1359" w:type="pct"/>
                  <w:noWrap w:val="0"/>
                  <w:vAlign w:val="center"/>
                </w:tcPr>
                <w:p>
                  <w:pPr>
                    <w:pStyle w:val="170"/>
                    <w:rPr>
                      <w:rFonts w:hint="eastAsia"/>
                      <w:color w:val="auto"/>
                    </w:rPr>
                  </w:pPr>
                  <w:r>
                    <w:rPr>
                      <w:rFonts w:hint="eastAsia"/>
                      <w:color w:val="auto"/>
                    </w:rPr>
                    <w:t>鱼跃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jc w:val="center"/>
              </w:trPr>
              <w:tc>
                <w:tcPr>
                  <w:tcW w:w="340" w:type="pct"/>
                  <w:noWrap w:val="0"/>
                  <w:vAlign w:val="center"/>
                </w:tcPr>
                <w:p>
                  <w:pPr>
                    <w:pStyle w:val="170"/>
                    <w:rPr>
                      <w:rFonts w:hint="eastAsia"/>
                      <w:color w:val="auto"/>
                    </w:rPr>
                  </w:pPr>
                  <w:r>
                    <w:rPr>
                      <w:rFonts w:hint="eastAsia"/>
                      <w:color w:val="auto"/>
                    </w:rPr>
                    <w:t>2</w:t>
                  </w:r>
                </w:p>
              </w:tc>
              <w:tc>
                <w:tcPr>
                  <w:tcW w:w="852" w:type="pct"/>
                  <w:vMerge w:val="continue"/>
                  <w:noWrap w:val="0"/>
                  <w:vAlign w:val="center"/>
                </w:tcPr>
                <w:p>
                  <w:pPr>
                    <w:pStyle w:val="170"/>
                    <w:rPr>
                      <w:color w:val="auto"/>
                    </w:rPr>
                  </w:pPr>
                </w:p>
              </w:tc>
              <w:tc>
                <w:tcPr>
                  <w:tcW w:w="1911" w:type="pct"/>
                  <w:noWrap w:val="0"/>
                  <w:vAlign w:val="center"/>
                </w:tcPr>
                <w:p>
                  <w:pPr>
                    <w:pStyle w:val="170"/>
                    <w:rPr>
                      <w:rFonts w:hint="eastAsia"/>
                      <w:color w:val="auto"/>
                    </w:rPr>
                  </w:pPr>
                  <w:r>
                    <w:rPr>
                      <w:rFonts w:hint="eastAsia"/>
                      <w:color w:val="auto"/>
                    </w:rPr>
                    <w:t>输液泵</w:t>
                  </w:r>
                </w:p>
              </w:tc>
              <w:tc>
                <w:tcPr>
                  <w:tcW w:w="536" w:type="pct"/>
                  <w:noWrap w:val="0"/>
                  <w:vAlign w:val="center"/>
                </w:tcPr>
                <w:p>
                  <w:pPr>
                    <w:pStyle w:val="170"/>
                    <w:rPr>
                      <w:rFonts w:hint="eastAsia"/>
                      <w:color w:val="auto"/>
                    </w:rPr>
                  </w:pPr>
                  <w:r>
                    <w:rPr>
                      <w:rFonts w:hint="eastAsia"/>
                      <w:color w:val="auto"/>
                    </w:rPr>
                    <w:t>3</w:t>
                  </w:r>
                </w:p>
              </w:tc>
              <w:tc>
                <w:tcPr>
                  <w:tcW w:w="1359" w:type="pct"/>
                  <w:noWrap w:val="0"/>
                  <w:vAlign w:val="center"/>
                </w:tcPr>
                <w:p>
                  <w:pPr>
                    <w:pStyle w:val="170"/>
                    <w:rPr>
                      <w:color w:val="auto"/>
                    </w:rPr>
                  </w:pPr>
                  <w:r>
                    <w:rPr>
                      <w:rFonts w:hint="eastAsia"/>
                      <w:color w:val="auto"/>
                    </w:rPr>
                    <w:t>好克HK050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jc w:val="center"/>
              </w:trPr>
              <w:tc>
                <w:tcPr>
                  <w:tcW w:w="340" w:type="pct"/>
                  <w:noWrap w:val="0"/>
                  <w:vAlign w:val="center"/>
                </w:tcPr>
                <w:p>
                  <w:pPr>
                    <w:pStyle w:val="170"/>
                    <w:rPr>
                      <w:rFonts w:hint="eastAsia"/>
                      <w:color w:val="auto"/>
                    </w:rPr>
                  </w:pPr>
                  <w:r>
                    <w:rPr>
                      <w:rFonts w:hint="eastAsia"/>
                      <w:color w:val="auto"/>
                    </w:rPr>
                    <w:t>3</w:t>
                  </w:r>
                </w:p>
              </w:tc>
              <w:tc>
                <w:tcPr>
                  <w:tcW w:w="852" w:type="pct"/>
                  <w:vMerge w:val="restart"/>
                  <w:noWrap w:val="0"/>
                  <w:vAlign w:val="center"/>
                </w:tcPr>
                <w:p>
                  <w:pPr>
                    <w:pStyle w:val="170"/>
                    <w:rPr>
                      <w:rFonts w:hint="eastAsia"/>
                      <w:color w:val="auto"/>
                    </w:rPr>
                  </w:pPr>
                  <w:r>
                    <w:rPr>
                      <w:rFonts w:hint="eastAsia"/>
                      <w:color w:val="auto"/>
                    </w:rPr>
                    <w:t>化验室</w:t>
                  </w:r>
                </w:p>
              </w:tc>
              <w:tc>
                <w:tcPr>
                  <w:tcW w:w="1911" w:type="pct"/>
                  <w:noWrap w:val="0"/>
                  <w:vAlign w:val="center"/>
                </w:tcPr>
                <w:p>
                  <w:pPr>
                    <w:pStyle w:val="170"/>
                    <w:rPr>
                      <w:rFonts w:hint="eastAsia"/>
                      <w:color w:val="auto"/>
                    </w:rPr>
                  </w:pPr>
                  <w:r>
                    <w:rPr>
                      <w:rFonts w:hint="eastAsia"/>
                      <w:color w:val="auto"/>
                    </w:rPr>
                    <w:t>恒温培养箱</w:t>
                  </w:r>
                </w:p>
              </w:tc>
              <w:tc>
                <w:tcPr>
                  <w:tcW w:w="536" w:type="pct"/>
                  <w:noWrap w:val="0"/>
                  <w:vAlign w:val="center"/>
                </w:tcPr>
                <w:p>
                  <w:pPr>
                    <w:pStyle w:val="170"/>
                    <w:rPr>
                      <w:rFonts w:hint="eastAsia"/>
                      <w:color w:val="auto"/>
                    </w:rPr>
                  </w:pPr>
                  <w:r>
                    <w:rPr>
                      <w:rFonts w:hint="eastAsia"/>
                      <w:color w:val="auto"/>
                    </w:rPr>
                    <w:t>2</w:t>
                  </w:r>
                </w:p>
              </w:tc>
              <w:tc>
                <w:tcPr>
                  <w:tcW w:w="1359" w:type="pct"/>
                  <w:noWrap w:val="0"/>
                  <w:vAlign w:val="center"/>
                </w:tcPr>
                <w:p>
                  <w:pPr>
                    <w:pStyle w:val="170"/>
                    <w:rPr>
                      <w:color w:val="auto"/>
                    </w:rPr>
                  </w:pPr>
                  <w:r>
                    <w:rPr>
                      <w:rFonts w:hint="eastAsia"/>
                      <w:color w:val="auto"/>
                    </w:rPr>
                    <w:t>303-00A/ZH1022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jc w:val="center"/>
              </w:trPr>
              <w:tc>
                <w:tcPr>
                  <w:tcW w:w="340" w:type="pct"/>
                  <w:noWrap w:val="0"/>
                  <w:vAlign w:val="center"/>
                </w:tcPr>
                <w:p>
                  <w:pPr>
                    <w:pStyle w:val="170"/>
                    <w:rPr>
                      <w:rFonts w:hint="eastAsia"/>
                      <w:color w:val="auto"/>
                    </w:rPr>
                  </w:pPr>
                  <w:r>
                    <w:rPr>
                      <w:rFonts w:hint="eastAsia"/>
                      <w:color w:val="auto"/>
                    </w:rPr>
                    <w:t>4</w:t>
                  </w:r>
                </w:p>
              </w:tc>
              <w:tc>
                <w:tcPr>
                  <w:tcW w:w="852" w:type="pct"/>
                  <w:vMerge w:val="continue"/>
                  <w:noWrap w:val="0"/>
                  <w:vAlign w:val="center"/>
                </w:tcPr>
                <w:p>
                  <w:pPr>
                    <w:pStyle w:val="170"/>
                    <w:rPr>
                      <w:rFonts w:hint="eastAsia"/>
                      <w:color w:val="auto"/>
                    </w:rPr>
                  </w:pPr>
                </w:p>
              </w:tc>
              <w:tc>
                <w:tcPr>
                  <w:tcW w:w="1911" w:type="pct"/>
                  <w:noWrap w:val="0"/>
                  <w:vAlign w:val="center"/>
                </w:tcPr>
                <w:p>
                  <w:pPr>
                    <w:pStyle w:val="170"/>
                    <w:rPr>
                      <w:rFonts w:hint="eastAsia"/>
                      <w:color w:val="auto"/>
                    </w:rPr>
                  </w:pPr>
                  <w:r>
                    <w:rPr>
                      <w:rFonts w:hint="eastAsia"/>
                      <w:color w:val="auto"/>
                    </w:rPr>
                    <w:t>显微镜</w:t>
                  </w:r>
                </w:p>
              </w:tc>
              <w:tc>
                <w:tcPr>
                  <w:tcW w:w="536" w:type="pct"/>
                  <w:noWrap w:val="0"/>
                  <w:vAlign w:val="center"/>
                </w:tcPr>
                <w:p>
                  <w:pPr>
                    <w:pStyle w:val="170"/>
                    <w:rPr>
                      <w:color w:val="auto"/>
                    </w:rPr>
                  </w:pPr>
                  <w:r>
                    <w:rPr>
                      <w:rFonts w:hint="eastAsia"/>
                      <w:color w:val="auto"/>
                    </w:rPr>
                    <w:t>1</w:t>
                  </w:r>
                </w:p>
              </w:tc>
              <w:tc>
                <w:tcPr>
                  <w:tcW w:w="1359" w:type="pct"/>
                  <w:noWrap w:val="0"/>
                  <w:vAlign w:val="center"/>
                </w:tcPr>
                <w:p>
                  <w:pPr>
                    <w:pStyle w:val="170"/>
                    <w:rPr>
                      <w:color w:val="auto"/>
                    </w:rPr>
                  </w:pPr>
                  <w:r>
                    <w:rPr>
                      <w:rFonts w:hint="eastAsia"/>
                      <w:color w:val="auto"/>
                    </w:rPr>
                    <w:t>莱卡DM500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jc w:val="center"/>
              </w:trPr>
              <w:tc>
                <w:tcPr>
                  <w:tcW w:w="340" w:type="pct"/>
                  <w:noWrap w:val="0"/>
                  <w:vAlign w:val="center"/>
                </w:tcPr>
                <w:p>
                  <w:pPr>
                    <w:pStyle w:val="170"/>
                    <w:rPr>
                      <w:rFonts w:hint="eastAsia"/>
                      <w:color w:val="auto"/>
                    </w:rPr>
                  </w:pPr>
                  <w:r>
                    <w:rPr>
                      <w:rFonts w:hint="eastAsia"/>
                      <w:color w:val="auto"/>
                    </w:rPr>
                    <w:t>5</w:t>
                  </w:r>
                </w:p>
              </w:tc>
              <w:tc>
                <w:tcPr>
                  <w:tcW w:w="852" w:type="pct"/>
                  <w:vMerge w:val="continue"/>
                  <w:noWrap w:val="0"/>
                  <w:vAlign w:val="center"/>
                </w:tcPr>
                <w:p>
                  <w:pPr>
                    <w:pStyle w:val="170"/>
                    <w:rPr>
                      <w:rFonts w:hint="eastAsia"/>
                      <w:color w:val="auto"/>
                    </w:rPr>
                  </w:pPr>
                </w:p>
              </w:tc>
              <w:tc>
                <w:tcPr>
                  <w:tcW w:w="1911" w:type="pct"/>
                  <w:noWrap w:val="0"/>
                  <w:vAlign w:val="center"/>
                </w:tcPr>
                <w:p>
                  <w:pPr>
                    <w:pStyle w:val="170"/>
                    <w:rPr>
                      <w:rFonts w:hint="eastAsia"/>
                      <w:color w:val="auto"/>
                    </w:rPr>
                  </w:pPr>
                  <w:r>
                    <w:rPr>
                      <w:rFonts w:hint="eastAsia"/>
                      <w:color w:val="auto"/>
                    </w:rPr>
                    <w:t>凝血分析仪</w:t>
                  </w:r>
                </w:p>
              </w:tc>
              <w:tc>
                <w:tcPr>
                  <w:tcW w:w="536" w:type="pct"/>
                  <w:noWrap w:val="0"/>
                  <w:vAlign w:val="center"/>
                </w:tcPr>
                <w:p>
                  <w:pPr>
                    <w:pStyle w:val="170"/>
                    <w:rPr>
                      <w:color w:val="auto"/>
                    </w:rPr>
                  </w:pPr>
                  <w:r>
                    <w:rPr>
                      <w:rFonts w:hint="eastAsia"/>
                      <w:color w:val="auto"/>
                    </w:rPr>
                    <w:t>1</w:t>
                  </w:r>
                </w:p>
              </w:tc>
              <w:tc>
                <w:tcPr>
                  <w:tcW w:w="1359" w:type="pct"/>
                  <w:noWrap w:val="0"/>
                  <w:vAlign w:val="center"/>
                </w:tcPr>
                <w:p>
                  <w:pPr>
                    <w:pStyle w:val="170"/>
                    <w:rPr>
                      <w:rFonts w:hint="eastAsia"/>
                      <w:color w:val="auto"/>
                    </w:rPr>
                  </w:pPr>
                  <w:r>
                    <w:rPr>
                      <w:rFonts w:hint="eastAsia"/>
                      <w:color w:val="auto"/>
                    </w:rPr>
                    <w:t>万孚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jc w:val="center"/>
              </w:trPr>
              <w:tc>
                <w:tcPr>
                  <w:tcW w:w="340" w:type="pct"/>
                  <w:noWrap w:val="0"/>
                  <w:vAlign w:val="center"/>
                </w:tcPr>
                <w:p>
                  <w:pPr>
                    <w:pStyle w:val="170"/>
                    <w:rPr>
                      <w:rFonts w:hint="eastAsia"/>
                      <w:color w:val="auto"/>
                    </w:rPr>
                  </w:pPr>
                  <w:r>
                    <w:rPr>
                      <w:rFonts w:hint="eastAsia"/>
                      <w:color w:val="auto"/>
                    </w:rPr>
                    <w:t>6</w:t>
                  </w:r>
                </w:p>
              </w:tc>
              <w:tc>
                <w:tcPr>
                  <w:tcW w:w="852" w:type="pct"/>
                  <w:vMerge w:val="continue"/>
                  <w:noWrap w:val="0"/>
                  <w:vAlign w:val="center"/>
                </w:tcPr>
                <w:p>
                  <w:pPr>
                    <w:pStyle w:val="170"/>
                    <w:rPr>
                      <w:rFonts w:hint="eastAsia"/>
                      <w:color w:val="auto"/>
                    </w:rPr>
                  </w:pPr>
                </w:p>
              </w:tc>
              <w:tc>
                <w:tcPr>
                  <w:tcW w:w="1911" w:type="pct"/>
                  <w:noWrap w:val="0"/>
                  <w:vAlign w:val="center"/>
                </w:tcPr>
                <w:p>
                  <w:pPr>
                    <w:pStyle w:val="170"/>
                    <w:rPr>
                      <w:rFonts w:hint="eastAsia"/>
                      <w:color w:val="auto"/>
                    </w:rPr>
                  </w:pPr>
                  <w:r>
                    <w:rPr>
                      <w:rFonts w:hint="eastAsia"/>
                      <w:color w:val="auto"/>
                    </w:rPr>
                    <w:t>生化分析仪</w:t>
                  </w:r>
                </w:p>
              </w:tc>
              <w:tc>
                <w:tcPr>
                  <w:tcW w:w="536" w:type="pct"/>
                  <w:noWrap w:val="0"/>
                  <w:vAlign w:val="center"/>
                </w:tcPr>
                <w:p>
                  <w:pPr>
                    <w:pStyle w:val="170"/>
                    <w:rPr>
                      <w:color w:val="auto"/>
                    </w:rPr>
                  </w:pPr>
                  <w:r>
                    <w:rPr>
                      <w:rFonts w:hint="eastAsia"/>
                      <w:color w:val="auto"/>
                    </w:rPr>
                    <w:t>1</w:t>
                  </w:r>
                </w:p>
              </w:tc>
              <w:tc>
                <w:tcPr>
                  <w:tcW w:w="1359" w:type="pct"/>
                  <w:noWrap w:val="0"/>
                  <w:vAlign w:val="center"/>
                </w:tcPr>
                <w:p>
                  <w:pPr>
                    <w:pStyle w:val="170"/>
                    <w:rPr>
                      <w:color w:val="auto"/>
                    </w:rPr>
                  </w:pPr>
                  <w:r>
                    <w:rPr>
                      <w:rFonts w:hint="eastAsia"/>
                      <w:color w:val="auto"/>
                    </w:rPr>
                    <w:t>爱德士8008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47" w:hRule="atLeast"/>
                <w:jc w:val="center"/>
              </w:trPr>
              <w:tc>
                <w:tcPr>
                  <w:tcW w:w="340" w:type="pct"/>
                  <w:noWrap w:val="0"/>
                  <w:vAlign w:val="center"/>
                </w:tcPr>
                <w:p>
                  <w:pPr>
                    <w:pStyle w:val="170"/>
                    <w:rPr>
                      <w:rFonts w:hint="eastAsia"/>
                      <w:color w:val="auto"/>
                    </w:rPr>
                  </w:pPr>
                  <w:r>
                    <w:rPr>
                      <w:rFonts w:hint="eastAsia"/>
                      <w:color w:val="auto"/>
                    </w:rPr>
                    <w:t>7</w:t>
                  </w:r>
                </w:p>
              </w:tc>
              <w:tc>
                <w:tcPr>
                  <w:tcW w:w="852" w:type="pct"/>
                  <w:vMerge w:val="continue"/>
                  <w:noWrap w:val="0"/>
                  <w:vAlign w:val="center"/>
                </w:tcPr>
                <w:p>
                  <w:pPr>
                    <w:pStyle w:val="170"/>
                    <w:rPr>
                      <w:color w:val="auto"/>
                    </w:rPr>
                  </w:pPr>
                </w:p>
              </w:tc>
              <w:tc>
                <w:tcPr>
                  <w:tcW w:w="1911" w:type="pct"/>
                  <w:noWrap w:val="0"/>
                  <w:vAlign w:val="center"/>
                </w:tcPr>
                <w:p>
                  <w:pPr>
                    <w:pStyle w:val="170"/>
                    <w:rPr>
                      <w:rFonts w:hint="eastAsia"/>
                      <w:color w:val="auto"/>
                    </w:rPr>
                  </w:pPr>
                  <w:r>
                    <w:rPr>
                      <w:rFonts w:hint="eastAsia"/>
                      <w:color w:val="auto"/>
                    </w:rPr>
                    <w:t>血细胞分析仪</w:t>
                  </w:r>
                </w:p>
              </w:tc>
              <w:tc>
                <w:tcPr>
                  <w:tcW w:w="536" w:type="pct"/>
                  <w:noWrap w:val="0"/>
                  <w:vAlign w:val="center"/>
                </w:tcPr>
                <w:p>
                  <w:pPr>
                    <w:pStyle w:val="170"/>
                    <w:rPr>
                      <w:color w:val="auto"/>
                    </w:rPr>
                  </w:pPr>
                  <w:r>
                    <w:rPr>
                      <w:color w:val="auto"/>
                    </w:rPr>
                    <w:t>1</w:t>
                  </w:r>
                </w:p>
              </w:tc>
              <w:tc>
                <w:tcPr>
                  <w:tcW w:w="1359" w:type="pct"/>
                  <w:noWrap w:val="0"/>
                  <w:vAlign w:val="center"/>
                </w:tcPr>
                <w:p>
                  <w:pPr>
                    <w:pStyle w:val="170"/>
                    <w:rPr>
                      <w:color w:val="auto"/>
                    </w:rPr>
                  </w:pPr>
                  <w:r>
                    <w:rPr>
                      <w:rFonts w:hint="eastAsia"/>
                      <w:color w:val="auto"/>
                    </w:rPr>
                    <w:t>迈瑞2800VET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 w:hRule="atLeast"/>
                <w:jc w:val="center"/>
              </w:trPr>
              <w:tc>
                <w:tcPr>
                  <w:tcW w:w="340" w:type="pct"/>
                  <w:noWrap w:val="0"/>
                  <w:vAlign w:val="center"/>
                </w:tcPr>
                <w:p>
                  <w:pPr>
                    <w:pStyle w:val="170"/>
                    <w:rPr>
                      <w:rFonts w:hint="eastAsia"/>
                      <w:color w:val="auto"/>
                    </w:rPr>
                  </w:pPr>
                  <w:r>
                    <w:rPr>
                      <w:rFonts w:hint="eastAsia"/>
                      <w:color w:val="auto"/>
                    </w:rPr>
                    <w:t>8</w:t>
                  </w:r>
                </w:p>
              </w:tc>
              <w:tc>
                <w:tcPr>
                  <w:tcW w:w="852" w:type="pct"/>
                  <w:vMerge w:val="continue"/>
                  <w:noWrap w:val="0"/>
                  <w:vAlign w:val="center"/>
                </w:tcPr>
                <w:p>
                  <w:pPr>
                    <w:pStyle w:val="170"/>
                    <w:rPr>
                      <w:color w:val="auto"/>
                    </w:rPr>
                  </w:pPr>
                </w:p>
              </w:tc>
              <w:tc>
                <w:tcPr>
                  <w:tcW w:w="1911" w:type="pct"/>
                  <w:noWrap w:val="0"/>
                  <w:vAlign w:val="center"/>
                </w:tcPr>
                <w:p>
                  <w:pPr>
                    <w:pStyle w:val="170"/>
                    <w:rPr>
                      <w:rFonts w:hint="eastAsia"/>
                      <w:color w:val="auto"/>
                    </w:rPr>
                  </w:pPr>
                  <w:r>
                    <w:rPr>
                      <w:rFonts w:hint="eastAsia"/>
                      <w:color w:val="auto"/>
                    </w:rPr>
                    <w:t>荧光定量分析仪</w:t>
                  </w:r>
                </w:p>
              </w:tc>
              <w:tc>
                <w:tcPr>
                  <w:tcW w:w="536" w:type="pct"/>
                  <w:noWrap w:val="0"/>
                  <w:vAlign w:val="center"/>
                </w:tcPr>
                <w:p>
                  <w:pPr>
                    <w:pStyle w:val="170"/>
                    <w:rPr>
                      <w:color w:val="auto"/>
                    </w:rPr>
                  </w:pPr>
                  <w:r>
                    <w:rPr>
                      <w:color w:val="auto"/>
                    </w:rPr>
                    <w:t>1</w:t>
                  </w:r>
                </w:p>
              </w:tc>
              <w:tc>
                <w:tcPr>
                  <w:tcW w:w="1359" w:type="pct"/>
                  <w:noWrap w:val="0"/>
                  <w:vAlign w:val="center"/>
                </w:tcPr>
                <w:p>
                  <w:pPr>
                    <w:pStyle w:val="170"/>
                    <w:rPr>
                      <w:rFonts w:hint="eastAsia"/>
                      <w:color w:val="auto"/>
                    </w:rPr>
                  </w:pPr>
                  <w:r>
                    <w:rPr>
                      <w:rFonts w:hint="eastAsia"/>
                      <w:color w:val="auto"/>
                    </w:rPr>
                    <w:t>德诺泰克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47" w:hRule="atLeast"/>
                <w:jc w:val="center"/>
              </w:trPr>
              <w:tc>
                <w:tcPr>
                  <w:tcW w:w="340" w:type="pct"/>
                  <w:noWrap w:val="0"/>
                  <w:vAlign w:val="center"/>
                </w:tcPr>
                <w:p>
                  <w:pPr>
                    <w:pStyle w:val="170"/>
                    <w:rPr>
                      <w:rFonts w:hint="eastAsia"/>
                      <w:color w:val="auto"/>
                    </w:rPr>
                  </w:pPr>
                  <w:r>
                    <w:rPr>
                      <w:rFonts w:hint="eastAsia"/>
                      <w:color w:val="auto"/>
                    </w:rPr>
                    <w:t>9</w:t>
                  </w:r>
                </w:p>
              </w:tc>
              <w:tc>
                <w:tcPr>
                  <w:tcW w:w="852" w:type="pct"/>
                  <w:vMerge w:val="continue"/>
                  <w:noWrap w:val="0"/>
                  <w:vAlign w:val="center"/>
                </w:tcPr>
                <w:p>
                  <w:pPr>
                    <w:pStyle w:val="170"/>
                    <w:rPr>
                      <w:color w:val="auto"/>
                    </w:rPr>
                  </w:pPr>
                </w:p>
              </w:tc>
              <w:tc>
                <w:tcPr>
                  <w:tcW w:w="1911" w:type="pct"/>
                  <w:noWrap w:val="0"/>
                  <w:vAlign w:val="center"/>
                </w:tcPr>
                <w:p>
                  <w:pPr>
                    <w:pStyle w:val="170"/>
                    <w:rPr>
                      <w:rFonts w:hint="eastAsia"/>
                      <w:color w:val="auto"/>
                    </w:rPr>
                  </w:pPr>
                  <w:r>
                    <w:rPr>
                      <w:rFonts w:hint="eastAsia"/>
                      <w:color w:val="auto"/>
                    </w:rPr>
                    <w:t>离心机</w:t>
                  </w:r>
                </w:p>
              </w:tc>
              <w:tc>
                <w:tcPr>
                  <w:tcW w:w="536" w:type="pct"/>
                  <w:noWrap w:val="0"/>
                  <w:vAlign w:val="center"/>
                </w:tcPr>
                <w:p>
                  <w:pPr>
                    <w:pStyle w:val="170"/>
                    <w:rPr>
                      <w:color w:val="auto"/>
                    </w:rPr>
                  </w:pPr>
                  <w:r>
                    <w:rPr>
                      <w:color w:val="auto"/>
                    </w:rPr>
                    <w:t>1</w:t>
                  </w:r>
                </w:p>
              </w:tc>
              <w:tc>
                <w:tcPr>
                  <w:tcW w:w="1359" w:type="pct"/>
                  <w:noWrap w:val="0"/>
                  <w:vAlign w:val="center"/>
                </w:tcPr>
                <w:p>
                  <w:pPr>
                    <w:pStyle w:val="170"/>
                    <w:rPr>
                      <w:color w:val="auto"/>
                    </w:rPr>
                  </w:pPr>
                  <w:r>
                    <w:rPr>
                      <w:rFonts w:hint="eastAsia"/>
                      <w:color w:val="auto"/>
                    </w:rPr>
                    <w:t>TGL-16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 w:hRule="atLeast"/>
                <w:jc w:val="center"/>
              </w:trPr>
              <w:tc>
                <w:tcPr>
                  <w:tcW w:w="340" w:type="pct"/>
                  <w:noWrap w:val="0"/>
                  <w:vAlign w:val="center"/>
                </w:tcPr>
                <w:p>
                  <w:pPr>
                    <w:pStyle w:val="170"/>
                    <w:rPr>
                      <w:color w:val="auto"/>
                    </w:rPr>
                  </w:pPr>
                  <w:r>
                    <w:rPr>
                      <w:rFonts w:hint="eastAsia"/>
                      <w:color w:val="auto"/>
                    </w:rPr>
                    <w:t>10</w:t>
                  </w:r>
                </w:p>
              </w:tc>
              <w:tc>
                <w:tcPr>
                  <w:tcW w:w="852" w:type="pct"/>
                  <w:vMerge w:val="continue"/>
                  <w:noWrap w:val="0"/>
                  <w:vAlign w:val="center"/>
                </w:tcPr>
                <w:p>
                  <w:pPr>
                    <w:pStyle w:val="170"/>
                    <w:rPr>
                      <w:rFonts w:hint="eastAsia"/>
                      <w:color w:val="auto"/>
                    </w:rPr>
                  </w:pPr>
                </w:p>
              </w:tc>
              <w:tc>
                <w:tcPr>
                  <w:tcW w:w="1911" w:type="pct"/>
                  <w:noWrap w:val="0"/>
                  <w:vAlign w:val="center"/>
                </w:tcPr>
                <w:p>
                  <w:pPr>
                    <w:pStyle w:val="170"/>
                    <w:rPr>
                      <w:rFonts w:hint="eastAsia"/>
                      <w:color w:val="auto"/>
                    </w:rPr>
                  </w:pPr>
                  <w:r>
                    <w:rPr>
                      <w:rFonts w:hint="eastAsia"/>
                      <w:color w:val="auto"/>
                    </w:rPr>
                    <w:t>电冰箱</w:t>
                  </w:r>
                </w:p>
              </w:tc>
              <w:tc>
                <w:tcPr>
                  <w:tcW w:w="536" w:type="pct"/>
                  <w:noWrap w:val="0"/>
                  <w:vAlign w:val="center"/>
                </w:tcPr>
                <w:p>
                  <w:pPr>
                    <w:pStyle w:val="170"/>
                    <w:rPr>
                      <w:color w:val="auto"/>
                    </w:rPr>
                  </w:pPr>
                  <w:r>
                    <w:rPr>
                      <w:color w:val="auto"/>
                    </w:rPr>
                    <w:t>1</w:t>
                  </w:r>
                </w:p>
              </w:tc>
              <w:tc>
                <w:tcPr>
                  <w:tcW w:w="1359" w:type="pct"/>
                  <w:noWrap w:val="0"/>
                  <w:vAlign w:val="center"/>
                </w:tcPr>
                <w:p>
                  <w:pPr>
                    <w:pStyle w:val="170"/>
                    <w:rPr>
                      <w:color w:val="auto"/>
                    </w:rPr>
                  </w:pPr>
                  <w:r>
                    <w:rPr>
                      <w:rFonts w:hint="eastAsia"/>
                      <w:color w:val="auto"/>
                    </w:rPr>
                    <w:t>美的BCD-169CM（E）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 w:hRule="atLeast"/>
                <w:jc w:val="center"/>
              </w:trPr>
              <w:tc>
                <w:tcPr>
                  <w:tcW w:w="340" w:type="pct"/>
                  <w:noWrap w:val="0"/>
                  <w:vAlign w:val="center"/>
                </w:tcPr>
                <w:p>
                  <w:pPr>
                    <w:pStyle w:val="170"/>
                    <w:rPr>
                      <w:color w:val="auto"/>
                    </w:rPr>
                  </w:pPr>
                  <w:r>
                    <w:rPr>
                      <w:rFonts w:hint="eastAsia"/>
                      <w:color w:val="auto"/>
                    </w:rPr>
                    <w:t>11</w:t>
                  </w:r>
                </w:p>
              </w:tc>
              <w:tc>
                <w:tcPr>
                  <w:tcW w:w="852" w:type="pct"/>
                  <w:noWrap w:val="0"/>
                  <w:vAlign w:val="center"/>
                </w:tcPr>
                <w:p>
                  <w:pPr>
                    <w:pStyle w:val="170"/>
                    <w:rPr>
                      <w:rFonts w:hint="eastAsia"/>
                      <w:color w:val="auto"/>
                    </w:rPr>
                  </w:pPr>
                  <w:r>
                    <w:rPr>
                      <w:rFonts w:hint="eastAsia"/>
                      <w:color w:val="auto"/>
                    </w:rPr>
                    <w:t>X光室</w:t>
                  </w:r>
                </w:p>
              </w:tc>
              <w:tc>
                <w:tcPr>
                  <w:tcW w:w="1911" w:type="pct"/>
                  <w:noWrap w:val="0"/>
                  <w:vAlign w:val="center"/>
                </w:tcPr>
                <w:p>
                  <w:pPr>
                    <w:pStyle w:val="170"/>
                    <w:rPr>
                      <w:color w:val="auto"/>
                    </w:rPr>
                  </w:pPr>
                  <w:r>
                    <w:rPr>
                      <w:rFonts w:hint="eastAsia"/>
                      <w:color w:val="auto"/>
                    </w:rPr>
                    <w:t>数字化X射线摄影系统</w:t>
                  </w:r>
                </w:p>
              </w:tc>
              <w:tc>
                <w:tcPr>
                  <w:tcW w:w="536" w:type="pct"/>
                  <w:noWrap w:val="0"/>
                  <w:vAlign w:val="center"/>
                </w:tcPr>
                <w:p>
                  <w:pPr>
                    <w:pStyle w:val="170"/>
                    <w:rPr>
                      <w:color w:val="auto"/>
                    </w:rPr>
                  </w:pPr>
                  <w:r>
                    <w:rPr>
                      <w:color w:val="auto"/>
                    </w:rPr>
                    <w:t>1</w:t>
                  </w:r>
                </w:p>
              </w:tc>
              <w:tc>
                <w:tcPr>
                  <w:tcW w:w="1359" w:type="pct"/>
                  <w:noWrap w:val="0"/>
                  <w:vAlign w:val="center"/>
                </w:tcPr>
                <w:p>
                  <w:pPr>
                    <w:pStyle w:val="170"/>
                    <w:rPr>
                      <w:color w:val="auto"/>
                    </w:rPr>
                  </w:pPr>
                  <w:r>
                    <w:rPr>
                      <w:rFonts w:hint="eastAsia"/>
                      <w:color w:val="auto"/>
                    </w:rPr>
                    <w:t>T80-3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 w:hRule="atLeast"/>
                <w:jc w:val="center"/>
              </w:trPr>
              <w:tc>
                <w:tcPr>
                  <w:tcW w:w="340" w:type="pct"/>
                  <w:noWrap w:val="0"/>
                  <w:vAlign w:val="center"/>
                </w:tcPr>
                <w:p>
                  <w:pPr>
                    <w:pStyle w:val="170"/>
                    <w:rPr>
                      <w:color w:val="auto"/>
                    </w:rPr>
                  </w:pPr>
                  <w:r>
                    <w:rPr>
                      <w:rFonts w:hint="eastAsia"/>
                      <w:color w:val="auto"/>
                    </w:rPr>
                    <w:t>12</w:t>
                  </w:r>
                </w:p>
              </w:tc>
              <w:tc>
                <w:tcPr>
                  <w:tcW w:w="852" w:type="pct"/>
                  <w:vMerge w:val="restart"/>
                  <w:noWrap w:val="0"/>
                  <w:vAlign w:val="center"/>
                </w:tcPr>
                <w:p>
                  <w:pPr>
                    <w:pStyle w:val="170"/>
                    <w:rPr>
                      <w:rFonts w:hint="eastAsia"/>
                      <w:color w:val="auto"/>
                    </w:rPr>
                  </w:pPr>
                  <w:r>
                    <w:rPr>
                      <w:rFonts w:hint="eastAsia"/>
                      <w:color w:val="auto"/>
                    </w:rPr>
                    <w:t>手术室</w:t>
                  </w:r>
                </w:p>
              </w:tc>
              <w:tc>
                <w:tcPr>
                  <w:tcW w:w="1911" w:type="pct"/>
                  <w:noWrap w:val="0"/>
                  <w:vAlign w:val="center"/>
                </w:tcPr>
                <w:p>
                  <w:pPr>
                    <w:pStyle w:val="170"/>
                    <w:rPr>
                      <w:rFonts w:hint="eastAsia"/>
                      <w:color w:val="auto"/>
                    </w:rPr>
                  </w:pPr>
                  <w:r>
                    <w:rPr>
                      <w:rFonts w:hint="eastAsia"/>
                      <w:color w:val="auto"/>
                    </w:rPr>
                    <w:t>呼吸麻醉机</w:t>
                  </w:r>
                </w:p>
              </w:tc>
              <w:tc>
                <w:tcPr>
                  <w:tcW w:w="536" w:type="pct"/>
                  <w:noWrap w:val="0"/>
                  <w:vAlign w:val="center"/>
                </w:tcPr>
                <w:p>
                  <w:pPr>
                    <w:pStyle w:val="170"/>
                    <w:rPr>
                      <w:color w:val="auto"/>
                    </w:rPr>
                  </w:pPr>
                  <w:r>
                    <w:rPr>
                      <w:color w:val="auto"/>
                    </w:rPr>
                    <w:t>1</w:t>
                  </w:r>
                </w:p>
              </w:tc>
              <w:tc>
                <w:tcPr>
                  <w:tcW w:w="1359" w:type="pct"/>
                  <w:noWrap w:val="0"/>
                  <w:vAlign w:val="center"/>
                </w:tcPr>
                <w:p>
                  <w:pPr>
                    <w:pStyle w:val="170"/>
                    <w:rPr>
                      <w:color w:val="auto"/>
                    </w:rPr>
                  </w:pPr>
                  <w:r>
                    <w:rPr>
                      <w:rFonts w:hint="eastAsia"/>
                      <w:color w:val="auto"/>
                    </w:rPr>
                    <w:t>瑞沃德R5835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 w:hRule="atLeast"/>
                <w:jc w:val="center"/>
              </w:trPr>
              <w:tc>
                <w:tcPr>
                  <w:tcW w:w="340" w:type="pct"/>
                  <w:noWrap w:val="0"/>
                  <w:vAlign w:val="center"/>
                </w:tcPr>
                <w:p>
                  <w:pPr>
                    <w:pStyle w:val="170"/>
                    <w:rPr>
                      <w:color w:val="auto"/>
                    </w:rPr>
                  </w:pPr>
                  <w:r>
                    <w:rPr>
                      <w:rFonts w:hint="eastAsia"/>
                      <w:color w:val="auto"/>
                    </w:rPr>
                    <w:t>13</w:t>
                  </w:r>
                </w:p>
              </w:tc>
              <w:tc>
                <w:tcPr>
                  <w:tcW w:w="852" w:type="pct"/>
                  <w:vMerge w:val="continue"/>
                  <w:noWrap w:val="0"/>
                  <w:vAlign w:val="center"/>
                </w:tcPr>
                <w:p>
                  <w:pPr>
                    <w:pStyle w:val="170"/>
                    <w:rPr>
                      <w:color w:val="auto"/>
                    </w:rPr>
                  </w:pPr>
                </w:p>
              </w:tc>
              <w:tc>
                <w:tcPr>
                  <w:tcW w:w="1911" w:type="pct"/>
                  <w:noWrap w:val="0"/>
                  <w:vAlign w:val="center"/>
                </w:tcPr>
                <w:p>
                  <w:pPr>
                    <w:pStyle w:val="170"/>
                    <w:rPr>
                      <w:rFonts w:hint="eastAsia"/>
                      <w:color w:val="auto"/>
                    </w:rPr>
                  </w:pPr>
                  <w:r>
                    <w:rPr>
                      <w:rFonts w:hint="eastAsia"/>
                      <w:color w:val="auto"/>
                    </w:rPr>
                    <w:t>心电监护仪</w:t>
                  </w:r>
                </w:p>
              </w:tc>
              <w:tc>
                <w:tcPr>
                  <w:tcW w:w="536" w:type="pct"/>
                  <w:noWrap w:val="0"/>
                  <w:vAlign w:val="center"/>
                </w:tcPr>
                <w:p>
                  <w:pPr>
                    <w:pStyle w:val="170"/>
                    <w:rPr>
                      <w:color w:val="auto"/>
                    </w:rPr>
                  </w:pPr>
                  <w:r>
                    <w:rPr>
                      <w:color w:val="auto"/>
                    </w:rPr>
                    <w:t>1</w:t>
                  </w:r>
                </w:p>
              </w:tc>
              <w:tc>
                <w:tcPr>
                  <w:tcW w:w="1359" w:type="pct"/>
                  <w:noWrap w:val="0"/>
                  <w:vAlign w:val="center"/>
                </w:tcPr>
                <w:p>
                  <w:pPr>
                    <w:pStyle w:val="170"/>
                    <w:rPr>
                      <w:color w:val="auto"/>
                    </w:rPr>
                  </w:pPr>
                  <w:r>
                    <w:rPr>
                      <w:rFonts w:hint="eastAsia"/>
                      <w:color w:val="auto"/>
                    </w:rPr>
                    <w:t>如泰PM6000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 w:hRule="atLeast"/>
                <w:jc w:val="center"/>
              </w:trPr>
              <w:tc>
                <w:tcPr>
                  <w:tcW w:w="340" w:type="pct"/>
                  <w:noWrap w:val="0"/>
                  <w:vAlign w:val="center"/>
                </w:tcPr>
                <w:p>
                  <w:pPr>
                    <w:pStyle w:val="170"/>
                    <w:rPr>
                      <w:color w:val="auto"/>
                    </w:rPr>
                  </w:pPr>
                  <w:r>
                    <w:rPr>
                      <w:rFonts w:hint="eastAsia"/>
                      <w:color w:val="auto"/>
                    </w:rPr>
                    <w:t>14</w:t>
                  </w:r>
                </w:p>
              </w:tc>
              <w:tc>
                <w:tcPr>
                  <w:tcW w:w="852" w:type="pct"/>
                  <w:vMerge w:val="continue"/>
                  <w:noWrap w:val="0"/>
                  <w:vAlign w:val="center"/>
                </w:tcPr>
                <w:p>
                  <w:pPr>
                    <w:pStyle w:val="170"/>
                    <w:rPr>
                      <w:color w:val="auto"/>
                    </w:rPr>
                  </w:pPr>
                </w:p>
              </w:tc>
              <w:tc>
                <w:tcPr>
                  <w:tcW w:w="1911" w:type="pct"/>
                  <w:noWrap w:val="0"/>
                  <w:vAlign w:val="center"/>
                </w:tcPr>
                <w:p>
                  <w:pPr>
                    <w:pStyle w:val="170"/>
                    <w:rPr>
                      <w:rFonts w:hint="eastAsia"/>
                      <w:color w:val="auto"/>
                    </w:rPr>
                  </w:pPr>
                  <w:r>
                    <w:rPr>
                      <w:rFonts w:hint="eastAsia"/>
                      <w:color w:val="auto"/>
                    </w:rPr>
                    <w:t>高压蒸汽灭菌锅</w:t>
                  </w:r>
                </w:p>
              </w:tc>
              <w:tc>
                <w:tcPr>
                  <w:tcW w:w="536" w:type="pct"/>
                  <w:noWrap w:val="0"/>
                  <w:vAlign w:val="center"/>
                </w:tcPr>
                <w:p>
                  <w:pPr>
                    <w:pStyle w:val="170"/>
                    <w:rPr>
                      <w:color w:val="auto"/>
                    </w:rPr>
                  </w:pPr>
                  <w:r>
                    <w:rPr>
                      <w:color w:val="auto"/>
                    </w:rPr>
                    <w:t>1</w:t>
                  </w:r>
                </w:p>
              </w:tc>
              <w:tc>
                <w:tcPr>
                  <w:tcW w:w="1359" w:type="pct"/>
                  <w:noWrap w:val="0"/>
                  <w:vAlign w:val="center"/>
                </w:tcPr>
                <w:p>
                  <w:pPr>
                    <w:pStyle w:val="170"/>
                    <w:rPr>
                      <w:rFonts w:hint="eastAsia"/>
                      <w:color w:val="auto"/>
                    </w:rPr>
                  </w:pPr>
                  <w:r>
                    <w:rPr>
                      <w:rFonts w:hint="eastAsia"/>
                      <w:color w:val="aut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47" w:hRule="atLeast"/>
                <w:jc w:val="center"/>
              </w:trPr>
              <w:tc>
                <w:tcPr>
                  <w:tcW w:w="340" w:type="pct"/>
                  <w:noWrap w:val="0"/>
                  <w:vAlign w:val="center"/>
                </w:tcPr>
                <w:p>
                  <w:pPr>
                    <w:pStyle w:val="170"/>
                    <w:rPr>
                      <w:color w:val="auto"/>
                    </w:rPr>
                  </w:pPr>
                  <w:r>
                    <w:rPr>
                      <w:rFonts w:hint="eastAsia"/>
                      <w:color w:val="auto"/>
                    </w:rPr>
                    <w:t>15</w:t>
                  </w:r>
                </w:p>
              </w:tc>
              <w:tc>
                <w:tcPr>
                  <w:tcW w:w="852" w:type="pct"/>
                  <w:noWrap w:val="0"/>
                  <w:vAlign w:val="center"/>
                </w:tcPr>
                <w:p>
                  <w:pPr>
                    <w:pStyle w:val="170"/>
                    <w:rPr>
                      <w:rFonts w:hint="eastAsia"/>
                      <w:color w:val="auto"/>
                    </w:rPr>
                  </w:pPr>
                  <w:r>
                    <w:rPr>
                      <w:rFonts w:hint="eastAsia"/>
                      <w:color w:val="auto"/>
                    </w:rPr>
                    <w:t>超声室</w:t>
                  </w:r>
                </w:p>
              </w:tc>
              <w:tc>
                <w:tcPr>
                  <w:tcW w:w="1911" w:type="pct"/>
                  <w:noWrap w:val="0"/>
                  <w:vAlign w:val="center"/>
                </w:tcPr>
                <w:p>
                  <w:pPr>
                    <w:pStyle w:val="170"/>
                    <w:rPr>
                      <w:rFonts w:hint="eastAsia"/>
                      <w:color w:val="auto"/>
                    </w:rPr>
                  </w:pPr>
                  <w:r>
                    <w:rPr>
                      <w:rFonts w:hint="eastAsia"/>
                      <w:color w:val="auto"/>
                    </w:rPr>
                    <w:t>B超</w:t>
                  </w:r>
                </w:p>
              </w:tc>
              <w:tc>
                <w:tcPr>
                  <w:tcW w:w="536" w:type="pct"/>
                  <w:noWrap w:val="0"/>
                  <w:vAlign w:val="center"/>
                </w:tcPr>
                <w:p>
                  <w:pPr>
                    <w:pStyle w:val="170"/>
                    <w:rPr>
                      <w:color w:val="auto"/>
                    </w:rPr>
                  </w:pPr>
                  <w:r>
                    <w:rPr>
                      <w:color w:val="auto"/>
                    </w:rPr>
                    <w:t>1</w:t>
                  </w:r>
                </w:p>
              </w:tc>
              <w:tc>
                <w:tcPr>
                  <w:tcW w:w="1359" w:type="pct"/>
                  <w:noWrap w:val="0"/>
                  <w:vAlign w:val="center"/>
                </w:tcPr>
                <w:p>
                  <w:pPr>
                    <w:pStyle w:val="170"/>
                    <w:rPr>
                      <w:color w:val="auto"/>
                    </w:rPr>
                  </w:pPr>
                  <w:r>
                    <w:rPr>
                      <w:rFonts w:hint="eastAsia"/>
                      <w:color w:val="auto"/>
                    </w:rPr>
                    <w:t>迈瑞DP50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 w:hRule="atLeast"/>
                <w:jc w:val="center"/>
              </w:trPr>
              <w:tc>
                <w:tcPr>
                  <w:tcW w:w="340" w:type="pct"/>
                  <w:noWrap w:val="0"/>
                  <w:vAlign w:val="center"/>
                </w:tcPr>
                <w:p>
                  <w:pPr>
                    <w:pStyle w:val="170"/>
                    <w:rPr>
                      <w:color w:val="auto"/>
                    </w:rPr>
                  </w:pPr>
                  <w:r>
                    <w:rPr>
                      <w:rFonts w:hint="eastAsia"/>
                      <w:color w:val="auto"/>
                    </w:rPr>
                    <w:t>16</w:t>
                  </w:r>
                </w:p>
              </w:tc>
              <w:tc>
                <w:tcPr>
                  <w:tcW w:w="852" w:type="pct"/>
                  <w:noWrap w:val="0"/>
                  <w:vAlign w:val="center"/>
                </w:tcPr>
                <w:p>
                  <w:pPr>
                    <w:pStyle w:val="170"/>
                    <w:rPr>
                      <w:rFonts w:hint="eastAsia"/>
                      <w:color w:val="auto"/>
                    </w:rPr>
                  </w:pPr>
                  <w:r>
                    <w:rPr>
                      <w:rFonts w:hint="eastAsia"/>
                      <w:color w:val="auto"/>
                    </w:rPr>
                    <w:t>污水处理间</w:t>
                  </w:r>
                </w:p>
              </w:tc>
              <w:tc>
                <w:tcPr>
                  <w:tcW w:w="1911" w:type="pct"/>
                  <w:noWrap w:val="0"/>
                  <w:vAlign w:val="center"/>
                </w:tcPr>
                <w:p>
                  <w:pPr>
                    <w:pStyle w:val="170"/>
                    <w:rPr>
                      <w:rFonts w:hint="eastAsia"/>
                      <w:color w:val="auto"/>
                    </w:rPr>
                  </w:pPr>
                  <w:r>
                    <w:rPr>
                      <w:rFonts w:hint="eastAsia"/>
                      <w:color w:val="auto"/>
                    </w:rPr>
                    <w:t>缓释消毒器</w:t>
                  </w:r>
                </w:p>
              </w:tc>
              <w:tc>
                <w:tcPr>
                  <w:tcW w:w="536" w:type="pct"/>
                  <w:noWrap w:val="0"/>
                  <w:vAlign w:val="center"/>
                </w:tcPr>
                <w:p>
                  <w:pPr>
                    <w:pStyle w:val="170"/>
                    <w:rPr>
                      <w:rFonts w:hint="eastAsia"/>
                      <w:color w:val="auto"/>
                    </w:rPr>
                  </w:pPr>
                  <w:r>
                    <w:rPr>
                      <w:rFonts w:hint="eastAsia"/>
                      <w:color w:val="auto"/>
                    </w:rPr>
                    <w:t>1</w:t>
                  </w:r>
                </w:p>
              </w:tc>
              <w:tc>
                <w:tcPr>
                  <w:tcW w:w="1359" w:type="pct"/>
                  <w:noWrap w:val="0"/>
                  <w:vAlign w:val="center"/>
                </w:tcPr>
                <w:p>
                  <w:pPr>
                    <w:pStyle w:val="170"/>
                    <w:rPr>
                      <w:color w:val="auto"/>
                    </w:rPr>
                  </w:pPr>
                  <w:r>
                    <w:rPr>
                      <w:rFonts w:hint="eastAsia"/>
                      <w:color w:val="auto"/>
                    </w:rPr>
                    <w:t>30*30*30cm</w:t>
                  </w:r>
                </w:p>
              </w:tc>
            </w:tr>
          </w:tbl>
          <w:p>
            <w:pPr>
              <w:pStyle w:val="4"/>
              <w:spacing w:after="120"/>
              <w:rPr>
                <w:color w:val="auto"/>
              </w:rPr>
            </w:pPr>
            <w:r>
              <w:rPr>
                <w:rFonts w:hint="eastAsia"/>
                <w:color w:val="auto"/>
                <w:lang w:eastAsia="zh-CN"/>
              </w:rPr>
              <w:t>七</w:t>
            </w:r>
            <w:r>
              <w:rPr>
                <w:color w:val="auto"/>
              </w:rPr>
              <w:t>、劳动定员与工作制度</w:t>
            </w:r>
          </w:p>
          <w:p>
            <w:pPr>
              <w:pStyle w:val="101"/>
              <w:ind w:firstLine="480"/>
              <w:rPr>
                <w:rFonts w:hint="eastAsia"/>
                <w:color w:val="auto"/>
              </w:rPr>
            </w:pPr>
            <w:r>
              <w:rPr>
                <w:rFonts w:hint="eastAsia"/>
                <w:color w:val="auto"/>
              </w:rPr>
              <w:t>根据建设单位资料提供，</w:t>
            </w:r>
            <w:r>
              <w:rPr>
                <w:color w:val="auto"/>
              </w:rPr>
              <w:t>本项目</w:t>
            </w:r>
            <w:r>
              <w:rPr>
                <w:rFonts w:hint="eastAsia"/>
                <w:color w:val="auto"/>
              </w:rPr>
              <w:t>在职</w:t>
            </w:r>
            <w:r>
              <w:rPr>
                <w:color w:val="auto"/>
              </w:rPr>
              <w:t>员工</w:t>
            </w:r>
            <w:r>
              <w:rPr>
                <w:rFonts w:hint="eastAsia"/>
                <w:color w:val="auto"/>
              </w:rPr>
              <w:t>5</w:t>
            </w:r>
            <w:r>
              <w:rPr>
                <w:color w:val="auto"/>
              </w:rPr>
              <w:t>人，采用</w:t>
            </w:r>
            <w:r>
              <w:rPr>
                <w:rFonts w:hint="eastAsia"/>
                <w:color w:val="auto"/>
              </w:rPr>
              <w:t>一</w:t>
            </w:r>
            <w:r>
              <w:rPr>
                <w:color w:val="auto"/>
              </w:rPr>
              <w:t>班制，每班8小时，年工作365天</w:t>
            </w:r>
            <w:r>
              <w:rPr>
                <w:rFonts w:hint="eastAsia"/>
                <w:color w:val="auto"/>
              </w:rPr>
              <w:t>。</w:t>
            </w:r>
          </w:p>
          <w:p>
            <w:pPr>
              <w:pStyle w:val="4"/>
              <w:spacing w:after="120"/>
              <w:rPr>
                <w:color w:val="auto"/>
              </w:rPr>
            </w:pPr>
            <w:r>
              <w:rPr>
                <w:rFonts w:hint="eastAsia"/>
                <w:color w:val="auto"/>
                <w:lang w:eastAsia="zh-CN"/>
              </w:rPr>
              <w:t>八</w:t>
            </w:r>
            <w:r>
              <w:rPr>
                <w:color w:val="auto"/>
              </w:rPr>
              <w:t>、公用工程</w:t>
            </w:r>
          </w:p>
          <w:p>
            <w:pPr>
              <w:pStyle w:val="101"/>
              <w:ind w:firstLine="480"/>
              <w:rPr>
                <w:color w:val="auto"/>
              </w:rPr>
            </w:pPr>
            <w:r>
              <w:rPr>
                <w:color w:val="auto"/>
              </w:rPr>
              <w:t>（1）供电</w:t>
            </w:r>
          </w:p>
          <w:p>
            <w:pPr>
              <w:pStyle w:val="101"/>
              <w:ind w:firstLine="480"/>
              <w:rPr>
                <w:rFonts w:hint="eastAsia"/>
                <w:color w:val="auto"/>
              </w:rPr>
            </w:pPr>
            <w:r>
              <w:rPr>
                <w:rFonts w:hint="eastAsia"/>
                <w:color w:val="auto"/>
              </w:rPr>
              <w:t>本项目用电采用市政电网供电，不设置备用发电机。</w:t>
            </w:r>
          </w:p>
          <w:p>
            <w:pPr>
              <w:pStyle w:val="101"/>
              <w:ind w:firstLine="480"/>
              <w:rPr>
                <w:color w:val="auto"/>
              </w:rPr>
            </w:pPr>
            <w:r>
              <w:rPr>
                <w:color w:val="auto"/>
              </w:rPr>
              <w:t>（2）供水</w:t>
            </w:r>
          </w:p>
          <w:p>
            <w:pPr>
              <w:pStyle w:val="101"/>
              <w:ind w:firstLine="480"/>
              <w:rPr>
                <w:rFonts w:hint="eastAsia"/>
                <w:color w:val="auto"/>
              </w:rPr>
            </w:pPr>
            <w:r>
              <w:rPr>
                <w:rFonts w:hint="eastAsia"/>
                <w:color w:val="auto"/>
              </w:rPr>
              <w:t>本项目以市政自来水为水源，由市政给水管网给水管供水，供水能力能満足本项目的需要。</w:t>
            </w:r>
          </w:p>
          <w:p>
            <w:pPr>
              <w:pStyle w:val="101"/>
              <w:ind w:firstLine="480"/>
              <w:rPr>
                <w:rFonts w:hint="eastAsia"/>
                <w:color w:val="auto"/>
              </w:rPr>
            </w:pPr>
            <w:r>
              <w:rPr>
                <w:rFonts w:hint="eastAsia"/>
                <w:color w:val="auto"/>
              </w:rPr>
              <w:t>项目运营期，其用水主要为工作人员生活用水、医疗用水（包含宠物门诊、住院及地面清洁用水等）。按照《建筑给水排水设计规范》(GB500520090)及《四川省用水定额》所制定的各项用水定额，并参照同等规模的宠物医院用水量，本项目用水情况具体见下表。</w:t>
            </w:r>
          </w:p>
          <w:p>
            <w:pPr>
              <w:spacing w:line="480" w:lineRule="exact"/>
              <w:ind w:firstLine="422"/>
              <w:jc w:val="center"/>
              <w:rPr>
                <w:b/>
                <w:color w:val="auto"/>
              </w:rPr>
            </w:pPr>
            <w:r>
              <w:rPr>
                <w:b/>
                <w:color w:val="auto"/>
              </w:rPr>
              <w:t>表2-</w:t>
            </w:r>
            <w:r>
              <w:rPr>
                <w:rFonts w:hint="eastAsia"/>
                <w:b/>
                <w:color w:val="auto"/>
              </w:rPr>
              <w:t>5</w:t>
            </w:r>
            <w:r>
              <w:rPr>
                <w:b/>
                <w:color w:val="auto"/>
              </w:rPr>
              <w:t xml:space="preserve">   项目用水</w:t>
            </w:r>
            <w:r>
              <w:rPr>
                <w:rFonts w:hint="eastAsia"/>
                <w:b/>
                <w:color w:val="auto"/>
              </w:rPr>
              <w:t>及排水</w:t>
            </w:r>
            <w:r>
              <w:rPr>
                <w:b/>
                <w:color w:val="auto"/>
              </w:rPr>
              <w:t>情况汇总表</w:t>
            </w:r>
          </w:p>
          <w:tbl>
            <w:tblPr>
              <w:tblStyle w:val="3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57" w:type="dxa"/>
                <w:bottom w:w="0" w:type="dxa"/>
                <w:right w:w="57" w:type="dxa"/>
              </w:tblCellMar>
            </w:tblPr>
            <w:tblGrid>
              <w:gridCol w:w="510"/>
              <w:gridCol w:w="1505"/>
              <w:gridCol w:w="1340"/>
              <w:gridCol w:w="1415"/>
              <w:gridCol w:w="1263"/>
              <w:gridCol w:w="969"/>
              <w:gridCol w:w="12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07" w:hRule="atLeast"/>
                <w:jc w:val="center"/>
              </w:trPr>
              <w:tc>
                <w:tcPr>
                  <w:tcW w:w="311" w:type="pct"/>
                  <w:noWrap w:val="0"/>
                  <w:vAlign w:val="center"/>
                </w:tcPr>
                <w:p>
                  <w:pPr>
                    <w:pStyle w:val="118"/>
                    <w:rPr>
                      <w:b/>
                      <w:bCs/>
                      <w:color w:val="auto"/>
                    </w:rPr>
                  </w:pPr>
                  <w:r>
                    <w:rPr>
                      <w:b/>
                      <w:bCs/>
                      <w:color w:val="auto"/>
                    </w:rPr>
                    <w:t>序号</w:t>
                  </w:r>
                </w:p>
              </w:tc>
              <w:tc>
                <w:tcPr>
                  <w:tcW w:w="916" w:type="pct"/>
                  <w:noWrap w:val="0"/>
                  <w:vAlign w:val="center"/>
                </w:tcPr>
                <w:p>
                  <w:pPr>
                    <w:pStyle w:val="118"/>
                    <w:rPr>
                      <w:rFonts w:hint="eastAsia"/>
                      <w:b/>
                      <w:bCs/>
                      <w:color w:val="auto"/>
                    </w:rPr>
                  </w:pPr>
                  <w:r>
                    <w:rPr>
                      <w:rFonts w:hint="eastAsia"/>
                      <w:b/>
                      <w:bCs/>
                      <w:color w:val="auto"/>
                    </w:rPr>
                    <w:t>用水项目</w:t>
                  </w:r>
                </w:p>
              </w:tc>
              <w:tc>
                <w:tcPr>
                  <w:tcW w:w="816" w:type="pct"/>
                  <w:noWrap w:val="0"/>
                  <w:tcMar>
                    <w:left w:w="57" w:type="dxa"/>
                    <w:right w:w="57" w:type="dxa"/>
                  </w:tcMar>
                  <w:vAlign w:val="center"/>
                </w:tcPr>
                <w:p>
                  <w:pPr>
                    <w:pStyle w:val="118"/>
                    <w:rPr>
                      <w:b/>
                      <w:bCs/>
                      <w:color w:val="auto"/>
                    </w:rPr>
                  </w:pPr>
                  <w:r>
                    <w:rPr>
                      <w:b/>
                      <w:bCs/>
                      <w:color w:val="auto"/>
                    </w:rPr>
                    <w:t>规模</w:t>
                  </w:r>
                </w:p>
              </w:tc>
              <w:tc>
                <w:tcPr>
                  <w:tcW w:w="862" w:type="pct"/>
                  <w:noWrap w:val="0"/>
                  <w:tcMar>
                    <w:left w:w="57" w:type="dxa"/>
                    <w:right w:w="57" w:type="dxa"/>
                  </w:tcMar>
                  <w:vAlign w:val="center"/>
                </w:tcPr>
                <w:p>
                  <w:pPr>
                    <w:pStyle w:val="118"/>
                    <w:rPr>
                      <w:b/>
                      <w:bCs/>
                      <w:color w:val="auto"/>
                    </w:rPr>
                  </w:pPr>
                  <w:r>
                    <w:rPr>
                      <w:b/>
                      <w:bCs/>
                      <w:color w:val="auto"/>
                    </w:rPr>
                    <w:t>用水定额</w:t>
                  </w:r>
                </w:p>
              </w:tc>
              <w:tc>
                <w:tcPr>
                  <w:tcW w:w="769" w:type="pct"/>
                  <w:noWrap w:val="0"/>
                  <w:tcMar>
                    <w:left w:w="57" w:type="dxa"/>
                    <w:right w:w="57" w:type="dxa"/>
                  </w:tcMar>
                  <w:vAlign w:val="center"/>
                </w:tcPr>
                <w:p>
                  <w:pPr>
                    <w:pStyle w:val="118"/>
                    <w:rPr>
                      <w:b/>
                      <w:bCs/>
                      <w:color w:val="auto"/>
                    </w:rPr>
                  </w:pPr>
                  <w:r>
                    <w:rPr>
                      <w:b/>
                      <w:bCs/>
                      <w:color w:val="auto"/>
                    </w:rPr>
                    <w:t>用水量</w:t>
                  </w:r>
                </w:p>
                <w:p>
                  <w:pPr>
                    <w:pStyle w:val="118"/>
                    <w:rPr>
                      <w:b/>
                      <w:bCs/>
                      <w:color w:val="auto"/>
                    </w:rPr>
                  </w:pPr>
                  <w:r>
                    <w:rPr>
                      <w:b/>
                      <w:bCs/>
                      <w:color w:val="auto"/>
                    </w:rPr>
                    <w:t>（m</w:t>
                  </w:r>
                  <w:r>
                    <w:rPr>
                      <w:b/>
                      <w:bCs/>
                      <w:color w:val="auto"/>
                      <w:vertAlign w:val="superscript"/>
                    </w:rPr>
                    <w:t>3</w:t>
                  </w:r>
                  <w:r>
                    <w:rPr>
                      <w:b/>
                      <w:bCs/>
                      <w:color w:val="auto"/>
                    </w:rPr>
                    <w:t>/d）</w:t>
                  </w:r>
                </w:p>
              </w:tc>
              <w:tc>
                <w:tcPr>
                  <w:tcW w:w="590" w:type="pct"/>
                  <w:noWrap w:val="0"/>
                  <w:vAlign w:val="center"/>
                </w:tcPr>
                <w:p>
                  <w:pPr>
                    <w:pStyle w:val="118"/>
                    <w:rPr>
                      <w:b/>
                      <w:bCs/>
                      <w:color w:val="auto"/>
                    </w:rPr>
                  </w:pPr>
                  <w:r>
                    <w:rPr>
                      <w:b/>
                      <w:bCs/>
                      <w:color w:val="auto"/>
                    </w:rPr>
                    <w:t>排污系数</w:t>
                  </w:r>
                </w:p>
              </w:tc>
              <w:tc>
                <w:tcPr>
                  <w:tcW w:w="734" w:type="pct"/>
                  <w:noWrap w:val="0"/>
                  <w:vAlign w:val="center"/>
                </w:tcPr>
                <w:p>
                  <w:pPr>
                    <w:pStyle w:val="118"/>
                    <w:rPr>
                      <w:b/>
                      <w:bCs/>
                      <w:color w:val="auto"/>
                    </w:rPr>
                  </w:pPr>
                  <w:r>
                    <w:rPr>
                      <w:b/>
                      <w:bCs/>
                      <w:color w:val="auto"/>
                    </w:rPr>
                    <w:t>排水量</w:t>
                  </w:r>
                </w:p>
                <w:p>
                  <w:pPr>
                    <w:pStyle w:val="118"/>
                    <w:rPr>
                      <w:b/>
                      <w:bCs/>
                      <w:color w:val="auto"/>
                    </w:rPr>
                  </w:pPr>
                  <w:r>
                    <w:rPr>
                      <w:b/>
                      <w:bCs/>
                      <w:color w:val="auto"/>
                    </w:rPr>
                    <w:t>（m</w:t>
                  </w:r>
                  <w:r>
                    <w:rPr>
                      <w:b/>
                      <w:bCs/>
                      <w:color w:val="auto"/>
                      <w:vertAlign w:val="superscript"/>
                    </w:rPr>
                    <w:t>3</w:t>
                  </w:r>
                  <w:r>
                    <w:rPr>
                      <w:b/>
                      <w:bCs/>
                      <w:color w:val="auto"/>
                    </w:rPr>
                    <w:t>/d）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65" w:hRule="atLeast"/>
                <w:jc w:val="center"/>
              </w:trPr>
              <w:tc>
                <w:tcPr>
                  <w:tcW w:w="311" w:type="pct"/>
                  <w:noWrap w:val="0"/>
                  <w:vAlign w:val="center"/>
                </w:tcPr>
                <w:p>
                  <w:pPr>
                    <w:pStyle w:val="118"/>
                    <w:rPr>
                      <w:color w:val="auto"/>
                    </w:rPr>
                  </w:pPr>
                  <w:r>
                    <w:rPr>
                      <w:color w:val="auto"/>
                    </w:rPr>
                    <w:t>1</w:t>
                  </w:r>
                </w:p>
              </w:tc>
              <w:tc>
                <w:tcPr>
                  <w:tcW w:w="916" w:type="pct"/>
                  <w:noWrap w:val="0"/>
                  <w:vAlign w:val="center"/>
                </w:tcPr>
                <w:p>
                  <w:pPr>
                    <w:pStyle w:val="118"/>
                    <w:rPr>
                      <w:rFonts w:hint="eastAsia"/>
                      <w:color w:val="auto"/>
                    </w:rPr>
                  </w:pPr>
                  <w:r>
                    <w:rPr>
                      <w:rFonts w:hint="eastAsia"/>
                      <w:color w:val="auto"/>
                    </w:rPr>
                    <w:t>职工生活用水</w:t>
                  </w:r>
                </w:p>
              </w:tc>
              <w:tc>
                <w:tcPr>
                  <w:tcW w:w="816" w:type="pct"/>
                  <w:noWrap w:val="0"/>
                  <w:tcMar>
                    <w:left w:w="57" w:type="dxa"/>
                    <w:right w:w="57" w:type="dxa"/>
                  </w:tcMar>
                  <w:vAlign w:val="center"/>
                </w:tcPr>
                <w:p>
                  <w:pPr>
                    <w:pStyle w:val="118"/>
                    <w:rPr>
                      <w:rFonts w:hint="eastAsia"/>
                      <w:color w:val="auto"/>
                    </w:rPr>
                  </w:pPr>
                  <w:r>
                    <w:rPr>
                      <w:rFonts w:hint="eastAsia"/>
                      <w:color w:val="auto"/>
                    </w:rPr>
                    <w:t>5人</w:t>
                  </w:r>
                </w:p>
              </w:tc>
              <w:tc>
                <w:tcPr>
                  <w:tcW w:w="862" w:type="pct"/>
                  <w:noWrap w:val="0"/>
                  <w:tcMar>
                    <w:left w:w="57" w:type="dxa"/>
                    <w:right w:w="57" w:type="dxa"/>
                  </w:tcMar>
                  <w:vAlign w:val="center"/>
                </w:tcPr>
                <w:p>
                  <w:pPr>
                    <w:pStyle w:val="118"/>
                    <w:rPr>
                      <w:color w:val="auto"/>
                    </w:rPr>
                  </w:pPr>
                  <w:r>
                    <w:rPr>
                      <w:rFonts w:hint="eastAsia"/>
                      <w:color w:val="auto"/>
                    </w:rPr>
                    <w:t>50L/人·d</w:t>
                  </w:r>
                </w:p>
              </w:tc>
              <w:tc>
                <w:tcPr>
                  <w:tcW w:w="769" w:type="pct"/>
                  <w:noWrap w:val="0"/>
                  <w:tcMar>
                    <w:left w:w="57" w:type="dxa"/>
                    <w:right w:w="57" w:type="dxa"/>
                  </w:tcMar>
                  <w:vAlign w:val="center"/>
                </w:tcPr>
                <w:p>
                  <w:pPr>
                    <w:pStyle w:val="118"/>
                    <w:rPr>
                      <w:color w:val="auto"/>
                    </w:rPr>
                  </w:pPr>
                  <w:r>
                    <w:rPr>
                      <w:rFonts w:hint="eastAsia"/>
                      <w:color w:val="auto"/>
                    </w:rPr>
                    <w:t>0.25</w:t>
                  </w:r>
                </w:p>
              </w:tc>
              <w:tc>
                <w:tcPr>
                  <w:tcW w:w="590" w:type="pct"/>
                  <w:vMerge w:val="restart"/>
                  <w:noWrap w:val="0"/>
                  <w:vAlign w:val="center"/>
                </w:tcPr>
                <w:p>
                  <w:pPr>
                    <w:pStyle w:val="118"/>
                    <w:rPr>
                      <w:color w:val="auto"/>
                    </w:rPr>
                  </w:pPr>
                  <w:r>
                    <w:rPr>
                      <w:rFonts w:hint="eastAsia"/>
                      <w:color w:val="auto"/>
                    </w:rPr>
                    <w:t>0.8</w:t>
                  </w:r>
                </w:p>
              </w:tc>
              <w:tc>
                <w:tcPr>
                  <w:tcW w:w="734" w:type="pct"/>
                  <w:noWrap w:val="0"/>
                  <w:vAlign w:val="center"/>
                </w:tcPr>
                <w:p>
                  <w:pPr>
                    <w:pStyle w:val="118"/>
                    <w:rPr>
                      <w:color w:val="auto"/>
                    </w:rPr>
                  </w:pPr>
                  <w:r>
                    <w:rPr>
                      <w:rFonts w:hint="eastAsia"/>
                      <w:color w:val="auto"/>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65" w:hRule="atLeast"/>
                <w:jc w:val="center"/>
              </w:trPr>
              <w:tc>
                <w:tcPr>
                  <w:tcW w:w="311" w:type="pct"/>
                  <w:noWrap w:val="0"/>
                  <w:vAlign w:val="center"/>
                </w:tcPr>
                <w:p>
                  <w:pPr>
                    <w:pStyle w:val="118"/>
                    <w:rPr>
                      <w:rFonts w:hint="eastAsia"/>
                      <w:color w:val="auto"/>
                    </w:rPr>
                  </w:pPr>
                  <w:r>
                    <w:rPr>
                      <w:rFonts w:hint="eastAsia"/>
                      <w:color w:val="auto"/>
                    </w:rPr>
                    <w:t>2</w:t>
                  </w:r>
                </w:p>
              </w:tc>
              <w:tc>
                <w:tcPr>
                  <w:tcW w:w="916" w:type="pct"/>
                  <w:noWrap w:val="0"/>
                  <w:vAlign w:val="center"/>
                </w:tcPr>
                <w:p>
                  <w:pPr>
                    <w:pStyle w:val="118"/>
                    <w:rPr>
                      <w:rFonts w:hint="eastAsia"/>
                      <w:color w:val="auto"/>
                    </w:rPr>
                  </w:pPr>
                  <w:r>
                    <w:rPr>
                      <w:rFonts w:hint="eastAsia"/>
                      <w:color w:val="auto"/>
                    </w:rPr>
                    <w:t>顾客生活用水</w:t>
                  </w:r>
                </w:p>
              </w:tc>
              <w:tc>
                <w:tcPr>
                  <w:tcW w:w="816" w:type="pct"/>
                  <w:noWrap w:val="0"/>
                  <w:tcMar>
                    <w:left w:w="57" w:type="dxa"/>
                    <w:right w:w="57" w:type="dxa"/>
                  </w:tcMar>
                  <w:vAlign w:val="center"/>
                </w:tcPr>
                <w:p>
                  <w:pPr>
                    <w:pStyle w:val="118"/>
                    <w:rPr>
                      <w:color w:val="auto"/>
                    </w:rPr>
                  </w:pPr>
                  <w:r>
                    <w:rPr>
                      <w:rFonts w:hint="eastAsia"/>
                      <w:color w:val="auto"/>
                    </w:rPr>
                    <w:t>10人</w:t>
                  </w:r>
                </w:p>
              </w:tc>
              <w:tc>
                <w:tcPr>
                  <w:tcW w:w="862" w:type="pct"/>
                  <w:noWrap w:val="0"/>
                  <w:tcMar>
                    <w:left w:w="57" w:type="dxa"/>
                    <w:right w:w="57" w:type="dxa"/>
                  </w:tcMar>
                  <w:vAlign w:val="center"/>
                </w:tcPr>
                <w:p>
                  <w:pPr>
                    <w:pStyle w:val="118"/>
                    <w:rPr>
                      <w:color w:val="auto"/>
                    </w:rPr>
                  </w:pPr>
                  <w:r>
                    <w:rPr>
                      <w:rFonts w:hint="eastAsia"/>
                      <w:color w:val="auto"/>
                    </w:rPr>
                    <w:t>20L/人·d</w:t>
                  </w:r>
                </w:p>
              </w:tc>
              <w:tc>
                <w:tcPr>
                  <w:tcW w:w="769" w:type="pct"/>
                  <w:noWrap w:val="0"/>
                  <w:tcMar>
                    <w:left w:w="57" w:type="dxa"/>
                    <w:right w:w="57" w:type="dxa"/>
                  </w:tcMar>
                  <w:vAlign w:val="center"/>
                </w:tcPr>
                <w:p>
                  <w:pPr>
                    <w:pStyle w:val="118"/>
                    <w:rPr>
                      <w:color w:val="auto"/>
                    </w:rPr>
                  </w:pPr>
                  <w:r>
                    <w:rPr>
                      <w:rFonts w:hint="eastAsia"/>
                      <w:color w:val="auto"/>
                    </w:rPr>
                    <w:t>0.2</w:t>
                  </w:r>
                </w:p>
              </w:tc>
              <w:tc>
                <w:tcPr>
                  <w:tcW w:w="590" w:type="pct"/>
                  <w:vMerge w:val="continue"/>
                  <w:noWrap w:val="0"/>
                  <w:vAlign w:val="center"/>
                </w:tcPr>
                <w:p>
                  <w:pPr>
                    <w:pStyle w:val="118"/>
                    <w:rPr>
                      <w:rFonts w:hint="eastAsia"/>
                      <w:color w:val="auto"/>
                    </w:rPr>
                  </w:pPr>
                </w:p>
              </w:tc>
              <w:tc>
                <w:tcPr>
                  <w:tcW w:w="734" w:type="pct"/>
                  <w:noWrap w:val="0"/>
                  <w:vAlign w:val="center"/>
                </w:tcPr>
                <w:p>
                  <w:pPr>
                    <w:pStyle w:val="118"/>
                    <w:rPr>
                      <w:color w:val="auto"/>
                    </w:rPr>
                  </w:pPr>
                  <w:r>
                    <w:rPr>
                      <w:rFonts w:hint="eastAsia"/>
                      <w:color w:val="auto"/>
                    </w:rPr>
                    <w:t>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65" w:hRule="atLeast"/>
                <w:jc w:val="center"/>
              </w:trPr>
              <w:tc>
                <w:tcPr>
                  <w:tcW w:w="311" w:type="pct"/>
                  <w:noWrap w:val="0"/>
                  <w:vAlign w:val="center"/>
                </w:tcPr>
                <w:p>
                  <w:pPr>
                    <w:pStyle w:val="118"/>
                    <w:rPr>
                      <w:rFonts w:hint="eastAsia"/>
                      <w:color w:val="auto"/>
                    </w:rPr>
                  </w:pPr>
                  <w:r>
                    <w:rPr>
                      <w:rFonts w:hint="eastAsia"/>
                      <w:color w:val="auto"/>
                    </w:rPr>
                    <w:t>3</w:t>
                  </w:r>
                </w:p>
              </w:tc>
              <w:tc>
                <w:tcPr>
                  <w:tcW w:w="916" w:type="pct"/>
                  <w:noWrap w:val="0"/>
                  <w:vAlign w:val="center"/>
                </w:tcPr>
                <w:p>
                  <w:pPr>
                    <w:pStyle w:val="118"/>
                    <w:rPr>
                      <w:rFonts w:hint="eastAsia"/>
                      <w:color w:val="auto"/>
                    </w:rPr>
                  </w:pPr>
                  <w:r>
                    <w:rPr>
                      <w:rFonts w:hint="eastAsia"/>
                      <w:color w:val="auto"/>
                    </w:rPr>
                    <w:t>门诊宠物用水</w:t>
                  </w:r>
                </w:p>
              </w:tc>
              <w:tc>
                <w:tcPr>
                  <w:tcW w:w="816" w:type="pct"/>
                  <w:noWrap w:val="0"/>
                  <w:tcMar>
                    <w:left w:w="57" w:type="dxa"/>
                    <w:right w:w="57" w:type="dxa"/>
                  </w:tcMar>
                  <w:vAlign w:val="center"/>
                </w:tcPr>
                <w:p>
                  <w:pPr>
                    <w:pStyle w:val="118"/>
                    <w:rPr>
                      <w:color w:val="auto"/>
                    </w:rPr>
                  </w:pPr>
                  <w:r>
                    <w:rPr>
                      <w:rFonts w:hint="eastAsia"/>
                      <w:color w:val="auto"/>
                    </w:rPr>
                    <w:t>10只</w:t>
                  </w:r>
                </w:p>
              </w:tc>
              <w:tc>
                <w:tcPr>
                  <w:tcW w:w="862" w:type="pct"/>
                  <w:noWrap w:val="0"/>
                  <w:tcMar>
                    <w:left w:w="57" w:type="dxa"/>
                    <w:right w:w="57" w:type="dxa"/>
                  </w:tcMar>
                  <w:vAlign w:val="center"/>
                </w:tcPr>
                <w:p>
                  <w:pPr>
                    <w:pStyle w:val="170"/>
                    <w:rPr>
                      <w:color w:val="auto"/>
                    </w:rPr>
                  </w:pPr>
                  <w:r>
                    <w:rPr>
                      <w:rFonts w:hint="eastAsia"/>
                      <w:color w:val="auto"/>
                    </w:rPr>
                    <w:t>50L/只·d</w:t>
                  </w:r>
                </w:p>
              </w:tc>
              <w:tc>
                <w:tcPr>
                  <w:tcW w:w="769" w:type="pct"/>
                  <w:noWrap w:val="0"/>
                  <w:tcMar>
                    <w:left w:w="57" w:type="dxa"/>
                    <w:right w:w="57" w:type="dxa"/>
                  </w:tcMar>
                  <w:vAlign w:val="center"/>
                </w:tcPr>
                <w:p>
                  <w:pPr>
                    <w:pStyle w:val="118"/>
                    <w:rPr>
                      <w:color w:val="auto"/>
                    </w:rPr>
                  </w:pPr>
                  <w:r>
                    <w:rPr>
                      <w:rFonts w:hint="eastAsia"/>
                      <w:color w:val="auto"/>
                    </w:rPr>
                    <w:t>0.5</w:t>
                  </w:r>
                </w:p>
              </w:tc>
              <w:tc>
                <w:tcPr>
                  <w:tcW w:w="590" w:type="pct"/>
                  <w:vMerge w:val="continue"/>
                  <w:noWrap w:val="0"/>
                  <w:vAlign w:val="center"/>
                </w:tcPr>
                <w:p>
                  <w:pPr>
                    <w:pStyle w:val="118"/>
                    <w:rPr>
                      <w:color w:val="auto"/>
                    </w:rPr>
                  </w:pPr>
                </w:p>
              </w:tc>
              <w:tc>
                <w:tcPr>
                  <w:tcW w:w="734" w:type="pct"/>
                  <w:noWrap w:val="0"/>
                  <w:vAlign w:val="center"/>
                </w:tcPr>
                <w:p>
                  <w:pPr>
                    <w:pStyle w:val="118"/>
                    <w:rPr>
                      <w:color w:val="auto"/>
                    </w:rPr>
                  </w:pPr>
                  <w:r>
                    <w:rPr>
                      <w:rFonts w:hint="eastAsia"/>
                      <w:color w:val="auto"/>
                    </w:rPr>
                    <w:t>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65" w:hRule="atLeast"/>
                <w:jc w:val="center"/>
              </w:trPr>
              <w:tc>
                <w:tcPr>
                  <w:tcW w:w="311" w:type="pct"/>
                  <w:noWrap w:val="0"/>
                  <w:vAlign w:val="center"/>
                </w:tcPr>
                <w:p>
                  <w:pPr>
                    <w:pStyle w:val="118"/>
                    <w:rPr>
                      <w:rFonts w:hint="eastAsia"/>
                      <w:color w:val="auto"/>
                    </w:rPr>
                  </w:pPr>
                  <w:r>
                    <w:rPr>
                      <w:rFonts w:hint="eastAsia"/>
                      <w:color w:val="auto"/>
                    </w:rPr>
                    <w:t>4</w:t>
                  </w:r>
                </w:p>
              </w:tc>
              <w:tc>
                <w:tcPr>
                  <w:tcW w:w="916" w:type="pct"/>
                  <w:noWrap w:val="0"/>
                  <w:vAlign w:val="center"/>
                </w:tcPr>
                <w:p>
                  <w:pPr>
                    <w:pStyle w:val="118"/>
                    <w:rPr>
                      <w:rFonts w:hint="eastAsia"/>
                      <w:color w:val="auto"/>
                    </w:rPr>
                  </w:pPr>
                  <w:r>
                    <w:rPr>
                      <w:rFonts w:hint="eastAsia"/>
                      <w:color w:val="auto"/>
                    </w:rPr>
                    <w:t>住院宠物用水</w:t>
                  </w:r>
                </w:p>
              </w:tc>
              <w:tc>
                <w:tcPr>
                  <w:tcW w:w="816" w:type="pct"/>
                  <w:noWrap w:val="0"/>
                  <w:tcMar>
                    <w:left w:w="57" w:type="dxa"/>
                    <w:right w:w="57" w:type="dxa"/>
                  </w:tcMar>
                  <w:vAlign w:val="center"/>
                </w:tcPr>
                <w:p>
                  <w:pPr>
                    <w:pStyle w:val="118"/>
                    <w:rPr>
                      <w:color w:val="auto"/>
                    </w:rPr>
                  </w:pPr>
                  <w:r>
                    <w:rPr>
                      <w:rFonts w:hint="eastAsia"/>
                      <w:color w:val="auto"/>
                    </w:rPr>
                    <w:t>5只</w:t>
                  </w:r>
                </w:p>
              </w:tc>
              <w:tc>
                <w:tcPr>
                  <w:tcW w:w="862" w:type="pct"/>
                  <w:noWrap w:val="0"/>
                  <w:tcMar>
                    <w:left w:w="57" w:type="dxa"/>
                    <w:right w:w="57" w:type="dxa"/>
                  </w:tcMar>
                  <w:vAlign w:val="center"/>
                </w:tcPr>
                <w:p>
                  <w:pPr>
                    <w:pStyle w:val="170"/>
                    <w:rPr>
                      <w:color w:val="auto"/>
                    </w:rPr>
                  </w:pPr>
                  <w:r>
                    <w:rPr>
                      <w:rFonts w:hint="eastAsia"/>
                      <w:color w:val="auto"/>
                    </w:rPr>
                    <w:t>50L/只·d</w:t>
                  </w:r>
                </w:p>
              </w:tc>
              <w:tc>
                <w:tcPr>
                  <w:tcW w:w="769" w:type="pct"/>
                  <w:noWrap w:val="0"/>
                  <w:tcMar>
                    <w:left w:w="57" w:type="dxa"/>
                    <w:right w:w="57" w:type="dxa"/>
                  </w:tcMar>
                  <w:vAlign w:val="center"/>
                </w:tcPr>
                <w:p>
                  <w:pPr>
                    <w:pStyle w:val="118"/>
                    <w:rPr>
                      <w:color w:val="auto"/>
                    </w:rPr>
                  </w:pPr>
                  <w:r>
                    <w:rPr>
                      <w:rFonts w:hint="eastAsia"/>
                      <w:color w:val="auto"/>
                    </w:rPr>
                    <w:t>0.25</w:t>
                  </w:r>
                </w:p>
              </w:tc>
              <w:tc>
                <w:tcPr>
                  <w:tcW w:w="590" w:type="pct"/>
                  <w:vMerge w:val="continue"/>
                  <w:noWrap w:val="0"/>
                  <w:vAlign w:val="center"/>
                </w:tcPr>
                <w:p>
                  <w:pPr>
                    <w:pStyle w:val="118"/>
                    <w:rPr>
                      <w:color w:val="auto"/>
                    </w:rPr>
                  </w:pPr>
                </w:p>
              </w:tc>
              <w:tc>
                <w:tcPr>
                  <w:tcW w:w="734" w:type="pct"/>
                  <w:noWrap w:val="0"/>
                  <w:vAlign w:val="center"/>
                </w:tcPr>
                <w:p>
                  <w:pPr>
                    <w:pStyle w:val="118"/>
                    <w:rPr>
                      <w:rFonts w:hint="eastAsia"/>
                      <w:color w:val="auto"/>
                    </w:rPr>
                  </w:pPr>
                  <w:r>
                    <w:rPr>
                      <w:rFonts w:hint="eastAsia"/>
                      <w:color w:val="auto"/>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65" w:hRule="atLeast"/>
                <w:jc w:val="center"/>
              </w:trPr>
              <w:tc>
                <w:tcPr>
                  <w:tcW w:w="311" w:type="pct"/>
                  <w:noWrap w:val="0"/>
                  <w:vAlign w:val="center"/>
                </w:tcPr>
                <w:p>
                  <w:pPr>
                    <w:pStyle w:val="118"/>
                    <w:rPr>
                      <w:rFonts w:hint="eastAsia"/>
                      <w:color w:val="auto"/>
                    </w:rPr>
                  </w:pPr>
                  <w:r>
                    <w:rPr>
                      <w:rFonts w:hint="eastAsia"/>
                      <w:color w:val="auto"/>
                    </w:rPr>
                    <w:t>5</w:t>
                  </w:r>
                </w:p>
              </w:tc>
              <w:tc>
                <w:tcPr>
                  <w:tcW w:w="916" w:type="pct"/>
                  <w:noWrap w:val="0"/>
                  <w:vAlign w:val="center"/>
                </w:tcPr>
                <w:p>
                  <w:pPr>
                    <w:pStyle w:val="118"/>
                    <w:rPr>
                      <w:rFonts w:hint="eastAsia"/>
                      <w:color w:val="auto"/>
                    </w:rPr>
                  </w:pPr>
                  <w:r>
                    <w:rPr>
                      <w:rFonts w:hint="eastAsia"/>
                      <w:color w:val="auto"/>
                    </w:rPr>
                    <w:t>地面清洁用水</w:t>
                  </w:r>
                </w:p>
              </w:tc>
              <w:tc>
                <w:tcPr>
                  <w:tcW w:w="816" w:type="pct"/>
                  <w:noWrap w:val="0"/>
                  <w:tcMar>
                    <w:left w:w="57" w:type="dxa"/>
                    <w:right w:w="57" w:type="dxa"/>
                  </w:tcMar>
                  <w:vAlign w:val="center"/>
                </w:tcPr>
                <w:p>
                  <w:pPr>
                    <w:pStyle w:val="118"/>
                    <w:rPr>
                      <w:rFonts w:hint="eastAsia"/>
                      <w:color w:val="auto"/>
                    </w:rPr>
                  </w:pPr>
                  <w:r>
                    <w:rPr>
                      <w:rFonts w:hint="eastAsia"/>
                      <w:color w:val="auto"/>
                    </w:rPr>
                    <w:t>/</w:t>
                  </w:r>
                </w:p>
              </w:tc>
              <w:tc>
                <w:tcPr>
                  <w:tcW w:w="862" w:type="pct"/>
                  <w:noWrap w:val="0"/>
                  <w:tcMar>
                    <w:left w:w="57" w:type="dxa"/>
                    <w:right w:w="57" w:type="dxa"/>
                  </w:tcMar>
                  <w:vAlign w:val="center"/>
                </w:tcPr>
                <w:p>
                  <w:pPr>
                    <w:pStyle w:val="118"/>
                    <w:rPr>
                      <w:rFonts w:hint="eastAsia"/>
                      <w:color w:val="auto"/>
                    </w:rPr>
                  </w:pPr>
                  <w:r>
                    <w:rPr>
                      <w:rFonts w:hint="eastAsia"/>
                      <w:color w:val="auto"/>
                    </w:rPr>
                    <w:t>/</w:t>
                  </w:r>
                </w:p>
              </w:tc>
              <w:tc>
                <w:tcPr>
                  <w:tcW w:w="769" w:type="pct"/>
                  <w:noWrap w:val="0"/>
                  <w:tcMar>
                    <w:left w:w="57" w:type="dxa"/>
                    <w:right w:w="57" w:type="dxa"/>
                  </w:tcMar>
                  <w:vAlign w:val="center"/>
                </w:tcPr>
                <w:p>
                  <w:pPr>
                    <w:pStyle w:val="118"/>
                    <w:rPr>
                      <w:color w:val="auto"/>
                    </w:rPr>
                  </w:pPr>
                  <w:r>
                    <w:rPr>
                      <w:rFonts w:hint="eastAsia"/>
                      <w:color w:val="auto"/>
                    </w:rPr>
                    <w:t>0.2</w:t>
                  </w:r>
                </w:p>
              </w:tc>
              <w:tc>
                <w:tcPr>
                  <w:tcW w:w="590" w:type="pct"/>
                  <w:vMerge w:val="continue"/>
                  <w:noWrap w:val="0"/>
                  <w:vAlign w:val="center"/>
                </w:tcPr>
                <w:p>
                  <w:pPr>
                    <w:pStyle w:val="118"/>
                    <w:rPr>
                      <w:color w:val="auto"/>
                    </w:rPr>
                  </w:pPr>
                </w:p>
              </w:tc>
              <w:tc>
                <w:tcPr>
                  <w:tcW w:w="734" w:type="pct"/>
                  <w:noWrap w:val="0"/>
                  <w:vAlign w:val="center"/>
                </w:tcPr>
                <w:p>
                  <w:pPr>
                    <w:pStyle w:val="118"/>
                    <w:rPr>
                      <w:color w:val="auto"/>
                    </w:rPr>
                  </w:pPr>
                  <w:r>
                    <w:rPr>
                      <w:rFonts w:hint="eastAsia"/>
                      <w:color w:val="auto"/>
                    </w:rPr>
                    <w:t>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65" w:hRule="atLeast"/>
                <w:jc w:val="center"/>
              </w:trPr>
              <w:tc>
                <w:tcPr>
                  <w:tcW w:w="1228" w:type="pct"/>
                  <w:gridSpan w:val="2"/>
                  <w:noWrap w:val="0"/>
                  <w:vAlign w:val="center"/>
                </w:tcPr>
                <w:p>
                  <w:pPr>
                    <w:pStyle w:val="118"/>
                    <w:rPr>
                      <w:rFonts w:hint="eastAsia"/>
                      <w:color w:val="auto"/>
                    </w:rPr>
                  </w:pPr>
                  <w:r>
                    <w:rPr>
                      <w:rFonts w:hint="eastAsia"/>
                      <w:color w:val="auto"/>
                    </w:rPr>
                    <w:t>未预见用水</w:t>
                  </w:r>
                </w:p>
              </w:tc>
              <w:tc>
                <w:tcPr>
                  <w:tcW w:w="1678" w:type="pct"/>
                  <w:gridSpan w:val="2"/>
                  <w:noWrap w:val="0"/>
                  <w:tcMar>
                    <w:left w:w="57" w:type="dxa"/>
                    <w:right w:w="57" w:type="dxa"/>
                  </w:tcMar>
                  <w:vAlign w:val="center"/>
                </w:tcPr>
                <w:p>
                  <w:pPr>
                    <w:pStyle w:val="118"/>
                    <w:rPr>
                      <w:rFonts w:hint="eastAsia"/>
                      <w:color w:val="auto"/>
                    </w:rPr>
                  </w:pPr>
                  <w:r>
                    <w:rPr>
                      <w:rFonts w:hint="eastAsia"/>
                      <w:color w:val="auto"/>
                    </w:rPr>
                    <w:t>按总用水量 10%计</w:t>
                  </w:r>
                </w:p>
              </w:tc>
              <w:tc>
                <w:tcPr>
                  <w:tcW w:w="769" w:type="pct"/>
                  <w:noWrap w:val="0"/>
                  <w:tcMar>
                    <w:left w:w="57" w:type="dxa"/>
                    <w:right w:w="57" w:type="dxa"/>
                  </w:tcMar>
                  <w:vAlign w:val="center"/>
                </w:tcPr>
                <w:p>
                  <w:pPr>
                    <w:pStyle w:val="118"/>
                    <w:rPr>
                      <w:rFonts w:hint="eastAsia"/>
                      <w:color w:val="auto"/>
                    </w:rPr>
                  </w:pPr>
                  <w:r>
                    <w:rPr>
                      <w:rFonts w:hint="eastAsia"/>
                      <w:color w:val="auto"/>
                    </w:rPr>
                    <w:t>0.14</w:t>
                  </w:r>
                </w:p>
              </w:tc>
              <w:tc>
                <w:tcPr>
                  <w:tcW w:w="590" w:type="pct"/>
                  <w:noWrap w:val="0"/>
                  <w:vAlign w:val="center"/>
                </w:tcPr>
                <w:p>
                  <w:pPr>
                    <w:pStyle w:val="118"/>
                    <w:rPr>
                      <w:rFonts w:hint="eastAsia"/>
                      <w:color w:val="auto"/>
                    </w:rPr>
                  </w:pPr>
                  <w:r>
                    <w:rPr>
                      <w:rFonts w:hint="eastAsia"/>
                      <w:color w:val="auto"/>
                    </w:rPr>
                    <w:t>/</w:t>
                  </w:r>
                </w:p>
              </w:tc>
              <w:tc>
                <w:tcPr>
                  <w:tcW w:w="734" w:type="pct"/>
                  <w:noWrap w:val="0"/>
                  <w:vAlign w:val="center"/>
                </w:tcPr>
                <w:p>
                  <w:pPr>
                    <w:pStyle w:val="118"/>
                    <w:rPr>
                      <w:rFonts w:hint="eastAsia"/>
                      <w:color w:val="auto"/>
                    </w:rPr>
                  </w:pPr>
                  <w:r>
                    <w:rPr>
                      <w:rFonts w:hint="eastAsia"/>
                      <w:color w:val="aut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65" w:hRule="atLeast"/>
                <w:jc w:val="center"/>
              </w:trPr>
              <w:tc>
                <w:tcPr>
                  <w:tcW w:w="2906" w:type="pct"/>
                  <w:gridSpan w:val="4"/>
                  <w:noWrap w:val="0"/>
                  <w:vAlign w:val="center"/>
                </w:tcPr>
                <w:p>
                  <w:pPr>
                    <w:pStyle w:val="118"/>
                    <w:rPr>
                      <w:color w:val="auto"/>
                    </w:rPr>
                  </w:pPr>
                  <w:r>
                    <w:rPr>
                      <w:color w:val="auto"/>
                    </w:rPr>
                    <w:t>合计</w:t>
                  </w:r>
                </w:p>
              </w:tc>
              <w:tc>
                <w:tcPr>
                  <w:tcW w:w="769" w:type="pct"/>
                  <w:noWrap w:val="0"/>
                  <w:tcMar>
                    <w:left w:w="57" w:type="dxa"/>
                    <w:right w:w="57" w:type="dxa"/>
                  </w:tcMar>
                  <w:vAlign w:val="center"/>
                </w:tcPr>
                <w:p>
                  <w:pPr>
                    <w:pStyle w:val="118"/>
                    <w:rPr>
                      <w:color w:val="auto"/>
                    </w:rPr>
                  </w:pPr>
                  <w:r>
                    <w:rPr>
                      <w:rFonts w:hint="eastAsia"/>
                      <w:color w:val="auto"/>
                    </w:rPr>
                    <w:t>1.54</w:t>
                  </w:r>
                </w:p>
              </w:tc>
              <w:tc>
                <w:tcPr>
                  <w:tcW w:w="590" w:type="pct"/>
                  <w:noWrap w:val="0"/>
                  <w:vAlign w:val="center"/>
                </w:tcPr>
                <w:p>
                  <w:pPr>
                    <w:pStyle w:val="118"/>
                    <w:rPr>
                      <w:rFonts w:hint="eastAsia"/>
                      <w:color w:val="auto"/>
                    </w:rPr>
                  </w:pPr>
                  <w:r>
                    <w:rPr>
                      <w:rFonts w:hint="eastAsia"/>
                      <w:color w:val="auto"/>
                    </w:rPr>
                    <w:t>/</w:t>
                  </w:r>
                </w:p>
              </w:tc>
              <w:tc>
                <w:tcPr>
                  <w:tcW w:w="734" w:type="pct"/>
                  <w:noWrap w:val="0"/>
                  <w:vAlign w:val="center"/>
                </w:tcPr>
                <w:p>
                  <w:pPr>
                    <w:pStyle w:val="118"/>
                    <w:rPr>
                      <w:rFonts w:hint="eastAsia"/>
                      <w:color w:val="auto"/>
                    </w:rPr>
                  </w:pPr>
                  <w:r>
                    <w:rPr>
                      <w:rFonts w:hint="eastAsia"/>
                      <w:color w:val="auto"/>
                    </w:rPr>
                    <w:t>1.12</w:t>
                  </w:r>
                </w:p>
              </w:tc>
            </w:tr>
          </w:tbl>
          <w:p>
            <w:pPr>
              <w:pStyle w:val="101"/>
              <w:ind w:left="480" w:leftChars="200" w:firstLine="0" w:firstLineChars="0"/>
              <w:rPr>
                <w:rFonts w:hint="eastAsia"/>
                <w:color w:val="auto"/>
              </w:rPr>
            </w:pPr>
            <w:r>
              <w:rPr>
                <w:rFonts w:hint="eastAsia"/>
                <w:color w:val="auto"/>
              </w:rPr>
              <w:t>（3）</w:t>
            </w:r>
            <w:r>
              <w:rPr>
                <w:color w:val="auto"/>
              </w:rPr>
              <w:t>排水</w:t>
            </w:r>
            <w:r>
              <w:rPr>
                <w:rFonts w:hint="eastAsia"/>
                <w:color w:val="auto"/>
              </w:rPr>
              <w:t>系统</w:t>
            </w:r>
          </w:p>
          <w:p>
            <w:pPr>
              <w:pStyle w:val="104"/>
              <w:ind w:firstLine="480"/>
              <w:rPr>
                <w:rFonts w:hint="eastAsia"/>
                <w:color w:val="auto"/>
              </w:rPr>
            </w:pPr>
            <w:r>
              <w:rPr>
                <w:rFonts w:hint="eastAsia"/>
                <w:color w:val="auto"/>
              </w:rPr>
              <w:t>项目排水实行“雨污分流”制，雨水经屋面雨水漏斗收集，经雨水管道排入城市雨水管网；项目产生的医疗废水经一体化污水处理设备采用“</w:t>
            </w:r>
            <w:r>
              <w:rPr>
                <w:rFonts w:hint="eastAsia"/>
                <w:color w:val="auto"/>
                <w:lang w:eastAsia="zh-CN"/>
              </w:rPr>
              <w:t>混凝沉淀</w:t>
            </w:r>
            <w:r>
              <w:rPr>
                <w:rFonts w:hint="eastAsia"/>
                <w:color w:val="auto"/>
              </w:rPr>
              <w:t>+消毒”处理</w:t>
            </w:r>
            <w:r>
              <w:rPr>
                <w:rFonts w:hint="eastAsia"/>
                <w:color w:val="auto"/>
                <w:lang w:eastAsia="zh-CN"/>
              </w:rPr>
              <w:t>后</w:t>
            </w:r>
            <w:r>
              <w:rPr>
                <w:rFonts w:hint="eastAsia"/>
                <w:color w:val="auto"/>
              </w:rPr>
              <w:t>和员工生活污水一起通过污水管道进入</w:t>
            </w:r>
            <w:r>
              <w:rPr>
                <w:rFonts w:hint="eastAsia"/>
                <w:color w:val="auto"/>
                <w:lang w:eastAsia="zh-CN"/>
              </w:rPr>
              <w:t>嘉州春天小区</w:t>
            </w:r>
            <w:r>
              <w:rPr>
                <w:rFonts w:hint="eastAsia"/>
                <w:color w:val="auto"/>
              </w:rPr>
              <w:t>预处理池处理</w:t>
            </w:r>
            <w:r>
              <w:rPr>
                <w:rFonts w:hint="eastAsia"/>
                <w:color w:val="auto"/>
                <w:lang w:eastAsia="zh-CN"/>
              </w:rPr>
              <w:t>，</w:t>
            </w:r>
            <w:r>
              <w:rPr>
                <w:rFonts w:hint="eastAsia"/>
                <w:color w:val="auto"/>
              </w:rPr>
              <w:t>处理后排入市政污水管网，最终进入乐山市第一污水处理厂处理后排放。</w:t>
            </w:r>
          </w:p>
          <w:p>
            <w:pPr>
              <w:pStyle w:val="101"/>
              <w:ind w:firstLine="480"/>
              <w:rPr>
                <w:color w:val="auto"/>
              </w:rPr>
            </w:pPr>
            <w:r>
              <w:rPr>
                <w:color w:val="auto"/>
              </w:rPr>
              <w:t>项目运营期水平衡图如下：</w:t>
            </w:r>
          </w:p>
          <w:p>
            <w:pPr>
              <w:pStyle w:val="170"/>
              <w:rPr>
                <w:color w:val="auto"/>
              </w:rPr>
            </w:pPr>
            <w:r>
              <w:rPr>
                <w:color w:val="auto"/>
              </w:rPr>
              <w:object>
                <v:shape id="_x0000_i1036" o:spt="75" type="#_x0000_t75" style="height:216.05pt;width:410.3pt;" o:ole="t" filled="f" o:preferrelative="t" stroked="f" coordsize="21600,21600">
                  <v:path/>
                  <v:fill on="f" focussize="0,0"/>
                  <v:stroke on="f"/>
                  <v:imagedata r:id="rId78" o:title=""/>
                  <o:lock v:ext="edit" aspectratio="f"/>
                  <w10:wrap type="none"/>
                  <w10:anchorlock/>
                </v:shape>
                <o:OLEObject Type="Embed" ProgID="Visio.Drawing.15" ShapeID="_x0000_i1036" DrawAspect="Content" ObjectID="_1468075736" r:id="rId77">
                  <o:LockedField>false</o:LockedField>
                </o:OLEObject>
              </w:object>
            </w:r>
          </w:p>
          <w:p>
            <w:pPr>
              <w:pStyle w:val="117"/>
              <w:rPr>
                <w:color w:val="auto"/>
              </w:rPr>
            </w:pPr>
            <w:r>
              <w:rPr>
                <w:color w:val="auto"/>
              </w:rPr>
              <w:t>图2-1  项目水平衡图单位：m</w:t>
            </w:r>
            <w:r>
              <w:rPr>
                <w:color w:val="auto"/>
                <w:vertAlign w:val="superscript"/>
              </w:rPr>
              <w:t>3</w:t>
            </w:r>
            <w:r>
              <w:rPr>
                <w:color w:val="auto"/>
              </w:rPr>
              <w:t>/d</w:t>
            </w:r>
          </w:p>
          <w:p>
            <w:pPr>
              <w:pStyle w:val="104"/>
              <w:numPr>
                <w:ilvl w:val="0"/>
                <w:numId w:val="12"/>
              </w:numPr>
              <w:ind w:firstLine="480"/>
              <w:rPr>
                <w:rFonts w:hint="eastAsia"/>
                <w:color w:val="auto"/>
              </w:rPr>
            </w:pPr>
            <w:r>
              <w:rPr>
                <w:rFonts w:hint="eastAsia"/>
                <w:color w:val="auto"/>
              </w:rPr>
              <w:t>消毒供应</w:t>
            </w:r>
          </w:p>
          <w:p>
            <w:pPr>
              <w:pStyle w:val="104"/>
              <w:ind w:firstLine="480"/>
              <w:rPr>
                <w:color w:val="auto"/>
              </w:rPr>
            </w:pPr>
            <w:r>
              <w:rPr>
                <w:rFonts w:hint="eastAsia"/>
                <w:color w:val="auto"/>
              </w:rPr>
              <w:t>医疗废水消毒采用二氧化氯泡腾片；医院环境地面消毒采用月芐三甲氯胺；手术室仪器设备消毒采用高压蒸汽灭菌锅。</w:t>
            </w:r>
          </w:p>
          <w:p>
            <w:pPr>
              <w:pStyle w:val="104"/>
              <w:ind w:firstLine="482"/>
              <w:rPr>
                <w:rFonts w:hint="eastAsia"/>
                <w:b/>
                <w:bCs/>
                <w:color w:val="auto"/>
              </w:rPr>
            </w:pPr>
            <w:r>
              <w:rPr>
                <w:rFonts w:hint="eastAsia"/>
                <w:b/>
                <w:bCs/>
                <w:color w:val="auto"/>
              </w:rPr>
              <w:t>关于本项目具体情况说明如下：</w:t>
            </w:r>
          </w:p>
          <w:p>
            <w:pPr>
              <w:pStyle w:val="104"/>
              <w:ind w:firstLine="482"/>
              <w:rPr>
                <w:rFonts w:hint="eastAsia"/>
                <w:b/>
                <w:bCs/>
                <w:color w:val="auto"/>
              </w:rPr>
            </w:pPr>
            <w:r>
              <w:rPr>
                <w:rFonts w:hint="eastAsia"/>
                <w:b/>
                <w:bCs/>
                <w:color w:val="auto"/>
              </w:rPr>
              <w:t xml:space="preserve">（1）项目医学影像科采用数码打印方式，无洗印废水产生和排放； </w:t>
            </w:r>
          </w:p>
          <w:p>
            <w:pPr>
              <w:pStyle w:val="104"/>
              <w:ind w:firstLine="482"/>
              <w:rPr>
                <w:rFonts w:hint="eastAsia"/>
                <w:b/>
                <w:bCs/>
                <w:color w:val="auto"/>
              </w:rPr>
            </w:pPr>
            <w:r>
              <w:rPr>
                <w:rFonts w:hint="eastAsia"/>
                <w:b/>
                <w:bCs/>
                <w:color w:val="auto"/>
              </w:rPr>
              <w:t xml:space="preserve">（2）项目不设置食堂，职工就餐已自带和外卖的形式，因此无餐饮废水产生； </w:t>
            </w:r>
          </w:p>
          <w:p>
            <w:pPr>
              <w:pStyle w:val="104"/>
              <w:ind w:firstLine="482"/>
              <w:rPr>
                <w:rFonts w:hint="eastAsia"/>
                <w:b/>
                <w:bCs/>
                <w:color w:val="auto"/>
              </w:rPr>
            </w:pPr>
            <w:r>
              <w:rPr>
                <w:rFonts w:hint="eastAsia"/>
                <w:b/>
                <w:bCs/>
                <w:color w:val="auto"/>
              </w:rPr>
              <w:t>（3）本项目不接收传染病宠物;</w:t>
            </w:r>
          </w:p>
          <w:p>
            <w:pPr>
              <w:pStyle w:val="104"/>
              <w:ind w:firstLine="482"/>
              <w:rPr>
                <w:rFonts w:hint="eastAsia"/>
                <w:b/>
                <w:bCs/>
                <w:color w:val="auto"/>
              </w:rPr>
            </w:pPr>
            <w:r>
              <w:rPr>
                <w:rFonts w:hint="eastAsia"/>
                <w:b/>
                <w:bCs/>
                <w:color w:val="auto"/>
              </w:rPr>
              <w:t>（4）另外，本项目化验区采用成品试剂进行血常规检验，不使用水，此类检查产生的污染物主要为沾有血液的棉签、棉球、采血针、针简、量杯等，全部作为医疗垃圾处理，因此，本项目无检验废水的产生。</w:t>
            </w:r>
          </w:p>
          <w:p>
            <w:pPr>
              <w:pStyle w:val="4"/>
              <w:rPr>
                <w:color w:val="auto"/>
              </w:rPr>
            </w:pPr>
            <w:r>
              <w:rPr>
                <w:rFonts w:hint="eastAsia"/>
                <w:color w:val="auto"/>
                <w:lang w:eastAsia="zh-CN"/>
              </w:rPr>
              <w:t>九</w:t>
            </w:r>
            <w:r>
              <w:rPr>
                <w:color w:val="auto"/>
              </w:rPr>
              <w:t>、总平面布置合理性分析</w:t>
            </w:r>
          </w:p>
          <w:p>
            <w:pPr>
              <w:pStyle w:val="104"/>
              <w:ind w:firstLine="480"/>
              <w:rPr>
                <w:rFonts w:hint="eastAsia"/>
                <w:color w:val="auto"/>
              </w:rPr>
            </w:pPr>
            <w:r>
              <w:rPr>
                <w:rFonts w:hint="eastAsia"/>
                <w:color w:val="auto"/>
              </w:rPr>
              <w:t>本项目已建成运营，根据现场踏勘，项目整体建筑为正向坐北朝南，项目总共为2层建筑，一层主要设置前台、诊断室、化验室、保健室、药房、辐射室，二层主要设置了手术室、病房（3间）、B超室、污水处理间等，二楼走廊尽头设置了窗户，用于环境通风，宠物住院病房和手术室均设置在二楼中部，避免室外的社会噪声对动物的影响，能保证给予住院动物的一个安静的治疗环境，同时动物发出的声音在经过墙体、门窗等隔声之后不会对周围环境造成较大影响；项目一体化污水处理设施位于二层北侧洗手间，二层主要设置手术室及宠物住院病房，污水处理设施与废水产生单元间距短，能有效的保证医疗废水的短距离收集，减少了废水泄露的风险；项目医院内废气采用移动式紫外线等和臭氧消毒设备，能交替合并使用满足各个功能房的消毒要求；项目医疗废物暂存间设置于二层南侧，临近手术室，能满足手术过程中产生的医疗废物短距离收集，减少了交叉感染和环境污染的风险。</w:t>
            </w:r>
          </w:p>
          <w:p>
            <w:pPr>
              <w:pStyle w:val="104"/>
              <w:ind w:firstLine="480"/>
              <w:rPr>
                <w:rFonts w:hint="eastAsia"/>
                <w:b/>
                <w:bCs/>
                <w:color w:val="auto"/>
              </w:rPr>
            </w:pPr>
            <w:r>
              <w:rPr>
                <w:rFonts w:hint="eastAsia"/>
                <w:color w:val="auto"/>
              </w:rPr>
              <w:t>综上所述，项目总平面设计合理，各功能分区明确，各种环保设施布置较为合理，满足医疗卫生的要求和环境保护的要求，故项目总体平面布置合理可行。</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037" w:hRule="atLeast"/>
          <w:jc w:val="center"/>
        </w:trPr>
        <w:tc>
          <w:tcPr>
            <w:tcW w:w="627" w:type="dxa"/>
            <w:noWrap w:val="0"/>
            <w:vAlign w:val="center"/>
          </w:tcPr>
          <w:p>
            <w:pPr>
              <w:pStyle w:val="101"/>
              <w:ind w:firstLine="0" w:firstLineChars="0"/>
              <w:jc w:val="center"/>
              <w:rPr>
                <w:color w:val="auto"/>
              </w:rPr>
            </w:pPr>
            <w:r>
              <w:rPr>
                <w:rFonts w:hint="eastAsia"/>
                <w:color w:val="auto"/>
              </w:rPr>
              <w:t>工艺流程及产排污环节</w:t>
            </w:r>
          </w:p>
        </w:tc>
        <w:tc>
          <w:tcPr>
            <w:tcW w:w="8433" w:type="dxa"/>
            <w:noWrap w:val="0"/>
            <w:vAlign w:val="top"/>
          </w:tcPr>
          <w:p>
            <w:pPr>
              <w:pStyle w:val="104"/>
              <w:ind w:firstLine="480"/>
              <w:rPr>
                <w:color w:val="auto"/>
              </w:rPr>
            </w:pPr>
            <w:r>
              <w:rPr>
                <w:rFonts w:hint="eastAsia"/>
                <w:color w:val="auto"/>
              </w:rPr>
              <w:t>本项目建设分为工程施工期和营运期两个阶段。</w:t>
            </w:r>
          </w:p>
          <w:p>
            <w:pPr>
              <w:pStyle w:val="4"/>
              <w:rPr>
                <w:color w:val="auto"/>
              </w:rPr>
            </w:pPr>
            <w:r>
              <w:rPr>
                <w:color w:val="auto"/>
              </w:rPr>
              <w:t xml:space="preserve">一、施工期 </w:t>
            </w:r>
          </w:p>
          <w:p>
            <w:pPr>
              <w:pStyle w:val="104"/>
              <w:ind w:firstLine="480"/>
              <w:rPr>
                <w:rFonts w:hint="eastAsia"/>
                <w:color w:val="auto"/>
              </w:rPr>
            </w:pPr>
            <w:r>
              <w:rPr>
                <w:rFonts w:hint="eastAsia"/>
                <w:color w:val="auto"/>
              </w:rPr>
              <w:t>本项目系租用已建成的商业设施用于项目建设，项目仅对房间进行隔断装修和医疗设备安装，施工期污染物产生量少。根据现场调查，本项目已建设完成，施工期环境影响已结束，本次评价仅对施工期工艺流程及产排污情况进行回顾性分析。</w:t>
            </w:r>
          </w:p>
          <w:p>
            <w:pPr>
              <w:pStyle w:val="104"/>
              <w:numPr>
                <w:ilvl w:val="0"/>
                <w:numId w:val="13"/>
              </w:numPr>
              <w:ind w:firstLine="482"/>
              <w:rPr>
                <w:rFonts w:hint="eastAsia"/>
                <w:b/>
                <w:bCs/>
                <w:color w:val="auto"/>
              </w:rPr>
            </w:pPr>
            <w:r>
              <w:rPr>
                <w:rFonts w:hint="eastAsia"/>
                <w:b/>
                <w:bCs/>
                <w:color w:val="auto"/>
              </w:rPr>
              <w:t>施工期工艺流程及产排污分析</w:t>
            </w:r>
          </w:p>
          <w:p>
            <w:pPr>
              <w:pStyle w:val="104"/>
              <w:ind w:firstLine="480"/>
              <w:rPr>
                <w:rFonts w:hint="eastAsia"/>
                <w:color w:val="auto"/>
              </w:rPr>
            </w:pPr>
            <w:r>
              <w:rPr>
                <w:rFonts w:hint="eastAsia"/>
                <w:color w:val="auto"/>
              </w:rPr>
              <w:t>本项目为新建，项目施工期施工内容主要为改造工程、装修工程、设备安装工程，施工期约1个月，施工过程中将产生噪声、粉尘、固体废弃物、废水、废气等污染物，随着工程的完工和投入使用，施工期产生的各种污染物也随之消失。由于项目工程量较小，施工时间较短，污染物产排量较少，对周边环境的影响程度较小。项目施工期工艺流程如下图：</w:t>
            </w:r>
          </w:p>
          <w:p>
            <w:pPr>
              <w:pStyle w:val="170"/>
              <w:rPr>
                <w:color w:val="auto"/>
              </w:rPr>
            </w:pPr>
          </w:p>
          <w:p>
            <w:pPr>
              <w:pStyle w:val="170"/>
              <w:rPr>
                <w:color w:val="auto"/>
              </w:rPr>
            </w:pPr>
          </w:p>
          <w:p>
            <w:pPr>
              <w:pStyle w:val="170"/>
              <w:rPr>
                <w:color w:val="auto"/>
              </w:rPr>
            </w:pPr>
          </w:p>
          <w:p>
            <w:pPr>
              <w:pStyle w:val="170"/>
              <w:rPr>
                <w:color w:val="auto"/>
              </w:rPr>
            </w:pPr>
          </w:p>
          <w:p>
            <w:pPr>
              <w:pStyle w:val="170"/>
              <w:rPr>
                <w:color w:val="auto"/>
              </w:rPr>
            </w:pPr>
          </w:p>
          <w:p>
            <w:pPr>
              <w:pStyle w:val="170"/>
              <w:rPr>
                <w:color w:val="auto"/>
              </w:rPr>
            </w:pPr>
          </w:p>
          <w:p>
            <w:pPr>
              <w:pStyle w:val="170"/>
              <w:rPr>
                <w:color w:val="auto"/>
              </w:rPr>
            </w:pPr>
          </w:p>
          <w:p>
            <w:pPr>
              <w:pStyle w:val="170"/>
              <w:jc w:val="both"/>
              <w:rPr>
                <w:color w:val="auto"/>
              </w:rPr>
            </w:pPr>
            <w:r>
              <w:rPr>
                <w:color w:val="auto"/>
              </w:rPr>
              <w:object>
                <v:shape id="_x0000_i1037" o:spt="75" type="#_x0000_t75" style="height:98.55pt;width:410.55pt;" o:ole="t" filled="f" o:preferrelative="t" stroked="f" coordsize="21600,21600">
                  <v:path/>
                  <v:fill on="f" focussize="0,0"/>
                  <v:stroke on="f"/>
                  <v:imagedata r:id="rId80" o:title=""/>
                  <o:lock v:ext="edit" aspectratio="f"/>
                  <w10:wrap type="none"/>
                  <w10:anchorlock/>
                </v:shape>
                <o:OLEObject Type="Embed" ProgID="Visio.Drawing.15" ShapeID="_x0000_i1037" DrawAspect="Content" ObjectID="_1468075737" r:id="rId79">
                  <o:LockedField>false</o:LockedField>
                </o:OLEObject>
              </w:object>
            </w:r>
          </w:p>
          <w:p>
            <w:pPr>
              <w:pStyle w:val="117"/>
              <w:rPr>
                <w:color w:val="auto"/>
              </w:rPr>
            </w:pPr>
            <w:r>
              <w:rPr>
                <w:color w:val="auto"/>
              </w:rPr>
              <w:t>图2-2 施工期工艺流程及产排污分布图</w:t>
            </w:r>
          </w:p>
          <w:p>
            <w:pPr>
              <w:pStyle w:val="104"/>
              <w:ind w:firstLine="480"/>
              <w:rPr>
                <w:color w:val="auto"/>
              </w:rPr>
            </w:pPr>
            <w:r>
              <w:rPr>
                <w:color w:val="auto"/>
              </w:rPr>
              <w:t>工艺流程简述：</w:t>
            </w:r>
          </w:p>
          <w:p>
            <w:pPr>
              <w:pStyle w:val="104"/>
              <w:ind w:firstLine="480"/>
              <w:rPr>
                <w:color w:val="auto"/>
              </w:rPr>
            </w:pPr>
            <w:r>
              <w:rPr>
                <w:color w:val="auto"/>
              </w:rPr>
              <w:t>1、改造工程</w:t>
            </w:r>
          </w:p>
          <w:p>
            <w:pPr>
              <w:pStyle w:val="104"/>
              <w:ind w:firstLine="480"/>
              <w:rPr>
                <w:rFonts w:hint="eastAsia"/>
                <w:b/>
                <w:bCs/>
                <w:color w:val="auto"/>
              </w:rPr>
            </w:pPr>
            <w:r>
              <w:rPr>
                <w:color w:val="auto"/>
              </w:rPr>
              <w:t>改造工程主要为</w:t>
            </w:r>
            <w:r>
              <w:rPr>
                <w:rFonts w:hint="eastAsia"/>
                <w:color w:val="auto"/>
              </w:rPr>
              <w:t>对商铺进行隔断，根据项目各功能用房需要设置，施工过程中将产生少量粉尘、噪声等。</w:t>
            </w:r>
          </w:p>
          <w:p>
            <w:pPr>
              <w:pStyle w:val="104"/>
              <w:ind w:firstLine="480"/>
              <w:rPr>
                <w:color w:val="auto"/>
              </w:rPr>
            </w:pPr>
            <w:r>
              <w:rPr>
                <w:color w:val="auto"/>
              </w:rPr>
              <w:t>2、</w:t>
            </w:r>
            <w:r>
              <w:rPr>
                <w:rFonts w:hint="eastAsia"/>
                <w:color w:val="auto"/>
              </w:rPr>
              <w:t>装修工程</w:t>
            </w:r>
          </w:p>
          <w:p>
            <w:pPr>
              <w:pStyle w:val="104"/>
              <w:ind w:firstLine="480"/>
              <w:rPr>
                <w:rFonts w:hint="eastAsia"/>
                <w:color w:val="auto"/>
              </w:rPr>
            </w:pPr>
            <w:r>
              <w:rPr>
                <w:rFonts w:hint="eastAsia"/>
                <w:color w:val="auto"/>
              </w:rPr>
              <w:t>装修工程主要为地面硬化及铺砖、墙体墙面粉刷、门窗安装等，施工工程量较小，施工时间较短，施工过程中将产生废气、噪声、固废及生活污水等。</w:t>
            </w:r>
          </w:p>
          <w:p>
            <w:pPr>
              <w:pStyle w:val="104"/>
              <w:ind w:firstLine="480"/>
              <w:rPr>
                <w:color w:val="auto"/>
              </w:rPr>
            </w:pPr>
            <w:r>
              <w:rPr>
                <w:color w:val="auto"/>
              </w:rPr>
              <w:t>3、设备安装</w:t>
            </w:r>
          </w:p>
          <w:p>
            <w:pPr>
              <w:pStyle w:val="104"/>
              <w:ind w:firstLine="480"/>
              <w:rPr>
                <w:color w:val="auto"/>
              </w:rPr>
            </w:pPr>
            <w:r>
              <w:rPr>
                <w:color w:val="auto"/>
              </w:rPr>
              <w:t>项目设备安装主要为</w:t>
            </w:r>
            <w:r>
              <w:rPr>
                <w:rFonts w:hint="eastAsia"/>
                <w:color w:val="auto"/>
              </w:rPr>
              <w:t>手术室设备安装、B超市及化验室等设备安装，</w:t>
            </w:r>
            <w:r>
              <w:rPr>
                <w:color w:val="auto"/>
              </w:rPr>
              <w:t>设备安装过程中涉及设备固定等，将产生一定的噪声。</w:t>
            </w:r>
          </w:p>
          <w:p>
            <w:pPr>
              <w:pStyle w:val="104"/>
              <w:ind w:firstLine="480"/>
              <w:rPr>
                <w:rFonts w:hint="eastAsia"/>
                <w:color w:val="auto"/>
              </w:rPr>
            </w:pPr>
            <w:r>
              <w:rPr>
                <w:rFonts w:hint="eastAsia"/>
                <w:color w:val="auto"/>
              </w:rPr>
              <w:t>本工程施工期为1个月，施工期对环境的影响通过采取加强管理、合理安排施工时间等措施能够得到一定缓解，随着施工阶段的推进，施工期污染物产排及对环境的影响将发生变化，最终随着施工的结束而消失。</w:t>
            </w:r>
          </w:p>
          <w:p>
            <w:pPr>
              <w:pStyle w:val="4"/>
              <w:numPr>
                <w:ilvl w:val="0"/>
                <w:numId w:val="11"/>
              </w:numPr>
              <w:rPr>
                <w:color w:val="auto"/>
              </w:rPr>
            </w:pPr>
            <w:r>
              <w:rPr>
                <w:color w:val="auto"/>
              </w:rPr>
              <w:t>营运期</w:t>
            </w:r>
          </w:p>
          <w:p>
            <w:pPr>
              <w:pStyle w:val="104"/>
              <w:ind w:firstLine="480"/>
              <w:rPr>
                <w:rFonts w:hint="eastAsia"/>
                <w:color w:val="auto"/>
              </w:rPr>
            </w:pPr>
            <w:r>
              <w:rPr>
                <w:rFonts w:hint="eastAsia"/>
                <w:color w:val="auto"/>
              </w:rPr>
              <w:t>本项目为宠物医院项目，年运营日为 365 天/年，员工共5 人，项目不提供住宿、不设食堂。</w:t>
            </w:r>
          </w:p>
          <w:p>
            <w:pPr>
              <w:pStyle w:val="104"/>
              <w:ind w:firstLine="480"/>
              <w:rPr>
                <w:rFonts w:hint="eastAsia"/>
                <w:color w:val="auto"/>
              </w:rPr>
            </w:pPr>
            <w:r>
              <w:rPr>
                <w:rFonts w:hint="eastAsia"/>
                <w:color w:val="auto"/>
              </w:rPr>
              <w:t>项目运营后，主要为宠物提供医疗服务。其工作流程及主要排污节点如图 2-2 所示。</w:t>
            </w:r>
          </w:p>
          <w:p>
            <w:pPr>
              <w:pStyle w:val="104"/>
              <w:spacing w:line="240" w:lineRule="auto"/>
              <w:ind w:firstLine="0" w:firstLineChars="0"/>
              <w:rPr>
                <w:color w:val="auto"/>
              </w:rPr>
            </w:pPr>
            <w:r>
              <w:rPr>
                <w:color w:val="auto"/>
              </w:rPr>
              <w:object>
                <v:shape id="_x0000_i1038" o:spt="75" type="#_x0000_t75" style="height:94.8pt;width:410.65pt;" o:ole="t" filled="f" o:preferrelative="t" stroked="f" coordsize="21600,21600">
                  <v:path/>
                  <v:fill on="f" focussize="0,0"/>
                  <v:stroke on="f"/>
                  <v:imagedata r:id="rId82" o:title=""/>
                  <o:lock v:ext="edit" aspectratio="f"/>
                  <w10:wrap type="none"/>
                  <w10:anchorlock/>
                </v:shape>
                <o:OLEObject Type="Embed" ProgID="Visio.Drawing.15" ShapeID="_x0000_i1038" DrawAspect="Content" ObjectID="_1468075738" r:id="rId81">
                  <o:LockedField>false</o:LockedField>
                </o:OLEObject>
              </w:object>
            </w:r>
          </w:p>
          <w:p>
            <w:pPr>
              <w:pStyle w:val="117"/>
              <w:rPr>
                <w:rFonts w:hint="eastAsia"/>
                <w:color w:val="auto"/>
              </w:rPr>
            </w:pPr>
            <w:r>
              <w:rPr>
                <w:rFonts w:hint="eastAsia"/>
                <w:color w:val="auto"/>
              </w:rPr>
              <w:t>图2-3  运营期基本工艺流程及产污环节图</w:t>
            </w:r>
          </w:p>
          <w:p>
            <w:pPr>
              <w:pStyle w:val="104"/>
              <w:ind w:firstLine="480"/>
              <w:rPr>
                <w:rFonts w:hint="eastAsia"/>
                <w:color w:val="auto"/>
              </w:rPr>
            </w:pPr>
            <w:r>
              <w:rPr>
                <w:rFonts w:hint="eastAsia"/>
                <w:color w:val="auto"/>
              </w:rPr>
              <w:t>工艺流程简述：</w:t>
            </w:r>
          </w:p>
          <w:p>
            <w:pPr>
              <w:pStyle w:val="104"/>
              <w:ind w:firstLine="480"/>
              <w:rPr>
                <w:color w:val="auto"/>
              </w:rPr>
            </w:pPr>
            <w:r>
              <w:rPr>
                <w:rFonts w:hint="eastAsia"/>
                <w:color w:val="auto"/>
              </w:rPr>
              <w:t xml:space="preserve">诊室：主要对宠物进行常见疾病的治疗，产生的污染物主要为棉球、药品等医疗废物和诊断过程产生的医疗废水。 </w:t>
            </w:r>
          </w:p>
          <w:p>
            <w:pPr>
              <w:pStyle w:val="104"/>
              <w:ind w:firstLine="480"/>
              <w:rPr>
                <w:color w:val="auto"/>
              </w:rPr>
            </w:pPr>
            <w:r>
              <w:rPr>
                <w:rFonts w:hint="eastAsia"/>
                <w:color w:val="auto"/>
              </w:rPr>
              <w:t xml:space="preserve">化验室：主要为宠物进行血常规检查，且采用成品试剂，产生的污染物主要为带有宠物血液的棉球、试管等。使用染色剂对样本进行染色，显微镜观察形态、数量，从而进行病症诊断。 </w:t>
            </w:r>
          </w:p>
          <w:p>
            <w:pPr>
              <w:pStyle w:val="104"/>
              <w:ind w:firstLine="480"/>
              <w:rPr>
                <w:rFonts w:hint="eastAsia"/>
                <w:color w:val="auto"/>
              </w:rPr>
            </w:pPr>
            <w:r>
              <w:rPr>
                <w:rFonts w:hint="eastAsia"/>
                <w:color w:val="auto"/>
              </w:rPr>
              <w:t>手术室：主要开展宠物常规三腔手术和阉割手术等，产生的污染物主要为宠物病理组织、棉球、纱布等医疗废物和手术过程产生的医疗废水。</w:t>
            </w:r>
          </w:p>
          <w:p>
            <w:pPr>
              <w:pStyle w:val="104"/>
              <w:ind w:firstLine="480"/>
              <w:rPr>
                <w:rFonts w:hint="eastAsia"/>
                <w:color w:val="auto"/>
              </w:rPr>
            </w:pPr>
            <w:r>
              <w:rPr>
                <w:rFonts w:hint="eastAsia"/>
                <w:color w:val="auto"/>
              </w:rPr>
              <w:t>本项目内不设置洗衣房，医务人员衣物交由周边商业洗衣店清洗完成后，送本项目医务人员使用。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94" w:hRule="atLeast"/>
          <w:jc w:val="center"/>
        </w:trPr>
        <w:tc>
          <w:tcPr>
            <w:tcW w:w="627" w:type="dxa"/>
            <w:noWrap w:val="0"/>
            <w:vAlign w:val="center"/>
          </w:tcPr>
          <w:p>
            <w:pPr>
              <w:pStyle w:val="101"/>
              <w:ind w:firstLine="0" w:firstLineChars="0"/>
              <w:jc w:val="center"/>
              <w:rPr>
                <w:rFonts w:hint="eastAsia"/>
                <w:color w:val="auto"/>
              </w:rPr>
            </w:pPr>
            <w:r>
              <w:rPr>
                <w:rFonts w:hint="eastAsia"/>
                <w:color w:val="auto"/>
              </w:rPr>
              <w:t>与项目有关的原有环境污染问题</w:t>
            </w:r>
          </w:p>
        </w:tc>
        <w:tc>
          <w:tcPr>
            <w:tcW w:w="8433" w:type="dxa"/>
            <w:noWrap w:val="0"/>
            <w:vAlign w:val="center"/>
          </w:tcPr>
          <w:p>
            <w:pPr>
              <w:pStyle w:val="101"/>
              <w:ind w:firstLine="480"/>
              <w:rPr>
                <w:rFonts w:hint="eastAsia"/>
                <w:color w:val="auto"/>
              </w:rPr>
            </w:pPr>
            <w:r>
              <w:rPr>
                <w:rFonts w:hint="eastAsia"/>
                <w:color w:val="auto"/>
              </w:rPr>
              <w:t>本项目为新建项目，租用乐山市市中区竹林路636号1楼7号的商铺来进行建设，构筑物的主体框架已形成，经走访调查，该商铺原作为商业性用途使用，不涉及原有环境污染问题，项目建设地址无环境遗留问题。本次环评为补评手续，项目现状污染物排放及治理情况如下：</w:t>
            </w:r>
          </w:p>
          <w:p>
            <w:pPr>
              <w:pStyle w:val="5"/>
              <w:numPr>
                <w:ilvl w:val="0"/>
                <w:numId w:val="14"/>
              </w:numPr>
              <w:ind w:firstLine="482"/>
              <w:rPr>
                <w:rFonts w:hint="eastAsia"/>
                <w:color w:val="auto"/>
              </w:rPr>
            </w:pPr>
            <w:r>
              <w:rPr>
                <w:rFonts w:hint="eastAsia"/>
                <w:color w:val="auto"/>
              </w:rPr>
              <w:t>本次环评之前项目现状污染物排放及治理情况</w:t>
            </w:r>
          </w:p>
          <w:p>
            <w:pPr>
              <w:pStyle w:val="104"/>
              <w:numPr>
                <w:ilvl w:val="0"/>
                <w:numId w:val="15"/>
              </w:numPr>
              <w:ind w:firstLine="480"/>
              <w:rPr>
                <w:rFonts w:hint="eastAsia"/>
                <w:color w:val="auto"/>
              </w:rPr>
            </w:pPr>
            <w:r>
              <w:rPr>
                <w:rFonts w:hint="eastAsia"/>
                <w:color w:val="auto"/>
              </w:rPr>
              <w:t>项目现状废水排放情况分析</w:t>
            </w:r>
          </w:p>
          <w:p>
            <w:pPr>
              <w:pStyle w:val="104"/>
              <w:ind w:firstLine="480"/>
              <w:rPr>
                <w:rFonts w:hint="eastAsia"/>
                <w:color w:val="auto"/>
              </w:rPr>
            </w:pPr>
            <w:r>
              <w:rPr>
                <w:rFonts w:hint="eastAsia"/>
                <w:color w:val="auto"/>
              </w:rPr>
              <w:t>项目现状产生的废水主要为生活污水（0.36m</w:t>
            </w:r>
            <w:r>
              <w:rPr>
                <w:rFonts w:hint="eastAsia"/>
                <w:color w:val="auto"/>
                <w:vertAlign w:val="superscript"/>
              </w:rPr>
              <w:t>3</w:t>
            </w:r>
            <w:r>
              <w:rPr>
                <w:rFonts w:hint="eastAsia"/>
                <w:color w:val="auto"/>
              </w:rPr>
              <w:t>/d）和医疗废水（0.76m</w:t>
            </w:r>
            <w:r>
              <w:rPr>
                <w:rFonts w:hint="eastAsia"/>
                <w:color w:val="auto"/>
                <w:vertAlign w:val="superscript"/>
              </w:rPr>
              <w:t>3</w:t>
            </w:r>
            <w:r>
              <w:rPr>
                <w:rFonts w:hint="eastAsia"/>
                <w:color w:val="auto"/>
              </w:rPr>
              <w:t>/d），其中医疗废水包括了动物门诊废水、住院废水和院内地面清洁废水，由项目水平衡可知，项目建成后废水总的排放量为1.12m</w:t>
            </w:r>
            <w:r>
              <w:rPr>
                <w:rFonts w:hint="eastAsia"/>
                <w:color w:val="auto"/>
                <w:vertAlign w:val="superscript"/>
              </w:rPr>
              <w:t>3</w:t>
            </w:r>
            <w:r>
              <w:rPr>
                <w:rFonts w:hint="eastAsia"/>
                <w:color w:val="auto"/>
              </w:rPr>
              <w:t>/d（408.8m</w:t>
            </w:r>
            <w:r>
              <w:rPr>
                <w:rFonts w:hint="eastAsia"/>
                <w:color w:val="auto"/>
                <w:vertAlign w:val="superscript"/>
              </w:rPr>
              <w:t>3</w:t>
            </w:r>
            <w:r>
              <w:rPr>
                <w:rFonts w:hint="eastAsia"/>
                <w:color w:val="auto"/>
              </w:rPr>
              <w:t>/a）。</w:t>
            </w:r>
          </w:p>
          <w:p>
            <w:pPr>
              <w:pStyle w:val="104"/>
              <w:ind w:firstLine="480"/>
              <w:rPr>
                <w:rFonts w:hint="eastAsia"/>
                <w:color w:val="auto"/>
              </w:rPr>
            </w:pPr>
            <w:r>
              <w:rPr>
                <w:rFonts w:hint="eastAsia"/>
                <w:color w:val="auto"/>
              </w:rPr>
              <w:t>项目医疗废水经一体化废水处理</w:t>
            </w:r>
            <w:r>
              <w:rPr>
                <w:rFonts w:hint="eastAsia"/>
                <w:color w:val="auto"/>
                <w:lang w:eastAsia="zh-CN"/>
              </w:rPr>
              <w:t>设施</w:t>
            </w:r>
            <w:r>
              <w:rPr>
                <w:rFonts w:hint="eastAsia"/>
                <w:color w:val="auto"/>
              </w:rPr>
              <w:t>处理后同生活污水排入嘉州春天小区预处理池，经处理后排入市政污水管网，最终进入末端乐山市第一污水处理厂经污水处理厂处理达标后排入岷江。</w:t>
            </w:r>
          </w:p>
          <w:p>
            <w:pPr>
              <w:pStyle w:val="104"/>
              <w:ind w:firstLine="480"/>
              <w:rPr>
                <w:rFonts w:hint="eastAsia"/>
                <w:color w:val="auto"/>
              </w:rPr>
            </w:pPr>
            <w:r>
              <w:rPr>
                <w:rFonts w:hint="eastAsia"/>
                <w:color w:val="auto"/>
              </w:rPr>
              <w:t>（2）项目现状废气排放情况分析</w:t>
            </w:r>
          </w:p>
          <w:p>
            <w:pPr>
              <w:pStyle w:val="104"/>
              <w:ind w:firstLine="480"/>
              <w:rPr>
                <w:rFonts w:hint="eastAsia"/>
                <w:color w:val="auto"/>
              </w:rPr>
            </w:pPr>
            <w:r>
              <w:rPr>
                <w:color w:val="auto"/>
              </w:rPr>
              <w:t>项目运营期产生的废气主要来源于就诊区域宠物散发的异味、</w:t>
            </w:r>
            <w:r>
              <w:rPr>
                <w:rFonts w:hint="eastAsia"/>
                <w:color w:val="auto"/>
              </w:rPr>
              <w:t>医废暂存间废气、</w:t>
            </w:r>
            <w:r>
              <w:rPr>
                <w:color w:val="auto"/>
              </w:rPr>
              <w:t>院内带菌空气</w:t>
            </w:r>
            <w:r>
              <w:rPr>
                <w:rFonts w:hint="eastAsia"/>
                <w:color w:val="auto"/>
              </w:rPr>
              <w:t>及一体化污水处理设施臭气</w:t>
            </w:r>
            <w:r>
              <w:rPr>
                <w:color w:val="auto"/>
              </w:rPr>
              <w:t>，均为无组织形式排放。</w:t>
            </w:r>
            <w:r>
              <w:rPr>
                <w:rFonts w:hint="eastAsia"/>
                <w:color w:val="auto"/>
              </w:rPr>
              <w:t>项目通过采取定期清洁，设置移动式紫外线灯及臭氧消毒机对室内空气进行净化消毒，日常开窗通风等措施对废气进行处理。</w:t>
            </w:r>
          </w:p>
          <w:p>
            <w:pPr>
              <w:pStyle w:val="104"/>
              <w:ind w:firstLine="480"/>
              <w:rPr>
                <w:rFonts w:hint="eastAsia"/>
                <w:color w:val="auto"/>
              </w:rPr>
            </w:pPr>
            <w:r>
              <w:rPr>
                <w:rFonts w:hint="eastAsia"/>
                <w:color w:val="auto"/>
              </w:rPr>
              <w:t>（3）项目现状噪声排放情况分析</w:t>
            </w:r>
          </w:p>
          <w:p>
            <w:pPr>
              <w:pStyle w:val="104"/>
              <w:ind w:firstLine="480"/>
              <w:rPr>
                <w:rFonts w:hint="eastAsia"/>
                <w:color w:val="auto"/>
              </w:rPr>
            </w:pPr>
            <w:r>
              <w:rPr>
                <w:rFonts w:hint="eastAsia"/>
                <w:color w:val="auto"/>
              </w:rPr>
              <w:t>本项目运营过程中产生的噪声主要为空调外机噪声和宠物叫声，项目噪声源强约60~75dB（A），通过对厂界噪声监测结果表明，项目现状厂界的噪声满足《工业企业厂界环境噪声排放标准》</w:t>
            </w:r>
            <w:r>
              <w:rPr>
                <w:color w:val="auto"/>
                <w:szCs w:val="21"/>
                <w:lang w:val="zh-CN"/>
              </w:rPr>
              <w:t>（GB12348-2008）2类标准</w:t>
            </w:r>
            <w:r>
              <w:rPr>
                <w:rFonts w:hint="eastAsia"/>
                <w:color w:val="auto"/>
              </w:rPr>
              <w:t>。</w:t>
            </w:r>
          </w:p>
          <w:p>
            <w:pPr>
              <w:pStyle w:val="104"/>
              <w:numPr>
                <w:ilvl w:val="0"/>
                <w:numId w:val="16"/>
              </w:numPr>
              <w:ind w:firstLine="480"/>
              <w:rPr>
                <w:rFonts w:hint="eastAsia"/>
                <w:color w:val="auto"/>
              </w:rPr>
            </w:pPr>
            <w:r>
              <w:rPr>
                <w:rFonts w:hint="eastAsia"/>
                <w:color w:val="auto"/>
              </w:rPr>
              <w:t>项目现状固废排放情况分析</w:t>
            </w:r>
          </w:p>
          <w:p>
            <w:pPr>
              <w:pStyle w:val="104"/>
              <w:ind w:firstLine="480"/>
              <w:rPr>
                <w:rFonts w:hint="eastAsia"/>
                <w:color w:val="auto"/>
              </w:rPr>
            </w:pPr>
            <w:r>
              <w:rPr>
                <w:color w:val="auto"/>
              </w:rPr>
              <w:t>项目</w:t>
            </w:r>
            <w:r>
              <w:rPr>
                <w:rFonts w:hint="eastAsia"/>
                <w:color w:val="auto"/>
              </w:rPr>
              <w:t>现状</w:t>
            </w:r>
            <w:r>
              <w:rPr>
                <w:color w:val="auto"/>
              </w:rPr>
              <w:t>所产生的固废主要为生活垃圾、宠物粪便、宠物尸体、宠物毛发、医疗垃圾</w:t>
            </w:r>
            <w:r>
              <w:rPr>
                <w:rFonts w:hint="eastAsia"/>
                <w:color w:val="auto"/>
              </w:rPr>
              <w:t>。其中生活垃圾统一收集后放置于社区生活垃圾暂存点待环卫部门转运处置；宠物粪便进行消毒灭活后交由环卫部门收运处置；宠物毛发：经喷洒消毒剂处理后可作为一般固废与生活垃圾一起交由环卫部门处理；宠物尸体及医疗垃圾交由成都市科农动物无害化处置有限公司。</w:t>
            </w:r>
          </w:p>
          <w:p>
            <w:pPr>
              <w:pStyle w:val="5"/>
              <w:ind w:firstLine="482"/>
              <w:rPr>
                <w:rFonts w:hint="eastAsia"/>
                <w:color w:val="auto"/>
              </w:rPr>
            </w:pPr>
            <w:r>
              <w:rPr>
                <w:rFonts w:hint="eastAsia"/>
                <w:color w:val="auto"/>
              </w:rPr>
              <w:t>2、本次环评之前存在的主要环境问题及整改要求</w:t>
            </w:r>
          </w:p>
          <w:p>
            <w:pPr>
              <w:pStyle w:val="101"/>
              <w:ind w:firstLine="480"/>
              <w:rPr>
                <w:rFonts w:hint="eastAsia"/>
                <w:color w:val="auto"/>
              </w:rPr>
            </w:pPr>
            <w:r>
              <w:rPr>
                <w:rFonts w:hint="eastAsia"/>
                <w:color w:val="auto"/>
              </w:rPr>
              <w:t>项目涉及未批先建，本项目已建成投产，本次环评为补评手续，环评工作开展之前，针对项目已建成的现场情况进行了详细调查。根据现场调查情况，本次评价将针对项目存在的问题进行汇总，并提出针对性的整改措施。根据现场调查，本项目存在的主要环境问题及整改要求如下：</w:t>
            </w:r>
          </w:p>
          <w:p>
            <w:pPr>
              <w:pStyle w:val="117"/>
              <w:rPr>
                <w:rFonts w:hint="eastAsia"/>
                <w:color w:val="auto"/>
              </w:rPr>
            </w:pPr>
            <w:r>
              <w:rPr>
                <w:rFonts w:hint="eastAsia"/>
                <w:color w:val="auto"/>
              </w:rPr>
              <w:t>表2-9 本项目整改问题一览表</w:t>
            </w:r>
          </w:p>
          <w:tbl>
            <w:tblPr>
              <w:tblStyle w:val="3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8"/>
              <w:gridCol w:w="2610"/>
              <w:gridCol w:w="47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trPr>
              <w:tc>
                <w:tcPr>
                  <w:tcW w:w="708" w:type="dxa"/>
                  <w:noWrap w:val="0"/>
                  <w:vAlign w:val="center"/>
                </w:tcPr>
                <w:p>
                  <w:pPr>
                    <w:pStyle w:val="170"/>
                    <w:rPr>
                      <w:rFonts w:hint="eastAsia"/>
                      <w:b/>
                      <w:bCs/>
                      <w:color w:val="auto"/>
                    </w:rPr>
                  </w:pPr>
                  <w:r>
                    <w:rPr>
                      <w:rFonts w:hint="eastAsia"/>
                      <w:b/>
                      <w:bCs/>
                      <w:color w:val="auto"/>
                    </w:rPr>
                    <w:t>序号</w:t>
                  </w:r>
                </w:p>
              </w:tc>
              <w:tc>
                <w:tcPr>
                  <w:tcW w:w="2610" w:type="dxa"/>
                  <w:noWrap w:val="0"/>
                  <w:vAlign w:val="center"/>
                </w:tcPr>
                <w:p>
                  <w:pPr>
                    <w:pStyle w:val="170"/>
                    <w:rPr>
                      <w:rFonts w:hint="eastAsia"/>
                      <w:b/>
                      <w:bCs/>
                      <w:color w:val="auto"/>
                    </w:rPr>
                  </w:pPr>
                  <w:r>
                    <w:rPr>
                      <w:rFonts w:hint="eastAsia"/>
                      <w:b/>
                      <w:bCs/>
                      <w:color w:val="auto"/>
                    </w:rPr>
                    <w:t>现存问题</w:t>
                  </w:r>
                </w:p>
              </w:tc>
              <w:tc>
                <w:tcPr>
                  <w:tcW w:w="4798" w:type="dxa"/>
                  <w:noWrap w:val="0"/>
                  <w:vAlign w:val="center"/>
                </w:tcPr>
                <w:p>
                  <w:pPr>
                    <w:pStyle w:val="170"/>
                    <w:rPr>
                      <w:rFonts w:hint="eastAsia"/>
                      <w:b/>
                      <w:bCs/>
                      <w:color w:val="auto"/>
                    </w:rPr>
                  </w:pPr>
                  <w:r>
                    <w:rPr>
                      <w:rFonts w:hint="eastAsia"/>
                      <w:b/>
                      <w:bCs/>
                      <w:color w:val="auto"/>
                    </w:rPr>
                    <w:t>整改措施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8" w:type="dxa"/>
                  <w:noWrap w:val="0"/>
                  <w:vAlign w:val="center"/>
                </w:tcPr>
                <w:p>
                  <w:pPr>
                    <w:pStyle w:val="170"/>
                    <w:rPr>
                      <w:rFonts w:hint="eastAsia"/>
                      <w:color w:val="auto"/>
                    </w:rPr>
                  </w:pPr>
                  <w:r>
                    <w:rPr>
                      <w:rFonts w:hint="eastAsia"/>
                      <w:color w:val="auto"/>
                    </w:rPr>
                    <w:t>1</w:t>
                  </w:r>
                </w:p>
              </w:tc>
              <w:tc>
                <w:tcPr>
                  <w:tcW w:w="2610" w:type="dxa"/>
                  <w:noWrap w:val="0"/>
                  <w:vAlign w:val="center"/>
                </w:tcPr>
                <w:p>
                  <w:pPr>
                    <w:pStyle w:val="170"/>
                    <w:rPr>
                      <w:rFonts w:hint="eastAsia"/>
                      <w:color w:val="auto"/>
                    </w:rPr>
                  </w:pPr>
                  <w:r>
                    <w:rPr>
                      <w:rFonts w:hint="eastAsia"/>
                      <w:color w:val="auto"/>
                    </w:rPr>
                    <w:t>医院内无规范的医疗废物暂存间</w:t>
                  </w:r>
                </w:p>
              </w:tc>
              <w:tc>
                <w:tcPr>
                  <w:tcW w:w="4798" w:type="dxa"/>
                  <w:noWrap w:val="0"/>
                  <w:vAlign w:val="center"/>
                </w:tcPr>
                <w:p>
                  <w:pPr>
                    <w:pStyle w:val="170"/>
                    <w:rPr>
                      <w:rFonts w:hint="eastAsia"/>
                      <w:color w:val="auto"/>
                    </w:rPr>
                  </w:pPr>
                  <w:r>
                    <w:rPr>
                      <w:rFonts w:hint="eastAsia"/>
                      <w:color w:val="auto"/>
                    </w:rPr>
                    <w:t>按照《危险废物贮存污染控制标准》（GB18597-2001）要求进行设置医疗废物暂存间，张贴标示标牌，采取重点防渗措施：在原有地面硬化的基础上，铺设 2mm 厚环氧树脂地坪漆+不锈钢金属托盘进行防渗，满足等效黏土层 Mb≥6.0m，渗透系数 K≤1.0×10</w:t>
                  </w:r>
                  <w:r>
                    <w:rPr>
                      <w:rFonts w:hint="eastAsia"/>
                      <w:color w:val="auto"/>
                      <w:vertAlign w:val="superscript"/>
                    </w:rPr>
                    <w:t>-10</w:t>
                  </w:r>
                  <w:r>
                    <w:rPr>
                      <w:rFonts w:hint="eastAsia"/>
                      <w:color w:val="auto"/>
                    </w:rPr>
                    <w:t>cm/s 的要求。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8" w:type="dxa"/>
                  <w:noWrap w:val="0"/>
                  <w:vAlign w:val="center"/>
                </w:tcPr>
                <w:p>
                  <w:pPr>
                    <w:pStyle w:val="170"/>
                    <w:rPr>
                      <w:color w:val="auto"/>
                    </w:rPr>
                  </w:pPr>
                  <w:r>
                    <w:rPr>
                      <w:rFonts w:hint="eastAsia"/>
                      <w:color w:val="auto"/>
                    </w:rPr>
                    <w:t>2</w:t>
                  </w:r>
                </w:p>
              </w:tc>
              <w:tc>
                <w:tcPr>
                  <w:tcW w:w="2610" w:type="dxa"/>
                  <w:noWrap w:val="0"/>
                  <w:vAlign w:val="center"/>
                </w:tcPr>
                <w:p>
                  <w:pPr>
                    <w:pStyle w:val="170"/>
                    <w:rPr>
                      <w:rFonts w:hint="eastAsia"/>
                      <w:color w:val="auto"/>
                    </w:rPr>
                  </w:pPr>
                  <w:r>
                    <w:rPr>
                      <w:rFonts w:hint="eastAsia"/>
                      <w:color w:val="auto"/>
                    </w:rPr>
                    <w:t>医疗废物的转运台账</w:t>
                  </w:r>
                </w:p>
              </w:tc>
              <w:tc>
                <w:tcPr>
                  <w:tcW w:w="4798" w:type="dxa"/>
                  <w:noWrap w:val="0"/>
                  <w:vAlign w:val="center"/>
                </w:tcPr>
                <w:p>
                  <w:pPr>
                    <w:pStyle w:val="170"/>
                    <w:rPr>
                      <w:rFonts w:hint="eastAsia"/>
                      <w:color w:val="auto"/>
                    </w:rPr>
                  </w:pPr>
                  <w:r>
                    <w:rPr>
                      <w:rFonts w:hint="eastAsia"/>
                      <w:color w:val="auto"/>
                    </w:rPr>
                    <w:t>对每一批次转运处置的医疗废物做好台账记录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8" w:type="dxa"/>
                  <w:noWrap w:val="0"/>
                  <w:vAlign w:val="center"/>
                </w:tcPr>
                <w:p>
                  <w:pPr>
                    <w:pStyle w:val="170"/>
                    <w:rPr>
                      <w:color w:val="auto"/>
                    </w:rPr>
                  </w:pPr>
                  <w:r>
                    <w:rPr>
                      <w:rFonts w:hint="eastAsia"/>
                      <w:color w:val="auto"/>
                    </w:rPr>
                    <w:t>3</w:t>
                  </w:r>
                </w:p>
              </w:tc>
              <w:tc>
                <w:tcPr>
                  <w:tcW w:w="2610" w:type="dxa"/>
                  <w:noWrap w:val="0"/>
                  <w:vAlign w:val="center"/>
                </w:tcPr>
                <w:p>
                  <w:pPr>
                    <w:pStyle w:val="170"/>
                    <w:rPr>
                      <w:rFonts w:hint="eastAsia"/>
                      <w:color w:val="auto"/>
                    </w:rPr>
                  </w:pPr>
                  <w:r>
                    <w:rPr>
                      <w:rFonts w:hint="eastAsia"/>
                      <w:color w:val="auto"/>
                    </w:rPr>
                    <w:t>无废水事故收集设施</w:t>
                  </w:r>
                </w:p>
              </w:tc>
              <w:tc>
                <w:tcPr>
                  <w:tcW w:w="4798" w:type="dxa"/>
                  <w:noWrap w:val="0"/>
                  <w:vAlign w:val="center"/>
                </w:tcPr>
                <w:p>
                  <w:pPr>
                    <w:pStyle w:val="170"/>
                    <w:rPr>
                      <w:rFonts w:hint="eastAsia"/>
                      <w:color w:val="auto"/>
                    </w:rPr>
                  </w:pPr>
                  <w:r>
                    <w:rPr>
                      <w:rFonts w:hint="eastAsia"/>
                      <w:color w:val="auto"/>
                    </w:rPr>
                    <w:t>设置事故废水应急收集池（桶）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8" w:type="dxa"/>
                  <w:noWrap w:val="0"/>
                  <w:vAlign w:val="center"/>
                </w:tcPr>
                <w:p>
                  <w:pPr>
                    <w:pStyle w:val="170"/>
                    <w:rPr>
                      <w:rFonts w:hint="eastAsia"/>
                      <w:color w:val="auto"/>
                    </w:rPr>
                  </w:pPr>
                  <w:r>
                    <w:rPr>
                      <w:rFonts w:hint="eastAsia"/>
                      <w:color w:val="auto"/>
                    </w:rPr>
                    <w:t>4</w:t>
                  </w:r>
                </w:p>
              </w:tc>
              <w:tc>
                <w:tcPr>
                  <w:tcW w:w="2610" w:type="dxa"/>
                  <w:noWrap w:val="0"/>
                  <w:vAlign w:val="center"/>
                </w:tcPr>
                <w:p>
                  <w:pPr>
                    <w:pStyle w:val="170"/>
                    <w:rPr>
                      <w:rFonts w:hint="eastAsia"/>
                      <w:color w:val="auto"/>
                    </w:rPr>
                  </w:pPr>
                  <w:r>
                    <w:rPr>
                      <w:rFonts w:hint="eastAsia"/>
                      <w:color w:val="auto"/>
                    </w:rPr>
                    <w:t>废紫外线灯管的处置去向不明确</w:t>
                  </w:r>
                </w:p>
              </w:tc>
              <w:tc>
                <w:tcPr>
                  <w:tcW w:w="4798" w:type="dxa"/>
                  <w:noWrap w:val="0"/>
                  <w:vAlign w:val="center"/>
                </w:tcPr>
                <w:p>
                  <w:pPr>
                    <w:pStyle w:val="170"/>
                    <w:rPr>
                      <w:rFonts w:hint="eastAsia"/>
                      <w:color w:val="auto"/>
                    </w:rPr>
                  </w:pPr>
                  <w:r>
                    <w:rPr>
                      <w:rFonts w:hint="eastAsia"/>
                      <w:color w:val="auto"/>
                    </w:rPr>
                    <w:t>补充废紫外线灯管的危废处置协议</w:t>
                  </w:r>
                </w:p>
              </w:tc>
            </w:tr>
          </w:tbl>
          <w:p>
            <w:pPr>
              <w:pStyle w:val="101"/>
              <w:ind w:firstLine="480"/>
              <w:rPr>
                <w:rFonts w:hint="eastAsia"/>
                <w:color w:val="auto"/>
              </w:rPr>
            </w:pPr>
          </w:p>
        </w:tc>
      </w:tr>
    </w:tbl>
    <w:p>
      <w:pPr>
        <w:pStyle w:val="33"/>
        <w:jc w:val="center"/>
        <w:rPr>
          <w:rFonts w:ascii="黑体" w:hAnsi="黑体" w:eastAsia="黑体"/>
          <w:snapToGrid w:val="0"/>
          <w:color w:val="auto"/>
          <w:sz w:val="36"/>
          <w:szCs w:val="36"/>
        </w:rPr>
        <w:sectPr>
          <w:headerReference r:id="rId16" w:type="default"/>
          <w:pgSz w:w="11906" w:h="16838"/>
          <w:pgMar w:top="1701" w:right="1531" w:bottom="1701" w:left="1531" w:header="851" w:footer="851" w:gutter="0"/>
          <w:cols w:space="720" w:num="1"/>
          <w:docGrid w:linePitch="312" w:charSpace="0"/>
        </w:sectPr>
      </w:pPr>
    </w:p>
    <w:p>
      <w:pPr>
        <w:pStyle w:val="33"/>
        <w:adjustRightInd w:val="0"/>
        <w:snapToGrid w:val="0"/>
        <w:spacing w:before="0" w:beforeAutospacing="0" w:after="0" w:afterAutospacing="0" w:line="14" w:lineRule="auto"/>
        <w:ind w:firstLine="600"/>
        <w:jc w:val="center"/>
        <w:rPr>
          <w:rFonts w:hint="eastAsia" w:ascii="黑体" w:hAnsi="黑体" w:eastAsia="黑体"/>
          <w:snapToGrid w:val="0"/>
          <w:color w:val="auto"/>
          <w:sz w:val="30"/>
          <w:szCs w:val="30"/>
        </w:rPr>
      </w:pPr>
    </w:p>
    <w:p>
      <w:pPr>
        <w:pStyle w:val="3"/>
        <w:ind w:firstLine="602"/>
        <w:rPr>
          <w:color w:val="auto"/>
        </w:rPr>
      </w:pPr>
      <w:bookmarkStart w:id="36" w:name="_Toc29106"/>
      <w:r>
        <w:rPr>
          <w:rFonts w:hint="eastAsia"/>
          <w:color w:val="auto"/>
        </w:rPr>
        <w:t>三、区域环境质量现状、环境保护目标及评价标准</w:t>
      </w:r>
      <w:bookmarkEnd w:id="36"/>
    </w:p>
    <w:tbl>
      <w:tblPr>
        <w:tblStyle w:val="38"/>
        <w:tblW w:w="4999"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594"/>
        <w:gridCol w:w="8465"/>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348" w:type="pct"/>
            <w:noWrap w:val="0"/>
            <w:vAlign w:val="center"/>
          </w:tcPr>
          <w:p>
            <w:pPr>
              <w:pStyle w:val="104"/>
              <w:ind w:firstLine="0" w:firstLineChars="0"/>
              <w:jc w:val="center"/>
              <w:rPr>
                <w:rFonts w:hint="eastAsia"/>
                <w:color w:val="auto"/>
              </w:rPr>
            </w:pPr>
            <w:r>
              <w:rPr>
                <w:rFonts w:hint="eastAsia"/>
                <w:color w:val="auto"/>
              </w:rPr>
              <w:t>区域环境质量现状</w:t>
            </w:r>
          </w:p>
        </w:tc>
        <w:tc>
          <w:tcPr>
            <w:tcW w:w="4651" w:type="pct"/>
            <w:noWrap w:val="0"/>
            <w:vAlign w:val="center"/>
          </w:tcPr>
          <w:p>
            <w:pPr>
              <w:pStyle w:val="104"/>
              <w:ind w:firstLine="480"/>
              <w:rPr>
                <w:rFonts w:hint="eastAsia"/>
                <w:color w:val="auto"/>
              </w:rPr>
            </w:pPr>
            <w:r>
              <w:rPr>
                <w:color w:val="auto"/>
              </w:rPr>
              <w:t>本项目为</w:t>
            </w:r>
            <w:r>
              <w:rPr>
                <w:rFonts w:hint="eastAsia"/>
                <w:color w:val="auto"/>
              </w:rPr>
              <w:t>新</w:t>
            </w:r>
            <w:r>
              <w:rPr>
                <w:color w:val="auto"/>
              </w:rPr>
              <w:t>建项目，</w:t>
            </w:r>
            <w:r>
              <w:rPr>
                <w:rFonts w:hint="eastAsia"/>
                <w:color w:val="auto"/>
              </w:rPr>
              <w:t>建设地点</w:t>
            </w:r>
            <w:r>
              <w:rPr>
                <w:color w:val="auto"/>
              </w:rPr>
              <w:t>位于</w:t>
            </w:r>
            <w:r>
              <w:rPr>
                <w:rFonts w:hint="eastAsia"/>
                <w:color w:val="auto"/>
              </w:rPr>
              <w:t>乐山市市中区竹林路636号1楼7号</w:t>
            </w:r>
            <w:r>
              <w:rPr>
                <w:color w:val="auto"/>
              </w:rPr>
              <w:t>，</w:t>
            </w:r>
            <w:r>
              <w:rPr>
                <w:rFonts w:hint="eastAsia"/>
                <w:color w:val="auto"/>
              </w:rPr>
              <w:t>为了解当地空气环境质量现状，本次评价采用现场监测与资料复用法相结合的方式，对本项目所在区域地块的环境质量现状进行分析。项目特委托四川清蓝检测科技有限责任公司对项目建设所在地进行了环境现状监测。</w:t>
            </w:r>
          </w:p>
          <w:p>
            <w:pPr>
              <w:pStyle w:val="4"/>
              <w:numPr>
                <w:ilvl w:val="0"/>
                <w:numId w:val="17"/>
              </w:numPr>
              <w:spacing w:after="120"/>
              <w:rPr>
                <w:color w:val="auto"/>
              </w:rPr>
            </w:pPr>
            <w:r>
              <w:rPr>
                <w:color w:val="auto"/>
              </w:rPr>
              <w:t>大气环境质量现状</w:t>
            </w:r>
          </w:p>
          <w:p>
            <w:pPr>
              <w:spacing w:line="480" w:lineRule="exact"/>
              <w:ind w:firstLine="480"/>
              <w:rPr>
                <w:color w:val="auto"/>
                <w:sz w:val="24"/>
              </w:rPr>
            </w:pPr>
            <w:r>
              <w:rPr>
                <w:rFonts w:hint="eastAsia"/>
                <w:color w:val="auto"/>
                <w:sz w:val="24"/>
              </w:rPr>
              <w:t>根据《乐山市2021年环境质量公报》：2021年乐山市主城区环境空气有效监测天数为365天，达标天数314天，达标率86.0%，全年优125天，良189天，轻度污染45天，中度污染6天，重度污染0天。全年以臭氧为首要污染物的天数为111天，占46.2%；以细微颗粒物为首要污染物的天数为105天，占比43.8%；以可吸入颗粒物为首要污染物的天数为22天，占9.2%；以可吸入颗粒物和细颗粒同时为首要污染物的天数为2天，占0.8%。</w:t>
            </w:r>
          </w:p>
          <w:p>
            <w:pPr>
              <w:spacing w:line="480" w:lineRule="exact"/>
              <w:ind w:firstLine="480"/>
              <w:rPr>
                <w:rFonts w:hint="eastAsia"/>
                <w:color w:val="auto"/>
                <w:sz w:val="24"/>
              </w:rPr>
            </w:pPr>
            <w:r>
              <w:rPr>
                <w:rFonts w:hint="eastAsia"/>
                <w:color w:val="auto"/>
                <w:sz w:val="24"/>
              </w:rPr>
              <w:t xml:space="preserve">2021年乐山市空气质量数据统计见下表： </w:t>
            </w:r>
          </w:p>
          <w:p>
            <w:pPr>
              <w:ind w:firstLine="361"/>
              <w:jc w:val="center"/>
              <w:rPr>
                <w:b/>
                <w:color w:val="auto"/>
                <w:sz w:val="18"/>
              </w:rPr>
            </w:pPr>
            <w:r>
              <w:rPr>
                <w:rFonts w:hint="eastAsia"/>
                <w:b/>
                <w:color w:val="auto"/>
                <w:sz w:val="18"/>
              </w:rPr>
              <w:t>表3-1 乐山市2021年空气质量数据统计表   单位：ug/m</w:t>
            </w:r>
            <w:r>
              <w:rPr>
                <w:b/>
                <w:color w:val="auto"/>
                <w:sz w:val="18"/>
              </w:rPr>
              <w:t>³</w:t>
            </w:r>
            <w:r>
              <w:rPr>
                <w:rFonts w:hint="eastAsia"/>
                <w:b/>
                <w:color w:val="auto"/>
                <w:sz w:val="18"/>
              </w:rPr>
              <w:t xml:space="preserve">  CO为</w:t>
            </w:r>
            <w:r>
              <w:rPr>
                <w:rFonts w:hint="eastAsia"/>
                <w:color w:val="auto"/>
              </w:rPr>
              <w:t>m</w:t>
            </w:r>
            <w:r>
              <w:rPr>
                <w:color w:val="auto"/>
              </w:rPr>
              <w:t>g/m³</w:t>
            </w:r>
          </w:p>
          <w:tbl>
            <w:tblPr>
              <w:tblStyle w:val="38"/>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1"/>
              <w:gridCol w:w="3193"/>
              <w:gridCol w:w="1152"/>
              <w:gridCol w:w="1152"/>
              <w:gridCol w:w="1139"/>
              <w:gridCol w:w="7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9" w:type="pct"/>
                  <w:noWrap w:val="0"/>
                  <w:vAlign w:val="center"/>
                </w:tcPr>
                <w:p>
                  <w:pPr>
                    <w:pStyle w:val="118"/>
                    <w:rPr>
                      <w:rFonts w:hint="eastAsia"/>
                      <w:color w:val="auto"/>
                    </w:rPr>
                  </w:pPr>
                  <w:r>
                    <w:rPr>
                      <w:rFonts w:hint="eastAsia"/>
                      <w:color w:val="auto"/>
                    </w:rPr>
                    <w:t>污染物</w:t>
                  </w:r>
                </w:p>
              </w:tc>
              <w:tc>
                <w:tcPr>
                  <w:tcW w:w="1937" w:type="pct"/>
                  <w:noWrap w:val="0"/>
                  <w:vAlign w:val="center"/>
                </w:tcPr>
                <w:p>
                  <w:pPr>
                    <w:pStyle w:val="118"/>
                    <w:rPr>
                      <w:rFonts w:hint="eastAsia"/>
                      <w:color w:val="auto"/>
                    </w:rPr>
                  </w:pPr>
                  <w:r>
                    <w:rPr>
                      <w:rFonts w:hint="eastAsia"/>
                      <w:color w:val="auto"/>
                    </w:rPr>
                    <w:t>年</w:t>
                  </w:r>
                  <w:r>
                    <w:rPr>
                      <w:color w:val="auto"/>
                    </w:rPr>
                    <w:t>评价指标</w:t>
                  </w:r>
                </w:p>
              </w:tc>
              <w:tc>
                <w:tcPr>
                  <w:tcW w:w="699" w:type="pct"/>
                  <w:noWrap w:val="0"/>
                  <w:vAlign w:val="center"/>
                </w:tcPr>
                <w:p>
                  <w:pPr>
                    <w:pStyle w:val="118"/>
                    <w:rPr>
                      <w:rFonts w:hint="eastAsia"/>
                      <w:color w:val="auto"/>
                    </w:rPr>
                  </w:pPr>
                  <w:r>
                    <w:rPr>
                      <w:rFonts w:hint="eastAsia"/>
                      <w:color w:val="auto"/>
                    </w:rPr>
                    <w:t>现状</w:t>
                  </w:r>
                  <w:r>
                    <w:rPr>
                      <w:color w:val="auto"/>
                    </w:rPr>
                    <w:t>浓度（ug/m³）</w:t>
                  </w:r>
                </w:p>
              </w:tc>
              <w:tc>
                <w:tcPr>
                  <w:tcW w:w="699" w:type="pct"/>
                  <w:noWrap w:val="0"/>
                  <w:vAlign w:val="center"/>
                </w:tcPr>
                <w:p>
                  <w:pPr>
                    <w:pStyle w:val="118"/>
                    <w:rPr>
                      <w:rFonts w:hint="eastAsia"/>
                      <w:color w:val="auto"/>
                    </w:rPr>
                  </w:pPr>
                  <w:r>
                    <w:rPr>
                      <w:rFonts w:hint="eastAsia"/>
                      <w:color w:val="auto"/>
                    </w:rPr>
                    <w:t>标准</w:t>
                  </w:r>
                  <w:r>
                    <w:rPr>
                      <w:color w:val="auto"/>
                    </w:rPr>
                    <w:t>值（ug/m³）</w:t>
                  </w:r>
                </w:p>
              </w:tc>
              <w:tc>
                <w:tcPr>
                  <w:tcW w:w="691" w:type="pct"/>
                  <w:noWrap w:val="0"/>
                  <w:vAlign w:val="center"/>
                </w:tcPr>
                <w:p>
                  <w:pPr>
                    <w:pStyle w:val="118"/>
                    <w:rPr>
                      <w:rFonts w:hint="eastAsia"/>
                      <w:color w:val="auto"/>
                    </w:rPr>
                  </w:pPr>
                  <w:r>
                    <w:rPr>
                      <w:rFonts w:hint="eastAsia"/>
                      <w:color w:val="auto"/>
                    </w:rPr>
                    <w:t>占标率</w:t>
                  </w:r>
                  <w:r>
                    <w:rPr>
                      <w:color w:val="auto"/>
                    </w:rPr>
                    <w:t>（</w:t>
                  </w:r>
                  <w:r>
                    <w:rPr>
                      <w:rFonts w:hint="eastAsia"/>
                      <w:color w:val="auto"/>
                    </w:rPr>
                    <w:t>%</w:t>
                  </w:r>
                  <w:r>
                    <w:rPr>
                      <w:color w:val="auto"/>
                    </w:rPr>
                    <w:t>）</w:t>
                  </w:r>
                </w:p>
              </w:tc>
              <w:tc>
                <w:tcPr>
                  <w:tcW w:w="442" w:type="pct"/>
                  <w:noWrap w:val="0"/>
                  <w:vAlign w:val="center"/>
                </w:tcPr>
                <w:p>
                  <w:pPr>
                    <w:pStyle w:val="118"/>
                    <w:rPr>
                      <w:rFonts w:hint="eastAsia"/>
                      <w:color w:val="auto"/>
                    </w:rPr>
                  </w:pPr>
                  <w:r>
                    <w:rPr>
                      <w:rFonts w:hint="eastAsia"/>
                      <w:color w:val="auto"/>
                    </w:rPr>
                    <w:t>达标</w:t>
                  </w:r>
                  <w:r>
                    <w:rPr>
                      <w:color w:val="auto"/>
                    </w:rPr>
                    <w:t>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9" w:type="pct"/>
                  <w:noWrap w:val="0"/>
                  <w:vAlign w:val="center"/>
                </w:tcPr>
                <w:p>
                  <w:pPr>
                    <w:pStyle w:val="118"/>
                    <w:rPr>
                      <w:rFonts w:hint="eastAsia"/>
                      <w:color w:val="auto"/>
                    </w:rPr>
                  </w:pPr>
                  <w:r>
                    <w:rPr>
                      <w:rFonts w:hint="eastAsia"/>
                      <w:color w:val="auto"/>
                    </w:rPr>
                    <w:t>SO</w:t>
                  </w:r>
                  <w:r>
                    <w:rPr>
                      <w:rFonts w:hint="eastAsia"/>
                      <w:color w:val="auto"/>
                      <w:vertAlign w:val="subscript"/>
                    </w:rPr>
                    <w:t>2</w:t>
                  </w:r>
                </w:p>
              </w:tc>
              <w:tc>
                <w:tcPr>
                  <w:tcW w:w="1937" w:type="pct"/>
                  <w:vMerge w:val="restart"/>
                  <w:noWrap w:val="0"/>
                  <w:vAlign w:val="center"/>
                </w:tcPr>
                <w:p>
                  <w:pPr>
                    <w:pStyle w:val="118"/>
                    <w:rPr>
                      <w:rFonts w:hint="eastAsia"/>
                      <w:color w:val="auto"/>
                    </w:rPr>
                  </w:pPr>
                  <w:r>
                    <w:rPr>
                      <w:rFonts w:hint="eastAsia"/>
                      <w:color w:val="auto"/>
                    </w:rPr>
                    <w:t>年平均</w:t>
                  </w:r>
                  <w:r>
                    <w:rPr>
                      <w:color w:val="auto"/>
                    </w:rPr>
                    <w:t>质量浓度</w:t>
                  </w:r>
                </w:p>
              </w:tc>
              <w:tc>
                <w:tcPr>
                  <w:tcW w:w="699" w:type="pct"/>
                  <w:noWrap w:val="0"/>
                  <w:vAlign w:val="center"/>
                </w:tcPr>
                <w:p>
                  <w:pPr>
                    <w:pStyle w:val="118"/>
                    <w:rPr>
                      <w:rFonts w:hint="eastAsia"/>
                      <w:color w:val="auto"/>
                    </w:rPr>
                  </w:pPr>
                  <w:r>
                    <w:rPr>
                      <w:rFonts w:hint="eastAsia"/>
                      <w:color w:val="auto"/>
                    </w:rPr>
                    <w:t>9</w:t>
                  </w:r>
                </w:p>
              </w:tc>
              <w:tc>
                <w:tcPr>
                  <w:tcW w:w="699" w:type="pct"/>
                  <w:noWrap w:val="0"/>
                  <w:vAlign w:val="center"/>
                </w:tcPr>
                <w:p>
                  <w:pPr>
                    <w:pStyle w:val="118"/>
                    <w:rPr>
                      <w:rFonts w:hint="eastAsia"/>
                      <w:color w:val="auto"/>
                    </w:rPr>
                  </w:pPr>
                  <w:r>
                    <w:rPr>
                      <w:rFonts w:hint="eastAsia"/>
                      <w:color w:val="auto"/>
                    </w:rPr>
                    <w:t>60</w:t>
                  </w:r>
                </w:p>
              </w:tc>
              <w:tc>
                <w:tcPr>
                  <w:tcW w:w="691" w:type="pct"/>
                  <w:noWrap w:val="0"/>
                  <w:vAlign w:val="center"/>
                </w:tcPr>
                <w:p>
                  <w:pPr>
                    <w:pStyle w:val="118"/>
                    <w:rPr>
                      <w:color w:val="auto"/>
                    </w:rPr>
                  </w:pPr>
                  <w:r>
                    <w:rPr>
                      <w:rFonts w:hint="eastAsia"/>
                      <w:color w:val="auto"/>
                    </w:rPr>
                    <w:t>15.0</w:t>
                  </w:r>
                </w:p>
              </w:tc>
              <w:tc>
                <w:tcPr>
                  <w:tcW w:w="442" w:type="pct"/>
                  <w:noWrap w:val="0"/>
                  <w:vAlign w:val="center"/>
                </w:tcPr>
                <w:p>
                  <w:pPr>
                    <w:pStyle w:val="118"/>
                    <w:rPr>
                      <w:rFonts w:hint="eastAsia"/>
                      <w:color w:val="auto"/>
                    </w:rPr>
                  </w:pPr>
                  <w:r>
                    <w:rPr>
                      <w:rFonts w:hint="eastAsia"/>
                      <w:color w:val="auto"/>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9" w:type="pct"/>
                  <w:noWrap w:val="0"/>
                  <w:vAlign w:val="center"/>
                </w:tcPr>
                <w:p>
                  <w:pPr>
                    <w:pStyle w:val="118"/>
                    <w:rPr>
                      <w:rFonts w:hint="eastAsia"/>
                      <w:color w:val="auto"/>
                    </w:rPr>
                  </w:pPr>
                  <w:r>
                    <w:rPr>
                      <w:rFonts w:hint="eastAsia"/>
                      <w:color w:val="auto"/>
                    </w:rPr>
                    <w:t>NO</w:t>
                  </w:r>
                  <w:r>
                    <w:rPr>
                      <w:rFonts w:hint="eastAsia"/>
                      <w:color w:val="auto"/>
                      <w:vertAlign w:val="subscript"/>
                    </w:rPr>
                    <w:t>2</w:t>
                  </w:r>
                </w:p>
              </w:tc>
              <w:tc>
                <w:tcPr>
                  <w:tcW w:w="1937" w:type="pct"/>
                  <w:vMerge w:val="continue"/>
                  <w:noWrap w:val="0"/>
                  <w:vAlign w:val="center"/>
                </w:tcPr>
                <w:p>
                  <w:pPr>
                    <w:pStyle w:val="118"/>
                    <w:rPr>
                      <w:rFonts w:hint="eastAsia"/>
                      <w:color w:val="auto"/>
                    </w:rPr>
                  </w:pPr>
                </w:p>
              </w:tc>
              <w:tc>
                <w:tcPr>
                  <w:tcW w:w="699" w:type="pct"/>
                  <w:noWrap w:val="0"/>
                  <w:vAlign w:val="center"/>
                </w:tcPr>
                <w:p>
                  <w:pPr>
                    <w:pStyle w:val="118"/>
                    <w:rPr>
                      <w:rFonts w:hint="eastAsia"/>
                      <w:color w:val="auto"/>
                    </w:rPr>
                  </w:pPr>
                  <w:r>
                    <w:rPr>
                      <w:rFonts w:hint="eastAsia"/>
                      <w:color w:val="auto"/>
                    </w:rPr>
                    <w:t>23</w:t>
                  </w:r>
                </w:p>
              </w:tc>
              <w:tc>
                <w:tcPr>
                  <w:tcW w:w="699" w:type="pct"/>
                  <w:noWrap w:val="0"/>
                  <w:vAlign w:val="center"/>
                </w:tcPr>
                <w:p>
                  <w:pPr>
                    <w:pStyle w:val="118"/>
                    <w:rPr>
                      <w:rFonts w:hint="eastAsia"/>
                      <w:color w:val="auto"/>
                    </w:rPr>
                  </w:pPr>
                  <w:r>
                    <w:rPr>
                      <w:rFonts w:hint="eastAsia"/>
                      <w:color w:val="auto"/>
                    </w:rPr>
                    <w:t>40</w:t>
                  </w:r>
                </w:p>
              </w:tc>
              <w:tc>
                <w:tcPr>
                  <w:tcW w:w="691" w:type="pct"/>
                  <w:noWrap w:val="0"/>
                  <w:vAlign w:val="center"/>
                </w:tcPr>
                <w:p>
                  <w:pPr>
                    <w:pStyle w:val="118"/>
                    <w:rPr>
                      <w:rFonts w:hint="eastAsia"/>
                      <w:color w:val="auto"/>
                    </w:rPr>
                  </w:pPr>
                  <w:r>
                    <w:rPr>
                      <w:rFonts w:hint="eastAsia"/>
                      <w:color w:val="auto"/>
                    </w:rPr>
                    <w:t>57.5</w:t>
                  </w:r>
                </w:p>
              </w:tc>
              <w:tc>
                <w:tcPr>
                  <w:tcW w:w="442" w:type="pct"/>
                  <w:noWrap w:val="0"/>
                  <w:vAlign w:val="center"/>
                </w:tcPr>
                <w:p>
                  <w:pPr>
                    <w:pStyle w:val="118"/>
                    <w:rPr>
                      <w:rFonts w:hint="eastAsia"/>
                      <w:color w:val="auto"/>
                    </w:rPr>
                  </w:pPr>
                  <w:r>
                    <w:rPr>
                      <w:rFonts w:hint="eastAsia"/>
                      <w:color w:val="auto"/>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9" w:type="pct"/>
                  <w:noWrap w:val="0"/>
                  <w:vAlign w:val="center"/>
                </w:tcPr>
                <w:p>
                  <w:pPr>
                    <w:pStyle w:val="118"/>
                    <w:rPr>
                      <w:rFonts w:hint="eastAsia"/>
                      <w:color w:val="auto"/>
                    </w:rPr>
                  </w:pPr>
                  <w:r>
                    <w:rPr>
                      <w:rFonts w:hint="eastAsia"/>
                      <w:color w:val="auto"/>
                    </w:rPr>
                    <w:t>PM</w:t>
                  </w:r>
                  <w:r>
                    <w:rPr>
                      <w:rFonts w:hint="eastAsia"/>
                      <w:color w:val="auto"/>
                      <w:vertAlign w:val="subscript"/>
                    </w:rPr>
                    <w:t>10</w:t>
                  </w:r>
                </w:p>
              </w:tc>
              <w:tc>
                <w:tcPr>
                  <w:tcW w:w="1937" w:type="pct"/>
                  <w:vMerge w:val="continue"/>
                  <w:noWrap w:val="0"/>
                  <w:vAlign w:val="center"/>
                </w:tcPr>
                <w:p>
                  <w:pPr>
                    <w:pStyle w:val="118"/>
                    <w:rPr>
                      <w:rFonts w:hint="eastAsia"/>
                      <w:color w:val="auto"/>
                    </w:rPr>
                  </w:pPr>
                </w:p>
              </w:tc>
              <w:tc>
                <w:tcPr>
                  <w:tcW w:w="699" w:type="pct"/>
                  <w:noWrap w:val="0"/>
                  <w:vAlign w:val="center"/>
                </w:tcPr>
                <w:p>
                  <w:pPr>
                    <w:pStyle w:val="118"/>
                    <w:rPr>
                      <w:rFonts w:hint="eastAsia"/>
                      <w:color w:val="auto"/>
                    </w:rPr>
                  </w:pPr>
                  <w:r>
                    <w:rPr>
                      <w:rFonts w:hint="eastAsia"/>
                      <w:color w:val="auto"/>
                    </w:rPr>
                    <w:t>54</w:t>
                  </w:r>
                </w:p>
              </w:tc>
              <w:tc>
                <w:tcPr>
                  <w:tcW w:w="699" w:type="pct"/>
                  <w:noWrap w:val="0"/>
                  <w:vAlign w:val="center"/>
                </w:tcPr>
                <w:p>
                  <w:pPr>
                    <w:pStyle w:val="118"/>
                    <w:rPr>
                      <w:rFonts w:hint="eastAsia"/>
                      <w:color w:val="auto"/>
                    </w:rPr>
                  </w:pPr>
                  <w:r>
                    <w:rPr>
                      <w:rFonts w:hint="eastAsia"/>
                      <w:color w:val="auto"/>
                    </w:rPr>
                    <w:t>70</w:t>
                  </w:r>
                </w:p>
              </w:tc>
              <w:tc>
                <w:tcPr>
                  <w:tcW w:w="691" w:type="pct"/>
                  <w:noWrap w:val="0"/>
                  <w:vAlign w:val="center"/>
                </w:tcPr>
                <w:p>
                  <w:pPr>
                    <w:pStyle w:val="118"/>
                    <w:rPr>
                      <w:color w:val="auto"/>
                    </w:rPr>
                  </w:pPr>
                  <w:r>
                    <w:rPr>
                      <w:rFonts w:hint="eastAsia"/>
                      <w:color w:val="auto"/>
                    </w:rPr>
                    <w:t>77.14</w:t>
                  </w:r>
                </w:p>
              </w:tc>
              <w:tc>
                <w:tcPr>
                  <w:tcW w:w="442" w:type="pct"/>
                  <w:noWrap w:val="0"/>
                  <w:vAlign w:val="center"/>
                </w:tcPr>
                <w:p>
                  <w:pPr>
                    <w:pStyle w:val="118"/>
                    <w:rPr>
                      <w:rFonts w:hint="eastAsia"/>
                      <w:color w:val="auto"/>
                    </w:rPr>
                  </w:pPr>
                  <w:r>
                    <w:rPr>
                      <w:rFonts w:hint="eastAsia"/>
                      <w:color w:val="auto"/>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9" w:type="pct"/>
                  <w:noWrap w:val="0"/>
                  <w:vAlign w:val="center"/>
                </w:tcPr>
                <w:p>
                  <w:pPr>
                    <w:pStyle w:val="118"/>
                    <w:rPr>
                      <w:rFonts w:hint="eastAsia"/>
                      <w:color w:val="auto"/>
                    </w:rPr>
                  </w:pPr>
                  <w:r>
                    <w:rPr>
                      <w:rFonts w:hint="eastAsia"/>
                      <w:color w:val="auto"/>
                    </w:rPr>
                    <w:t>PM</w:t>
                  </w:r>
                  <w:r>
                    <w:rPr>
                      <w:color w:val="auto"/>
                      <w:vertAlign w:val="subscript"/>
                    </w:rPr>
                    <w:t>2.5</w:t>
                  </w:r>
                </w:p>
              </w:tc>
              <w:tc>
                <w:tcPr>
                  <w:tcW w:w="1937" w:type="pct"/>
                  <w:vMerge w:val="continue"/>
                  <w:noWrap w:val="0"/>
                  <w:vAlign w:val="center"/>
                </w:tcPr>
                <w:p>
                  <w:pPr>
                    <w:pStyle w:val="118"/>
                    <w:rPr>
                      <w:rFonts w:hint="eastAsia"/>
                      <w:color w:val="auto"/>
                    </w:rPr>
                  </w:pPr>
                </w:p>
              </w:tc>
              <w:tc>
                <w:tcPr>
                  <w:tcW w:w="699" w:type="pct"/>
                  <w:noWrap w:val="0"/>
                  <w:vAlign w:val="center"/>
                </w:tcPr>
                <w:p>
                  <w:pPr>
                    <w:pStyle w:val="118"/>
                    <w:rPr>
                      <w:rFonts w:hint="eastAsia"/>
                      <w:color w:val="auto"/>
                    </w:rPr>
                  </w:pPr>
                  <w:r>
                    <w:rPr>
                      <w:rFonts w:hint="eastAsia"/>
                      <w:color w:val="auto"/>
                    </w:rPr>
                    <w:t>35</w:t>
                  </w:r>
                </w:p>
              </w:tc>
              <w:tc>
                <w:tcPr>
                  <w:tcW w:w="699" w:type="pct"/>
                  <w:noWrap w:val="0"/>
                  <w:vAlign w:val="center"/>
                </w:tcPr>
                <w:p>
                  <w:pPr>
                    <w:pStyle w:val="118"/>
                    <w:rPr>
                      <w:rFonts w:hint="eastAsia"/>
                      <w:color w:val="auto"/>
                    </w:rPr>
                  </w:pPr>
                  <w:r>
                    <w:rPr>
                      <w:rFonts w:hint="eastAsia"/>
                      <w:color w:val="auto"/>
                    </w:rPr>
                    <w:t>35</w:t>
                  </w:r>
                </w:p>
              </w:tc>
              <w:tc>
                <w:tcPr>
                  <w:tcW w:w="691" w:type="pct"/>
                  <w:noWrap w:val="0"/>
                  <w:vAlign w:val="center"/>
                </w:tcPr>
                <w:p>
                  <w:pPr>
                    <w:pStyle w:val="118"/>
                    <w:rPr>
                      <w:color w:val="auto"/>
                    </w:rPr>
                  </w:pPr>
                  <w:r>
                    <w:rPr>
                      <w:rFonts w:hint="eastAsia"/>
                      <w:color w:val="auto"/>
                    </w:rPr>
                    <w:t>100</w:t>
                  </w:r>
                </w:p>
              </w:tc>
              <w:tc>
                <w:tcPr>
                  <w:tcW w:w="442" w:type="pct"/>
                  <w:noWrap w:val="0"/>
                  <w:vAlign w:val="center"/>
                </w:tcPr>
                <w:p>
                  <w:pPr>
                    <w:pStyle w:val="118"/>
                    <w:rPr>
                      <w:rFonts w:hint="eastAsia"/>
                      <w:color w:val="auto"/>
                    </w:rPr>
                  </w:pPr>
                  <w:r>
                    <w:rPr>
                      <w:rFonts w:hint="eastAsia"/>
                      <w:color w:val="auto"/>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9" w:type="pct"/>
                  <w:noWrap w:val="0"/>
                  <w:vAlign w:val="center"/>
                </w:tcPr>
                <w:p>
                  <w:pPr>
                    <w:pStyle w:val="118"/>
                    <w:rPr>
                      <w:rFonts w:hint="eastAsia"/>
                      <w:color w:val="auto"/>
                    </w:rPr>
                  </w:pPr>
                  <w:r>
                    <w:rPr>
                      <w:rFonts w:hint="eastAsia"/>
                      <w:color w:val="auto"/>
                    </w:rPr>
                    <w:t>CO</w:t>
                  </w:r>
                </w:p>
              </w:tc>
              <w:tc>
                <w:tcPr>
                  <w:tcW w:w="1937" w:type="pct"/>
                  <w:noWrap w:val="0"/>
                  <w:vAlign w:val="center"/>
                </w:tcPr>
                <w:p>
                  <w:pPr>
                    <w:pStyle w:val="118"/>
                    <w:rPr>
                      <w:rFonts w:hint="eastAsia"/>
                      <w:color w:val="auto"/>
                    </w:rPr>
                  </w:pPr>
                  <w:r>
                    <w:rPr>
                      <w:rFonts w:hint="eastAsia"/>
                      <w:color w:val="auto"/>
                    </w:rPr>
                    <w:t>日</w:t>
                  </w:r>
                  <w:r>
                    <w:rPr>
                      <w:color w:val="auto"/>
                    </w:rPr>
                    <w:t>均值第</w:t>
                  </w:r>
                  <w:r>
                    <w:rPr>
                      <w:rFonts w:hint="eastAsia"/>
                      <w:color w:val="auto"/>
                    </w:rPr>
                    <w:t>95百分位</w:t>
                  </w:r>
                  <w:r>
                    <w:rPr>
                      <w:color w:val="auto"/>
                    </w:rPr>
                    <w:t>数</w:t>
                  </w:r>
                </w:p>
              </w:tc>
              <w:tc>
                <w:tcPr>
                  <w:tcW w:w="699" w:type="pct"/>
                  <w:noWrap w:val="0"/>
                  <w:vAlign w:val="center"/>
                </w:tcPr>
                <w:p>
                  <w:pPr>
                    <w:pStyle w:val="118"/>
                    <w:rPr>
                      <w:color w:val="auto"/>
                    </w:rPr>
                  </w:pPr>
                  <w:r>
                    <w:rPr>
                      <w:rFonts w:hint="eastAsia"/>
                      <w:color w:val="auto"/>
                    </w:rPr>
                    <w:t>1.0</w:t>
                  </w:r>
                </w:p>
              </w:tc>
              <w:tc>
                <w:tcPr>
                  <w:tcW w:w="699" w:type="pct"/>
                  <w:noWrap w:val="0"/>
                  <w:vAlign w:val="center"/>
                </w:tcPr>
                <w:p>
                  <w:pPr>
                    <w:pStyle w:val="118"/>
                    <w:rPr>
                      <w:rFonts w:hint="eastAsia"/>
                      <w:color w:val="auto"/>
                    </w:rPr>
                  </w:pPr>
                  <w:r>
                    <w:rPr>
                      <w:rFonts w:hint="eastAsia"/>
                      <w:color w:val="auto"/>
                    </w:rPr>
                    <w:t>4</w:t>
                  </w:r>
                </w:p>
              </w:tc>
              <w:tc>
                <w:tcPr>
                  <w:tcW w:w="691" w:type="pct"/>
                  <w:noWrap w:val="0"/>
                  <w:vAlign w:val="center"/>
                </w:tcPr>
                <w:p>
                  <w:pPr>
                    <w:pStyle w:val="118"/>
                    <w:rPr>
                      <w:color w:val="auto"/>
                    </w:rPr>
                  </w:pPr>
                  <w:r>
                    <w:rPr>
                      <w:rFonts w:hint="eastAsia"/>
                      <w:color w:val="auto"/>
                    </w:rPr>
                    <w:t>25.0</w:t>
                  </w:r>
                </w:p>
              </w:tc>
              <w:tc>
                <w:tcPr>
                  <w:tcW w:w="442" w:type="pct"/>
                  <w:noWrap w:val="0"/>
                  <w:vAlign w:val="center"/>
                </w:tcPr>
                <w:p>
                  <w:pPr>
                    <w:pStyle w:val="118"/>
                    <w:rPr>
                      <w:rFonts w:hint="eastAsia"/>
                      <w:color w:val="auto"/>
                    </w:rPr>
                  </w:pPr>
                  <w:r>
                    <w:rPr>
                      <w:rFonts w:hint="eastAsia"/>
                      <w:color w:val="auto"/>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29" w:type="pct"/>
                  <w:noWrap w:val="0"/>
                  <w:vAlign w:val="center"/>
                </w:tcPr>
                <w:p>
                  <w:pPr>
                    <w:pStyle w:val="118"/>
                    <w:rPr>
                      <w:rFonts w:hint="eastAsia"/>
                      <w:color w:val="auto"/>
                    </w:rPr>
                  </w:pPr>
                  <w:r>
                    <w:rPr>
                      <w:rFonts w:hint="eastAsia"/>
                      <w:color w:val="auto"/>
                    </w:rPr>
                    <w:t>O</w:t>
                  </w:r>
                  <w:r>
                    <w:rPr>
                      <w:rFonts w:hint="eastAsia"/>
                      <w:color w:val="auto"/>
                      <w:vertAlign w:val="subscript"/>
                    </w:rPr>
                    <w:t>3</w:t>
                  </w:r>
                </w:p>
              </w:tc>
              <w:tc>
                <w:tcPr>
                  <w:tcW w:w="1937" w:type="pct"/>
                  <w:noWrap w:val="0"/>
                  <w:vAlign w:val="center"/>
                </w:tcPr>
                <w:p>
                  <w:pPr>
                    <w:pStyle w:val="118"/>
                    <w:rPr>
                      <w:rFonts w:hint="eastAsia"/>
                      <w:color w:val="auto"/>
                    </w:rPr>
                  </w:pPr>
                  <w:r>
                    <w:rPr>
                      <w:rFonts w:hint="eastAsia"/>
                      <w:color w:val="auto"/>
                    </w:rPr>
                    <w:t>日</w:t>
                  </w:r>
                  <w:r>
                    <w:rPr>
                      <w:color w:val="auto"/>
                    </w:rPr>
                    <w:t>最大</w:t>
                  </w:r>
                  <w:r>
                    <w:rPr>
                      <w:rFonts w:hint="eastAsia"/>
                      <w:color w:val="auto"/>
                    </w:rPr>
                    <w:t>8小时</w:t>
                  </w:r>
                  <w:r>
                    <w:rPr>
                      <w:color w:val="auto"/>
                    </w:rPr>
                    <w:t>值的第</w:t>
                  </w:r>
                  <w:r>
                    <w:rPr>
                      <w:rFonts w:hint="eastAsia"/>
                      <w:color w:val="auto"/>
                    </w:rPr>
                    <w:t>90百分</w:t>
                  </w:r>
                  <w:r>
                    <w:rPr>
                      <w:color w:val="auto"/>
                    </w:rPr>
                    <w:t>位数</w:t>
                  </w:r>
                </w:p>
              </w:tc>
              <w:tc>
                <w:tcPr>
                  <w:tcW w:w="699" w:type="pct"/>
                  <w:noWrap w:val="0"/>
                  <w:vAlign w:val="center"/>
                </w:tcPr>
                <w:p>
                  <w:pPr>
                    <w:pStyle w:val="118"/>
                    <w:rPr>
                      <w:color w:val="auto"/>
                    </w:rPr>
                  </w:pPr>
                  <w:r>
                    <w:rPr>
                      <w:rFonts w:hint="eastAsia"/>
                      <w:color w:val="auto"/>
                    </w:rPr>
                    <w:t>118</w:t>
                  </w:r>
                </w:p>
              </w:tc>
              <w:tc>
                <w:tcPr>
                  <w:tcW w:w="699" w:type="pct"/>
                  <w:noWrap w:val="0"/>
                  <w:vAlign w:val="center"/>
                </w:tcPr>
                <w:p>
                  <w:pPr>
                    <w:pStyle w:val="118"/>
                    <w:rPr>
                      <w:rFonts w:hint="eastAsia"/>
                      <w:color w:val="auto"/>
                    </w:rPr>
                  </w:pPr>
                  <w:r>
                    <w:rPr>
                      <w:rFonts w:hint="eastAsia"/>
                      <w:color w:val="auto"/>
                    </w:rPr>
                    <w:t>160</w:t>
                  </w:r>
                </w:p>
              </w:tc>
              <w:tc>
                <w:tcPr>
                  <w:tcW w:w="691" w:type="pct"/>
                  <w:noWrap w:val="0"/>
                  <w:vAlign w:val="center"/>
                </w:tcPr>
                <w:p>
                  <w:pPr>
                    <w:pStyle w:val="118"/>
                    <w:rPr>
                      <w:rFonts w:hint="eastAsia"/>
                      <w:color w:val="auto"/>
                    </w:rPr>
                  </w:pPr>
                  <w:r>
                    <w:rPr>
                      <w:rFonts w:hint="eastAsia"/>
                      <w:color w:val="auto"/>
                    </w:rPr>
                    <w:t>73.75</w:t>
                  </w:r>
                </w:p>
              </w:tc>
              <w:tc>
                <w:tcPr>
                  <w:tcW w:w="442" w:type="pct"/>
                  <w:noWrap w:val="0"/>
                  <w:vAlign w:val="center"/>
                </w:tcPr>
                <w:p>
                  <w:pPr>
                    <w:pStyle w:val="118"/>
                    <w:rPr>
                      <w:rFonts w:hint="eastAsia"/>
                      <w:color w:val="auto"/>
                    </w:rPr>
                  </w:pPr>
                  <w:r>
                    <w:rPr>
                      <w:rFonts w:hint="eastAsia"/>
                      <w:color w:val="auto"/>
                    </w:rPr>
                    <w:t>达标</w:t>
                  </w:r>
                </w:p>
              </w:tc>
            </w:tr>
          </w:tbl>
          <w:p>
            <w:pPr>
              <w:pStyle w:val="104"/>
              <w:ind w:firstLine="480"/>
              <w:rPr>
                <w:rFonts w:hint="eastAsia"/>
                <w:color w:val="auto"/>
              </w:rPr>
            </w:pPr>
            <w:r>
              <w:rPr>
                <w:rFonts w:hint="eastAsia" w:cs="Times New Roman"/>
                <w:color w:val="auto"/>
              </w:rPr>
              <w:t>由上表可知，乐山市PM</w:t>
            </w:r>
            <w:r>
              <w:rPr>
                <w:rFonts w:hint="eastAsia" w:cs="Times New Roman"/>
                <w:color w:val="auto"/>
                <w:vertAlign w:val="subscript"/>
              </w:rPr>
              <w:t>10</w:t>
            </w:r>
            <w:r>
              <w:rPr>
                <w:rFonts w:hint="eastAsia" w:cs="Times New Roman"/>
                <w:color w:val="auto"/>
              </w:rPr>
              <w:t>、SO</w:t>
            </w:r>
            <w:r>
              <w:rPr>
                <w:rFonts w:hint="eastAsia" w:cs="Times New Roman"/>
                <w:color w:val="auto"/>
                <w:vertAlign w:val="subscript"/>
              </w:rPr>
              <w:t>2</w:t>
            </w:r>
            <w:r>
              <w:rPr>
                <w:rFonts w:hint="eastAsia" w:cs="Times New Roman"/>
                <w:color w:val="auto"/>
              </w:rPr>
              <w:t>、NO</w:t>
            </w:r>
            <w:r>
              <w:rPr>
                <w:rFonts w:hint="eastAsia" w:cs="Times New Roman"/>
                <w:color w:val="auto"/>
                <w:vertAlign w:val="subscript"/>
              </w:rPr>
              <w:t>2</w:t>
            </w:r>
            <w:r>
              <w:rPr>
                <w:rFonts w:hint="eastAsia" w:cs="Times New Roman"/>
                <w:color w:val="auto"/>
              </w:rPr>
              <w:t>、O</w:t>
            </w:r>
            <w:r>
              <w:rPr>
                <w:rFonts w:hint="eastAsia" w:cs="Times New Roman"/>
                <w:color w:val="auto"/>
                <w:vertAlign w:val="subscript"/>
              </w:rPr>
              <w:t>3</w:t>
            </w:r>
            <w:r>
              <w:rPr>
                <w:rFonts w:hint="eastAsia" w:cs="Times New Roman"/>
                <w:color w:val="auto"/>
              </w:rPr>
              <w:t>、CO、PM</w:t>
            </w:r>
            <w:r>
              <w:rPr>
                <w:rFonts w:hint="eastAsia" w:cs="Times New Roman"/>
                <w:color w:val="auto"/>
                <w:vertAlign w:val="subscript"/>
              </w:rPr>
              <w:t>2.5</w:t>
            </w:r>
            <w:r>
              <w:rPr>
                <w:rFonts w:hint="eastAsia" w:cs="Times New Roman"/>
                <w:color w:val="auto"/>
              </w:rPr>
              <w:t xml:space="preserve"> 年平均浓度均满足《环境空气质量标准》（GB3095-2012）二级标准要求，因此本项目所在地为达标区。</w:t>
            </w:r>
          </w:p>
          <w:p>
            <w:pPr>
              <w:pStyle w:val="4"/>
              <w:spacing w:after="120"/>
              <w:rPr>
                <w:color w:val="auto"/>
              </w:rPr>
            </w:pPr>
            <w:r>
              <w:rPr>
                <w:color w:val="auto"/>
              </w:rPr>
              <w:t>二、地表水环境质量现状</w:t>
            </w:r>
          </w:p>
          <w:p>
            <w:pPr>
              <w:pStyle w:val="104"/>
              <w:ind w:firstLine="480"/>
              <w:rPr>
                <w:color w:val="auto"/>
              </w:rPr>
            </w:pPr>
            <w:r>
              <w:rPr>
                <w:rFonts w:hint="eastAsia"/>
                <w:color w:val="auto"/>
              </w:rPr>
              <w:t>根据《乐山市2021年环境质量公报》：乐山市岷江干流及主要主流供共设置国考断面6个，省考断面8个。6个国考监测断面水质达标率为100%，II类水质断面为4个，占66.7%；III类水质断面为2个，占33.3%。8个省考监测断面水质达标率为87.5%。II类水质断面为5个，占62.5%；III类水质断面为2个，占25.0%；IV类水质断面为1个，占12.5%。</w:t>
            </w:r>
          </w:p>
          <w:p>
            <w:pPr>
              <w:pStyle w:val="104"/>
              <w:ind w:firstLine="480"/>
              <w:rPr>
                <w:rFonts w:hint="eastAsia"/>
                <w:color w:val="auto"/>
              </w:rPr>
            </w:pPr>
            <w:r>
              <w:rPr>
                <w:rFonts w:hint="eastAsia"/>
                <w:color w:val="auto"/>
                <w:lang w:eastAsia="zh-CN"/>
              </w:rPr>
              <w:t>本</w:t>
            </w:r>
            <w:r>
              <w:rPr>
                <w:rFonts w:hint="eastAsia"/>
                <w:color w:val="auto"/>
              </w:rPr>
              <w:t>项目产生的医疗废水经一体化污水处理设备采用“</w:t>
            </w:r>
            <w:r>
              <w:rPr>
                <w:rFonts w:hint="eastAsia"/>
                <w:color w:val="auto"/>
                <w:lang w:eastAsia="zh-CN"/>
              </w:rPr>
              <w:t>混凝沉淀</w:t>
            </w:r>
            <w:r>
              <w:rPr>
                <w:rFonts w:hint="eastAsia"/>
                <w:color w:val="auto"/>
              </w:rPr>
              <w:t>+消毒”处理</w:t>
            </w:r>
            <w:r>
              <w:rPr>
                <w:rFonts w:hint="eastAsia"/>
                <w:color w:val="auto"/>
                <w:lang w:eastAsia="zh-CN"/>
              </w:rPr>
              <w:t>后</w:t>
            </w:r>
            <w:r>
              <w:rPr>
                <w:rFonts w:hint="eastAsia"/>
                <w:color w:val="auto"/>
              </w:rPr>
              <w:t>和员工生活污水一起通过污水管道进入</w:t>
            </w:r>
            <w:r>
              <w:rPr>
                <w:rFonts w:hint="eastAsia"/>
                <w:color w:val="auto"/>
                <w:lang w:eastAsia="zh-CN"/>
              </w:rPr>
              <w:t>嘉州春天小区</w:t>
            </w:r>
            <w:r>
              <w:rPr>
                <w:rFonts w:hint="eastAsia"/>
                <w:color w:val="auto"/>
              </w:rPr>
              <w:t>预处理池处理</w:t>
            </w:r>
            <w:r>
              <w:rPr>
                <w:rFonts w:hint="eastAsia"/>
                <w:color w:val="auto"/>
                <w:lang w:eastAsia="zh-CN"/>
              </w:rPr>
              <w:t>，</w:t>
            </w:r>
            <w:r>
              <w:rPr>
                <w:rFonts w:hint="eastAsia"/>
                <w:color w:val="auto"/>
              </w:rPr>
              <w:t>处理后排入市政污水管网，最终进入乐山市第一污水处理厂处理后排放。本项目最终的受纳水体为岷江。</w:t>
            </w:r>
          </w:p>
          <w:p>
            <w:pPr>
              <w:pStyle w:val="104"/>
              <w:ind w:firstLine="480"/>
              <w:rPr>
                <w:rFonts w:hint="eastAsia"/>
                <w:color w:val="auto"/>
              </w:rPr>
            </w:pPr>
            <w:r>
              <w:rPr>
                <w:rFonts w:hint="eastAsia"/>
                <w:color w:val="auto"/>
              </w:rPr>
              <w:t>根据公布的地表水水质监测结果表明，岷江河流各断面监测结果均能够满足《地表水环境质量标准》 （GB3838-2002）中 III 类标准水域标准，因此项目所在区域地表水环境质量现状较好。</w:t>
            </w:r>
          </w:p>
          <w:p>
            <w:pPr>
              <w:pStyle w:val="4"/>
              <w:spacing w:after="120"/>
              <w:rPr>
                <w:color w:val="auto"/>
              </w:rPr>
            </w:pPr>
            <w:r>
              <w:rPr>
                <w:color w:val="auto"/>
              </w:rPr>
              <w:t>三、声环境质量现状</w:t>
            </w:r>
          </w:p>
          <w:p>
            <w:pPr>
              <w:pStyle w:val="101"/>
              <w:ind w:firstLine="480"/>
              <w:rPr>
                <w:color w:val="auto"/>
              </w:rPr>
            </w:pPr>
            <w:r>
              <w:rPr>
                <w:color w:val="auto"/>
              </w:rPr>
              <w:t>监测项目：各测声点昼间及夜间的等效连续A声级。</w:t>
            </w:r>
          </w:p>
          <w:p>
            <w:pPr>
              <w:pStyle w:val="101"/>
              <w:ind w:firstLine="480"/>
              <w:rPr>
                <w:color w:val="auto"/>
              </w:rPr>
            </w:pPr>
            <w:r>
              <w:rPr>
                <w:color w:val="auto"/>
              </w:rPr>
              <w:t>监测点位：</w:t>
            </w:r>
            <w:r>
              <w:rPr>
                <w:rFonts w:hint="eastAsia"/>
                <w:color w:val="auto"/>
              </w:rPr>
              <w:t>场界四周50范围内的敏感目标</w:t>
            </w:r>
            <w:r>
              <w:rPr>
                <w:color w:val="auto"/>
              </w:rPr>
              <w:t>。</w:t>
            </w:r>
          </w:p>
          <w:p>
            <w:pPr>
              <w:pStyle w:val="101"/>
              <w:ind w:firstLine="480"/>
              <w:rPr>
                <w:color w:val="auto"/>
              </w:rPr>
            </w:pPr>
            <w:r>
              <w:rPr>
                <w:color w:val="auto"/>
              </w:rPr>
              <w:t>监测频次：监测</w:t>
            </w:r>
            <w:r>
              <w:rPr>
                <w:rFonts w:hint="eastAsia"/>
                <w:color w:val="auto"/>
              </w:rPr>
              <w:t>1</w:t>
            </w:r>
            <w:r>
              <w:rPr>
                <w:color w:val="auto"/>
              </w:rPr>
              <w:t>天，昼间、夜间各测一次，昼间：6：00~22：00，夜间：22:00~6:00。</w:t>
            </w:r>
          </w:p>
          <w:p>
            <w:pPr>
              <w:pStyle w:val="117"/>
              <w:rPr>
                <w:color w:val="auto"/>
              </w:rPr>
            </w:pPr>
            <w:r>
              <w:rPr>
                <w:color w:val="auto"/>
              </w:rPr>
              <w:t>表3-</w:t>
            </w:r>
            <w:r>
              <w:rPr>
                <w:rFonts w:hint="eastAsia"/>
                <w:color w:val="auto"/>
              </w:rPr>
              <w:t>2</w:t>
            </w:r>
            <w:r>
              <w:rPr>
                <w:color w:val="auto"/>
              </w:rPr>
              <w:t xml:space="preserve">  环境噪声监测结果表   单位dB（A）</w:t>
            </w:r>
          </w:p>
          <w:tbl>
            <w:tblPr>
              <w:tblStyle w:val="3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12"/>
              <w:gridCol w:w="4395"/>
              <w:gridCol w:w="816"/>
              <w:gridCol w:w="8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77" w:hRule="atLeast"/>
              </w:trPr>
              <w:tc>
                <w:tcPr>
                  <w:tcW w:w="1343" w:type="pct"/>
                  <w:vMerge w:val="restart"/>
                  <w:noWrap w:val="0"/>
                  <w:vAlign w:val="center"/>
                </w:tcPr>
                <w:p>
                  <w:pPr>
                    <w:pStyle w:val="170"/>
                    <w:rPr>
                      <w:rFonts w:hint="eastAsia"/>
                      <w:b/>
                      <w:bCs/>
                      <w:color w:val="auto"/>
                    </w:rPr>
                  </w:pPr>
                  <w:r>
                    <w:rPr>
                      <w:rFonts w:hint="eastAsia"/>
                      <w:b/>
                      <w:bCs/>
                      <w:color w:val="auto"/>
                    </w:rPr>
                    <w:t>测点编号</w:t>
                  </w:r>
                </w:p>
              </w:tc>
              <w:tc>
                <w:tcPr>
                  <w:tcW w:w="2667" w:type="pct"/>
                  <w:vMerge w:val="restart"/>
                  <w:noWrap w:val="0"/>
                  <w:vAlign w:val="center"/>
                </w:tcPr>
                <w:p>
                  <w:pPr>
                    <w:pStyle w:val="170"/>
                    <w:rPr>
                      <w:rFonts w:hint="eastAsia"/>
                      <w:b/>
                      <w:bCs/>
                      <w:color w:val="auto"/>
                    </w:rPr>
                  </w:pPr>
                  <w:r>
                    <w:rPr>
                      <w:rFonts w:hint="eastAsia"/>
                      <w:b/>
                      <w:bCs/>
                      <w:color w:val="auto"/>
                    </w:rPr>
                    <w:t>监测位置</w:t>
                  </w:r>
                </w:p>
              </w:tc>
              <w:tc>
                <w:tcPr>
                  <w:tcW w:w="991" w:type="pct"/>
                  <w:gridSpan w:val="2"/>
                  <w:noWrap w:val="0"/>
                  <w:vAlign w:val="center"/>
                </w:tcPr>
                <w:p>
                  <w:pPr>
                    <w:pStyle w:val="170"/>
                    <w:rPr>
                      <w:b/>
                      <w:bCs/>
                      <w:color w:val="auto"/>
                    </w:rPr>
                  </w:pPr>
                  <w:r>
                    <w:rPr>
                      <w:rFonts w:hint="eastAsia"/>
                      <w:b/>
                      <w:bCs/>
                      <w:color w:val="auto"/>
                    </w:rPr>
                    <w:t>2021-10-08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trPr>
              <w:tc>
                <w:tcPr>
                  <w:tcW w:w="1343" w:type="pct"/>
                  <w:vMerge w:val="continue"/>
                  <w:noWrap w:val="0"/>
                  <w:vAlign w:val="center"/>
                </w:tcPr>
                <w:p>
                  <w:pPr>
                    <w:pStyle w:val="170"/>
                    <w:rPr>
                      <w:rFonts w:hint="eastAsia"/>
                      <w:b/>
                      <w:bCs/>
                      <w:color w:val="auto"/>
                    </w:rPr>
                  </w:pPr>
                </w:p>
              </w:tc>
              <w:tc>
                <w:tcPr>
                  <w:tcW w:w="2667" w:type="pct"/>
                  <w:vMerge w:val="continue"/>
                  <w:noWrap w:val="0"/>
                  <w:vAlign w:val="center"/>
                </w:tcPr>
                <w:p>
                  <w:pPr>
                    <w:pStyle w:val="170"/>
                    <w:rPr>
                      <w:rFonts w:hint="eastAsia"/>
                      <w:b/>
                      <w:bCs/>
                      <w:color w:val="auto"/>
                    </w:rPr>
                  </w:pPr>
                </w:p>
              </w:tc>
              <w:tc>
                <w:tcPr>
                  <w:tcW w:w="495" w:type="pct"/>
                  <w:noWrap w:val="0"/>
                  <w:vAlign w:val="center"/>
                </w:tcPr>
                <w:p>
                  <w:pPr>
                    <w:pStyle w:val="170"/>
                    <w:rPr>
                      <w:rFonts w:hint="eastAsia"/>
                      <w:b/>
                      <w:bCs/>
                      <w:color w:val="auto"/>
                    </w:rPr>
                  </w:pPr>
                  <w:r>
                    <w:rPr>
                      <w:rFonts w:hint="eastAsia"/>
                      <w:b/>
                      <w:bCs/>
                      <w:color w:val="auto"/>
                    </w:rPr>
                    <w:t>昼间</w:t>
                  </w:r>
                </w:p>
              </w:tc>
              <w:tc>
                <w:tcPr>
                  <w:tcW w:w="495" w:type="pct"/>
                  <w:noWrap w:val="0"/>
                  <w:vAlign w:val="center"/>
                </w:tcPr>
                <w:p>
                  <w:pPr>
                    <w:pStyle w:val="170"/>
                    <w:rPr>
                      <w:rFonts w:hint="eastAsia"/>
                      <w:b/>
                      <w:bCs/>
                      <w:color w:val="auto"/>
                    </w:rPr>
                  </w:pPr>
                  <w:r>
                    <w:rPr>
                      <w:rFonts w:hint="eastAsia"/>
                      <w:b/>
                      <w:bCs/>
                      <w:color w:val="auto"/>
                    </w:rPr>
                    <w:t>夜间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3" w:type="pct"/>
                  <w:noWrap w:val="0"/>
                  <w:vAlign w:val="center"/>
                </w:tcPr>
                <w:p>
                  <w:pPr>
                    <w:pStyle w:val="170"/>
                    <w:rPr>
                      <w:color w:val="auto"/>
                    </w:rPr>
                  </w:pPr>
                  <w:r>
                    <w:rPr>
                      <w:rFonts w:hint="eastAsia"/>
                      <w:color w:val="auto"/>
                    </w:rPr>
                    <w:t>N1</w:t>
                  </w:r>
                </w:p>
              </w:tc>
              <w:tc>
                <w:tcPr>
                  <w:tcW w:w="2667" w:type="pct"/>
                  <w:noWrap w:val="0"/>
                  <w:vAlign w:val="center"/>
                </w:tcPr>
                <w:p>
                  <w:pPr>
                    <w:pStyle w:val="103"/>
                    <w:rPr>
                      <w:rFonts w:hint="eastAsia"/>
                      <w:color w:val="auto"/>
                    </w:rPr>
                  </w:pPr>
                  <w:r>
                    <w:rPr>
                      <w:rFonts w:hint="eastAsia"/>
                      <w:color w:val="auto"/>
                    </w:rPr>
                    <w:t>厂区东面（敏感点）</w:t>
                  </w:r>
                </w:p>
              </w:tc>
              <w:tc>
                <w:tcPr>
                  <w:tcW w:w="495" w:type="pct"/>
                  <w:noWrap w:val="0"/>
                  <w:vAlign w:val="center"/>
                </w:tcPr>
                <w:p>
                  <w:pPr>
                    <w:pStyle w:val="170"/>
                    <w:rPr>
                      <w:rFonts w:hint="eastAsia"/>
                      <w:color w:val="auto"/>
                    </w:rPr>
                  </w:pPr>
                  <w:r>
                    <w:rPr>
                      <w:rFonts w:hint="eastAsia"/>
                      <w:color w:val="auto"/>
                    </w:rPr>
                    <w:t>51</w:t>
                  </w:r>
                </w:p>
              </w:tc>
              <w:tc>
                <w:tcPr>
                  <w:tcW w:w="495" w:type="pct"/>
                  <w:noWrap w:val="0"/>
                  <w:vAlign w:val="center"/>
                </w:tcPr>
                <w:p>
                  <w:pPr>
                    <w:pStyle w:val="170"/>
                    <w:rPr>
                      <w:rFonts w:hint="eastAsia"/>
                      <w:color w:val="auto"/>
                    </w:rPr>
                  </w:pPr>
                  <w:r>
                    <w:rPr>
                      <w:rFonts w:hint="eastAsia"/>
                      <w:color w:val="auto"/>
                    </w:rPr>
                    <w:t>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3" w:type="pct"/>
                  <w:noWrap w:val="0"/>
                  <w:vAlign w:val="center"/>
                </w:tcPr>
                <w:p>
                  <w:pPr>
                    <w:pStyle w:val="170"/>
                    <w:rPr>
                      <w:color w:val="auto"/>
                    </w:rPr>
                  </w:pPr>
                  <w:r>
                    <w:rPr>
                      <w:rFonts w:hint="eastAsia"/>
                      <w:color w:val="auto"/>
                    </w:rPr>
                    <w:t>N2</w:t>
                  </w:r>
                </w:p>
              </w:tc>
              <w:tc>
                <w:tcPr>
                  <w:tcW w:w="2667" w:type="pct"/>
                  <w:noWrap w:val="0"/>
                  <w:vAlign w:val="center"/>
                </w:tcPr>
                <w:p>
                  <w:pPr>
                    <w:pStyle w:val="103"/>
                    <w:rPr>
                      <w:rFonts w:hint="eastAsia"/>
                      <w:color w:val="auto"/>
                    </w:rPr>
                  </w:pPr>
                  <w:r>
                    <w:rPr>
                      <w:rFonts w:hint="eastAsia"/>
                      <w:color w:val="auto"/>
                    </w:rPr>
                    <w:t>厂区南面</w:t>
                  </w:r>
                </w:p>
              </w:tc>
              <w:tc>
                <w:tcPr>
                  <w:tcW w:w="495" w:type="pct"/>
                  <w:noWrap w:val="0"/>
                  <w:vAlign w:val="center"/>
                </w:tcPr>
                <w:p>
                  <w:pPr>
                    <w:pStyle w:val="170"/>
                    <w:rPr>
                      <w:color w:val="auto"/>
                    </w:rPr>
                  </w:pPr>
                  <w:r>
                    <w:rPr>
                      <w:rFonts w:hint="eastAsia"/>
                      <w:color w:val="auto"/>
                    </w:rPr>
                    <w:t>50</w:t>
                  </w:r>
                </w:p>
              </w:tc>
              <w:tc>
                <w:tcPr>
                  <w:tcW w:w="495" w:type="pct"/>
                  <w:noWrap w:val="0"/>
                  <w:vAlign w:val="center"/>
                </w:tcPr>
                <w:p>
                  <w:pPr>
                    <w:pStyle w:val="170"/>
                    <w:rPr>
                      <w:rFonts w:hint="eastAsia"/>
                      <w:color w:val="auto"/>
                    </w:rPr>
                  </w:pPr>
                  <w:r>
                    <w:rPr>
                      <w:rFonts w:hint="eastAsia"/>
                      <w:color w:val="auto"/>
                    </w:rPr>
                    <w:t>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3" w:type="pct"/>
                  <w:noWrap w:val="0"/>
                  <w:vAlign w:val="center"/>
                </w:tcPr>
                <w:p>
                  <w:pPr>
                    <w:pStyle w:val="170"/>
                    <w:rPr>
                      <w:color w:val="auto"/>
                    </w:rPr>
                  </w:pPr>
                  <w:r>
                    <w:rPr>
                      <w:rFonts w:hint="eastAsia"/>
                      <w:color w:val="auto"/>
                    </w:rPr>
                    <w:t>N3</w:t>
                  </w:r>
                </w:p>
              </w:tc>
              <w:tc>
                <w:tcPr>
                  <w:tcW w:w="2667" w:type="pct"/>
                  <w:noWrap w:val="0"/>
                  <w:vAlign w:val="center"/>
                </w:tcPr>
                <w:p>
                  <w:pPr>
                    <w:pStyle w:val="103"/>
                    <w:rPr>
                      <w:color w:val="auto"/>
                    </w:rPr>
                  </w:pPr>
                  <w:r>
                    <w:rPr>
                      <w:rFonts w:hint="eastAsia"/>
                      <w:color w:val="auto"/>
                    </w:rPr>
                    <w:t>厂区北面（敏感点）</w:t>
                  </w:r>
                </w:p>
              </w:tc>
              <w:tc>
                <w:tcPr>
                  <w:tcW w:w="495" w:type="pct"/>
                  <w:noWrap w:val="0"/>
                  <w:vAlign w:val="center"/>
                </w:tcPr>
                <w:p>
                  <w:pPr>
                    <w:pStyle w:val="170"/>
                    <w:rPr>
                      <w:color w:val="auto"/>
                    </w:rPr>
                  </w:pPr>
                  <w:r>
                    <w:rPr>
                      <w:rFonts w:hint="eastAsia"/>
                      <w:color w:val="auto"/>
                    </w:rPr>
                    <w:t>49</w:t>
                  </w:r>
                </w:p>
              </w:tc>
              <w:tc>
                <w:tcPr>
                  <w:tcW w:w="495" w:type="pct"/>
                  <w:noWrap w:val="0"/>
                  <w:vAlign w:val="center"/>
                </w:tcPr>
                <w:p>
                  <w:pPr>
                    <w:pStyle w:val="170"/>
                    <w:rPr>
                      <w:color w:val="auto"/>
                    </w:rPr>
                  </w:pPr>
                  <w:r>
                    <w:rPr>
                      <w:rFonts w:hint="eastAsia"/>
                      <w:color w:val="auto"/>
                    </w:rPr>
                    <w:t>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09" w:type="pct"/>
                  <w:gridSpan w:val="2"/>
                  <w:noWrap w:val="0"/>
                  <w:vAlign w:val="center"/>
                </w:tcPr>
                <w:p>
                  <w:pPr>
                    <w:pStyle w:val="170"/>
                    <w:rPr>
                      <w:rFonts w:hint="eastAsia"/>
                      <w:color w:val="auto"/>
                    </w:rPr>
                  </w:pPr>
                  <w:r>
                    <w:rPr>
                      <w:rFonts w:hint="eastAsia"/>
                      <w:color w:val="auto"/>
                    </w:rPr>
                    <w:t>《声环境质量标准》（</w:t>
                  </w:r>
                  <w:r>
                    <w:rPr>
                      <w:color w:val="auto"/>
                    </w:rPr>
                    <w:t>GB3096-2008)</w:t>
                  </w:r>
                  <w:r>
                    <w:rPr>
                      <w:rFonts w:hint="eastAsia"/>
                      <w:color w:val="auto"/>
                    </w:rPr>
                    <w:t xml:space="preserve">中 </w:t>
                  </w:r>
                  <w:r>
                    <w:rPr>
                      <w:color w:val="auto"/>
                    </w:rPr>
                    <w:t xml:space="preserve">2 </w:t>
                  </w:r>
                  <w:r>
                    <w:rPr>
                      <w:rFonts w:hint="eastAsia"/>
                      <w:color w:val="auto"/>
                    </w:rPr>
                    <w:t>类标准限值</w:t>
                  </w:r>
                </w:p>
              </w:tc>
              <w:tc>
                <w:tcPr>
                  <w:tcW w:w="495" w:type="pct"/>
                  <w:noWrap w:val="0"/>
                  <w:vAlign w:val="center"/>
                </w:tcPr>
                <w:p>
                  <w:pPr>
                    <w:pStyle w:val="170"/>
                    <w:rPr>
                      <w:color w:val="auto"/>
                    </w:rPr>
                  </w:pPr>
                  <w:r>
                    <w:rPr>
                      <w:rFonts w:hint="eastAsia"/>
                      <w:color w:val="auto"/>
                    </w:rPr>
                    <w:t>60</w:t>
                  </w:r>
                </w:p>
              </w:tc>
              <w:tc>
                <w:tcPr>
                  <w:tcW w:w="495" w:type="pct"/>
                  <w:noWrap w:val="0"/>
                  <w:vAlign w:val="center"/>
                </w:tcPr>
                <w:p>
                  <w:pPr>
                    <w:pStyle w:val="170"/>
                    <w:rPr>
                      <w:color w:val="auto"/>
                    </w:rPr>
                  </w:pPr>
                  <w:r>
                    <w:rPr>
                      <w:rFonts w:hint="eastAsia"/>
                      <w:color w:val="auto"/>
                    </w:rPr>
                    <w:t>50</w:t>
                  </w:r>
                </w:p>
              </w:tc>
            </w:tr>
          </w:tbl>
          <w:p>
            <w:pPr>
              <w:pStyle w:val="101"/>
              <w:ind w:firstLine="480"/>
              <w:rPr>
                <w:rFonts w:hint="eastAsia"/>
                <w:color w:val="auto"/>
              </w:rPr>
            </w:pPr>
            <w:r>
              <w:rPr>
                <w:color w:val="auto"/>
              </w:rPr>
              <w:t>根据监测结果，本项目</w:t>
            </w:r>
            <w:r>
              <w:rPr>
                <w:rFonts w:hint="eastAsia"/>
                <w:color w:val="auto"/>
              </w:rPr>
              <w:t>厂界及周边敏感点处声环境质量满足《声环境质量标准》（GB3096-2008）中2类标准限值要求</w:t>
            </w:r>
            <w:r>
              <w:rPr>
                <w:color w:val="auto"/>
              </w:rPr>
              <w:t>，</w:t>
            </w:r>
            <w:r>
              <w:rPr>
                <w:rFonts w:hint="eastAsia"/>
                <w:color w:val="auto"/>
              </w:rPr>
              <w:t>昼间≤60dB（A），夜间≤50dB（A），</w:t>
            </w:r>
            <w:r>
              <w:rPr>
                <w:color w:val="auto"/>
              </w:rPr>
              <w:t>周边声环境质量现状较好。</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57" w:hRule="atLeast"/>
          <w:jc w:val="center"/>
        </w:trPr>
        <w:tc>
          <w:tcPr>
            <w:tcW w:w="348" w:type="pct"/>
            <w:noWrap w:val="0"/>
            <w:vAlign w:val="center"/>
          </w:tcPr>
          <w:p>
            <w:pPr>
              <w:pStyle w:val="101"/>
              <w:ind w:firstLine="0" w:firstLineChars="0"/>
              <w:jc w:val="center"/>
              <w:rPr>
                <w:rFonts w:hint="eastAsia"/>
                <w:color w:val="auto"/>
              </w:rPr>
            </w:pPr>
            <w:r>
              <w:rPr>
                <w:rFonts w:hint="eastAsia"/>
                <w:color w:val="auto"/>
              </w:rPr>
              <w:t>环境保护目标</w:t>
            </w:r>
          </w:p>
        </w:tc>
        <w:tc>
          <w:tcPr>
            <w:tcW w:w="4651" w:type="pct"/>
            <w:noWrap w:val="0"/>
            <w:vAlign w:val="center"/>
          </w:tcPr>
          <w:p>
            <w:pPr>
              <w:pStyle w:val="101"/>
              <w:ind w:firstLine="480"/>
              <w:rPr>
                <w:color w:val="auto"/>
              </w:rPr>
            </w:pPr>
            <w:r>
              <w:rPr>
                <w:color w:val="auto"/>
              </w:rPr>
              <w:t>根据本项目排污特点和外环境特征确定环境保护目标如下：</w:t>
            </w:r>
          </w:p>
          <w:p>
            <w:pPr>
              <w:pStyle w:val="4"/>
              <w:rPr>
                <w:color w:val="auto"/>
              </w:rPr>
            </w:pPr>
            <w:r>
              <w:rPr>
                <w:color w:val="auto"/>
              </w:rPr>
              <w:t>一、大气环境保护目标</w:t>
            </w:r>
          </w:p>
          <w:p>
            <w:pPr>
              <w:pStyle w:val="101"/>
              <w:ind w:firstLine="480"/>
              <w:rPr>
                <w:rFonts w:hint="eastAsia"/>
                <w:color w:val="auto"/>
              </w:rPr>
            </w:pPr>
            <w:r>
              <w:rPr>
                <w:rFonts w:hint="eastAsia"/>
                <w:color w:val="auto"/>
              </w:rPr>
              <w:t>主要指项目场界外500m范围内的自然保护区、风景名胜区、居住区和农村地区中人群较集中的区域等保护目标。根据现场踏勘，本项目周围不涉及名胜古迹和重点文物保护单位，无自然保护区、风景名胜区等特殊需要保护的对象。本项目涉及的大气环境保护目标主要为嘉州春天（30m）、乐山一中（87m）、南湾半岛小区（77m）、王河园二号小区（90m）、星河家园住宅区（115m）、王河园一号小区（217m）、干警花园（272m）、王河园惠民小区（315m）、学府苑住宅区（346m）、茗禾苑住宅区（209m）、文星府住宅区（362m）、敖坝社区（457m）、警苑小区（401m）、自建房小区（459m）、新天名城住宅区（481m）、翰林印象住宅小区（500m）等。</w:t>
            </w:r>
          </w:p>
          <w:p>
            <w:pPr>
              <w:pStyle w:val="4"/>
              <w:numPr>
                <w:ilvl w:val="0"/>
                <w:numId w:val="17"/>
              </w:numPr>
              <w:rPr>
                <w:color w:val="auto"/>
              </w:rPr>
            </w:pPr>
            <w:r>
              <w:rPr>
                <w:color w:val="auto"/>
              </w:rPr>
              <w:t>声环境保护目标</w:t>
            </w:r>
          </w:p>
          <w:p>
            <w:pPr>
              <w:pStyle w:val="104"/>
              <w:ind w:firstLine="480"/>
              <w:rPr>
                <w:rFonts w:hint="eastAsia"/>
                <w:color w:val="auto"/>
              </w:rPr>
            </w:pPr>
            <w:r>
              <w:rPr>
                <w:rFonts w:hint="eastAsia"/>
                <w:color w:val="auto"/>
              </w:rPr>
              <w:t>主要指场界外50m范围内声环境保护目标。</w:t>
            </w:r>
          </w:p>
          <w:p>
            <w:pPr>
              <w:pStyle w:val="101"/>
              <w:ind w:firstLine="480"/>
              <w:rPr>
                <w:color w:val="auto"/>
              </w:rPr>
            </w:pPr>
            <w:r>
              <w:rPr>
                <w:color w:val="auto"/>
              </w:rPr>
              <w:t>项目</w:t>
            </w:r>
            <w:r>
              <w:rPr>
                <w:rFonts w:hint="eastAsia"/>
                <w:color w:val="auto"/>
              </w:rPr>
              <w:t>500m范围内</w:t>
            </w:r>
            <w:r>
              <w:rPr>
                <w:color w:val="auto"/>
              </w:rPr>
              <w:t>主要环境保护目标见下表：</w:t>
            </w:r>
          </w:p>
          <w:p>
            <w:pPr>
              <w:pStyle w:val="101"/>
              <w:spacing w:line="360" w:lineRule="exact"/>
              <w:ind w:firstLine="0" w:firstLineChars="0"/>
              <w:jc w:val="center"/>
              <w:rPr>
                <w:rFonts w:hint="eastAsia"/>
                <w:b/>
                <w:color w:val="auto"/>
                <w:sz w:val="21"/>
                <w:szCs w:val="21"/>
              </w:rPr>
            </w:pPr>
            <w:r>
              <w:rPr>
                <w:b/>
                <w:color w:val="auto"/>
                <w:sz w:val="21"/>
                <w:szCs w:val="21"/>
              </w:rPr>
              <w:t>表3-</w:t>
            </w:r>
            <w:r>
              <w:rPr>
                <w:rFonts w:hint="eastAsia"/>
                <w:b/>
                <w:color w:val="auto"/>
                <w:sz w:val="21"/>
                <w:szCs w:val="21"/>
              </w:rPr>
              <w:t>3</w:t>
            </w:r>
            <w:r>
              <w:rPr>
                <w:b/>
                <w:color w:val="auto"/>
                <w:sz w:val="21"/>
                <w:szCs w:val="21"/>
              </w:rPr>
              <w:t xml:space="preserve">  本项目主要环境敏感点</w:t>
            </w:r>
            <w:r>
              <w:rPr>
                <w:rFonts w:hint="eastAsia"/>
                <w:b/>
                <w:color w:val="auto"/>
                <w:sz w:val="21"/>
                <w:szCs w:val="21"/>
              </w:rPr>
              <w:t>保护目标</w:t>
            </w:r>
          </w:p>
          <w:tbl>
            <w:tblPr>
              <w:tblStyle w:val="38"/>
              <w:tblW w:w="4995"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76"/>
              <w:gridCol w:w="937"/>
              <w:gridCol w:w="937"/>
              <w:gridCol w:w="1042"/>
              <w:gridCol w:w="17"/>
              <w:gridCol w:w="937"/>
              <w:gridCol w:w="937"/>
              <w:gridCol w:w="22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blHeader/>
              </w:trPr>
              <w:tc>
                <w:tcPr>
                  <w:tcW w:w="774" w:type="pct"/>
                  <w:noWrap w:val="0"/>
                  <w:vAlign w:val="center"/>
                </w:tcPr>
                <w:p>
                  <w:pPr>
                    <w:pStyle w:val="105"/>
                    <w:rPr>
                      <w:b/>
                      <w:bCs/>
                      <w:color w:val="auto"/>
                    </w:rPr>
                  </w:pPr>
                  <w:r>
                    <w:rPr>
                      <w:b/>
                      <w:bCs/>
                      <w:color w:val="auto"/>
                    </w:rPr>
                    <w:t>环境影响类别</w:t>
                  </w:r>
                </w:p>
              </w:tc>
              <w:tc>
                <w:tcPr>
                  <w:tcW w:w="741" w:type="pct"/>
                  <w:noWrap w:val="0"/>
                  <w:vAlign w:val="center"/>
                </w:tcPr>
                <w:p>
                  <w:pPr>
                    <w:pStyle w:val="105"/>
                    <w:rPr>
                      <w:b/>
                      <w:bCs/>
                      <w:color w:val="auto"/>
                    </w:rPr>
                  </w:pPr>
                  <w:r>
                    <w:rPr>
                      <w:b/>
                      <w:bCs/>
                      <w:color w:val="auto"/>
                    </w:rPr>
                    <w:t>环境敏感目标</w:t>
                  </w:r>
                </w:p>
              </w:tc>
              <w:tc>
                <w:tcPr>
                  <w:tcW w:w="518" w:type="pct"/>
                  <w:noWrap w:val="0"/>
                  <w:vAlign w:val="center"/>
                </w:tcPr>
                <w:p>
                  <w:pPr>
                    <w:pStyle w:val="105"/>
                    <w:rPr>
                      <w:b/>
                      <w:bCs/>
                      <w:color w:val="auto"/>
                    </w:rPr>
                  </w:pPr>
                  <w:r>
                    <w:rPr>
                      <w:b/>
                      <w:bCs/>
                      <w:color w:val="auto"/>
                    </w:rPr>
                    <w:t>方位</w:t>
                  </w:r>
                </w:p>
              </w:tc>
              <w:tc>
                <w:tcPr>
                  <w:tcW w:w="608" w:type="pct"/>
                  <w:gridSpan w:val="2"/>
                  <w:noWrap w:val="0"/>
                  <w:vAlign w:val="center"/>
                </w:tcPr>
                <w:p>
                  <w:pPr>
                    <w:pStyle w:val="105"/>
                    <w:rPr>
                      <w:b/>
                      <w:bCs/>
                      <w:color w:val="auto"/>
                    </w:rPr>
                  </w:pPr>
                  <w:r>
                    <w:rPr>
                      <w:rFonts w:hint="eastAsia"/>
                      <w:b/>
                      <w:bCs/>
                      <w:color w:val="auto"/>
                    </w:rPr>
                    <w:t>最近</w:t>
                  </w:r>
                  <w:r>
                    <w:rPr>
                      <w:b/>
                      <w:bCs/>
                      <w:color w:val="auto"/>
                    </w:rPr>
                    <w:t>距离(m)</w:t>
                  </w:r>
                </w:p>
              </w:tc>
              <w:tc>
                <w:tcPr>
                  <w:tcW w:w="517" w:type="pct"/>
                  <w:noWrap w:val="0"/>
                  <w:vAlign w:val="center"/>
                </w:tcPr>
                <w:p>
                  <w:pPr>
                    <w:pStyle w:val="105"/>
                    <w:rPr>
                      <w:b/>
                      <w:bCs/>
                      <w:color w:val="auto"/>
                    </w:rPr>
                  </w:pPr>
                  <w:r>
                    <w:rPr>
                      <w:b/>
                      <w:bCs/>
                      <w:color w:val="auto"/>
                    </w:rPr>
                    <w:t>性质</w:t>
                  </w:r>
                </w:p>
              </w:tc>
              <w:tc>
                <w:tcPr>
                  <w:tcW w:w="715" w:type="pct"/>
                  <w:noWrap w:val="0"/>
                  <w:vAlign w:val="center"/>
                </w:tcPr>
                <w:p>
                  <w:pPr>
                    <w:pStyle w:val="105"/>
                    <w:rPr>
                      <w:rFonts w:hint="eastAsia"/>
                      <w:b/>
                      <w:bCs/>
                      <w:color w:val="auto"/>
                    </w:rPr>
                  </w:pPr>
                  <w:r>
                    <w:rPr>
                      <w:rFonts w:hint="eastAsia"/>
                      <w:b/>
                      <w:bCs/>
                      <w:color w:val="auto"/>
                    </w:rPr>
                    <w:t>规模</w:t>
                  </w:r>
                </w:p>
              </w:tc>
              <w:tc>
                <w:tcPr>
                  <w:tcW w:w="1127" w:type="pct"/>
                  <w:noWrap w:val="0"/>
                  <w:vAlign w:val="center"/>
                </w:tcPr>
                <w:p>
                  <w:pPr>
                    <w:pStyle w:val="105"/>
                    <w:rPr>
                      <w:b/>
                      <w:bCs/>
                      <w:color w:val="auto"/>
                    </w:rPr>
                  </w:pPr>
                  <w:r>
                    <w:rPr>
                      <w:b/>
                      <w:bCs/>
                      <w:color w:val="auto"/>
                    </w:rPr>
                    <w:t>执行标准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9" w:hRule="atLeast"/>
              </w:trPr>
              <w:tc>
                <w:tcPr>
                  <w:tcW w:w="774" w:type="pct"/>
                  <w:vMerge w:val="restart"/>
                  <w:noWrap w:val="0"/>
                  <w:vAlign w:val="center"/>
                </w:tcPr>
                <w:p>
                  <w:pPr>
                    <w:pStyle w:val="105"/>
                    <w:rPr>
                      <w:color w:val="auto"/>
                    </w:rPr>
                  </w:pPr>
                  <w:r>
                    <w:rPr>
                      <w:color w:val="auto"/>
                    </w:rPr>
                    <w:t>地表水环境</w:t>
                  </w:r>
                </w:p>
              </w:tc>
              <w:tc>
                <w:tcPr>
                  <w:tcW w:w="741" w:type="pct"/>
                  <w:noWrap w:val="0"/>
                  <w:vAlign w:val="center"/>
                </w:tcPr>
                <w:p>
                  <w:pPr>
                    <w:pStyle w:val="105"/>
                    <w:rPr>
                      <w:rFonts w:hint="eastAsia"/>
                      <w:color w:val="auto"/>
                    </w:rPr>
                  </w:pPr>
                  <w:r>
                    <w:rPr>
                      <w:rFonts w:hint="eastAsia"/>
                      <w:color w:val="auto"/>
                    </w:rPr>
                    <w:t>岷江</w:t>
                  </w:r>
                </w:p>
              </w:tc>
              <w:tc>
                <w:tcPr>
                  <w:tcW w:w="518" w:type="pct"/>
                  <w:noWrap w:val="0"/>
                  <w:vAlign w:val="center"/>
                </w:tcPr>
                <w:p>
                  <w:pPr>
                    <w:pStyle w:val="105"/>
                    <w:rPr>
                      <w:color w:val="auto"/>
                    </w:rPr>
                  </w:pPr>
                  <w:r>
                    <w:rPr>
                      <w:rFonts w:hint="eastAsia"/>
                      <w:color w:val="auto"/>
                    </w:rPr>
                    <w:t>东侧</w:t>
                  </w:r>
                </w:p>
              </w:tc>
              <w:tc>
                <w:tcPr>
                  <w:tcW w:w="608" w:type="pct"/>
                  <w:gridSpan w:val="2"/>
                  <w:noWrap w:val="0"/>
                  <w:vAlign w:val="center"/>
                </w:tcPr>
                <w:p>
                  <w:pPr>
                    <w:pStyle w:val="105"/>
                    <w:rPr>
                      <w:color w:val="auto"/>
                    </w:rPr>
                  </w:pPr>
                  <w:r>
                    <w:rPr>
                      <w:rFonts w:hint="eastAsia"/>
                      <w:color w:val="auto"/>
                    </w:rPr>
                    <w:t>950</w:t>
                  </w:r>
                </w:p>
              </w:tc>
              <w:tc>
                <w:tcPr>
                  <w:tcW w:w="517" w:type="pct"/>
                  <w:noWrap w:val="0"/>
                  <w:vAlign w:val="center"/>
                </w:tcPr>
                <w:p>
                  <w:pPr>
                    <w:pStyle w:val="105"/>
                    <w:rPr>
                      <w:color w:val="auto"/>
                    </w:rPr>
                  </w:pPr>
                  <w:r>
                    <w:rPr>
                      <w:color w:val="auto"/>
                    </w:rPr>
                    <w:t>受纳水体</w:t>
                  </w:r>
                </w:p>
              </w:tc>
              <w:tc>
                <w:tcPr>
                  <w:tcW w:w="715" w:type="pct"/>
                  <w:noWrap w:val="0"/>
                  <w:vAlign w:val="center"/>
                </w:tcPr>
                <w:p>
                  <w:pPr>
                    <w:pStyle w:val="105"/>
                    <w:rPr>
                      <w:rFonts w:hint="eastAsia"/>
                      <w:color w:val="auto"/>
                    </w:rPr>
                  </w:pPr>
                  <w:r>
                    <w:rPr>
                      <w:rFonts w:hint="eastAsia"/>
                      <w:color w:val="auto"/>
                    </w:rPr>
                    <w:t>大河</w:t>
                  </w:r>
                </w:p>
              </w:tc>
              <w:tc>
                <w:tcPr>
                  <w:tcW w:w="1127" w:type="pct"/>
                  <w:vMerge w:val="restart"/>
                  <w:noWrap w:val="0"/>
                  <w:vAlign w:val="center"/>
                </w:tcPr>
                <w:p>
                  <w:pPr>
                    <w:pStyle w:val="105"/>
                    <w:rPr>
                      <w:color w:val="auto"/>
                    </w:rPr>
                  </w:pPr>
                  <w:r>
                    <w:rPr>
                      <w:color w:val="auto"/>
                    </w:rPr>
                    <w:t>《地表水环境质量标准》(GB3838-2002)中的Ⅲ类标准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trPr>
              <w:tc>
                <w:tcPr>
                  <w:tcW w:w="774" w:type="pct"/>
                  <w:vMerge w:val="continue"/>
                  <w:noWrap w:val="0"/>
                  <w:vAlign w:val="center"/>
                </w:tcPr>
                <w:p>
                  <w:pPr>
                    <w:pStyle w:val="105"/>
                    <w:rPr>
                      <w:color w:val="auto"/>
                    </w:rPr>
                  </w:pPr>
                </w:p>
              </w:tc>
              <w:tc>
                <w:tcPr>
                  <w:tcW w:w="741" w:type="pct"/>
                  <w:noWrap w:val="0"/>
                  <w:vAlign w:val="center"/>
                </w:tcPr>
                <w:p>
                  <w:pPr>
                    <w:pStyle w:val="105"/>
                    <w:rPr>
                      <w:rFonts w:hint="default" w:eastAsia="宋体"/>
                      <w:color w:val="auto"/>
                      <w:lang w:val="en-US" w:eastAsia="zh-CN"/>
                    </w:rPr>
                  </w:pPr>
                  <w:r>
                    <w:rPr>
                      <w:rFonts w:hint="eastAsia"/>
                      <w:color w:val="auto"/>
                      <w:lang w:val="en-US" w:eastAsia="zh-CN"/>
                    </w:rPr>
                    <w:t>竹公溪</w:t>
                  </w:r>
                </w:p>
              </w:tc>
              <w:tc>
                <w:tcPr>
                  <w:tcW w:w="518" w:type="pct"/>
                  <w:noWrap w:val="0"/>
                  <w:vAlign w:val="center"/>
                </w:tcPr>
                <w:p>
                  <w:pPr>
                    <w:pStyle w:val="105"/>
                    <w:rPr>
                      <w:rFonts w:hint="eastAsia" w:eastAsia="宋体"/>
                      <w:color w:val="auto"/>
                      <w:lang w:eastAsia="zh-CN"/>
                    </w:rPr>
                  </w:pPr>
                  <w:r>
                    <w:rPr>
                      <w:rFonts w:hint="eastAsia"/>
                      <w:color w:val="auto"/>
                      <w:lang w:eastAsia="zh-CN"/>
                    </w:rPr>
                    <w:t>南侧</w:t>
                  </w:r>
                </w:p>
              </w:tc>
              <w:tc>
                <w:tcPr>
                  <w:tcW w:w="608" w:type="pct"/>
                  <w:gridSpan w:val="2"/>
                  <w:noWrap w:val="0"/>
                  <w:vAlign w:val="center"/>
                </w:tcPr>
                <w:p>
                  <w:pPr>
                    <w:pStyle w:val="105"/>
                    <w:rPr>
                      <w:rFonts w:hint="default" w:eastAsia="宋体"/>
                      <w:color w:val="auto"/>
                      <w:lang w:val="en-US" w:eastAsia="zh-CN"/>
                    </w:rPr>
                  </w:pPr>
                  <w:r>
                    <w:rPr>
                      <w:rFonts w:hint="eastAsia"/>
                      <w:color w:val="auto"/>
                      <w:lang w:val="en-US" w:eastAsia="zh-CN"/>
                    </w:rPr>
                    <w:t>46</w:t>
                  </w:r>
                </w:p>
              </w:tc>
              <w:tc>
                <w:tcPr>
                  <w:tcW w:w="517" w:type="pct"/>
                  <w:noWrap w:val="0"/>
                  <w:vAlign w:val="center"/>
                </w:tcPr>
                <w:p>
                  <w:pPr>
                    <w:pStyle w:val="105"/>
                    <w:rPr>
                      <w:rFonts w:hint="eastAsia" w:eastAsia="宋体"/>
                      <w:color w:val="auto"/>
                      <w:lang w:val="en-US" w:eastAsia="zh-CN"/>
                    </w:rPr>
                  </w:pPr>
                  <w:r>
                    <w:rPr>
                      <w:rFonts w:hint="eastAsia"/>
                      <w:color w:val="auto"/>
                      <w:lang w:val="en-US" w:eastAsia="zh-CN"/>
                    </w:rPr>
                    <w:t>-</w:t>
                  </w:r>
                </w:p>
              </w:tc>
              <w:tc>
                <w:tcPr>
                  <w:tcW w:w="715" w:type="pct"/>
                  <w:noWrap w:val="0"/>
                  <w:vAlign w:val="center"/>
                </w:tcPr>
                <w:p>
                  <w:pPr>
                    <w:pStyle w:val="105"/>
                    <w:rPr>
                      <w:rFonts w:hint="eastAsia" w:eastAsia="宋体"/>
                      <w:color w:val="auto"/>
                      <w:lang w:eastAsia="zh-CN"/>
                    </w:rPr>
                  </w:pPr>
                  <w:r>
                    <w:rPr>
                      <w:rFonts w:hint="eastAsia"/>
                      <w:color w:val="auto"/>
                      <w:lang w:eastAsia="zh-CN"/>
                    </w:rPr>
                    <w:t>小河</w:t>
                  </w:r>
                </w:p>
              </w:tc>
              <w:tc>
                <w:tcPr>
                  <w:tcW w:w="1127" w:type="pct"/>
                  <w:vMerge w:val="continue"/>
                  <w:noWrap w:val="0"/>
                  <w:vAlign w:val="center"/>
                </w:tcPr>
                <w:p>
                  <w:pPr>
                    <w:pStyle w:val="105"/>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774" w:type="pct"/>
                  <w:vMerge w:val="restart"/>
                  <w:noWrap w:val="0"/>
                  <w:vAlign w:val="center"/>
                </w:tcPr>
                <w:p>
                  <w:pPr>
                    <w:pStyle w:val="105"/>
                    <w:rPr>
                      <w:color w:val="auto"/>
                    </w:rPr>
                  </w:pPr>
                </w:p>
                <w:p>
                  <w:pPr>
                    <w:pStyle w:val="105"/>
                    <w:rPr>
                      <w:color w:val="auto"/>
                    </w:rPr>
                  </w:pPr>
                </w:p>
                <w:p>
                  <w:pPr>
                    <w:pStyle w:val="105"/>
                    <w:rPr>
                      <w:color w:val="auto"/>
                    </w:rPr>
                  </w:pPr>
                </w:p>
                <w:p>
                  <w:pPr>
                    <w:pStyle w:val="105"/>
                    <w:rPr>
                      <w:color w:val="auto"/>
                    </w:rPr>
                  </w:pPr>
                </w:p>
                <w:p>
                  <w:pPr>
                    <w:pStyle w:val="105"/>
                    <w:rPr>
                      <w:color w:val="auto"/>
                    </w:rPr>
                  </w:pPr>
                </w:p>
                <w:p>
                  <w:pPr>
                    <w:pStyle w:val="105"/>
                    <w:rPr>
                      <w:color w:val="auto"/>
                    </w:rPr>
                  </w:pPr>
                </w:p>
                <w:p>
                  <w:pPr>
                    <w:pStyle w:val="105"/>
                    <w:rPr>
                      <w:color w:val="auto"/>
                    </w:rPr>
                  </w:pPr>
                  <w:r>
                    <w:rPr>
                      <w:color w:val="auto"/>
                    </w:rPr>
                    <w:t>大气环境</w:t>
                  </w:r>
                </w:p>
                <w:p>
                  <w:pPr>
                    <w:pStyle w:val="105"/>
                    <w:rPr>
                      <w:color w:val="auto"/>
                    </w:rPr>
                  </w:pPr>
                  <w:r>
                    <w:rPr>
                      <w:rFonts w:hint="eastAsia"/>
                      <w:color w:val="auto"/>
                    </w:rPr>
                    <w:t>（500m范围内）</w:t>
                  </w:r>
                </w:p>
              </w:tc>
              <w:tc>
                <w:tcPr>
                  <w:tcW w:w="741" w:type="pct"/>
                  <w:noWrap w:val="0"/>
                  <w:vAlign w:val="center"/>
                </w:tcPr>
                <w:p>
                  <w:pPr>
                    <w:pStyle w:val="105"/>
                    <w:rPr>
                      <w:rFonts w:hint="eastAsia"/>
                      <w:color w:val="auto"/>
                    </w:rPr>
                  </w:pPr>
                  <w:r>
                    <w:rPr>
                      <w:rFonts w:hint="eastAsia"/>
                      <w:color w:val="auto"/>
                    </w:rPr>
                    <w:t>嘉州春天</w:t>
                  </w:r>
                </w:p>
              </w:tc>
              <w:tc>
                <w:tcPr>
                  <w:tcW w:w="518" w:type="pct"/>
                  <w:vMerge w:val="restart"/>
                  <w:noWrap w:val="0"/>
                  <w:vAlign w:val="center"/>
                </w:tcPr>
                <w:p>
                  <w:pPr>
                    <w:pStyle w:val="105"/>
                    <w:rPr>
                      <w:rFonts w:hint="eastAsia"/>
                      <w:color w:val="auto"/>
                    </w:rPr>
                  </w:pPr>
                  <w:r>
                    <w:rPr>
                      <w:rFonts w:hint="eastAsia"/>
                      <w:color w:val="auto"/>
                    </w:rPr>
                    <w:t>北侧</w:t>
                  </w:r>
                </w:p>
              </w:tc>
              <w:tc>
                <w:tcPr>
                  <w:tcW w:w="608" w:type="pct"/>
                  <w:gridSpan w:val="2"/>
                  <w:noWrap w:val="0"/>
                  <w:vAlign w:val="center"/>
                </w:tcPr>
                <w:p>
                  <w:pPr>
                    <w:pStyle w:val="105"/>
                    <w:rPr>
                      <w:color w:val="auto"/>
                    </w:rPr>
                  </w:pPr>
                  <w:r>
                    <w:rPr>
                      <w:rFonts w:hint="eastAsia"/>
                      <w:color w:val="auto"/>
                    </w:rPr>
                    <w:t>30</w:t>
                  </w:r>
                </w:p>
              </w:tc>
              <w:tc>
                <w:tcPr>
                  <w:tcW w:w="517" w:type="pct"/>
                  <w:noWrap w:val="0"/>
                  <w:vAlign w:val="center"/>
                </w:tcPr>
                <w:p>
                  <w:pPr>
                    <w:pStyle w:val="105"/>
                    <w:rPr>
                      <w:rFonts w:hint="eastAsia"/>
                      <w:color w:val="auto"/>
                    </w:rPr>
                  </w:pPr>
                  <w:r>
                    <w:rPr>
                      <w:rFonts w:hint="eastAsia"/>
                      <w:color w:val="auto"/>
                    </w:rPr>
                    <w:t>住宅</w:t>
                  </w:r>
                </w:p>
              </w:tc>
              <w:tc>
                <w:tcPr>
                  <w:tcW w:w="715" w:type="pct"/>
                  <w:noWrap w:val="0"/>
                  <w:vAlign w:val="center"/>
                </w:tcPr>
                <w:p>
                  <w:pPr>
                    <w:pStyle w:val="105"/>
                    <w:rPr>
                      <w:color w:val="auto"/>
                    </w:rPr>
                  </w:pPr>
                  <w:r>
                    <w:rPr>
                      <w:rFonts w:hint="eastAsia"/>
                      <w:color w:val="auto"/>
                    </w:rPr>
                    <w:t>3132人</w:t>
                  </w:r>
                </w:p>
              </w:tc>
              <w:tc>
                <w:tcPr>
                  <w:tcW w:w="1127" w:type="pct"/>
                  <w:vMerge w:val="restart"/>
                  <w:noWrap w:val="0"/>
                  <w:vAlign w:val="center"/>
                </w:tcPr>
                <w:p>
                  <w:pPr>
                    <w:pStyle w:val="105"/>
                    <w:rPr>
                      <w:color w:val="auto"/>
                    </w:rPr>
                  </w:pPr>
                  <w:r>
                    <w:rPr>
                      <w:color w:val="auto"/>
                    </w:rPr>
                    <w:t>《环境空气质量标准》GB 3095-2012二级标准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774" w:type="pct"/>
                  <w:vMerge w:val="continue"/>
                  <w:noWrap w:val="0"/>
                  <w:vAlign w:val="center"/>
                </w:tcPr>
                <w:p>
                  <w:pPr>
                    <w:pStyle w:val="105"/>
                    <w:rPr>
                      <w:rFonts w:hint="eastAsia"/>
                      <w:color w:val="auto"/>
                    </w:rPr>
                  </w:pPr>
                </w:p>
              </w:tc>
              <w:tc>
                <w:tcPr>
                  <w:tcW w:w="741" w:type="pct"/>
                  <w:noWrap w:val="0"/>
                  <w:vAlign w:val="center"/>
                </w:tcPr>
                <w:p>
                  <w:pPr>
                    <w:pStyle w:val="105"/>
                    <w:rPr>
                      <w:rFonts w:hint="eastAsia"/>
                      <w:color w:val="auto"/>
                    </w:rPr>
                  </w:pPr>
                  <w:r>
                    <w:rPr>
                      <w:rFonts w:hint="eastAsia"/>
                      <w:color w:val="auto"/>
                    </w:rPr>
                    <w:t>王河园二号小区</w:t>
                  </w:r>
                </w:p>
              </w:tc>
              <w:tc>
                <w:tcPr>
                  <w:tcW w:w="518" w:type="pct"/>
                  <w:vMerge w:val="continue"/>
                  <w:noWrap w:val="0"/>
                  <w:vAlign w:val="center"/>
                </w:tcPr>
                <w:p>
                  <w:pPr>
                    <w:pStyle w:val="105"/>
                    <w:rPr>
                      <w:rFonts w:hint="eastAsia"/>
                      <w:color w:val="auto"/>
                    </w:rPr>
                  </w:pPr>
                </w:p>
              </w:tc>
              <w:tc>
                <w:tcPr>
                  <w:tcW w:w="608" w:type="pct"/>
                  <w:gridSpan w:val="2"/>
                  <w:noWrap w:val="0"/>
                  <w:vAlign w:val="center"/>
                </w:tcPr>
                <w:p>
                  <w:pPr>
                    <w:pStyle w:val="105"/>
                    <w:rPr>
                      <w:color w:val="auto"/>
                    </w:rPr>
                  </w:pPr>
                  <w:r>
                    <w:rPr>
                      <w:rFonts w:hint="eastAsia"/>
                      <w:color w:val="auto"/>
                    </w:rPr>
                    <w:t>90</w:t>
                  </w:r>
                </w:p>
              </w:tc>
              <w:tc>
                <w:tcPr>
                  <w:tcW w:w="517" w:type="pct"/>
                  <w:noWrap w:val="0"/>
                  <w:vAlign w:val="center"/>
                </w:tcPr>
                <w:p>
                  <w:pPr>
                    <w:pStyle w:val="105"/>
                    <w:rPr>
                      <w:rFonts w:hint="eastAsia"/>
                      <w:color w:val="auto"/>
                    </w:rPr>
                  </w:pPr>
                  <w:r>
                    <w:rPr>
                      <w:rFonts w:hint="eastAsia"/>
                      <w:color w:val="auto"/>
                    </w:rPr>
                    <w:t>住宅</w:t>
                  </w:r>
                </w:p>
              </w:tc>
              <w:tc>
                <w:tcPr>
                  <w:tcW w:w="715" w:type="pct"/>
                  <w:noWrap w:val="0"/>
                  <w:vAlign w:val="center"/>
                </w:tcPr>
                <w:p>
                  <w:pPr>
                    <w:pStyle w:val="105"/>
                    <w:rPr>
                      <w:color w:val="auto"/>
                    </w:rPr>
                  </w:pPr>
                  <w:r>
                    <w:rPr>
                      <w:rFonts w:hint="eastAsia"/>
                      <w:color w:val="auto"/>
                    </w:rPr>
                    <w:t>3000人</w:t>
                  </w:r>
                </w:p>
              </w:tc>
              <w:tc>
                <w:tcPr>
                  <w:tcW w:w="1127" w:type="pct"/>
                  <w:vMerge w:val="continue"/>
                  <w:noWrap w:val="0"/>
                  <w:vAlign w:val="center"/>
                </w:tcPr>
                <w:p>
                  <w:pPr>
                    <w:pStyle w:val="105"/>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774" w:type="pct"/>
                  <w:vMerge w:val="continue"/>
                  <w:noWrap w:val="0"/>
                  <w:vAlign w:val="center"/>
                </w:tcPr>
                <w:p>
                  <w:pPr>
                    <w:pStyle w:val="105"/>
                    <w:rPr>
                      <w:rFonts w:hint="eastAsia"/>
                      <w:color w:val="auto"/>
                    </w:rPr>
                  </w:pPr>
                </w:p>
              </w:tc>
              <w:tc>
                <w:tcPr>
                  <w:tcW w:w="741" w:type="pct"/>
                  <w:noWrap w:val="0"/>
                  <w:vAlign w:val="center"/>
                </w:tcPr>
                <w:p>
                  <w:pPr>
                    <w:pStyle w:val="105"/>
                    <w:rPr>
                      <w:rFonts w:hint="eastAsia"/>
                      <w:color w:val="auto"/>
                    </w:rPr>
                  </w:pPr>
                  <w:r>
                    <w:rPr>
                      <w:rFonts w:hint="eastAsia"/>
                      <w:color w:val="auto"/>
                    </w:rPr>
                    <w:t>王河园惠民小区</w:t>
                  </w:r>
                </w:p>
              </w:tc>
              <w:tc>
                <w:tcPr>
                  <w:tcW w:w="518" w:type="pct"/>
                  <w:vMerge w:val="continue"/>
                  <w:noWrap w:val="0"/>
                  <w:vAlign w:val="center"/>
                </w:tcPr>
                <w:p>
                  <w:pPr>
                    <w:pStyle w:val="105"/>
                    <w:rPr>
                      <w:rFonts w:hint="eastAsia"/>
                      <w:color w:val="auto"/>
                    </w:rPr>
                  </w:pPr>
                </w:p>
              </w:tc>
              <w:tc>
                <w:tcPr>
                  <w:tcW w:w="608" w:type="pct"/>
                  <w:gridSpan w:val="2"/>
                  <w:noWrap w:val="0"/>
                  <w:vAlign w:val="center"/>
                </w:tcPr>
                <w:p>
                  <w:pPr>
                    <w:pStyle w:val="105"/>
                    <w:rPr>
                      <w:color w:val="auto"/>
                    </w:rPr>
                  </w:pPr>
                  <w:r>
                    <w:rPr>
                      <w:rFonts w:hint="eastAsia"/>
                      <w:color w:val="auto"/>
                    </w:rPr>
                    <w:t>315</w:t>
                  </w:r>
                </w:p>
              </w:tc>
              <w:tc>
                <w:tcPr>
                  <w:tcW w:w="517" w:type="pct"/>
                  <w:noWrap w:val="0"/>
                  <w:vAlign w:val="center"/>
                </w:tcPr>
                <w:p>
                  <w:pPr>
                    <w:pStyle w:val="105"/>
                    <w:rPr>
                      <w:rFonts w:hint="eastAsia"/>
                      <w:color w:val="auto"/>
                    </w:rPr>
                  </w:pPr>
                  <w:r>
                    <w:rPr>
                      <w:rFonts w:hint="eastAsia"/>
                      <w:color w:val="auto"/>
                    </w:rPr>
                    <w:t>住宅</w:t>
                  </w:r>
                </w:p>
              </w:tc>
              <w:tc>
                <w:tcPr>
                  <w:tcW w:w="715" w:type="pct"/>
                  <w:noWrap w:val="0"/>
                  <w:vAlign w:val="center"/>
                </w:tcPr>
                <w:p>
                  <w:pPr>
                    <w:pStyle w:val="105"/>
                    <w:rPr>
                      <w:color w:val="auto"/>
                    </w:rPr>
                  </w:pPr>
                  <w:r>
                    <w:rPr>
                      <w:rFonts w:hint="eastAsia"/>
                      <w:color w:val="auto"/>
                    </w:rPr>
                    <w:t>500人</w:t>
                  </w:r>
                </w:p>
              </w:tc>
              <w:tc>
                <w:tcPr>
                  <w:tcW w:w="1127" w:type="pct"/>
                  <w:vMerge w:val="continue"/>
                  <w:noWrap w:val="0"/>
                  <w:vAlign w:val="center"/>
                </w:tcPr>
                <w:p>
                  <w:pPr>
                    <w:pStyle w:val="105"/>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774" w:type="pct"/>
                  <w:vMerge w:val="continue"/>
                  <w:noWrap w:val="0"/>
                  <w:vAlign w:val="center"/>
                </w:tcPr>
                <w:p>
                  <w:pPr>
                    <w:pStyle w:val="105"/>
                    <w:rPr>
                      <w:color w:val="auto"/>
                    </w:rPr>
                  </w:pPr>
                </w:p>
              </w:tc>
              <w:tc>
                <w:tcPr>
                  <w:tcW w:w="741" w:type="pct"/>
                  <w:noWrap w:val="0"/>
                  <w:vAlign w:val="center"/>
                </w:tcPr>
                <w:p>
                  <w:pPr>
                    <w:pStyle w:val="105"/>
                    <w:rPr>
                      <w:rFonts w:hint="eastAsia"/>
                      <w:color w:val="auto"/>
                    </w:rPr>
                  </w:pPr>
                  <w:r>
                    <w:rPr>
                      <w:rFonts w:hint="eastAsia"/>
                      <w:color w:val="auto"/>
                    </w:rPr>
                    <w:t>王河园一号小区</w:t>
                  </w:r>
                </w:p>
              </w:tc>
              <w:tc>
                <w:tcPr>
                  <w:tcW w:w="518" w:type="pct"/>
                  <w:vMerge w:val="restart"/>
                  <w:noWrap w:val="0"/>
                  <w:vAlign w:val="center"/>
                </w:tcPr>
                <w:p>
                  <w:pPr>
                    <w:pStyle w:val="105"/>
                    <w:rPr>
                      <w:rFonts w:hint="eastAsia"/>
                      <w:color w:val="auto"/>
                    </w:rPr>
                  </w:pPr>
                  <w:r>
                    <w:rPr>
                      <w:rFonts w:hint="eastAsia"/>
                      <w:color w:val="auto"/>
                    </w:rPr>
                    <w:t>东北侧</w:t>
                  </w:r>
                </w:p>
              </w:tc>
              <w:tc>
                <w:tcPr>
                  <w:tcW w:w="608" w:type="pct"/>
                  <w:gridSpan w:val="2"/>
                  <w:noWrap w:val="0"/>
                  <w:vAlign w:val="center"/>
                </w:tcPr>
                <w:p>
                  <w:pPr>
                    <w:pStyle w:val="105"/>
                    <w:rPr>
                      <w:color w:val="auto"/>
                    </w:rPr>
                  </w:pPr>
                  <w:r>
                    <w:rPr>
                      <w:rFonts w:hint="eastAsia"/>
                      <w:color w:val="auto"/>
                    </w:rPr>
                    <w:t>217</w:t>
                  </w:r>
                </w:p>
              </w:tc>
              <w:tc>
                <w:tcPr>
                  <w:tcW w:w="517" w:type="pct"/>
                  <w:noWrap w:val="0"/>
                  <w:vAlign w:val="center"/>
                </w:tcPr>
                <w:p>
                  <w:pPr>
                    <w:pStyle w:val="105"/>
                    <w:rPr>
                      <w:rFonts w:hint="eastAsia"/>
                      <w:color w:val="auto"/>
                    </w:rPr>
                  </w:pPr>
                  <w:r>
                    <w:rPr>
                      <w:rFonts w:hint="eastAsia"/>
                      <w:color w:val="auto"/>
                    </w:rPr>
                    <w:t>住宅</w:t>
                  </w:r>
                </w:p>
              </w:tc>
              <w:tc>
                <w:tcPr>
                  <w:tcW w:w="715" w:type="pct"/>
                  <w:noWrap w:val="0"/>
                  <w:vAlign w:val="center"/>
                </w:tcPr>
                <w:p>
                  <w:pPr>
                    <w:pStyle w:val="105"/>
                    <w:rPr>
                      <w:color w:val="auto"/>
                    </w:rPr>
                  </w:pPr>
                  <w:r>
                    <w:rPr>
                      <w:rFonts w:hint="eastAsia"/>
                      <w:color w:val="auto"/>
                    </w:rPr>
                    <w:t>3900</w:t>
                  </w:r>
                </w:p>
              </w:tc>
              <w:tc>
                <w:tcPr>
                  <w:tcW w:w="1127" w:type="pct"/>
                  <w:vMerge w:val="continue"/>
                  <w:noWrap w:val="0"/>
                  <w:vAlign w:val="center"/>
                </w:tcPr>
                <w:p>
                  <w:pPr>
                    <w:pStyle w:val="105"/>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774" w:type="pct"/>
                  <w:vMerge w:val="continue"/>
                  <w:noWrap w:val="0"/>
                  <w:vAlign w:val="center"/>
                </w:tcPr>
                <w:p>
                  <w:pPr>
                    <w:pStyle w:val="105"/>
                    <w:rPr>
                      <w:color w:val="auto"/>
                    </w:rPr>
                  </w:pPr>
                </w:p>
              </w:tc>
              <w:tc>
                <w:tcPr>
                  <w:tcW w:w="741" w:type="pct"/>
                  <w:noWrap w:val="0"/>
                  <w:vAlign w:val="center"/>
                </w:tcPr>
                <w:p>
                  <w:pPr>
                    <w:pStyle w:val="105"/>
                    <w:rPr>
                      <w:rFonts w:hint="eastAsia"/>
                      <w:color w:val="auto"/>
                    </w:rPr>
                  </w:pPr>
                  <w:r>
                    <w:rPr>
                      <w:rFonts w:hint="eastAsia"/>
                      <w:color w:val="auto"/>
                    </w:rPr>
                    <w:t>敖坝社区</w:t>
                  </w:r>
                </w:p>
              </w:tc>
              <w:tc>
                <w:tcPr>
                  <w:tcW w:w="518" w:type="pct"/>
                  <w:vMerge w:val="continue"/>
                  <w:noWrap w:val="0"/>
                  <w:vAlign w:val="center"/>
                </w:tcPr>
                <w:p>
                  <w:pPr>
                    <w:pStyle w:val="105"/>
                    <w:rPr>
                      <w:rFonts w:hint="eastAsia"/>
                      <w:color w:val="auto"/>
                    </w:rPr>
                  </w:pPr>
                </w:p>
              </w:tc>
              <w:tc>
                <w:tcPr>
                  <w:tcW w:w="608" w:type="pct"/>
                  <w:gridSpan w:val="2"/>
                  <w:noWrap w:val="0"/>
                  <w:vAlign w:val="center"/>
                </w:tcPr>
                <w:p>
                  <w:pPr>
                    <w:pStyle w:val="105"/>
                    <w:rPr>
                      <w:color w:val="auto"/>
                    </w:rPr>
                  </w:pPr>
                  <w:r>
                    <w:rPr>
                      <w:rFonts w:hint="eastAsia"/>
                      <w:color w:val="auto"/>
                    </w:rPr>
                    <w:t>457</w:t>
                  </w:r>
                </w:p>
              </w:tc>
              <w:tc>
                <w:tcPr>
                  <w:tcW w:w="517" w:type="pct"/>
                  <w:noWrap w:val="0"/>
                  <w:vAlign w:val="center"/>
                </w:tcPr>
                <w:p>
                  <w:pPr>
                    <w:pStyle w:val="105"/>
                    <w:rPr>
                      <w:rFonts w:hint="eastAsia"/>
                      <w:color w:val="auto"/>
                    </w:rPr>
                  </w:pPr>
                  <w:r>
                    <w:rPr>
                      <w:rFonts w:hint="eastAsia"/>
                      <w:color w:val="auto"/>
                    </w:rPr>
                    <w:t>住宅</w:t>
                  </w:r>
                </w:p>
              </w:tc>
              <w:tc>
                <w:tcPr>
                  <w:tcW w:w="715" w:type="pct"/>
                  <w:noWrap w:val="0"/>
                  <w:vAlign w:val="center"/>
                </w:tcPr>
                <w:p>
                  <w:pPr>
                    <w:pStyle w:val="105"/>
                    <w:rPr>
                      <w:color w:val="auto"/>
                    </w:rPr>
                  </w:pPr>
                  <w:r>
                    <w:rPr>
                      <w:rFonts w:hint="eastAsia"/>
                      <w:color w:val="auto"/>
                    </w:rPr>
                    <w:t>3000人</w:t>
                  </w:r>
                </w:p>
              </w:tc>
              <w:tc>
                <w:tcPr>
                  <w:tcW w:w="1127" w:type="pct"/>
                  <w:vMerge w:val="continue"/>
                  <w:noWrap w:val="0"/>
                  <w:vAlign w:val="center"/>
                </w:tcPr>
                <w:p>
                  <w:pPr>
                    <w:pStyle w:val="105"/>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9" w:hRule="atLeast"/>
              </w:trPr>
              <w:tc>
                <w:tcPr>
                  <w:tcW w:w="774" w:type="pct"/>
                  <w:vMerge w:val="continue"/>
                  <w:noWrap w:val="0"/>
                  <w:vAlign w:val="center"/>
                </w:tcPr>
                <w:p>
                  <w:pPr>
                    <w:pStyle w:val="105"/>
                    <w:rPr>
                      <w:color w:val="auto"/>
                    </w:rPr>
                  </w:pPr>
                </w:p>
              </w:tc>
              <w:tc>
                <w:tcPr>
                  <w:tcW w:w="741" w:type="pct"/>
                  <w:noWrap w:val="0"/>
                  <w:vAlign w:val="center"/>
                </w:tcPr>
                <w:p>
                  <w:pPr>
                    <w:pStyle w:val="105"/>
                    <w:rPr>
                      <w:rFonts w:hint="eastAsia"/>
                      <w:color w:val="auto"/>
                    </w:rPr>
                  </w:pPr>
                  <w:r>
                    <w:rPr>
                      <w:rFonts w:hint="eastAsia"/>
                      <w:color w:val="auto"/>
                    </w:rPr>
                    <w:t>乐山一中</w:t>
                  </w:r>
                </w:p>
              </w:tc>
              <w:tc>
                <w:tcPr>
                  <w:tcW w:w="518" w:type="pct"/>
                  <w:noWrap w:val="0"/>
                  <w:vAlign w:val="center"/>
                </w:tcPr>
                <w:p>
                  <w:pPr>
                    <w:pStyle w:val="105"/>
                    <w:rPr>
                      <w:rFonts w:hint="eastAsia"/>
                      <w:color w:val="auto"/>
                    </w:rPr>
                  </w:pPr>
                  <w:r>
                    <w:rPr>
                      <w:rFonts w:hint="eastAsia"/>
                      <w:color w:val="auto"/>
                    </w:rPr>
                    <w:t>东侧</w:t>
                  </w:r>
                </w:p>
              </w:tc>
              <w:tc>
                <w:tcPr>
                  <w:tcW w:w="608" w:type="pct"/>
                  <w:gridSpan w:val="2"/>
                  <w:noWrap w:val="0"/>
                  <w:vAlign w:val="center"/>
                </w:tcPr>
                <w:p>
                  <w:pPr>
                    <w:pStyle w:val="105"/>
                    <w:rPr>
                      <w:color w:val="auto"/>
                    </w:rPr>
                  </w:pPr>
                  <w:r>
                    <w:rPr>
                      <w:rFonts w:hint="eastAsia"/>
                      <w:color w:val="auto"/>
                    </w:rPr>
                    <w:t>87</w:t>
                  </w:r>
                </w:p>
              </w:tc>
              <w:tc>
                <w:tcPr>
                  <w:tcW w:w="517" w:type="pct"/>
                  <w:noWrap w:val="0"/>
                  <w:vAlign w:val="center"/>
                </w:tcPr>
                <w:p>
                  <w:pPr>
                    <w:pStyle w:val="105"/>
                    <w:rPr>
                      <w:rFonts w:hint="eastAsia"/>
                      <w:color w:val="auto"/>
                    </w:rPr>
                  </w:pPr>
                  <w:r>
                    <w:rPr>
                      <w:rFonts w:hint="eastAsia"/>
                      <w:color w:val="auto"/>
                    </w:rPr>
                    <w:t>学校</w:t>
                  </w:r>
                </w:p>
              </w:tc>
              <w:tc>
                <w:tcPr>
                  <w:tcW w:w="715" w:type="pct"/>
                  <w:noWrap w:val="0"/>
                  <w:vAlign w:val="center"/>
                </w:tcPr>
                <w:p>
                  <w:pPr>
                    <w:pStyle w:val="105"/>
                    <w:rPr>
                      <w:color w:val="auto"/>
                    </w:rPr>
                  </w:pPr>
                  <w:r>
                    <w:rPr>
                      <w:rFonts w:hint="eastAsia"/>
                      <w:color w:val="auto"/>
                    </w:rPr>
                    <w:t>/</w:t>
                  </w:r>
                </w:p>
              </w:tc>
              <w:tc>
                <w:tcPr>
                  <w:tcW w:w="1127" w:type="pct"/>
                  <w:vMerge w:val="continue"/>
                  <w:noWrap w:val="0"/>
                  <w:vAlign w:val="center"/>
                </w:tcPr>
                <w:p>
                  <w:pPr>
                    <w:pStyle w:val="105"/>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774" w:type="pct"/>
                  <w:vMerge w:val="continue"/>
                  <w:noWrap w:val="0"/>
                  <w:vAlign w:val="center"/>
                </w:tcPr>
                <w:p>
                  <w:pPr>
                    <w:pStyle w:val="105"/>
                    <w:rPr>
                      <w:color w:val="auto"/>
                    </w:rPr>
                  </w:pPr>
                </w:p>
              </w:tc>
              <w:tc>
                <w:tcPr>
                  <w:tcW w:w="741" w:type="pct"/>
                  <w:noWrap w:val="0"/>
                  <w:vAlign w:val="center"/>
                </w:tcPr>
                <w:p>
                  <w:pPr>
                    <w:pStyle w:val="105"/>
                    <w:rPr>
                      <w:rFonts w:hint="eastAsia"/>
                      <w:color w:val="auto"/>
                    </w:rPr>
                  </w:pPr>
                  <w:r>
                    <w:rPr>
                      <w:rFonts w:hint="eastAsia"/>
                      <w:color w:val="auto"/>
                    </w:rPr>
                    <w:t>星河家园住宅区</w:t>
                  </w:r>
                </w:p>
              </w:tc>
              <w:tc>
                <w:tcPr>
                  <w:tcW w:w="518" w:type="pct"/>
                  <w:vMerge w:val="restart"/>
                  <w:noWrap w:val="0"/>
                  <w:vAlign w:val="center"/>
                </w:tcPr>
                <w:p>
                  <w:pPr>
                    <w:pStyle w:val="105"/>
                    <w:rPr>
                      <w:rFonts w:hint="eastAsia"/>
                      <w:color w:val="auto"/>
                    </w:rPr>
                  </w:pPr>
                  <w:r>
                    <w:rPr>
                      <w:rFonts w:hint="eastAsia"/>
                      <w:color w:val="auto"/>
                    </w:rPr>
                    <w:t>东南侧</w:t>
                  </w:r>
                </w:p>
              </w:tc>
              <w:tc>
                <w:tcPr>
                  <w:tcW w:w="608" w:type="pct"/>
                  <w:gridSpan w:val="2"/>
                  <w:noWrap w:val="0"/>
                  <w:vAlign w:val="center"/>
                </w:tcPr>
                <w:p>
                  <w:pPr>
                    <w:pStyle w:val="105"/>
                    <w:rPr>
                      <w:color w:val="auto"/>
                    </w:rPr>
                  </w:pPr>
                  <w:r>
                    <w:rPr>
                      <w:rFonts w:hint="eastAsia"/>
                      <w:color w:val="auto"/>
                    </w:rPr>
                    <w:t>115</w:t>
                  </w:r>
                </w:p>
              </w:tc>
              <w:tc>
                <w:tcPr>
                  <w:tcW w:w="517" w:type="pct"/>
                  <w:noWrap w:val="0"/>
                  <w:vAlign w:val="center"/>
                </w:tcPr>
                <w:p>
                  <w:pPr>
                    <w:pStyle w:val="105"/>
                    <w:rPr>
                      <w:rFonts w:hint="eastAsia"/>
                      <w:color w:val="auto"/>
                    </w:rPr>
                  </w:pPr>
                  <w:r>
                    <w:rPr>
                      <w:rFonts w:hint="eastAsia"/>
                      <w:color w:val="auto"/>
                    </w:rPr>
                    <w:t>住宅</w:t>
                  </w:r>
                </w:p>
              </w:tc>
              <w:tc>
                <w:tcPr>
                  <w:tcW w:w="715" w:type="pct"/>
                  <w:noWrap w:val="0"/>
                  <w:vAlign w:val="center"/>
                </w:tcPr>
                <w:p>
                  <w:pPr>
                    <w:pStyle w:val="105"/>
                    <w:rPr>
                      <w:color w:val="auto"/>
                    </w:rPr>
                  </w:pPr>
                  <w:r>
                    <w:rPr>
                      <w:rFonts w:hint="eastAsia"/>
                      <w:color w:val="auto"/>
                    </w:rPr>
                    <w:t>200人</w:t>
                  </w:r>
                </w:p>
              </w:tc>
              <w:tc>
                <w:tcPr>
                  <w:tcW w:w="1127" w:type="pct"/>
                  <w:vMerge w:val="continue"/>
                  <w:noWrap w:val="0"/>
                  <w:vAlign w:val="center"/>
                </w:tcPr>
                <w:p>
                  <w:pPr>
                    <w:pStyle w:val="105"/>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774" w:type="pct"/>
                  <w:vMerge w:val="continue"/>
                  <w:noWrap w:val="0"/>
                  <w:vAlign w:val="center"/>
                </w:tcPr>
                <w:p>
                  <w:pPr>
                    <w:pStyle w:val="105"/>
                    <w:rPr>
                      <w:color w:val="auto"/>
                    </w:rPr>
                  </w:pPr>
                </w:p>
              </w:tc>
              <w:tc>
                <w:tcPr>
                  <w:tcW w:w="741" w:type="pct"/>
                  <w:noWrap w:val="0"/>
                  <w:vAlign w:val="center"/>
                </w:tcPr>
                <w:p>
                  <w:pPr>
                    <w:pStyle w:val="105"/>
                    <w:rPr>
                      <w:rFonts w:hint="eastAsia"/>
                      <w:color w:val="auto"/>
                    </w:rPr>
                  </w:pPr>
                  <w:r>
                    <w:rPr>
                      <w:rFonts w:hint="eastAsia"/>
                      <w:color w:val="auto"/>
                    </w:rPr>
                    <w:t>学府苑</w:t>
                  </w:r>
                </w:p>
              </w:tc>
              <w:tc>
                <w:tcPr>
                  <w:tcW w:w="518" w:type="pct"/>
                  <w:vMerge w:val="continue"/>
                  <w:noWrap w:val="0"/>
                  <w:vAlign w:val="center"/>
                </w:tcPr>
                <w:p>
                  <w:pPr>
                    <w:pStyle w:val="105"/>
                    <w:rPr>
                      <w:rFonts w:hint="eastAsia"/>
                      <w:color w:val="auto"/>
                    </w:rPr>
                  </w:pPr>
                </w:p>
              </w:tc>
              <w:tc>
                <w:tcPr>
                  <w:tcW w:w="608" w:type="pct"/>
                  <w:gridSpan w:val="2"/>
                  <w:noWrap w:val="0"/>
                  <w:vAlign w:val="center"/>
                </w:tcPr>
                <w:p>
                  <w:pPr>
                    <w:pStyle w:val="105"/>
                    <w:rPr>
                      <w:color w:val="auto"/>
                    </w:rPr>
                  </w:pPr>
                  <w:r>
                    <w:rPr>
                      <w:rFonts w:hint="eastAsia"/>
                      <w:color w:val="auto"/>
                    </w:rPr>
                    <w:t>346</w:t>
                  </w:r>
                </w:p>
              </w:tc>
              <w:tc>
                <w:tcPr>
                  <w:tcW w:w="517" w:type="pct"/>
                  <w:noWrap w:val="0"/>
                  <w:vAlign w:val="center"/>
                </w:tcPr>
                <w:p>
                  <w:pPr>
                    <w:pStyle w:val="105"/>
                    <w:rPr>
                      <w:rFonts w:hint="eastAsia"/>
                      <w:color w:val="auto"/>
                    </w:rPr>
                  </w:pPr>
                  <w:r>
                    <w:rPr>
                      <w:rFonts w:hint="eastAsia"/>
                      <w:color w:val="auto"/>
                    </w:rPr>
                    <w:t>住宅</w:t>
                  </w:r>
                </w:p>
              </w:tc>
              <w:tc>
                <w:tcPr>
                  <w:tcW w:w="715" w:type="pct"/>
                  <w:noWrap w:val="0"/>
                  <w:vAlign w:val="center"/>
                </w:tcPr>
                <w:p>
                  <w:pPr>
                    <w:pStyle w:val="105"/>
                    <w:rPr>
                      <w:color w:val="auto"/>
                    </w:rPr>
                  </w:pPr>
                  <w:r>
                    <w:rPr>
                      <w:rFonts w:hint="eastAsia"/>
                      <w:color w:val="auto"/>
                    </w:rPr>
                    <w:t>600人</w:t>
                  </w:r>
                </w:p>
              </w:tc>
              <w:tc>
                <w:tcPr>
                  <w:tcW w:w="1127" w:type="pct"/>
                  <w:vMerge w:val="continue"/>
                  <w:noWrap w:val="0"/>
                  <w:vAlign w:val="center"/>
                </w:tcPr>
                <w:p>
                  <w:pPr>
                    <w:pStyle w:val="105"/>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774" w:type="pct"/>
                  <w:vMerge w:val="continue"/>
                  <w:noWrap w:val="0"/>
                  <w:vAlign w:val="center"/>
                </w:tcPr>
                <w:p>
                  <w:pPr>
                    <w:pStyle w:val="105"/>
                    <w:rPr>
                      <w:color w:val="auto"/>
                    </w:rPr>
                  </w:pPr>
                </w:p>
              </w:tc>
              <w:tc>
                <w:tcPr>
                  <w:tcW w:w="741" w:type="pct"/>
                  <w:noWrap w:val="0"/>
                  <w:vAlign w:val="center"/>
                </w:tcPr>
                <w:p>
                  <w:pPr>
                    <w:pStyle w:val="105"/>
                    <w:rPr>
                      <w:rFonts w:hint="eastAsia"/>
                      <w:color w:val="auto"/>
                    </w:rPr>
                  </w:pPr>
                  <w:r>
                    <w:rPr>
                      <w:rFonts w:hint="eastAsia"/>
                      <w:color w:val="auto"/>
                    </w:rPr>
                    <w:t>茗禾苑</w:t>
                  </w:r>
                </w:p>
              </w:tc>
              <w:tc>
                <w:tcPr>
                  <w:tcW w:w="518" w:type="pct"/>
                  <w:vMerge w:val="continue"/>
                  <w:noWrap w:val="0"/>
                  <w:vAlign w:val="center"/>
                </w:tcPr>
                <w:p>
                  <w:pPr>
                    <w:pStyle w:val="170"/>
                    <w:rPr>
                      <w:rFonts w:hint="eastAsia"/>
                      <w:color w:val="auto"/>
                    </w:rPr>
                  </w:pPr>
                </w:p>
              </w:tc>
              <w:tc>
                <w:tcPr>
                  <w:tcW w:w="608" w:type="pct"/>
                  <w:gridSpan w:val="2"/>
                  <w:noWrap w:val="0"/>
                  <w:vAlign w:val="center"/>
                </w:tcPr>
                <w:p>
                  <w:pPr>
                    <w:pStyle w:val="105"/>
                    <w:rPr>
                      <w:color w:val="auto"/>
                    </w:rPr>
                  </w:pPr>
                  <w:r>
                    <w:rPr>
                      <w:rFonts w:hint="eastAsia"/>
                      <w:color w:val="auto"/>
                    </w:rPr>
                    <w:t>209</w:t>
                  </w:r>
                </w:p>
              </w:tc>
              <w:tc>
                <w:tcPr>
                  <w:tcW w:w="517" w:type="pct"/>
                  <w:noWrap w:val="0"/>
                  <w:vAlign w:val="center"/>
                </w:tcPr>
                <w:p>
                  <w:pPr>
                    <w:pStyle w:val="105"/>
                    <w:rPr>
                      <w:rFonts w:hint="eastAsia"/>
                      <w:color w:val="auto"/>
                    </w:rPr>
                  </w:pPr>
                  <w:r>
                    <w:rPr>
                      <w:rFonts w:hint="eastAsia"/>
                      <w:color w:val="auto"/>
                    </w:rPr>
                    <w:t>住宅</w:t>
                  </w:r>
                </w:p>
              </w:tc>
              <w:tc>
                <w:tcPr>
                  <w:tcW w:w="715" w:type="pct"/>
                  <w:noWrap w:val="0"/>
                  <w:vAlign w:val="center"/>
                </w:tcPr>
                <w:p>
                  <w:pPr>
                    <w:pStyle w:val="105"/>
                    <w:rPr>
                      <w:color w:val="auto"/>
                    </w:rPr>
                  </w:pPr>
                  <w:r>
                    <w:rPr>
                      <w:rFonts w:hint="eastAsia"/>
                      <w:color w:val="auto"/>
                    </w:rPr>
                    <w:t>200人</w:t>
                  </w:r>
                </w:p>
              </w:tc>
              <w:tc>
                <w:tcPr>
                  <w:tcW w:w="1127" w:type="pct"/>
                  <w:vMerge w:val="continue"/>
                  <w:noWrap w:val="0"/>
                  <w:vAlign w:val="center"/>
                </w:tcPr>
                <w:p>
                  <w:pPr>
                    <w:pStyle w:val="105"/>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trPr>
              <w:tc>
                <w:tcPr>
                  <w:tcW w:w="774" w:type="pct"/>
                  <w:vMerge w:val="continue"/>
                  <w:noWrap w:val="0"/>
                  <w:vAlign w:val="center"/>
                </w:tcPr>
                <w:p>
                  <w:pPr>
                    <w:pStyle w:val="105"/>
                    <w:rPr>
                      <w:color w:val="auto"/>
                    </w:rPr>
                  </w:pPr>
                </w:p>
              </w:tc>
              <w:tc>
                <w:tcPr>
                  <w:tcW w:w="741" w:type="pct"/>
                  <w:noWrap w:val="0"/>
                  <w:vAlign w:val="center"/>
                </w:tcPr>
                <w:p>
                  <w:pPr>
                    <w:pStyle w:val="105"/>
                    <w:rPr>
                      <w:rFonts w:hint="eastAsia"/>
                      <w:color w:val="auto"/>
                    </w:rPr>
                  </w:pPr>
                  <w:r>
                    <w:rPr>
                      <w:rFonts w:hint="eastAsia"/>
                      <w:color w:val="auto"/>
                    </w:rPr>
                    <w:t>文星府</w:t>
                  </w:r>
                </w:p>
              </w:tc>
              <w:tc>
                <w:tcPr>
                  <w:tcW w:w="518" w:type="pct"/>
                  <w:vMerge w:val="continue"/>
                  <w:noWrap w:val="0"/>
                  <w:vAlign w:val="center"/>
                </w:tcPr>
                <w:p>
                  <w:pPr>
                    <w:pStyle w:val="170"/>
                    <w:rPr>
                      <w:rFonts w:hint="eastAsia"/>
                      <w:color w:val="auto"/>
                    </w:rPr>
                  </w:pPr>
                </w:p>
              </w:tc>
              <w:tc>
                <w:tcPr>
                  <w:tcW w:w="608" w:type="pct"/>
                  <w:gridSpan w:val="2"/>
                  <w:noWrap w:val="0"/>
                  <w:vAlign w:val="center"/>
                </w:tcPr>
                <w:p>
                  <w:pPr>
                    <w:pStyle w:val="105"/>
                    <w:rPr>
                      <w:color w:val="auto"/>
                    </w:rPr>
                  </w:pPr>
                  <w:r>
                    <w:rPr>
                      <w:rFonts w:hint="eastAsia"/>
                      <w:color w:val="auto"/>
                    </w:rPr>
                    <w:t>362</w:t>
                  </w:r>
                </w:p>
              </w:tc>
              <w:tc>
                <w:tcPr>
                  <w:tcW w:w="517" w:type="pct"/>
                  <w:noWrap w:val="0"/>
                  <w:vAlign w:val="center"/>
                </w:tcPr>
                <w:p>
                  <w:pPr>
                    <w:pStyle w:val="105"/>
                    <w:rPr>
                      <w:rFonts w:hint="eastAsia"/>
                      <w:color w:val="auto"/>
                    </w:rPr>
                  </w:pPr>
                  <w:r>
                    <w:rPr>
                      <w:rFonts w:hint="eastAsia"/>
                      <w:color w:val="auto"/>
                    </w:rPr>
                    <w:t>住宅</w:t>
                  </w:r>
                </w:p>
              </w:tc>
              <w:tc>
                <w:tcPr>
                  <w:tcW w:w="715" w:type="pct"/>
                  <w:noWrap w:val="0"/>
                  <w:vAlign w:val="center"/>
                </w:tcPr>
                <w:p>
                  <w:pPr>
                    <w:pStyle w:val="105"/>
                    <w:rPr>
                      <w:color w:val="auto"/>
                    </w:rPr>
                  </w:pPr>
                  <w:r>
                    <w:rPr>
                      <w:rFonts w:hint="eastAsia"/>
                      <w:color w:val="auto"/>
                    </w:rPr>
                    <w:t>200人</w:t>
                  </w:r>
                </w:p>
              </w:tc>
              <w:tc>
                <w:tcPr>
                  <w:tcW w:w="1127" w:type="pct"/>
                  <w:vMerge w:val="continue"/>
                  <w:noWrap w:val="0"/>
                  <w:vAlign w:val="center"/>
                </w:tcPr>
                <w:p>
                  <w:pPr>
                    <w:pStyle w:val="105"/>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774" w:type="pct"/>
                  <w:vMerge w:val="continue"/>
                  <w:noWrap w:val="0"/>
                  <w:vAlign w:val="center"/>
                </w:tcPr>
                <w:p>
                  <w:pPr>
                    <w:pStyle w:val="105"/>
                    <w:rPr>
                      <w:color w:val="auto"/>
                    </w:rPr>
                  </w:pPr>
                </w:p>
              </w:tc>
              <w:tc>
                <w:tcPr>
                  <w:tcW w:w="741" w:type="pct"/>
                  <w:noWrap w:val="0"/>
                  <w:vAlign w:val="center"/>
                </w:tcPr>
                <w:p>
                  <w:pPr>
                    <w:pStyle w:val="105"/>
                    <w:rPr>
                      <w:rFonts w:hint="eastAsia"/>
                      <w:color w:val="auto"/>
                    </w:rPr>
                  </w:pPr>
                  <w:r>
                    <w:rPr>
                      <w:rFonts w:hint="eastAsia"/>
                      <w:color w:val="auto"/>
                    </w:rPr>
                    <w:t>干警花园</w:t>
                  </w:r>
                </w:p>
              </w:tc>
              <w:tc>
                <w:tcPr>
                  <w:tcW w:w="518" w:type="pct"/>
                  <w:vMerge w:val="continue"/>
                  <w:noWrap w:val="0"/>
                  <w:vAlign w:val="center"/>
                </w:tcPr>
                <w:p>
                  <w:pPr>
                    <w:pStyle w:val="105"/>
                    <w:rPr>
                      <w:rFonts w:hint="eastAsia"/>
                      <w:color w:val="auto"/>
                    </w:rPr>
                  </w:pPr>
                </w:p>
              </w:tc>
              <w:tc>
                <w:tcPr>
                  <w:tcW w:w="608" w:type="pct"/>
                  <w:gridSpan w:val="2"/>
                  <w:noWrap w:val="0"/>
                  <w:vAlign w:val="center"/>
                </w:tcPr>
                <w:p>
                  <w:pPr>
                    <w:pStyle w:val="105"/>
                    <w:rPr>
                      <w:color w:val="auto"/>
                    </w:rPr>
                  </w:pPr>
                  <w:r>
                    <w:rPr>
                      <w:rFonts w:hint="eastAsia"/>
                      <w:color w:val="auto"/>
                    </w:rPr>
                    <w:t>272</w:t>
                  </w:r>
                </w:p>
              </w:tc>
              <w:tc>
                <w:tcPr>
                  <w:tcW w:w="517" w:type="pct"/>
                  <w:noWrap w:val="0"/>
                  <w:vAlign w:val="center"/>
                </w:tcPr>
                <w:p>
                  <w:pPr>
                    <w:pStyle w:val="105"/>
                    <w:rPr>
                      <w:rFonts w:hint="eastAsia"/>
                      <w:color w:val="auto"/>
                    </w:rPr>
                  </w:pPr>
                  <w:r>
                    <w:rPr>
                      <w:rFonts w:hint="eastAsia"/>
                      <w:color w:val="auto"/>
                    </w:rPr>
                    <w:t>住宅</w:t>
                  </w:r>
                </w:p>
              </w:tc>
              <w:tc>
                <w:tcPr>
                  <w:tcW w:w="715" w:type="pct"/>
                  <w:noWrap w:val="0"/>
                  <w:vAlign w:val="center"/>
                </w:tcPr>
                <w:p>
                  <w:pPr>
                    <w:pStyle w:val="105"/>
                    <w:rPr>
                      <w:color w:val="auto"/>
                    </w:rPr>
                  </w:pPr>
                  <w:r>
                    <w:rPr>
                      <w:rFonts w:hint="eastAsia"/>
                      <w:color w:val="auto"/>
                    </w:rPr>
                    <w:t>200人</w:t>
                  </w:r>
                </w:p>
              </w:tc>
              <w:tc>
                <w:tcPr>
                  <w:tcW w:w="1127" w:type="pct"/>
                  <w:vMerge w:val="continue"/>
                  <w:noWrap w:val="0"/>
                  <w:vAlign w:val="center"/>
                </w:tcPr>
                <w:p>
                  <w:pPr>
                    <w:pStyle w:val="105"/>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 w:hRule="atLeast"/>
              </w:trPr>
              <w:tc>
                <w:tcPr>
                  <w:tcW w:w="774" w:type="pct"/>
                  <w:vMerge w:val="continue"/>
                  <w:noWrap w:val="0"/>
                  <w:vAlign w:val="center"/>
                </w:tcPr>
                <w:p>
                  <w:pPr>
                    <w:pStyle w:val="105"/>
                    <w:rPr>
                      <w:color w:val="auto"/>
                    </w:rPr>
                  </w:pPr>
                </w:p>
              </w:tc>
              <w:tc>
                <w:tcPr>
                  <w:tcW w:w="741" w:type="pct"/>
                  <w:noWrap w:val="0"/>
                  <w:vAlign w:val="center"/>
                </w:tcPr>
                <w:p>
                  <w:pPr>
                    <w:pStyle w:val="105"/>
                    <w:rPr>
                      <w:rFonts w:hint="eastAsia"/>
                      <w:color w:val="auto"/>
                    </w:rPr>
                  </w:pPr>
                  <w:r>
                    <w:rPr>
                      <w:rFonts w:hint="eastAsia"/>
                      <w:color w:val="auto"/>
                    </w:rPr>
                    <w:t>翰林印象</w:t>
                  </w:r>
                </w:p>
              </w:tc>
              <w:tc>
                <w:tcPr>
                  <w:tcW w:w="518" w:type="pct"/>
                  <w:vMerge w:val="continue"/>
                  <w:noWrap w:val="0"/>
                  <w:vAlign w:val="center"/>
                </w:tcPr>
                <w:p>
                  <w:pPr>
                    <w:pStyle w:val="105"/>
                    <w:rPr>
                      <w:rFonts w:hint="eastAsia"/>
                      <w:color w:val="auto"/>
                    </w:rPr>
                  </w:pPr>
                </w:p>
              </w:tc>
              <w:tc>
                <w:tcPr>
                  <w:tcW w:w="608" w:type="pct"/>
                  <w:gridSpan w:val="2"/>
                  <w:noWrap w:val="0"/>
                  <w:vAlign w:val="center"/>
                </w:tcPr>
                <w:p>
                  <w:pPr>
                    <w:pStyle w:val="105"/>
                    <w:rPr>
                      <w:color w:val="auto"/>
                    </w:rPr>
                  </w:pPr>
                  <w:r>
                    <w:rPr>
                      <w:rFonts w:hint="eastAsia"/>
                      <w:color w:val="auto"/>
                    </w:rPr>
                    <w:t>500</w:t>
                  </w:r>
                </w:p>
              </w:tc>
              <w:tc>
                <w:tcPr>
                  <w:tcW w:w="517" w:type="pct"/>
                  <w:noWrap w:val="0"/>
                  <w:vAlign w:val="center"/>
                </w:tcPr>
                <w:p>
                  <w:pPr>
                    <w:pStyle w:val="105"/>
                    <w:rPr>
                      <w:rFonts w:hint="eastAsia"/>
                      <w:color w:val="auto"/>
                    </w:rPr>
                  </w:pPr>
                  <w:r>
                    <w:rPr>
                      <w:rFonts w:hint="eastAsia"/>
                      <w:color w:val="auto"/>
                    </w:rPr>
                    <w:t>住宅</w:t>
                  </w:r>
                </w:p>
              </w:tc>
              <w:tc>
                <w:tcPr>
                  <w:tcW w:w="715" w:type="pct"/>
                  <w:noWrap w:val="0"/>
                  <w:vAlign w:val="center"/>
                </w:tcPr>
                <w:p>
                  <w:pPr>
                    <w:pStyle w:val="105"/>
                    <w:rPr>
                      <w:color w:val="auto"/>
                    </w:rPr>
                  </w:pPr>
                  <w:r>
                    <w:rPr>
                      <w:rFonts w:hint="eastAsia"/>
                      <w:color w:val="auto"/>
                    </w:rPr>
                    <w:t>800人</w:t>
                  </w:r>
                </w:p>
              </w:tc>
              <w:tc>
                <w:tcPr>
                  <w:tcW w:w="1127" w:type="pct"/>
                  <w:vMerge w:val="continue"/>
                  <w:noWrap w:val="0"/>
                  <w:vAlign w:val="center"/>
                </w:tcPr>
                <w:p>
                  <w:pPr>
                    <w:pStyle w:val="105"/>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5" w:hRule="atLeast"/>
              </w:trPr>
              <w:tc>
                <w:tcPr>
                  <w:tcW w:w="774" w:type="pct"/>
                  <w:vMerge w:val="continue"/>
                  <w:noWrap w:val="0"/>
                  <w:vAlign w:val="center"/>
                </w:tcPr>
                <w:p>
                  <w:pPr>
                    <w:pStyle w:val="105"/>
                    <w:rPr>
                      <w:color w:val="auto"/>
                    </w:rPr>
                  </w:pPr>
                </w:p>
              </w:tc>
              <w:tc>
                <w:tcPr>
                  <w:tcW w:w="741" w:type="pct"/>
                  <w:noWrap w:val="0"/>
                  <w:vAlign w:val="center"/>
                </w:tcPr>
                <w:p>
                  <w:pPr>
                    <w:pStyle w:val="105"/>
                    <w:rPr>
                      <w:rFonts w:hint="eastAsia"/>
                      <w:color w:val="auto"/>
                    </w:rPr>
                  </w:pPr>
                  <w:r>
                    <w:rPr>
                      <w:rFonts w:hint="eastAsia"/>
                      <w:color w:val="auto"/>
                    </w:rPr>
                    <w:t>南湾半岛</w:t>
                  </w:r>
                </w:p>
              </w:tc>
              <w:tc>
                <w:tcPr>
                  <w:tcW w:w="518" w:type="pct"/>
                  <w:vMerge w:val="restart"/>
                  <w:noWrap w:val="0"/>
                  <w:vAlign w:val="center"/>
                </w:tcPr>
                <w:p>
                  <w:pPr>
                    <w:pStyle w:val="105"/>
                    <w:rPr>
                      <w:rFonts w:hint="eastAsia"/>
                      <w:color w:val="auto"/>
                    </w:rPr>
                  </w:pPr>
                  <w:r>
                    <w:rPr>
                      <w:rFonts w:hint="eastAsia"/>
                      <w:color w:val="auto"/>
                    </w:rPr>
                    <w:t>南侧</w:t>
                  </w:r>
                </w:p>
              </w:tc>
              <w:tc>
                <w:tcPr>
                  <w:tcW w:w="608" w:type="pct"/>
                  <w:gridSpan w:val="2"/>
                  <w:noWrap w:val="0"/>
                  <w:vAlign w:val="center"/>
                </w:tcPr>
                <w:p>
                  <w:pPr>
                    <w:pStyle w:val="105"/>
                    <w:rPr>
                      <w:color w:val="auto"/>
                    </w:rPr>
                  </w:pPr>
                  <w:r>
                    <w:rPr>
                      <w:rFonts w:hint="eastAsia"/>
                      <w:color w:val="auto"/>
                    </w:rPr>
                    <w:t>77</w:t>
                  </w:r>
                </w:p>
              </w:tc>
              <w:tc>
                <w:tcPr>
                  <w:tcW w:w="517" w:type="pct"/>
                  <w:noWrap w:val="0"/>
                  <w:vAlign w:val="center"/>
                </w:tcPr>
                <w:p>
                  <w:pPr>
                    <w:pStyle w:val="105"/>
                    <w:rPr>
                      <w:rFonts w:hint="eastAsia"/>
                      <w:color w:val="auto"/>
                    </w:rPr>
                  </w:pPr>
                  <w:r>
                    <w:rPr>
                      <w:rFonts w:hint="eastAsia"/>
                      <w:color w:val="auto"/>
                    </w:rPr>
                    <w:t>住宅</w:t>
                  </w:r>
                </w:p>
              </w:tc>
              <w:tc>
                <w:tcPr>
                  <w:tcW w:w="715" w:type="pct"/>
                  <w:noWrap w:val="0"/>
                  <w:vAlign w:val="center"/>
                </w:tcPr>
                <w:p>
                  <w:pPr>
                    <w:pStyle w:val="105"/>
                    <w:rPr>
                      <w:color w:val="auto"/>
                    </w:rPr>
                  </w:pPr>
                  <w:r>
                    <w:rPr>
                      <w:rFonts w:hint="eastAsia"/>
                      <w:color w:val="auto"/>
                    </w:rPr>
                    <w:t>3000人</w:t>
                  </w:r>
                </w:p>
              </w:tc>
              <w:tc>
                <w:tcPr>
                  <w:tcW w:w="1127" w:type="pct"/>
                  <w:vMerge w:val="continue"/>
                  <w:noWrap w:val="0"/>
                  <w:vAlign w:val="center"/>
                </w:tcPr>
                <w:p>
                  <w:pPr>
                    <w:pStyle w:val="105"/>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774" w:type="pct"/>
                  <w:vMerge w:val="continue"/>
                  <w:noWrap w:val="0"/>
                  <w:vAlign w:val="center"/>
                </w:tcPr>
                <w:p>
                  <w:pPr>
                    <w:pStyle w:val="105"/>
                    <w:rPr>
                      <w:color w:val="auto"/>
                    </w:rPr>
                  </w:pPr>
                </w:p>
              </w:tc>
              <w:tc>
                <w:tcPr>
                  <w:tcW w:w="741" w:type="pct"/>
                  <w:noWrap w:val="0"/>
                  <w:vAlign w:val="center"/>
                </w:tcPr>
                <w:p>
                  <w:pPr>
                    <w:pStyle w:val="105"/>
                    <w:rPr>
                      <w:rFonts w:hint="eastAsia"/>
                      <w:color w:val="auto"/>
                    </w:rPr>
                  </w:pPr>
                  <w:r>
                    <w:rPr>
                      <w:rFonts w:hint="eastAsia"/>
                      <w:color w:val="auto"/>
                    </w:rPr>
                    <w:t>警苑小区</w:t>
                  </w:r>
                </w:p>
              </w:tc>
              <w:tc>
                <w:tcPr>
                  <w:tcW w:w="518" w:type="pct"/>
                  <w:vMerge w:val="continue"/>
                  <w:noWrap w:val="0"/>
                  <w:vAlign w:val="center"/>
                </w:tcPr>
                <w:p>
                  <w:pPr>
                    <w:pStyle w:val="105"/>
                    <w:rPr>
                      <w:rFonts w:hint="eastAsia"/>
                      <w:color w:val="auto"/>
                    </w:rPr>
                  </w:pPr>
                </w:p>
              </w:tc>
              <w:tc>
                <w:tcPr>
                  <w:tcW w:w="608" w:type="pct"/>
                  <w:gridSpan w:val="2"/>
                  <w:noWrap w:val="0"/>
                  <w:vAlign w:val="center"/>
                </w:tcPr>
                <w:p>
                  <w:pPr>
                    <w:pStyle w:val="105"/>
                    <w:rPr>
                      <w:color w:val="auto"/>
                    </w:rPr>
                  </w:pPr>
                  <w:r>
                    <w:rPr>
                      <w:rFonts w:hint="eastAsia"/>
                      <w:color w:val="auto"/>
                    </w:rPr>
                    <w:t>401</w:t>
                  </w:r>
                </w:p>
              </w:tc>
              <w:tc>
                <w:tcPr>
                  <w:tcW w:w="517" w:type="pct"/>
                  <w:noWrap w:val="0"/>
                  <w:vAlign w:val="center"/>
                </w:tcPr>
                <w:p>
                  <w:pPr>
                    <w:pStyle w:val="105"/>
                    <w:rPr>
                      <w:rFonts w:hint="eastAsia"/>
                      <w:color w:val="auto"/>
                    </w:rPr>
                  </w:pPr>
                  <w:r>
                    <w:rPr>
                      <w:rFonts w:hint="eastAsia"/>
                      <w:color w:val="auto"/>
                    </w:rPr>
                    <w:t>住宅</w:t>
                  </w:r>
                </w:p>
              </w:tc>
              <w:tc>
                <w:tcPr>
                  <w:tcW w:w="715" w:type="pct"/>
                  <w:noWrap w:val="0"/>
                  <w:vAlign w:val="center"/>
                </w:tcPr>
                <w:p>
                  <w:pPr>
                    <w:pStyle w:val="105"/>
                    <w:rPr>
                      <w:color w:val="auto"/>
                    </w:rPr>
                  </w:pPr>
                  <w:r>
                    <w:rPr>
                      <w:rFonts w:hint="eastAsia"/>
                      <w:color w:val="auto"/>
                    </w:rPr>
                    <w:t>200人</w:t>
                  </w:r>
                </w:p>
              </w:tc>
              <w:tc>
                <w:tcPr>
                  <w:tcW w:w="1127" w:type="pct"/>
                  <w:vMerge w:val="continue"/>
                  <w:noWrap w:val="0"/>
                  <w:vAlign w:val="center"/>
                </w:tcPr>
                <w:p>
                  <w:pPr>
                    <w:pStyle w:val="105"/>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 w:hRule="atLeast"/>
              </w:trPr>
              <w:tc>
                <w:tcPr>
                  <w:tcW w:w="774" w:type="pct"/>
                  <w:vMerge w:val="continue"/>
                  <w:noWrap w:val="0"/>
                  <w:vAlign w:val="center"/>
                </w:tcPr>
                <w:p>
                  <w:pPr>
                    <w:pStyle w:val="105"/>
                    <w:rPr>
                      <w:color w:val="auto"/>
                    </w:rPr>
                  </w:pPr>
                </w:p>
              </w:tc>
              <w:tc>
                <w:tcPr>
                  <w:tcW w:w="741" w:type="pct"/>
                  <w:noWrap w:val="0"/>
                  <w:vAlign w:val="center"/>
                </w:tcPr>
                <w:p>
                  <w:pPr>
                    <w:pStyle w:val="105"/>
                    <w:rPr>
                      <w:rFonts w:hint="eastAsia"/>
                      <w:color w:val="auto"/>
                    </w:rPr>
                  </w:pPr>
                  <w:r>
                    <w:rPr>
                      <w:rFonts w:hint="eastAsia"/>
                      <w:color w:val="auto"/>
                    </w:rPr>
                    <w:t>自建房小区</w:t>
                  </w:r>
                </w:p>
              </w:tc>
              <w:tc>
                <w:tcPr>
                  <w:tcW w:w="518" w:type="pct"/>
                  <w:vMerge w:val="continue"/>
                  <w:noWrap w:val="0"/>
                  <w:vAlign w:val="center"/>
                </w:tcPr>
                <w:p>
                  <w:pPr>
                    <w:pStyle w:val="170"/>
                    <w:rPr>
                      <w:rFonts w:hint="eastAsia"/>
                      <w:color w:val="auto"/>
                    </w:rPr>
                  </w:pPr>
                </w:p>
              </w:tc>
              <w:tc>
                <w:tcPr>
                  <w:tcW w:w="608" w:type="pct"/>
                  <w:gridSpan w:val="2"/>
                  <w:noWrap w:val="0"/>
                  <w:vAlign w:val="center"/>
                </w:tcPr>
                <w:p>
                  <w:pPr>
                    <w:pStyle w:val="105"/>
                    <w:rPr>
                      <w:color w:val="auto"/>
                    </w:rPr>
                  </w:pPr>
                  <w:r>
                    <w:rPr>
                      <w:rFonts w:hint="eastAsia"/>
                      <w:color w:val="auto"/>
                    </w:rPr>
                    <w:t>459</w:t>
                  </w:r>
                </w:p>
              </w:tc>
              <w:tc>
                <w:tcPr>
                  <w:tcW w:w="517" w:type="pct"/>
                  <w:noWrap w:val="0"/>
                  <w:vAlign w:val="center"/>
                </w:tcPr>
                <w:p>
                  <w:pPr>
                    <w:pStyle w:val="105"/>
                    <w:rPr>
                      <w:rFonts w:hint="eastAsia"/>
                      <w:color w:val="auto"/>
                    </w:rPr>
                  </w:pPr>
                  <w:r>
                    <w:rPr>
                      <w:rFonts w:hint="eastAsia"/>
                      <w:color w:val="auto"/>
                    </w:rPr>
                    <w:t>住宅</w:t>
                  </w:r>
                </w:p>
              </w:tc>
              <w:tc>
                <w:tcPr>
                  <w:tcW w:w="715" w:type="pct"/>
                  <w:noWrap w:val="0"/>
                  <w:vAlign w:val="center"/>
                </w:tcPr>
                <w:p>
                  <w:pPr>
                    <w:pStyle w:val="105"/>
                    <w:rPr>
                      <w:color w:val="auto"/>
                    </w:rPr>
                  </w:pPr>
                  <w:r>
                    <w:rPr>
                      <w:rFonts w:hint="eastAsia"/>
                      <w:color w:val="auto"/>
                    </w:rPr>
                    <w:t>3240人</w:t>
                  </w:r>
                </w:p>
              </w:tc>
              <w:tc>
                <w:tcPr>
                  <w:tcW w:w="1127" w:type="pct"/>
                  <w:vMerge w:val="continue"/>
                  <w:noWrap w:val="0"/>
                  <w:vAlign w:val="center"/>
                </w:tcPr>
                <w:p>
                  <w:pPr>
                    <w:pStyle w:val="105"/>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774" w:type="pct"/>
                  <w:vMerge w:val="continue"/>
                  <w:noWrap w:val="0"/>
                  <w:vAlign w:val="center"/>
                </w:tcPr>
                <w:p>
                  <w:pPr>
                    <w:pStyle w:val="105"/>
                    <w:rPr>
                      <w:color w:val="auto"/>
                    </w:rPr>
                  </w:pPr>
                </w:p>
              </w:tc>
              <w:tc>
                <w:tcPr>
                  <w:tcW w:w="741" w:type="pct"/>
                  <w:noWrap w:val="0"/>
                  <w:vAlign w:val="center"/>
                </w:tcPr>
                <w:p>
                  <w:pPr>
                    <w:pStyle w:val="105"/>
                    <w:rPr>
                      <w:rFonts w:hint="eastAsia"/>
                      <w:color w:val="auto"/>
                    </w:rPr>
                  </w:pPr>
                  <w:r>
                    <w:rPr>
                      <w:rFonts w:hint="eastAsia"/>
                      <w:color w:val="auto"/>
                    </w:rPr>
                    <w:t>新天名城</w:t>
                  </w:r>
                </w:p>
              </w:tc>
              <w:tc>
                <w:tcPr>
                  <w:tcW w:w="518" w:type="pct"/>
                  <w:vMerge w:val="continue"/>
                  <w:noWrap w:val="0"/>
                  <w:vAlign w:val="center"/>
                </w:tcPr>
                <w:p>
                  <w:pPr>
                    <w:pStyle w:val="170"/>
                    <w:rPr>
                      <w:rFonts w:hint="eastAsia"/>
                      <w:color w:val="auto"/>
                    </w:rPr>
                  </w:pPr>
                </w:p>
              </w:tc>
              <w:tc>
                <w:tcPr>
                  <w:tcW w:w="608" w:type="pct"/>
                  <w:gridSpan w:val="2"/>
                  <w:noWrap w:val="0"/>
                  <w:vAlign w:val="center"/>
                </w:tcPr>
                <w:p>
                  <w:pPr>
                    <w:pStyle w:val="105"/>
                    <w:rPr>
                      <w:color w:val="auto"/>
                    </w:rPr>
                  </w:pPr>
                  <w:r>
                    <w:rPr>
                      <w:rFonts w:hint="eastAsia"/>
                      <w:color w:val="auto"/>
                    </w:rPr>
                    <w:t>481</w:t>
                  </w:r>
                </w:p>
              </w:tc>
              <w:tc>
                <w:tcPr>
                  <w:tcW w:w="517" w:type="pct"/>
                  <w:noWrap w:val="0"/>
                  <w:vAlign w:val="center"/>
                </w:tcPr>
                <w:p>
                  <w:pPr>
                    <w:pStyle w:val="105"/>
                    <w:rPr>
                      <w:rFonts w:hint="eastAsia"/>
                      <w:color w:val="auto"/>
                    </w:rPr>
                  </w:pPr>
                  <w:r>
                    <w:rPr>
                      <w:rFonts w:hint="eastAsia"/>
                      <w:color w:val="auto"/>
                    </w:rPr>
                    <w:t>住宅</w:t>
                  </w:r>
                </w:p>
              </w:tc>
              <w:tc>
                <w:tcPr>
                  <w:tcW w:w="715" w:type="pct"/>
                  <w:noWrap w:val="0"/>
                  <w:vAlign w:val="center"/>
                </w:tcPr>
                <w:p>
                  <w:pPr>
                    <w:pStyle w:val="105"/>
                    <w:rPr>
                      <w:color w:val="auto"/>
                    </w:rPr>
                  </w:pPr>
                  <w:r>
                    <w:rPr>
                      <w:rFonts w:hint="eastAsia"/>
                      <w:color w:val="auto"/>
                    </w:rPr>
                    <w:t>3500人</w:t>
                  </w:r>
                </w:p>
              </w:tc>
              <w:tc>
                <w:tcPr>
                  <w:tcW w:w="1127" w:type="pct"/>
                  <w:vMerge w:val="continue"/>
                  <w:noWrap w:val="0"/>
                  <w:vAlign w:val="center"/>
                </w:tcPr>
                <w:p>
                  <w:pPr>
                    <w:pStyle w:val="105"/>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trPr>
              <w:tc>
                <w:tcPr>
                  <w:tcW w:w="774" w:type="pct"/>
                  <w:vMerge w:val="continue"/>
                  <w:noWrap w:val="0"/>
                  <w:vAlign w:val="center"/>
                </w:tcPr>
                <w:p>
                  <w:pPr>
                    <w:pStyle w:val="105"/>
                    <w:rPr>
                      <w:color w:val="auto"/>
                    </w:rPr>
                  </w:pPr>
                </w:p>
              </w:tc>
              <w:tc>
                <w:tcPr>
                  <w:tcW w:w="741" w:type="pct"/>
                  <w:noWrap w:val="0"/>
                  <w:vAlign w:val="center"/>
                </w:tcPr>
                <w:p>
                  <w:pPr>
                    <w:pStyle w:val="105"/>
                    <w:rPr>
                      <w:rFonts w:hint="eastAsia"/>
                      <w:color w:val="auto"/>
                    </w:rPr>
                  </w:pPr>
                  <w:r>
                    <w:rPr>
                      <w:rFonts w:hint="eastAsia"/>
                      <w:color w:val="auto"/>
                    </w:rPr>
                    <w:t>万达天璟</w:t>
                  </w:r>
                </w:p>
              </w:tc>
              <w:tc>
                <w:tcPr>
                  <w:tcW w:w="518" w:type="pct"/>
                  <w:noWrap w:val="0"/>
                  <w:vAlign w:val="center"/>
                </w:tcPr>
                <w:p>
                  <w:pPr>
                    <w:pStyle w:val="170"/>
                    <w:rPr>
                      <w:rFonts w:hint="eastAsia"/>
                      <w:color w:val="auto"/>
                    </w:rPr>
                  </w:pPr>
                  <w:r>
                    <w:rPr>
                      <w:rFonts w:hint="eastAsia"/>
                      <w:color w:val="auto"/>
                    </w:rPr>
                    <w:t>西侧</w:t>
                  </w:r>
                </w:p>
              </w:tc>
              <w:tc>
                <w:tcPr>
                  <w:tcW w:w="608" w:type="pct"/>
                  <w:gridSpan w:val="2"/>
                  <w:noWrap w:val="0"/>
                  <w:vAlign w:val="center"/>
                </w:tcPr>
                <w:p>
                  <w:pPr>
                    <w:pStyle w:val="105"/>
                    <w:rPr>
                      <w:color w:val="auto"/>
                    </w:rPr>
                  </w:pPr>
                  <w:r>
                    <w:rPr>
                      <w:rFonts w:hint="eastAsia"/>
                      <w:color w:val="auto"/>
                    </w:rPr>
                    <w:t>241</w:t>
                  </w:r>
                </w:p>
              </w:tc>
              <w:tc>
                <w:tcPr>
                  <w:tcW w:w="517" w:type="pct"/>
                  <w:noWrap w:val="0"/>
                  <w:vAlign w:val="center"/>
                </w:tcPr>
                <w:p>
                  <w:pPr>
                    <w:pStyle w:val="105"/>
                    <w:rPr>
                      <w:rFonts w:hint="eastAsia"/>
                      <w:color w:val="auto"/>
                    </w:rPr>
                  </w:pPr>
                  <w:r>
                    <w:rPr>
                      <w:rFonts w:hint="eastAsia"/>
                      <w:color w:val="auto"/>
                    </w:rPr>
                    <w:t>住宅</w:t>
                  </w:r>
                </w:p>
              </w:tc>
              <w:tc>
                <w:tcPr>
                  <w:tcW w:w="715" w:type="pct"/>
                  <w:noWrap w:val="0"/>
                  <w:vAlign w:val="center"/>
                </w:tcPr>
                <w:p>
                  <w:pPr>
                    <w:pStyle w:val="105"/>
                    <w:rPr>
                      <w:color w:val="auto"/>
                    </w:rPr>
                  </w:pPr>
                  <w:r>
                    <w:rPr>
                      <w:rFonts w:hint="eastAsia"/>
                      <w:color w:val="auto"/>
                    </w:rPr>
                    <w:t>1500人</w:t>
                  </w:r>
                </w:p>
              </w:tc>
              <w:tc>
                <w:tcPr>
                  <w:tcW w:w="1127" w:type="pct"/>
                  <w:vMerge w:val="continue"/>
                  <w:noWrap w:val="0"/>
                  <w:vAlign w:val="center"/>
                </w:tcPr>
                <w:p>
                  <w:pPr>
                    <w:pStyle w:val="105"/>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9" w:hRule="atLeast"/>
              </w:trPr>
              <w:tc>
                <w:tcPr>
                  <w:tcW w:w="774" w:type="pct"/>
                  <w:vMerge w:val="continue"/>
                  <w:noWrap w:val="0"/>
                  <w:vAlign w:val="center"/>
                </w:tcPr>
                <w:p>
                  <w:pPr>
                    <w:pStyle w:val="105"/>
                    <w:rPr>
                      <w:color w:val="auto"/>
                    </w:rPr>
                  </w:pPr>
                </w:p>
              </w:tc>
              <w:tc>
                <w:tcPr>
                  <w:tcW w:w="741" w:type="pct"/>
                  <w:noWrap w:val="0"/>
                  <w:vAlign w:val="center"/>
                </w:tcPr>
                <w:p>
                  <w:pPr>
                    <w:pStyle w:val="105"/>
                    <w:rPr>
                      <w:rFonts w:hint="eastAsia"/>
                      <w:color w:val="auto"/>
                    </w:rPr>
                  </w:pPr>
                  <w:r>
                    <w:rPr>
                      <w:rFonts w:hint="eastAsia"/>
                      <w:color w:val="auto"/>
                    </w:rPr>
                    <w:t>万达御府</w:t>
                  </w:r>
                </w:p>
              </w:tc>
              <w:tc>
                <w:tcPr>
                  <w:tcW w:w="518" w:type="pct"/>
                  <w:vMerge w:val="restart"/>
                  <w:noWrap w:val="0"/>
                  <w:vAlign w:val="center"/>
                </w:tcPr>
                <w:p>
                  <w:pPr>
                    <w:pStyle w:val="170"/>
                    <w:rPr>
                      <w:rFonts w:hint="eastAsia"/>
                      <w:color w:val="auto"/>
                    </w:rPr>
                  </w:pPr>
                  <w:r>
                    <w:rPr>
                      <w:rFonts w:hint="eastAsia"/>
                      <w:color w:val="auto"/>
                    </w:rPr>
                    <w:t>西北侧</w:t>
                  </w:r>
                </w:p>
              </w:tc>
              <w:tc>
                <w:tcPr>
                  <w:tcW w:w="608" w:type="pct"/>
                  <w:gridSpan w:val="2"/>
                  <w:noWrap w:val="0"/>
                  <w:vAlign w:val="center"/>
                </w:tcPr>
                <w:p>
                  <w:pPr>
                    <w:pStyle w:val="105"/>
                    <w:rPr>
                      <w:color w:val="auto"/>
                    </w:rPr>
                  </w:pPr>
                  <w:r>
                    <w:rPr>
                      <w:rFonts w:hint="eastAsia"/>
                      <w:color w:val="auto"/>
                    </w:rPr>
                    <w:t>413</w:t>
                  </w:r>
                </w:p>
              </w:tc>
              <w:tc>
                <w:tcPr>
                  <w:tcW w:w="517" w:type="pct"/>
                  <w:noWrap w:val="0"/>
                  <w:vAlign w:val="center"/>
                </w:tcPr>
                <w:p>
                  <w:pPr>
                    <w:pStyle w:val="105"/>
                    <w:rPr>
                      <w:rFonts w:hint="eastAsia"/>
                      <w:color w:val="auto"/>
                    </w:rPr>
                  </w:pPr>
                  <w:r>
                    <w:rPr>
                      <w:rFonts w:hint="eastAsia"/>
                      <w:color w:val="auto"/>
                    </w:rPr>
                    <w:t>住宅</w:t>
                  </w:r>
                </w:p>
              </w:tc>
              <w:tc>
                <w:tcPr>
                  <w:tcW w:w="715" w:type="pct"/>
                  <w:noWrap w:val="0"/>
                  <w:vAlign w:val="center"/>
                </w:tcPr>
                <w:p>
                  <w:pPr>
                    <w:pStyle w:val="105"/>
                    <w:rPr>
                      <w:color w:val="auto"/>
                    </w:rPr>
                  </w:pPr>
                  <w:r>
                    <w:rPr>
                      <w:rFonts w:hint="eastAsia"/>
                      <w:color w:val="auto"/>
                    </w:rPr>
                    <w:t>1000人</w:t>
                  </w:r>
                </w:p>
              </w:tc>
              <w:tc>
                <w:tcPr>
                  <w:tcW w:w="1127" w:type="pct"/>
                  <w:vMerge w:val="continue"/>
                  <w:noWrap w:val="0"/>
                  <w:vAlign w:val="center"/>
                </w:tcPr>
                <w:p>
                  <w:pPr>
                    <w:pStyle w:val="105"/>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trPr>
              <w:tc>
                <w:tcPr>
                  <w:tcW w:w="774" w:type="pct"/>
                  <w:vMerge w:val="continue"/>
                  <w:noWrap w:val="0"/>
                  <w:vAlign w:val="center"/>
                </w:tcPr>
                <w:p>
                  <w:pPr>
                    <w:pStyle w:val="105"/>
                    <w:rPr>
                      <w:color w:val="auto"/>
                    </w:rPr>
                  </w:pPr>
                </w:p>
              </w:tc>
              <w:tc>
                <w:tcPr>
                  <w:tcW w:w="741" w:type="pct"/>
                  <w:noWrap w:val="0"/>
                  <w:vAlign w:val="center"/>
                </w:tcPr>
                <w:p>
                  <w:pPr>
                    <w:pStyle w:val="105"/>
                    <w:rPr>
                      <w:rFonts w:hint="eastAsia"/>
                      <w:color w:val="auto"/>
                    </w:rPr>
                  </w:pPr>
                  <w:r>
                    <w:rPr>
                      <w:rFonts w:hint="eastAsia"/>
                      <w:color w:val="auto"/>
                    </w:rPr>
                    <w:t>万达华府</w:t>
                  </w:r>
                </w:p>
              </w:tc>
              <w:tc>
                <w:tcPr>
                  <w:tcW w:w="518" w:type="pct"/>
                  <w:vMerge w:val="continue"/>
                  <w:noWrap w:val="0"/>
                  <w:vAlign w:val="center"/>
                </w:tcPr>
                <w:p>
                  <w:pPr>
                    <w:pStyle w:val="170"/>
                    <w:rPr>
                      <w:rFonts w:hint="eastAsia"/>
                      <w:color w:val="auto"/>
                    </w:rPr>
                  </w:pPr>
                </w:p>
              </w:tc>
              <w:tc>
                <w:tcPr>
                  <w:tcW w:w="608" w:type="pct"/>
                  <w:gridSpan w:val="2"/>
                  <w:noWrap w:val="0"/>
                  <w:vAlign w:val="center"/>
                </w:tcPr>
                <w:p>
                  <w:pPr>
                    <w:pStyle w:val="105"/>
                    <w:rPr>
                      <w:color w:val="auto"/>
                    </w:rPr>
                  </w:pPr>
                  <w:r>
                    <w:rPr>
                      <w:rFonts w:hint="eastAsia"/>
                      <w:color w:val="auto"/>
                    </w:rPr>
                    <w:t>476</w:t>
                  </w:r>
                </w:p>
              </w:tc>
              <w:tc>
                <w:tcPr>
                  <w:tcW w:w="517" w:type="pct"/>
                  <w:noWrap w:val="0"/>
                  <w:vAlign w:val="center"/>
                </w:tcPr>
                <w:p>
                  <w:pPr>
                    <w:pStyle w:val="105"/>
                    <w:rPr>
                      <w:rFonts w:hint="eastAsia"/>
                      <w:color w:val="auto"/>
                    </w:rPr>
                  </w:pPr>
                  <w:r>
                    <w:rPr>
                      <w:rFonts w:hint="eastAsia"/>
                      <w:color w:val="auto"/>
                    </w:rPr>
                    <w:t>住宅</w:t>
                  </w:r>
                </w:p>
              </w:tc>
              <w:tc>
                <w:tcPr>
                  <w:tcW w:w="715" w:type="pct"/>
                  <w:noWrap w:val="0"/>
                  <w:vAlign w:val="center"/>
                </w:tcPr>
                <w:p>
                  <w:pPr>
                    <w:pStyle w:val="105"/>
                    <w:rPr>
                      <w:color w:val="auto"/>
                    </w:rPr>
                  </w:pPr>
                  <w:r>
                    <w:rPr>
                      <w:rFonts w:hint="eastAsia"/>
                      <w:color w:val="auto"/>
                    </w:rPr>
                    <w:t>1200人</w:t>
                  </w:r>
                </w:p>
              </w:tc>
              <w:tc>
                <w:tcPr>
                  <w:tcW w:w="1127" w:type="pct"/>
                  <w:vMerge w:val="continue"/>
                  <w:noWrap w:val="0"/>
                  <w:vAlign w:val="center"/>
                </w:tcPr>
                <w:p>
                  <w:pPr>
                    <w:pStyle w:val="105"/>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0" w:hRule="atLeast"/>
              </w:trPr>
              <w:tc>
                <w:tcPr>
                  <w:tcW w:w="774" w:type="pct"/>
                  <w:noWrap w:val="0"/>
                  <w:vAlign w:val="center"/>
                </w:tcPr>
                <w:p>
                  <w:pPr>
                    <w:pStyle w:val="105"/>
                    <w:rPr>
                      <w:rFonts w:hint="eastAsia"/>
                      <w:color w:val="auto"/>
                    </w:rPr>
                  </w:pPr>
                  <w:r>
                    <w:rPr>
                      <w:rFonts w:hint="eastAsia"/>
                      <w:color w:val="auto"/>
                    </w:rPr>
                    <w:t>声环境</w:t>
                  </w:r>
                </w:p>
              </w:tc>
              <w:tc>
                <w:tcPr>
                  <w:tcW w:w="741" w:type="pct"/>
                  <w:noWrap w:val="0"/>
                  <w:vAlign w:val="center"/>
                </w:tcPr>
                <w:p>
                  <w:pPr>
                    <w:pStyle w:val="105"/>
                    <w:rPr>
                      <w:rFonts w:hint="eastAsia"/>
                      <w:color w:val="auto"/>
                    </w:rPr>
                  </w:pPr>
                  <w:r>
                    <w:rPr>
                      <w:rFonts w:hint="eastAsia"/>
                      <w:color w:val="auto"/>
                    </w:rPr>
                    <w:t>嘉州春天</w:t>
                  </w:r>
                </w:p>
              </w:tc>
              <w:tc>
                <w:tcPr>
                  <w:tcW w:w="518" w:type="pct"/>
                  <w:noWrap w:val="0"/>
                  <w:vAlign w:val="center"/>
                </w:tcPr>
                <w:p>
                  <w:pPr>
                    <w:pStyle w:val="105"/>
                    <w:rPr>
                      <w:rFonts w:hint="eastAsia"/>
                      <w:color w:val="auto"/>
                    </w:rPr>
                  </w:pPr>
                  <w:r>
                    <w:rPr>
                      <w:rFonts w:hint="eastAsia"/>
                      <w:color w:val="auto"/>
                    </w:rPr>
                    <w:t>北侧</w:t>
                  </w:r>
                </w:p>
              </w:tc>
              <w:tc>
                <w:tcPr>
                  <w:tcW w:w="598" w:type="pct"/>
                  <w:noWrap w:val="0"/>
                  <w:vAlign w:val="center"/>
                </w:tcPr>
                <w:p>
                  <w:pPr>
                    <w:pStyle w:val="105"/>
                    <w:rPr>
                      <w:color w:val="auto"/>
                    </w:rPr>
                  </w:pPr>
                  <w:r>
                    <w:rPr>
                      <w:rFonts w:hint="eastAsia"/>
                      <w:color w:val="auto"/>
                    </w:rPr>
                    <w:t>30</w:t>
                  </w:r>
                </w:p>
              </w:tc>
              <w:tc>
                <w:tcPr>
                  <w:tcW w:w="527" w:type="pct"/>
                  <w:gridSpan w:val="2"/>
                  <w:noWrap w:val="0"/>
                  <w:vAlign w:val="center"/>
                </w:tcPr>
                <w:p>
                  <w:pPr>
                    <w:pStyle w:val="105"/>
                    <w:rPr>
                      <w:rFonts w:hint="eastAsia"/>
                      <w:color w:val="auto"/>
                    </w:rPr>
                  </w:pPr>
                  <w:r>
                    <w:rPr>
                      <w:rFonts w:hint="eastAsia"/>
                      <w:color w:val="auto"/>
                    </w:rPr>
                    <w:t>住宅</w:t>
                  </w:r>
                </w:p>
              </w:tc>
              <w:tc>
                <w:tcPr>
                  <w:tcW w:w="715" w:type="pct"/>
                  <w:noWrap w:val="0"/>
                  <w:vAlign w:val="center"/>
                </w:tcPr>
                <w:p>
                  <w:pPr>
                    <w:pStyle w:val="105"/>
                    <w:rPr>
                      <w:color w:val="auto"/>
                    </w:rPr>
                  </w:pPr>
                  <w:r>
                    <w:rPr>
                      <w:rFonts w:hint="eastAsia"/>
                      <w:color w:val="auto"/>
                    </w:rPr>
                    <w:t>3132人</w:t>
                  </w:r>
                </w:p>
              </w:tc>
              <w:tc>
                <w:tcPr>
                  <w:tcW w:w="1127" w:type="pct"/>
                  <w:noWrap w:val="0"/>
                  <w:vAlign w:val="center"/>
                </w:tcPr>
                <w:p>
                  <w:pPr>
                    <w:pStyle w:val="105"/>
                    <w:rPr>
                      <w:color w:val="auto"/>
                    </w:rPr>
                  </w:pPr>
                  <w:r>
                    <w:rPr>
                      <w:color w:val="auto"/>
                    </w:rPr>
                    <w:t>《声环境质量标准》GB3096-2008中2类功能区标准</w:t>
                  </w:r>
                </w:p>
              </w:tc>
            </w:tr>
          </w:tbl>
          <w:p>
            <w:pPr>
              <w:pStyle w:val="104"/>
              <w:ind w:firstLine="480"/>
              <w:rPr>
                <w:color w:val="auto"/>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48" w:type="pct"/>
            <w:noWrap w:val="0"/>
            <w:vAlign w:val="center"/>
          </w:tcPr>
          <w:p>
            <w:pPr>
              <w:pStyle w:val="101"/>
              <w:ind w:firstLine="480"/>
              <w:jc w:val="center"/>
              <w:rPr>
                <w:rFonts w:hint="eastAsia"/>
                <w:color w:val="auto"/>
              </w:rPr>
            </w:pPr>
          </w:p>
          <w:p>
            <w:pPr>
              <w:pStyle w:val="101"/>
              <w:ind w:firstLine="480"/>
              <w:jc w:val="center"/>
              <w:rPr>
                <w:rFonts w:hint="eastAsia"/>
                <w:color w:val="auto"/>
              </w:rPr>
            </w:pPr>
          </w:p>
          <w:p>
            <w:pPr>
              <w:pStyle w:val="101"/>
              <w:ind w:firstLine="480"/>
              <w:jc w:val="center"/>
              <w:rPr>
                <w:rFonts w:hint="eastAsia"/>
                <w:color w:val="auto"/>
              </w:rPr>
            </w:pPr>
          </w:p>
          <w:p>
            <w:pPr>
              <w:pStyle w:val="101"/>
              <w:ind w:firstLine="480"/>
              <w:jc w:val="center"/>
              <w:rPr>
                <w:rFonts w:hint="eastAsia"/>
                <w:color w:val="auto"/>
              </w:rPr>
            </w:pPr>
          </w:p>
          <w:p>
            <w:pPr>
              <w:pStyle w:val="101"/>
              <w:ind w:firstLine="480"/>
              <w:jc w:val="center"/>
              <w:rPr>
                <w:rFonts w:hint="eastAsia"/>
                <w:color w:val="auto"/>
              </w:rPr>
            </w:pPr>
          </w:p>
          <w:p>
            <w:pPr>
              <w:pStyle w:val="101"/>
              <w:ind w:firstLine="480"/>
              <w:jc w:val="center"/>
              <w:rPr>
                <w:rFonts w:hint="eastAsia"/>
                <w:color w:val="auto"/>
              </w:rPr>
            </w:pPr>
          </w:p>
          <w:p>
            <w:pPr>
              <w:pStyle w:val="101"/>
              <w:ind w:firstLine="480"/>
              <w:jc w:val="center"/>
              <w:rPr>
                <w:rFonts w:hint="eastAsia"/>
                <w:color w:val="auto"/>
              </w:rPr>
            </w:pPr>
          </w:p>
          <w:p>
            <w:pPr>
              <w:pStyle w:val="101"/>
              <w:ind w:firstLine="0" w:firstLineChars="0"/>
              <w:jc w:val="center"/>
              <w:rPr>
                <w:rFonts w:hint="eastAsia"/>
                <w:color w:val="auto"/>
              </w:rPr>
            </w:pPr>
            <w:r>
              <w:rPr>
                <w:rFonts w:hint="eastAsia"/>
                <w:color w:val="auto"/>
              </w:rPr>
              <w:t>染物排放控制标准</w:t>
            </w:r>
          </w:p>
        </w:tc>
        <w:tc>
          <w:tcPr>
            <w:tcW w:w="4651" w:type="pct"/>
            <w:noWrap w:val="0"/>
            <w:vAlign w:val="center"/>
          </w:tcPr>
          <w:p>
            <w:pPr>
              <w:pStyle w:val="4"/>
              <w:spacing w:after="120"/>
              <w:rPr>
                <w:color w:val="auto"/>
              </w:rPr>
            </w:pPr>
            <w:r>
              <w:rPr>
                <w:color w:val="auto"/>
              </w:rPr>
              <w:t>一、废气</w:t>
            </w:r>
          </w:p>
          <w:p>
            <w:pPr>
              <w:pStyle w:val="101"/>
              <w:ind w:firstLine="480"/>
              <w:rPr>
                <w:rFonts w:hint="eastAsia" w:cs="宋体"/>
                <w:color w:val="auto"/>
              </w:rPr>
            </w:pPr>
            <w:r>
              <w:rPr>
                <w:rFonts w:hint="eastAsia"/>
                <w:color w:val="auto"/>
              </w:rPr>
              <w:t>项目不设食堂，无饮食油烟污染；运营期废气排放执行《医疗机构水污染物排放标准》（GB18466-2005）表3标准</w:t>
            </w:r>
            <w:r>
              <w:rPr>
                <w:rFonts w:hint="eastAsia" w:cs="宋体"/>
                <w:color w:val="auto"/>
                <w:lang w:val="zh-CN"/>
              </w:rPr>
              <w:t>。标准值见表 3-</w:t>
            </w:r>
            <w:r>
              <w:rPr>
                <w:rFonts w:hint="eastAsia" w:cs="宋体"/>
                <w:color w:val="auto"/>
              </w:rPr>
              <w:t>4</w:t>
            </w:r>
            <w:r>
              <w:rPr>
                <w:rFonts w:hint="eastAsia" w:cs="宋体"/>
                <w:color w:val="auto"/>
                <w:lang w:val="zh-CN"/>
              </w:rPr>
              <w:t>。</w:t>
            </w:r>
          </w:p>
          <w:p>
            <w:pPr>
              <w:pStyle w:val="117"/>
              <w:rPr>
                <w:rFonts w:hint="eastAsia"/>
                <w:color w:val="auto"/>
              </w:rPr>
            </w:pPr>
            <w:r>
              <w:rPr>
                <w:rFonts w:hint="eastAsia"/>
                <w:color w:val="auto"/>
              </w:rPr>
              <w:t>表3-4 污水处理站周边无组织大气污染物最高允许浓度  单位：mg/m</w:t>
            </w:r>
            <w:r>
              <w:rPr>
                <w:rFonts w:hint="eastAsia"/>
                <w:color w:val="auto"/>
                <w:vertAlign w:val="superscript"/>
              </w:rPr>
              <w:t>3</w:t>
            </w:r>
            <w:r>
              <w:rPr>
                <w:rFonts w:hint="eastAsia"/>
                <w:color w:val="auto"/>
              </w:rPr>
              <w:t xml:space="preserve"> </w:t>
            </w:r>
          </w:p>
          <w:tbl>
            <w:tblPr>
              <w:tblStyle w:val="3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4"/>
              <w:gridCol w:w="4168"/>
              <w:gridCol w:w="890"/>
              <w:gridCol w:w="24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6" w:hRule="atLeast"/>
                <w:jc w:val="center"/>
              </w:trPr>
              <w:tc>
                <w:tcPr>
                  <w:tcW w:w="433" w:type="pct"/>
                  <w:noWrap w:val="0"/>
                  <w:vAlign w:val="center"/>
                </w:tcPr>
                <w:p>
                  <w:pPr>
                    <w:pStyle w:val="118"/>
                    <w:rPr>
                      <w:b/>
                      <w:bCs/>
                      <w:color w:val="auto"/>
                    </w:rPr>
                  </w:pPr>
                  <w:r>
                    <w:rPr>
                      <w:b/>
                      <w:bCs/>
                      <w:color w:val="auto"/>
                    </w:rPr>
                    <w:t>序号</w:t>
                  </w:r>
                </w:p>
              </w:tc>
              <w:tc>
                <w:tcPr>
                  <w:tcW w:w="2529" w:type="pct"/>
                  <w:noWrap w:val="0"/>
                  <w:vAlign w:val="center"/>
                </w:tcPr>
                <w:p>
                  <w:pPr>
                    <w:pStyle w:val="118"/>
                    <w:rPr>
                      <w:b/>
                      <w:bCs/>
                      <w:color w:val="auto"/>
                    </w:rPr>
                  </w:pPr>
                  <w:r>
                    <w:rPr>
                      <w:b/>
                      <w:bCs/>
                      <w:color w:val="auto"/>
                    </w:rPr>
                    <w:t>控制项目</w:t>
                  </w:r>
                </w:p>
              </w:tc>
              <w:tc>
                <w:tcPr>
                  <w:tcW w:w="540" w:type="pct"/>
                  <w:noWrap w:val="0"/>
                  <w:vAlign w:val="center"/>
                </w:tcPr>
                <w:p>
                  <w:pPr>
                    <w:pStyle w:val="118"/>
                    <w:rPr>
                      <w:b/>
                      <w:bCs/>
                      <w:color w:val="auto"/>
                    </w:rPr>
                  </w:pPr>
                  <w:r>
                    <w:rPr>
                      <w:b/>
                      <w:bCs/>
                      <w:color w:val="auto"/>
                    </w:rPr>
                    <w:t>标准值</w:t>
                  </w:r>
                </w:p>
              </w:tc>
              <w:tc>
                <w:tcPr>
                  <w:tcW w:w="1497" w:type="pct"/>
                  <w:noWrap w:val="0"/>
                  <w:vAlign w:val="center"/>
                </w:tcPr>
                <w:p>
                  <w:pPr>
                    <w:pStyle w:val="118"/>
                    <w:rPr>
                      <w:b/>
                      <w:bCs/>
                      <w:color w:val="auto"/>
                    </w:rPr>
                  </w:pPr>
                  <w:r>
                    <w:rPr>
                      <w:b/>
                      <w:bCs/>
                      <w:color w:val="auto"/>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6" w:hRule="atLeast"/>
                <w:jc w:val="center"/>
              </w:trPr>
              <w:tc>
                <w:tcPr>
                  <w:tcW w:w="433" w:type="pct"/>
                  <w:noWrap w:val="0"/>
                  <w:vAlign w:val="center"/>
                </w:tcPr>
                <w:p>
                  <w:pPr>
                    <w:pStyle w:val="118"/>
                    <w:rPr>
                      <w:color w:val="auto"/>
                    </w:rPr>
                  </w:pPr>
                  <w:r>
                    <w:rPr>
                      <w:color w:val="auto"/>
                    </w:rPr>
                    <w:t>1</w:t>
                  </w:r>
                </w:p>
              </w:tc>
              <w:tc>
                <w:tcPr>
                  <w:tcW w:w="2529" w:type="pct"/>
                  <w:noWrap w:val="0"/>
                  <w:vAlign w:val="center"/>
                </w:tcPr>
                <w:p>
                  <w:pPr>
                    <w:pStyle w:val="118"/>
                    <w:rPr>
                      <w:color w:val="auto"/>
                    </w:rPr>
                  </w:pPr>
                  <w:r>
                    <w:rPr>
                      <w:color w:val="auto"/>
                    </w:rPr>
                    <w:t>氨</w:t>
                  </w:r>
                </w:p>
              </w:tc>
              <w:tc>
                <w:tcPr>
                  <w:tcW w:w="540" w:type="pct"/>
                  <w:noWrap w:val="0"/>
                  <w:vAlign w:val="center"/>
                </w:tcPr>
                <w:p>
                  <w:pPr>
                    <w:pStyle w:val="118"/>
                    <w:rPr>
                      <w:color w:val="auto"/>
                    </w:rPr>
                  </w:pPr>
                  <w:r>
                    <w:rPr>
                      <w:color w:val="auto"/>
                    </w:rPr>
                    <w:t>1.0</w:t>
                  </w:r>
                </w:p>
              </w:tc>
              <w:tc>
                <w:tcPr>
                  <w:tcW w:w="1497" w:type="pct"/>
                  <w:vMerge w:val="restart"/>
                  <w:noWrap w:val="0"/>
                  <w:vAlign w:val="center"/>
                </w:tcPr>
                <w:p>
                  <w:pPr>
                    <w:pStyle w:val="118"/>
                    <w:rPr>
                      <w:color w:val="auto"/>
                    </w:rPr>
                  </w:pPr>
                  <w:r>
                    <w:rPr>
                      <w:color w:val="auto"/>
                    </w:rPr>
                    <w:t>《医疗机构水污染物排放标准》GB18466-2005中表3标准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6" w:hRule="atLeast"/>
                <w:jc w:val="center"/>
              </w:trPr>
              <w:tc>
                <w:tcPr>
                  <w:tcW w:w="433" w:type="pct"/>
                  <w:noWrap w:val="0"/>
                  <w:vAlign w:val="center"/>
                </w:tcPr>
                <w:p>
                  <w:pPr>
                    <w:pStyle w:val="118"/>
                    <w:rPr>
                      <w:color w:val="auto"/>
                    </w:rPr>
                  </w:pPr>
                  <w:r>
                    <w:rPr>
                      <w:color w:val="auto"/>
                    </w:rPr>
                    <w:t>2</w:t>
                  </w:r>
                </w:p>
              </w:tc>
              <w:tc>
                <w:tcPr>
                  <w:tcW w:w="2529" w:type="pct"/>
                  <w:noWrap w:val="0"/>
                  <w:vAlign w:val="center"/>
                </w:tcPr>
                <w:p>
                  <w:pPr>
                    <w:pStyle w:val="118"/>
                    <w:rPr>
                      <w:color w:val="auto"/>
                    </w:rPr>
                  </w:pPr>
                  <w:r>
                    <w:rPr>
                      <w:color w:val="auto"/>
                    </w:rPr>
                    <w:t>硫化氢</w:t>
                  </w:r>
                </w:p>
              </w:tc>
              <w:tc>
                <w:tcPr>
                  <w:tcW w:w="540" w:type="pct"/>
                  <w:noWrap w:val="0"/>
                  <w:vAlign w:val="center"/>
                </w:tcPr>
                <w:p>
                  <w:pPr>
                    <w:pStyle w:val="118"/>
                    <w:rPr>
                      <w:color w:val="auto"/>
                    </w:rPr>
                  </w:pPr>
                  <w:r>
                    <w:rPr>
                      <w:color w:val="auto"/>
                    </w:rPr>
                    <w:t>0.03</w:t>
                  </w:r>
                </w:p>
              </w:tc>
              <w:tc>
                <w:tcPr>
                  <w:tcW w:w="1497" w:type="pct"/>
                  <w:vMerge w:val="continue"/>
                  <w:noWrap w:val="0"/>
                  <w:vAlign w:val="center"/>
                </w:tcPr>
                <w:p>
                  <w:pPr>
                    <w:pStyle w:val="118"/>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6" w:hRule="atLeast"/>
                <w:jc w:val="center"/>
              </w:trPr>
              <w:tc>
                <w:tcPr>
                  <w:tcW w:w="433" w:type="pct"/>
                  <w:noWrap w:val="0"/>
                  <w:vAlign w:val="center"/>
                </w:tcPr>
                <w:p>
                  <w:pPr>
                    <w:pStyle w:val="118"/>
                    <w:rPr>
                      <w:color w:val="auto"/>
                    </w:rPr>
                  </w:pPr>
                  <w:r>
                    <w:rPr>
                      <w:color w:val="auto"/>
                    </w:rPr>
                    <w:t>3</w:t>
                  </w:r>
                </w:p>
              </w:tc>
              <w:tc>
                <w:tcPr>
                  <w:tcW w:w="2529" w:type="pct"/>
                  <w:noWrap w:val="0"/>
                  <w:vAlign w:val="center"/>
                </w:tcPr>
                <w:p>
                  <w:pPr>
                    <w:pStyle w:val="118"/>
                    <w:rPr>
                      <w:color w:val="auto"/>
                    </w:rPr>
                  </w:pPr>
                  <w:r>
                    <w:rPr>
                      <w:color w:val="auto"/>
                    </w:rPr>
                    <w:t>臭气浓度（无量纲）</w:t>
                  </w:r>
                </w:p>
              </w:tc>
              <w:tc>
                <w:tcPr>
                  <w:tcW w:w="540" w:type="pct"/>
                  <w:noWrap w:val="0"/>
                  <w:vAlign w:val="center"/>
                </w:tcPr>
                <w:p>
                  <w:pPr>
                    <w:pStyle w:val="118"/>
                    <w:rPr>
                      <w:color w:val="auto"/>
                    </w:rPr>
                  </w:pPr>
                  <w:r>
                    <w:rPr>
                      <w:color w:val="auto"/>
                    </w:rPr>
                    <w:t>10</w:t>
                  </w:r>
                </w:p>
              </w:tc>
              <w:tc>
                <w:tcPr>
                  <w:tcW w:w="1497" w:type="pct"/>
                  <w:vMerge w:val="continue"/>
                  <w:noWrap w:val="0"/>
                  <w:vAlign w:val="center"/>
                </w:tcPr>
                <w:p>
                  <w:pPr>
                    <w:pStyle w:val="118"/>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6" w:hRule="atLeast"/>
                <w:jc w:val="center"/>
              </w:trPr>
              <w:tc>
                <w:tcPr>
                  <w:tcW w:w="433" w:type="pct"/>
                  <w:noWrap w:val="0"/>
                  <w:vAlign w:val="center"/>
                </w:tcPr>
                <w:p>
                  <w:pPr>
                    <w:pStyle w:val="118"/>
                    <w:rPr>
                      <w:color w:val="auto"/>
                    </w:rPr>
                  </w:pPr>
                  <w:r>
                    <w:rPr>
                      <w:color w:val="auto"/>
                    </w:rPr>
                    <w:t>4</w:t>
                  </w:r>
                </w:p>
              </w:tc>
              <w:tc>
                <w:tcPr>
                  <w:tcW w:w="2529" w:type="pct"/>
                  <w:noWrap w:val="0"/>
                  <w:vAlign w:val="center"/>
                </w:tcPr>
                <w:p>
                  <w:pPr>
                    <w:pStyle w:val="118"/>
                    <w:rPr>
                      <w:color w:val="auto"/>
                    </w:rPr>
                  </w:pPr>
                  <w:r>
                    <w:rPr>
                      <w:color w:val="auto"/>
                    </w:rPr>
                    <w:t>氯气</w:t>
                  </w:r>
                </w:p>
              </w:tc>
              <w:tc>
                <w:tcPr>
                  <w:tcW w:w="540" w:type="pct"/>
                  <w:noWrap w:val="0"/>
                  <w:vAlign w:val="center"/>
                </w:tcPr>
                <w:p>
                  <w:pPr>
                    <w:pStyle w:val="118"/>
                    <w:rPr>
                      <w:color w:val="auto"/>
                    </w:rPr>
                  </w:pPr>
                  <w:r>
                    <w:rPr>
                      <w:color w:val="auto"/>
                    </w:rPr>
                    <w:t>0.1</w:t>
                  </w:r>
                </w:p>
              </w:tc>
              <w:tc>
                <w:tcPr>
                  <w:tcW w:w="1497" w:type="pct"/>
                  <w:vMerge w:val="continue"/>
                  <w:noWrap w:val="0"/>
                  <w:vAlign w:val="center"/>
                </w:tcPr>
                <w:p>
                  <w:pPr>
                    <w:pStyle w:val="118"/>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4" w:hRule="atLeast"/>
                <w:jc w:val="center"/>
              </w:trPr>
              <w:tc>
                <w:tcPr>
                  <w:tcW w:w="433" w:type="pct"/>
                  <w:noWrap w:val="0"/>
                  <w:vAlign w:val="center"/>
                </w:tcPr>
                <w:p>
                  <w:pPr>
                    <w:pStyle w:val="118"/>
                    <w:rPr>
                      <w:color w:val="auto"/>
                    </w:rPr>
                  </w:pPr>
                  <w:r>
                    <w:rPr>
                      <w:color w:val="auto"/>
                    </w:rPr>
                    <w:t>5</w:t>
                  </w:r>
                </w:p>
              </w:tc>
              <w:tc>
                <w:tcPr>
                  <w:tcW w:w="2529" w:type="pct"/>
                  <w:noWrap w:val="0"/>
                  <w:vAlign w:val="center"/>
                </w:tcPr>
                <w:p>
                  <w:pPr>
                    <w:pStyle w:val="118"/>
                    <w:rPr>
                      <w:color w:val="auto"/>
                    </w:rPr>
                  </w:pPr>
                  <w:r>
                    <w:rPr>
                      <w:color w:val="auto"/>
                    </w:rPr>
                    <w:t>甲烷（指处理站内最高体积百分数%）</w:t>
                  </w:r>
                </w:p>
              </w:tc>
              <w:tc>
                <w:tcPr>
                  <w:tcW w:w="540" w:type="pct"/>
                  <w:noWrap w:val="0"/>
                  <w:vAlign w:val="center"/>
                </w:tcPr>
                <w:p>
                  <w:pPr>
                    <w:pStyle w:val="118"/>
                    <w:rPr>
                      <w:color w:val="auto"/>
                    </w:rPr>
                  </w:pPr>
                  <w:r>
                    <w:rPr>
                      <w:color w:val="auto"/>
                    </w:rPr>
                    <w:t>1</w:t>
                  </w:r>
                </w:p>
              </w:tc>
              <w:tc>
                <w:tcPr>
                  <w:tcW w:w="1497" w:type="pct"/>
                  <w:vMerge w:val="continue"/>
                  <w:noWrap w:val="0"/>
                  <w:vAlign w:val="center"/>
                </w:tcPr>
                <w:p>
                  <w:pPr>
                    <w:pStyle w:val="118"/>
                    <w:rPr>
                      <w:color w:val="auto"/>
                    </w:rPr>
                  </w:pPr>
                </w:p>
              </w:tc>
            </w:tr>
          </w:tbl>
          <w:p>
            <w:pPr>
              <w:pStyle w:val="4"/>
              <w:spacing w:after="120"/>
              <w:rPr>
                <w:color w:val="auto"/>
              </w:rPr>
            </w:pPr>
            <w:r>
              <w:rPr>
                <w:color w:val="auto"/>
              </w:rPr>
              <w:t>二、废水</w:t>
            </w:r>
          </w:p>
          <w:p>
            <w:pPr>
              <w:pStyle w:val="101"/>
              <w:ind w:firstLine="480"/>
              <w:rPr>
                <w:color w:val="auto"/>
              </w:rPr>
            </w:pPr>
            <w:r>
              <w:rPr>
                <w:rFonts w:hint="eastAsia"/>
                <w:color w:val="auto"/>
              </w:rPr>
              <w:t>废水排口预处理池执行《污水综合排放标准》（GB8978-1996）中三级标准。具体数值详见下表。标准值见表 3-5；</w:t>
            </w:r>
          </w:p>
          <w:p>
            <w:pPr>
              <w:pStyle w:val="117"/>
              <w:rPr>
                <w:color w:val="auto"/>
              </w:rPr>
            </w:pPr>
            <w:r>
              <w:rPr>
                <w:rFonts w:hint="eastAsia"/>
                <w:color w:val="auto"/>
              </w:rPr>
              <w:t>表3-</w:t>
            </w:r>
            <w:r>
              <w:rPr>
                <w:rFonts w:hint="eastAsia"/>
                <w:color w:val="auto"/>
                <w:lang w:val="en-US" w:eastAsia="zh-CN"/>
              </w:rPr>
              <w:t>5</w:t>
            </w:r>
            <w:r>
              <w:rPr>
                <w:rFonts w:hint="eastAsia"/>
                <w:color w:val="auto"/>
              </w:rPr>
              <w:t xml:space="preserve">  污水综合排放标准（GB8978-1996） 单位：mg/L</w:t>
            </w:r>
          </w:p>
          <w:tbl>
            <w:tblPr>
              <w:tblStyle w:val="3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97"/>
              <w:gridCol w:w="1898"/>
              <w:gridCol w:w="1565"/>
              <w:gridCol w:w="27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12" w:type="pct"/>
                  <w:noWrap w:val="0"/>
                  <w:vAlign w:val="center"/>
                </w:tcPr>
                <w:p>
                  <w:pPr>
                    <w:pStyle w:val="105"/>
                    <w:rPr>
                      <w:b/>
                      <w:bCs/>
                      <w:color w:val="auto"/>
                    </w:rPr>
                  </w:pPr>
                  <w:r>
                    <w:rPr>
                      <w:b/>
                      <w:bCs/>
                      <w:color w:val="auto"/>
                    </w:rPr>
                    <w:t>项目</w:t>
                  </w:r>
                </w:p>
              </w:tc>
              <w:tc>
                <w:tcPr>
                  <w:tcW w:w="1152" w:type="pct"/>
                  <w:noWrap w:val="0"/>
                  <w:vAlign w:val="center"/>
                </w:tcPr>
                <w:p>
                  <w:pPr>
                    <w:pStyle w:val="105"/>
                    <w:rPr>
                      <w:b/>
                      <w:bCs/>
                      <w:color w:val="auto"/>
                    </w:rPr>
                  </w:pPr>
                  <w:r>
                    <w:rPr>
                      <w:b/>
                      <w:bCs/>
                      <w:color w:val="auto"/>
                    </w:rPr>
                    <w:t>单位</w:t>
                  </w:r>
                </w:p>
              </w:tc>
              <w:tc>
                <w:tcPr>
                  <w:tcW w:w="950" w:type="pct"/>
                  <w:noWrap w:val="0"/>
                  <w:vAlign w:val="center"/>
                </w:tcPr>
                <w:p>
                  <w:pPr>
                    <w:pStyle w:val="105"/>
                    <w:rPr>
                      <w:b/>
                      <w:bCs/>
                      <w:color w:val="auto"/>
                    </w:rPr>
                  </w:pPr>
                  <w:r>
                    <w:rPr>
                      <w:b/>
                      <w:bCs/>
                      <w:color w:val="auto"/>
                    </w:rPr>
                    <w:t>标准限值</w:t>
                  </w:r>
                </w:p>
              </w:tc>
              <w:tc>
                <w:tcPr>
                  <w:tcW w:w="1684" w:type="pct"/>
                  <w:noWrap w:val="0"/>
                  <w:vAlign w:val="center"/>
                </w:tcPr>
                <w:p>
                  <w:pPr>
                    <w:pStyle w:val="105"/>
                    <w:rPr>
                      <w:b/>
                      <w:bCs/>
                      <w:color w:val="auto"/>
                    </w:rPr>
                  </w:pPr>
                  <w:r>
                    <w:rPr>
                      <w:b/>
                      <w:bCs/>
                      <w:color w:val="auto"/>
                    </w:rPr>
                    <w:t>执行标准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2" w:type="pct"/>
                  <w:noWrap w:val="0"/>
                  <w:vAlign w:val="center"/>
                </w:tcPr>
                <w:p>
                  <w:pPr>
                    <w:pStyle w:val="105"/>
                    <w:rPr>
                      <w:color w:val="auto"/>
                    </w:rPr>
                  </w:pPr>
                  <w:r>
                    <w:rPr>
                      <w:color w:val="auto"/>
                    </w:rPr>
                    <w:t>pH</w:t>
                  </w:r>
                </w:p>
              </w:tc>
              <w:tc>
                <w:tcPr>
                  <w:tcW w:w="1152" w:type="pct"/>
                  <w:noWrap w:val="0"/>
                  <w:vAlign w:val="center"/>
                </w:tcPr>
                <w:p>
                  <w:pPr>
                    <w:pStyle w:val="105"/>
                    <w:rPr>
                      <w:color w:val="auto"/>
                    </w:rPr>
                  </w:pPr>
                  <w:r>
                    <w:rPr>
                      <w:color w:val="auto"/>
                    </w:rPr>
                    <w:t>无量纲</w:t>
                  </w:r>
                </w:p>
              </w:tc>
              <w:tc>
                <w:tcPr>
                  <w:tcW w:w="950" w:type="pct"/>
                  <w:noWrap w:val="0"/>
                  <w:vAlign w:val="center"/>
                </w:tcPr>
                <w:p>
                  <w:pPr>
                    <w:pStyle w:val="105"/>
                    <w:rPr>
                      <w:color w:val="auto"/>
                    </w:rPr>
                  </w:pPr>
                  <w:r>
                    <w:rPr>
                      <w:color w:val="auto"/>
                    </w:rPr>
                    <w:t>6~9</w:t>
                  </w:r>
                </w:p>
              </w:tc>
              <w:tc>
                <w:tcPr>
                  <w:tcW w:w="1684" w:type="pct"/>
                  <w:vMerge w:val="restart"/>
                  <w:noWrap w:val="0"/>
                  <w:vAlign w:val="center"/>
                </w:tcPr>
                <w:p>
                  <w:pPr>
                    <w:pStyle w:val="105"/>
                    <w:rPr>
                      <w:color w:val="auto"/>
                    </w:rPr>
                  </w:pPr>
                  <w:r>
                    <w:rPr>
                      <w:color w:val="auto"/>
                    </w:rPr>
                    <w:t>《</w:t>
                  </w:r>
                  <w:r>
                    <w:rPr>
                      <w:rFonts w:hint="eastAsia"/>
                      <w:color w:val="auto"/>
                    </w:rPr>
                    <w:t>污水综合排放标准</w:t>
                  </w:r>
                  <w:r>
                    <w:rPr>
                      <w:color w:val="auto"/>
                    </w:rPr>
                    <w:t>》（GB</w:t>
                  </w:r>
                  <w:r>
                    <w:rPr>
                      <w:rFonts w:hint="eastAsia"/>
                      <w:color w:val="auto"/>
                    </w:rPr>
                    <w:t>8978-1996</w:t>
                  </w:r>
                  <w:r>
                    <w:rPr>
                      <w:color w:val="auto"/>
                    </w:rPr>
                    <w:t>）中表</w:t>
                  </w:r>
                  <w:r>
                    <w:rPr>
                      <w:rFonts w:hint="eastAsia"/>
                      <w:color w:val="auto"/>
                    </w:rPr>
                    <w:t>4</w:t>
                  </w:r>
                  <w:r>
                    <w:rPr>
                      <w:color w:val="auto"/>
                    </w:rPr>
                    <w:t>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2" w:type="pct"/>
                  <w:noWrap w:val="0"/>
                  <w:vAlign w:val="center"/>
                </w:tcPr>
                <w:p>
                  <w:pPr>
                    <w:pStyle w:val="105"/>
                    <w:rPr>
                      <w:color w:val="auto"/>
                    </w:rPr>
                  </w:pPr>
                  <w:r>
                    <w:rPr>
                      <w:color w:val="auto"/>
                    </w:rPr>
                    <w:t>COD</w:t>
                  </w:r>
                </w:p>
              </w:tc>
              <w:tc>
                <w:tcPr>
                  <w:tcW w:w="1152" w:type="pct"/>
                  <w:noWrap w:val="0"/>
                  <w:vAlign w:val="center"/>
                </w:tcPr>
                <w:p>
                  <w:pPr>
                    <w:pStyle w:val="105"/>
                    <w:rPr>
                      <w:color w:val="auto"/>
                    </w:rPr>
                  </w:pPr>
                  <w:r>
                    <w:rPr>
                      <w:color w:val="auto"/>
                    </w:rPr>
                    <w:t>mg/L</w:t>
                  </w:r>
                </w:p>
              </w:tc>
              <w:tc>
                <w:tcPr>
                  <w:tcW w:w="950" w:type="pct"/>
                  <w:noWrap w:val="0"/>
                  <w:vAlign w:val="center"/>
                </w:tcPr>
                <w:p>
                  <w:pPr>
                    <w:pStyle w:val="105"/>
                    <w:rPr>
                      <w:color w:val="auto"/>
                    </w:rPr>
                  </w:pPr>
                  <w:r>
                    <w:rPr>
                      <w:rFonts w:hint="eastAsia"/>
                      <w:color w:val="auto"/>
                    </w:rPr>
                    <w:t>500</w:t>
                  </w:r>
                </w:p>
              </w:tc>
              <w:tc>
                <w:tcPr>
                  <w:tcW w:w="1684" w:type="pct"/>
                  <w:vMerge w:val="continue"/>
                  <w:noWrap w:val="0"/>
                  <w:vAlign w:val="center"/>
                </w:tcPr>
                <w:p>
                  <w:pPr>
                    <w:pStyle w:val="105"/>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2" w:type="pct"/>
                  <w:noWrap w:val="0"/>
                  <w:vAlign w:val="center"/>
                </w:tcPr>
                <w:p>
                  <w:pPr>
                    <w:pStyle w:val="105"/>
                    <w:rPr>
                      <w:color w:val="auto"/>
                    </w:rPr>
                  </w:pPr>
                  <w:r>
                    <w:rPr>
                      <w:color w:val="auto"/>
                    </w:rPr>
                    <w:t>BOD</w:t>
                  </w:r>
                  <w:r>
                    <w:rPr>
                      <w:color w:val="auto"/>
                      <w:vertAlign w:val="subscript"/>
                    </w:rPr>
                    <w:t>5</w:t>
                  </w:r>
                </w:p>
              </w:tc>
              <w:tc>
                <w:tcPr>
                  <w:tcW w:w="1152" w:type="pct"/>
                  <w:noWrap w:val="0"/>
                  <w:vAlign w:val="center"/>
                </w:tcPr>
                <w:p>
                  <w:pPr>
                    <w:pStyle w:val="105"/>
                    <w:rPr>
                      <w:color w:val="auto"/>
                    </w:rPr>
                  </w:pPr>
                  <w:r>
                    <w:rPr>
                      <w:color w:val="auto"/>
                    </w:rPr>
                    <w:t>mg/L</w:t>
                  </w:r>
                </w:p>
              </w:tc>
              <w:tc>
                <w:tcPr>
                  <w:tcW w:w="950" w:type="pct"/>
                  <w:noWrap w:val="0"/>
                  <w:vAlign w:val="center"/>
                </w:tcPr>
                <w:p>
                  <w:pPr>
                    <w:pStyle w:val="105"/>
                    <w:rPr>
                      <w:color w:val="auto"/>
                    </w:rPr>
                  </w:pPr>
                  <w:r>
                    <w:rPr>
                      <w:rFonts w:hint="eastAsia"/>
                      <w:color w:val="auto"/>
                    </w:rPr>
                    <w:t>3</w:t>
                  </w:r>
                  <w:r>
                    <w:rPr>
                      <w:color w:val="auto"/>
                    </w:rPr>
                    <w:t>00</w:t>
                  </w:r>
                </w:p>
              </w:tc>
              <w:tc>
                <w:tcPr>
                  <w:tcW w:w="1684" w:type="pct"/>
                  <w:vMerge w:val="continue"/>
                  <w:noWrap w:val="0"/>
                  <w:vAlign w:val="center"/>
                </w:tcPr>
                <w:p>
                  <w:pPr>
                    <w:pStyle w:val="105"/>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2" w:type="pct"/>
                  <w:noWrap w:val="0"/>
                  <w:vAlign w:val="center"/>
                </w:tcPr>
                <w:p>
                  <w:pPr>
                    <w:pStyle w:val="105"/>
                    <w:rPr>
                      <w:color w:val="auto"/>
                    </w:rPr>
                  </w:pPr>
                  <w:r>
                    <w:rPr>
                      <w:color w:val="auto"/>
                    </w:rPr>
                    <w:t>SS</w:t>
                  </w:r>
                </w:p>
              </w:tc>
              <w:tc>
                <w:tcPr>
                  <w:tcW w:w="1152" w:type="pct"/>
                  <w:noWrap w:val="0"/>
                  <w:vAlign w:val="center"/>
                </w:tcPr>
                <w:p>
                  <w:pPr>
                    <w:pStyle w:val="105"/>
                    <w:rPr>
                      <w:color w:val="auto"/>
                    </w:rPr>
                  </w:pPr>
                  <w:r>
                    <w:rPr>
                      <w:color w:val="auto"/>
                    </w:rPr>
                    <w:t>mg/L</w:t>
                  </w:r>
                </w:p>
              </w:tc>
              <w:tc>
                <w:tcPr>
                  <w:tcW w:w="950" w:type="pct"/>
                  <w:noWrap w:val="0"/>
                  <w:vAlign w:val="center"/>
                </w:tcPr>
                <w:p>
                  <w:pPr>
                    <w:pStyle w:val="105"/>
                    <w:rPr>
                      <w:color w:val="auto"/>
                    </w:rPr>
                  </w:pPr>
                  <w:r>
                    <w:rPr>
                      <w:rFonts w:hint="eastAsia"/>
                      <w:color w:val="auto"/>
                    </w:rPr>
                    <w:t>400</w:t>
                  </w:r>
                </w:p>
              </w:tc>
              <w:tc>
                <w:tcPr>
                  <w:tcW w:w="1684" w:type="pct"/>
                  <w:vMerge w:val="continue"/>
                  <w:noWrap w:val="0"/>
                  <w:vAlign w:val="center"/>
                </w:tcPr>
                <w:p>
                  <w:pPr>
                    <w:pStyle w:val="105"/>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2" w:type="pct"/>
                  <w:noWrap w:val="0"/>
                  <w:vAlign w:val="center"/>
                </w:tcPr>
                <w:p>
                  <w:pPr>
                    <w:pStyle w:val="105"/>
                    <w:rPr>
                      <w:color w:val="auto"/>
                    </w:rPr>
                  </w:pPr>
                  <w:r>
                    <w:rPr>
                      <w:color w:val="auto"/>
                    </w:rPr>
                    <w:t>NH</w:t>
                  </w:r>
                  <w:r>
                    <w:rPr>
                      <w:color w:val="auto"/>
                      <w:vertAlign w:val="subscript"/>
                    </w:rPr>
                    <w:t>3</w:t>
                  </w:r>
                  <w:r>
                    <w:rPr>
                      <w:color w:val="auto"/>
                    </w:rPr>
                    <w:t>-N</w:t>
                  </w:r>
                </w:p>
              </w:tc>
              <w:tc>
                <w:tcPr>
                  <w:tcW w:w="1152" w:type="pct"/>
                  <w:noWrap w:val="0"/>
                  <w:vAlign w:val="center"/>
                </w:tcPr>
                <w:p>
                  <w:pPr>
                    <w:pStyle w:val="105"/>
                    <w:rPr>
                      <w:color w:val="auto"/>
                    </w:rPr>
                  </w:pPr>
                  <w:r>
                    <w:rPr>
                      <w:color w:val="auto"/>
                    </w:rPr>
                    <w:t>mg/L</w:t>
                  </w:r>
                </w:p>
              </w:tc>
              <w:tc>
                <w:tcPr>
                  <w:tcW w:w="950" w:type="pct"/>
                  <w:noWrap w:val="0"/>
                  <w:vAlign w:val="center"/>
                </w:tcPr>
                <w:p>
                  <w:pPr>
                    <w:pStyle w:val="105"/>
                    <w:rPr>
                      <w:color w:val="auto"/>
                    </w:rPr>
                  </w:pPr>
                  <w:r>
                    <w:rPr>
                      <w:rFonts w:hint="eastAsia"/>
                      <w:color w:val="auto"/>
                    </w:rPr>
                    <w:t>45</w:t>
                  </w:r>
                </w:p>
              </w:tc>
              <w:tc>
                <w:tcPr>
                  <w:tcW w:w="1684" w:type="pct"/>
                  <w:vMerge w:val="continue"/>
                  <w:noWrap w:val="0"/>
                  <w:vAlign w:val="center"/>
                </w:tcPr>
                <w:p>
                  <w:pPr>
                    <w:pStyle w:val="105"/>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2" w:type="pct"/>
                  <w:noWrap w:val="0"/>
                  <w:vAlign w:val="center"/>
                </w:tcPr>
                <w:p>
                  <w:pPr>
                    <w:pStyle w:val="105"/>
                    <w:rPr>
                      <w:color w:val="auto"/>
                    </w:rPr>
                  </w:pPr>
                  <w:r>
                    <w:rPr>
                      <w:color w:val="auto"/>
                    </w:rPr>
                    <w:t>TP</w:t>
                  </w:r>
                </w:p>
              </w:tc>
              <w:tc>
                <w:tcPr>
                  <w:tcW w:w="1152" w:type="pct"/>
                  <w:noWrap w:val="0"/>
                  <w:vAlign w:val="center"/>
                </w:tcPr>
                <w:p>
                  <w:pPr>
                    <w:pStyle w:val="105"/>
                    <w:rPr>
                      <w:color w:val="auto"/>
                    </w:rPr>
                  </w:pPr>
                  <w:r>
                    <w:rPr>
                      <w:color w:val="auto"/>
                    </w:rPr>
                    <w:t>mg/L</w:t>
                  </w:r>
                </w:p>
              </w:tc>
              <w:tc>
                <w:tcPr>
                  <w:tcW w:w="950" w:type="pct"/>
                  <w:noWrap w:val="0"/>
                  <w:vAlign w:val="center"/>
                </w:tcPr>
                <w:p>
                  <w:pPr>
                    <w:pStyle w:val="105"/>
                    <w:rPr>
                      <w:rFonts w:hint="eastAsia"/>
                      <w:color w:val="auto"/>
                    </w:rPr>
                  </w:pPr>
                  <w:r>
                    <w:rPr>
                      <w:rFonts w:hint="eastAsia"/>
                      <w:color w:val="auto"/>
                    </w:rPr>
                    <w:t>8</w:t>
                  </w:r>
                </w:p>
              </w:tc>
              <w:tc>
                <w:tcPr>
                  <w:tcW w:w="1684" w:type="pct"/>
                  <w:vMerge w:val="continue"/>
                  <w:noWrap w:val="0"/>
                  <w:vAlign w:val="center"/>
                </w:tcPr>
                <w:p>
                  <w:pPr>
                    <w:pStyle w:val="105"/>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4"/>
                  <w:noWrap w:val="0"/>
                  <w:vAlign w:val="center"/>
                </w:tcPr>
                <w:p>
                  <w:pPr>
                    <w:pStyle w:val="105"/>
                    <w:bidi w:val="0"/>
                    <w:jc w:val="left"/>
                    <w:rPr>
                      <w:color w:val="auto"/>
                    </w:rPr>
                  </w:pPr>
                  <w:r>
                    <w:rPr>
                      <w:rFonts w:hint="eastAsia"/>
                      <w:color w:val="auto"/>
                    </w:rPr>
                    <w:t>氨氮、总磷执行《污水排入城镇下水道水质标准（CJ343-2015 ）》中表</w:t>
                  </w:r>
                  <w:r>
                    <w:rPr>
                      <w:rFonts w:hint="eastAsia"/>
                      <w:color w:val="auto"/>
                      <w:lang w:val="en-US" w:eastAsia="zh-CN"/>
                    </w:rPr>
                    <w:t>1</w:t>
                  </w:r>
                  <w:r>
                    <w:rPr>
                      <w:rFonts w:hint="eastAsia"/>
                      <w:color w:val="auto"/>
                      <w:lang w:eastAsia="zh-CN"/>
                    </w:rPr>
                    <w:t>中</w:t>
                  </w:r>
                  <w:r>
                    <w:rPr>
                      <w:rFonts w:hint="eastAsia"/>
                      <w:color w:val="auto"/>
                    </w:rPr>
                    <w:t>相关标准。</w:t>
                  </w:r>
                </w:p>
              </w:tc>
            </w:tr>
          </w:tbl>
          <w:p>
            <w:pPr>
              <w:pStyle w:val="4"/>
              <w:spacing w:after="120"/>
              <w:rPr>
                <w:color w:val="auto"/>
              </w:rPr>
            </w:pPr>
            <w:r>
              <w:rPr>
                <w:color w:val="auto"/>
              </w:rPr>
              <w:t>三、噪声</w:t>
            </w:r>
          </w:p>
          <w:p>
            <w:pPr>
              <w:pStyle w:val="101"/>
              <w:ind w:firstLine="480"/>
              <w:rPr>
                <w:rFonts w:hint="eastAsia" w:cs="宋体"/>
                <w:color w:val="auto"/>
                <w:lang w:val="zh-CN"/>
              </w:rPr>
            </w:pPr>
            <w:r>
              <w:rPr>
                <w:rFonts w:hint="eastAsia" w:cs="宋体"/>
                <w:color w:val="auto"/>
                <w:lang w:val="zh-CN"/>
              </w:rPr>
              <w:t>营运期厂界噪声执行</w:t>
            </w:r>
            <w:r>
              <w:rPr>
                <w:rFonts w:hint="default"/>
                <w:color w:val="auto"/>
                <w:lang w:val="en-US" w:eastAsia="zh-CN"/>
              </w:rPr>
              <w:t>《工业企业厂界环境噪声排放标准》（GB12348-2008）中 2 类标准值</w:t>
            </w:r>
            <w:r>
              <w:rPr>
                <w:rFonts w:hint="eastAsia" w:cs="宋体"/>
                <w:color w:val="auto"/>
                <w:lang w:val="zh-CN"/>
              </w:rPr>
              <w:t>。标准限值见下表：</w:t>
            </w:r>
          </w:p>
          <w:p>
            <w:pPr>
              <w:pStyle w:val="117"/>
              <w:rPr>
                <w:color w:val="auto"/>
                <w:lang w:val="zh-CN"/>
              </w:rPr>
            </w:pPr>
            <w:r>
              <w:rPr>
                <w:color w:val="auto"/>
                <w:lang w:val="zh-CN"/>
              </w:rPr>
              <w:t>表</w:t>
            </w:r>
            <w:r>
              <w:rPr>
                <w:color w:val="auto"/>
              </w:rPr>
              <w:t>3-</w:t>
            </w:r>
            <w:r>
              <w:rPr>
                <w:rFonts w:hint="eastAsia"/>
                <w:color w:val="auto"/>
              </w:rPr>
              <w:t>7</w:t>
            </w:r>
            <w:r>
              <w:rPr>
                <w:rFonts w:hint="eastAsia"/>
                <w:color w:val="auto"/>
                <w:lang w:val="zh-CN"/>
              </w:rPr>
              <w:t>《社会生活环境噪声排放标准》</w:t>
            </w:r>
            <w:r>
              <w:rPr>
                <w:color w:val="auto"/>
                <w:lang w:val="zh-CN"/>
              </w:rPr>
              <w:t xml:space="preserve">   单位：dB（A）</w:t>
            </w:r>
          </w:p>
          <w:tbl>
            <w:tblPr>
              <w:tblStyle w:val="3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61"/>
              <w:gridCol w:w="2669"/>
              <w:gridCol w:w="27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 w:hRule="atLeast"/>
                <w:jc w:val="center"/>
              </w:trPr>
              <w:tc>
                <w:tcPr>
                  <w:tcW w:w="1736" w:type="pct"/>
                  <w:noWrap w:val="0"/>
                  <w:vAlign w:val="center"/>
                </w:tcPr>
                <w:p>
                  <w:pPr>
                    <w:pStyle w:val="118"/>
                    <w:rPr>
                      <w:color w:val="auto"/>
                    </w:rPr>
                  </w:pPr>
                  <w:r>
                    <w:rPr>
                      <w:color w:val="auto"/>
                    </w:rPr>
                    <w:t>类别</w:t>
                  </w:r>
                </w:p>
              </w:tc>
              <w:tc>
                <w:tcPr>
                  <w:tcW w:w="1620" w:type="pct"/>
                  <w:noWrap w:val="0"/>
                  <w:vAlign w:val="center"/>
                </w:tcPr>
                <w:p>
                  <w:pPr>
                    <w:pStyle w:val="118"/>
                    <w:rPr>
                      <w:color w:val="auto"/>
                    </w:rPr>
                  </w:pPr>
                  <w:r>
                    <w:rPr>
                      <w:color w:val="auto"/>
                    </w:rPr>
                    <w:t>昼 间</w:t>
                  </w:r>
                </w:p>
              </w:tc>
              <w:tc>
                <w:tcPr>
                  <w:tcW w:w="1644" w:type="pct"/>
                  <w:noWrap w:val="0"/>
                  <w:vAlign w:val="center"/>
                </w:tcPr>
                <w:p>
                  <w:pPr>
                    <w:pStyle w:val="118"/>
                    <w:rPr>
                      <w:color w:val="auto"/>
                    </w:rPr>
                  </w:pPr>
                  <w:r>
                    <w:rPr>
                      <w:color w:val="auto"/>
                    </w:rPr>
                    <w:t>夜 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736" w:type="pct"/>
                  <w:noWrap w:val="0"/>
                  <w:vAlign w:val="center"/>
                </w:tcPr>
                <w:p>
                  <w:pPr>
                    <w:pStyle w:val="118"/>
                    <w:rPr>
                      <w:color w:val="auto"/>
                    </w:rPr>
                  </w:pPr>
                  <w:r>
                    <w:rPr>
                      <w:color w:val="auto"/>
                    </w:rPr>
                    <w:t>2类</w:t>
                  </w:r>
                </w:p>
              </w:tc>
              <w:tc>
                <w:tcPr>
                  <w:tcW w:w="1620" w:type="pct"/>
                  <w:noWrap w:val="0"/>
                  <w:vAlign w:val="center"/>
                </w:tcPr>
                <w:p>
                  <w:pPr>
                    <w:pStyle w:val="118"/>
                    <w:rPr>
                      <w:color w:val="auto"/>
                    </w:rPr>
                  </w:pPr>
                  <w:r>
                    <w:rPr>
                      <w:color w:val="auto"/>
                    </w:rPr>
                    <w:t>60</w:t>
                  </w:r>
                </w:p>
              </w:tc>
              <w:tc>
                <w:tcPr>
                  <w:tcW w:w="1644" w:type="pct"/>
                  <w:noWrap w:val="0"/>
                  <w:vAlign w:val="center"/>
                </w:tcPr>
                <w:p>
                  <w:pPr>
                    <w:pStyle w:val="118"/>
                    <w:rPr>
                      <w:color w:val="auto"/>
                    </w:rPr>
                  </w:pPr>
                  <w:r>
                    <w:rPr>
                      <w:color w:val="auto"/>
                    </w:rPr>
                    <w:t>50</w:t>
                  </w:r>
                </w:p>
              </w:tc>
            </w:tr>
          </w:tbl>
          <w:p>
            <w:pPr>
              <w:pStyle w:val="4"/>
              <w:spacing w:after="120"/>
              <w:rPr>
                <w:color w:val="auto"/>
              </w:rPr>
            </w:pPr>
            <w:r>
              <w:rPr>
                <w:color w:val="auto"/>
              </w:rPr>
              <w:t>四、固废</w:t>
            </w:r>
          </w:p>
          <w:p>
            <w:pPr>
              <w:pStyle w:val="101"/>
              <w:ind w:firstLine="480"/>
              <w:rPr>
                <w:color w:val="auto"/>
              </w:rPr>
            </w:pPr>
            <w:r>
              <w:rPr>
                <w:color w:val="auto"/>
              </w:rPr>
              <w:t>一般固体废弃物排放标准执行</w:t>
            </w:r>
            <w:r>
              <w:rPr>
                <w:rFonts w:hint="eastAsia"/>
                <w:color w:val="auto"/>
              </w:rPr>
              <w:t>《一般工业固体废物贮存和填埋污染控制标准》（GB18599-2020）</w:t>
            </w:r>
            <w:r>
              <w:rPr>
                <w:color w:val="auto"/>
              </w:rPr>
              <w:t>中</w:t>
            </w:r>
            <w:r>
              <w:rPr>
                <w:rFonts w:hint="eastAsia"/>
                <w:color w:val="auto"/>
              </w:rPr>
              <w:t>的相关要求，危险废物</w:t>
            </w:r>
            <w:r>
              <w:rPr>
                <w:color w:val="auto"/>
              </w:rPr>
              <w:t>执行《危险废物贮存污染控制标准》（GB18597-2001（2013年修订）</w:t>
            </w:r>
            <w:r>
              <w:rPr>
                <w:rFonts w:hint="eastAsia"/>
                <w:color w:val="auto"/>
              </w:rPr>
              <w:t>中的相关要求。</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951" w:hRule="atLeast"/>
          <w:jc w:val="center"/>
        </w:trPr>
        <w:tc>
          <w:tcPr>
            <w:tcW w:w="348" w:type="pct"/>
            <w:noWrap w:val="0"/>
            <w:vAlign w:val="center"/>
          </w:tcPr>
          <w:p>
            <w:pPr>
              <w:pStyle w:val="101"/>
              <w:ind w:firstLine="0" w:firstLineChars="0"/>
              <w:jc w:val="center"/>
              <w:rPr>
                <w:rFonts w:hint="eastAsia"/>
                <w:color w:val="auto"/>
              </w:rPr>
            </w:pPr>
            <w:r>
              <w:rPr>
                <w:rFonts w:hint="eastAsia"/>
                <w:color w:val="auto"/>
              </w:rPr>
              <w:t>总量控制指标</w:t>
            </w:r>
          </w:p>
        </w:tc>
        <w:tc>
          <w:tcPr>
            <w:tcW w:w="4651" w:type="pct"/>
            <w:noWrap w:val="0"/>
            <w:vAlign w:val="center"/>
          </w:tcPr>
          <w:p>
            <w:pPr>
              <w:pStyle w:val="4"/>
              <w:numPr>
                <w:ilvl w:val="0"/>
                <w:numId w:val="18"/>
              </w:numPr>
              <w:rPr>
                <w:color w:val="auto"/>
              </w:rPr>
            </w:pPr>
            <w:r>
              <w:rPr>
                <w:color w:val="auto"/>
              </w:rPr>
              <w:t>总量控制因子</w:t>
            </w:r>
          </w:p>
          <w:p>
            <w:pPr>
              <w:pStyle w:val="104"/>
              <w:ind w:firstLine="480"/>
              <w:rPr>
                <w:rFonts w:hint="eastAsia"/>
                <w:color w:val="auto"/>
                <w:lang w:val="zh-CN"/>
              </w:rPr>
            </w:pPr>
            <w:r>
              <w:rPr>
                <w:rFonts w:hint="eastAsia"/>
                <w:color w:val="auto"/>
                <w:lang w:val="zh-CN"/>
              </w:rPr>
              <w:t>根据项目污染物排放特点，本评价确定的污染物排放总量控制因子为：</w:t>
            </w:r>
          </w:p>
          <w:p>
            <w:pPr>
              <w:pStyle w:val="104"/>
              <w:ind w:firstLine="480"/>
              <w:rPr>
                <w:rFonts w:hint="eastAsia"/>
                <w:color w:val="auto"/>
                <w:lang w:val="zh-CN"/>
              </w:rPr>
            </w:pPr>
            <w:r>
              <w:rPr>
                <w:rFonts w:hint="eastAsia"/>
                <w:color w:val="auto"/>
                <w:lang w:val="zh-CN"/>
              </w:rPr>
              <w:t>废水总量控制指标：COD、NH</w:t>
            </w:r>
            <w:r>
              <w:rPr>
                <w:rFonts w:hint="eastAsia"/>
                <w:color w:val="auto"/>
                <w:vertAlign w:val="subscript"/>
                <w:lang w:val="zh-CN"/>
              </w:rPr>
              <w:t>3</w:t>
            </w:r>
            <w:r>
              <w:rPr>
                <w:rFonts w:hint="eastAsia"/>
                <w:color w:val="auto"/>
                <w:lang w:val="zh-CN"/>
              </w:rPr>
              <w:t>-N、TP</w:t>
            </w:r>
          </w:p>
          <w:p>
            <w:pPr>
              <w:pStyle w:val="104"/>
              <w:ind w:firstLine="480"/>
              <w:rPr>
                <w:rFonts w:hint="eastAsia"/>
                <w:color w:val="auto"/>
                <w:lang w:val="zh-CN"/>
              </w:rPr>
            </w:pPr>
            <w:r>
              <w:rPr>
                <w:rFonts w:hint="eastAsia"/>
                <w:color w:val="auto"/>
                <w:lang w:val="zh-CN"/>
              </w:rPr>
              <w:t>废气总量控制指标：无</w:t>
            </w:r>
          </w:p>
          <w:p>
            <w:pPr>
              <w:pStyle w:val="4"/>
              <w:numPr>
                <w:ilvl w:val="0"/>
                <w:numId w:val="18"/>
              </w:numPr>
              <w:rPr>
                <w:rFonts w:cs="宋体"/>
                <w:color w:val="auto"/>
                <w:kern w:val="2"/>
                <w:szCs w:val="24"/>
                <w:lang w:val="zh-CN"/>
              </w:rPr>
            </w:pPr>
            <w:r>
              <w:rPr>
                <w:rFonts w:cs="宋体"/>
                <w:color w:val="auto"/>
                <w:kern w:val="2"/>
                <w:szCs w:val="24"/>
                <w:lang w:val="zh-CN"/>
              </w:rPr>
              <w:t>废水污染物总量指标</w:t>
            </w:r>
          </w:p>
          <w:p>
            <w:pPr>
              <w:pStyle w:val="104"/>
              <w:ind w:firstLine="480"/>
              <w:rPr>
                <w:rFonts w:hint="eastAsia"/>
                <w:color w:val="auto"/>
                <w:lang w:val="de-DE"/>
              </w:rPr>
            </w:pPr>
            <w:r>
              <w:rPr>
                <w:rFonts w:hint="eastAsia"/>
                <w:color w:val="auto"/>
                <w:lang w:val="de-DE"/>
              </w:rPr>
              <w:t>按照《关于贯彻落实&lt;建设项目主要污染物排放总量指标审核及管理暂行办法&gt;的通知》（川环办发〔2015〕333号）文件要求，本项目</w:t>
            </w:r>
            <w:r>
              <w:rPr>
                <w:rFonts w:hint="eastAsia"/>
                <w:color w:val="auto"/>
                <w:lang w:val="de-DE" w:eastAsia="zh-CN"/>
              </w:rPr>
              <w:t>废</w:t>
            </w:r>
            <w:r>
              <w:rPr>
                <w:rFonts w:hint="eastAsia"/>
                <w:color w:val="auto"/>
                <w:lang w:val="de-DE"/>
              </w:rPr>
              <w:t>水以及末端污水处理厂排放量采用排放标准法进行计算。</w:t>
            </w:r>
          </w:p>
          <w:p>
            <w:pPr>
              <w:pStyle w:val="104"/>
              <w:ind w:firstLine="480"/>
              <w:rPr>
                <w:rFonts w:hint="eastAsia"/>
                <w:color w:val="auto"/>
              </w:rPr>
            </w:pPr>
            <w:r>
              <w:rPr>
                <w:rFonts w:hint="eastAsia"/>
                <w:color w:val="auto"/>
                <w:lang w:val="de-DE"/>
              </w:rPr>
              <w:t>本项目</w:t>
            </w:r>
            <w:r>
              <w:rPr>
                <w:rFonts w:hint="eastAsia"/>
                <w:color w:val="auto"/>
                <w:lang w:val="de-DE" w:eastAsia="zh-CN"/>
              </w:rPr>
              <w:t>废水排放总量为408.8m</w:t>
            </w:r>
            <w:r>
              <w:rPr>
                <w:rFonts w:hint="eastAsia"/>
                <w:color w:val="auto"/>
                <w:vertAlign w:val="superscript"/>
                <w:lang w:val="de-DE" w:eastAsia="zh-CN"/>
              </w:rPr>
              <w:t>3</w:t>
            </w:r>
            <w:r>
              <w:rPr>
                <w:rFonts w:hint="eastAsia"/>
                <w:color w:val="auto"/>
                <w:lang w:val="de-DE" w:eastAsia="zh-CN"/>
              </w:rPr>
              <w:t>/a，计算出本项目废水进入市政管网的量：</w:t>
            </w:r>
            <w:r>
              <w:rPr>
                <w:rFonts w:hint="eastAsia"/>
                <w:color w:val="auto"/>
              </w:rPr>
              <w:t>。</w:t>
            </w:r>
          </w:p>
          <w:p>
            <w:pPr>
              <w:pStyle w:val="104"/>
              <w:ind w:firstLine="482"/>
              <w:rPr>
                <w:rFonts w:hint="eastAsia" w:eastAsia="宋体"/>
                <w:b/>
                <w:bCs/>
                <w:color w:val="auto"/>
                <w:lang w:eastAsia="zh-CN"/>
              </w:rPr>
            </w:pPr>
            <w:r>
              <w:rPr>
                <w:rFonts w:hint="eastAsia"/>
                <w:b/>
                <w:bCs/>
                <w:color w:val="auto"/>
                <w:lang w:eastAsia="zh-CN"/>
              </w:rPr>
              <w:t>本项目废水进入市政污水管网</w:t>
            </w:r>
            <w:r>
              <w:rPr>
                <w:rFonts w:hint="eastAsia"/>
                <w:b/>
                <w:bCs/>
                <w:color w:val="auto"/>
              </w:rPr>
              <w:t>水污染物排放量</w:t>
            </w:r>
            <w:r>
              <w:rPr>
                <w:rFonts w:hint="eastAsia"/>
                <w:b/>
                <w:bCs/>
                <w:color w:val="auto"/>
                <w:lang w:eastAsia="zh-CN"/>
              </w:rPr>
              <w:t>：</w:t>
            </w:r>
          </w:p>
          <w:p>
            <w:pPr>
              <w:pStyle w:val="104"/>
              <w:ind w:firstLine="480"/>
              <w:rPr>
                <w:rFonts w:hint="eastAsia"/>
                <w:color w:val="auto"/>
                <w:lang w:val="de-DE"/>
              </w:rPr>
            </w:pPr>
            <w:r>
              <w:rPr>
                <w:rFonts w:hint="eastAsia"/>
                <w:color w:val="auto"/>
                <w:lang w:val="de-DE"/>
              </w:rPr>
              <w:t>COD：</w:t>
            </w:r>
            <w:r>
              <w:rPr>
                <w:rFonts w:hint="eastAsia"/>
                <w:color w:val="auto"/>
                <w:lang w:val="de-DE" w:eastAsia="zh-CN"/>
              </w:rPr>
              <w:t>408.8</w:t>
            </w:r>
            <w:r>
              <w:rPr>
                <w:rFonts w:hint="eastAsia"/>
                <w:color w:val="auto"/>
                <w:lang w:val="de-DE"/>
              </w:rPr>
              <w:t>m</w:t>
            </w:r>
            <w:r>
              <w:rPr>
                <w:rFonts w:hint="eastAsia"/>
                <w:color w:val="auto"/>
                <w:vertAlign w:val="superscript"/>
                <w:lang w:val="de-DE"/>
              </w:rPr>
              <w:t>3</w:t>
            </w:r>
            <w:r>
              <w:rPr>
                <w:rFonts w:hint="eastAsia"/>
                <w:color w:val="auto"/>
                <w:lang w:val="de-DE"/>
              </w:rPr>
              <w:t>/a×</w:t>
            </w:r>
            <w:r>
              <w:rPr>
                <w:rFonts w:hint="eastAsia"/>
                <w:color w:val="auto"/>
              </w:rPr>
              <w:t>50</w:t>
            </w:r>
            <w:r>
              <w:rPr>
                <w:rFonts w:hint="eastAsia"/>
                <w:color w:val="auto"/>
                <w:lang w:val="de-DE"/>
              </w:rPr>
              <w:t>0mg/L×10</w:t>
            </w:r>
            <w:r>
              <w:rPr>
                <w:rFonts w:hint="eastAsia"/>
                <w:color w:val="auto"/>
                <w:vertAlign w:val="superscript"/>
                <w:lang w:val="de-DE"/>
              </w:rPr>
              <w:t>-6</w:t>
            </w:r>
            <w:r>
              <w:rPr>
                <w:rFonts w:hint="eastAsia"/>
                <w:color w:val="auto"/>
                <w:lang w:val="de-DE"/>
              </w:rPr>
              <w:t>=</w:t>
            </w:r>
            <w:r>
              <w:rPr>
                <w:rFonts w:hint="eastAsia"/>
                <w:color w:val="auto"/>
              </w:rPr>
              <w:t>0.</w:t>
            </w:r>
            <w:r>
              <w:rPr>
                <w:rFonts w:hint="eastAsia"/>
                <w:color w:val="auto"/>
                <w:lang w:val="en-US" w:eastAsia="zh-CN"/>
              </w:rPr>
              <w:t>204</w:t>
            </w:r>
            <w:r>
              <w:rPr>
                <w:rFonts w:hint="eastAsia"/>
                <w:color w:val="auto"/>
                <w:lang w:val="de-DE"/>
              </w:rPr>
              <w:t>t/a</w:t>
            </w:r>
          </w:p>
          <w:p>
            <w:pPr>
              <w:pStyle w:val="104"/>
              <w:ind w:firstLine="480"/>
              <w:rPr>
                <w:rFonts w:hint="eastAsia"/>
                <w:color w:val="auto"/>
                <w:lang w:val="de-DE"/>
              </w:rPr>
            </w:pPr>
            <w:r>
              <w:rPr>
                <w:rFonts w:hint="eastAsia"/>
                <w:color w:val="auto"/>
                <w:lang w:val="de-DE"/>
              </w:rPr>
              <w:t>NH</w:t>
            </w:r>
            <w:r>
              <w:rPr>
                <w:rFonts w:hint="eastAsia"/>
                <w:color w:val="auto"/>
                <w:vertAlign w:val="subscript"/>
                <w:lang w:val="de-DE"/>
              </w:rPr>
              <w:t>3</w:t>
            </w:r>
            <w:r>
              <w:rPr>
                <w:rFonts w:hint="eastAsia"/>
                <w:color w:val="auto"/>
                <w:lang w:val="de-DE"/>
              </w:rPr>
              <w:t>-N：</w:t>
            </w:r>
            <w:r>
              <w:rPr>
                <w:rFonts w:hint="eastAsia"/>
                <w:color w:val="auto"/>
                <w:lang w:val="de-DE" w:eastAsia="zh-CN"/>
              </w:rPr>
              <w:t>408.8</w:t>
            </w:r>
            <w:r>
              <w:rPr>
                <w:rFonts w:hint="eastAsia"/>
                <w:color w:val="auto"/>
                <w:lang w:val="de-DE"/>
              </w:rPr>
              <w:t>m</w:t>
            </w:r>
            <w:r>
              <w:rPr>
                <w:rFonts w:hint="eastAsia"/>
                <w:color w:val="auto"/>
                <w:vertAlign w:val="superscript"/>
                <w:lang w:val="de-DE"/>
              </w:rPr>
              <w:t>3</w:t>
            </w:r>
            <w:r>
              <w:rPr>
                <w:rFonts w:hint="eastAsia"/>
                <w:color w:val="auto"/>
                <w:lang w:val="de-DE"/>
              </w:rPr>
              <w:t>/a×</w:t>
            </w:r>
            <w:r>
              <w:rPr>
                <w:rFonts w:hint="eastAsia"/>
                <w:color w:val="auto"/>
              </w:rPr>
              <w:t>45</w:t>
            </w:r>
            <w:r>
              <w:rPr>
                <w:rFonts w:hint="eastAsia"/>
                <w:color w:val="auto"/>
                <w:lang w:val="de-DE"/>
              </w:rPr>
              <w:t>mg/L×10</w:t>
            </w:r>
            <w:r>
              <w:rPr>
                <w:rFonts w:hint="eastAsia"/>
                <w:color w:val="auto"/>
                <w:vertAlign w:val="superscript"/>
                <w:lang w:val="de-DE"/>
              </w:rPr>
              <w:t>-6</w:t>
            </w:r>
            <w:r>
              <w:rPr>
                <w:rFonts w:hint="eastAsia"/>
                <w:color w:val="auto"/>
                <w:lang w:val="de-DE"/>
              </w:rPr>
              <w:t>=</w:t>
            </w:r>
            <w:r>
              <w:rPr>
                <w:rFonts w:hint="eastAsia"/>
                <w:color w:val="auto"/>
              </w:rPr>
              <w:t>0.0</w:t>
            </w:r>
            <w:r>
              <w:rPr>
                <w:rFonts w:hint="eastAsia"/>
                <w:color w:val="auto"/>
                <w:lang w:val="en-US" w:eastAsia="zh-CN"/>
              </w:rPr>
              <w:t>18</w:t>
            </w:r>
            <w:r>
              <w:rPr>
                <w:rFonts w:hint="eastAsia"/>
                <w:color w:val="auto"/>
                <w:lang w:val="de-DE"/>
              </w:rPr>
              <w:t>t/a</w:t>
            </w:r>
          </w:p>
          <w:p>
            <w:pPr>
              <w:pStyle w:val="104"/>
              <w:ind w:firstLine="480"/>
              <w:rPr>
                <w:rFonts w:hint="eastAsia"/>
                <w:color w:val="auto"/>
                <w:lang w:val="de-DE"/>
              </w:rPr>
            </w:pPr>
            <w:r>
              <w:rPr>
                <w:rFonts w:hint="eastAsia"/>
                <w:color w:val="auto"/>
                <w:lang w:val="de-DE"/>
              </w:rPr>
              <w:t>TP：</w:t>
            </w:r>
            <w:r>
              <w:rPr>
                <w:rFonts w:hint="eastAsia"/>
                <w:color w:val="auto"/>
                <w:lang w:val="de-DE" w:eastAsia="zh-CN"/>
              </w:rPr>
              <w:t>408.8</w:t>
            </w:r>
            <w:r>
              <w:rPr>
                <w:rFonts w:hint="eastAsia"/>
                <w:color w:val="auto"/>
                <w:lang w:val="de-DE"/>
              </w:rPr>
              <w:t>m</w:t>
            </w:r>
            <w:r>
              <w:rPr>
                <w:rFonts w:hint="eastAsia"/>
                <w:color w:val="auto"/>
                <w:vertAlign w:val="superscript"/>
                <w:lang w:val="de-DE"/>
              </w:rPr>
              <w:t>3</w:t>
            </w:r>
            <w:r>
              <w:rPr>
                <w:rFonts w:hint="eastAsia"/>
                <w:color w:val="auto"/>
                <w:lang w:val="de-DE"/>
              </w:rPr>
              <w:t>/a×</w:t>
            </w:r>
            <w:r>
              <w:rPr>
                <w:rFonts w:hint="eastAsia"/>
                <w:color w:val="auto"/>
              </w:rPr>
              <w:t>8</w:t>
            </w:r>
            <w:r>
              <w:rPr>
                <w:rFonts w:hint="eastAsia"/>
                <w:color w:val="auto"/>
                <w:lang w:val="de-DE"/>
              </w:rPr>
              <w:t>mg/L×10</w:t>
            </w:r>
            <w:r>
              <w:rPr>
                <w:rFonts w:hint="eastAsia"/>
                <w:color w:val="auto"/>
                <w:vertAlign w:val="superscript"/>
                <w:lang w:val="de-DE"/>
              </w:rPr>
              <w:t>-6</w:t>
            </w:r>
            <w:r>
              <w:rPr>
                <w:rFonts w:hint="eastAsia"/>
                <w:color w:val="auto"/>
                <w:lang w:val="de-DE"/>
              </w:rPr>
              <w:t>=0.</w:t>
            </w:r>
            <w:r>
              <w:rPr>
                <w:rFonts w:hint="eastAsia"/>
                <w:color w:val="auto"/>
              </w:rPr>
              <w:t>00</w:t>
            </w:r>
            <w:r>
              <w:rPr>
                <w:rFonts w:hint="eastAsia"/>
                <w:color w:val="auto"/>
                <w:lang w:val="en-US" w:eastAsia="zh-CN"/>
              </w:rPr>
              <w:t>3</w:t>
            </w:r>
            <w:r>
              <w:rPr>
                <w:rFonts w:hint="eastAsia"/>
                <w:color w:val="auto"/>
                <w:lang w:val="de-DE"/>
              </w:rPr>
              <w:t>t/a</w:t>
            </w:r>
          </w:p>
          <w:p>
            <w:pPr>
              <w:pStyle w:val="104"/>
              <w:ind w:firstLine="482"/>
              <w:rPr>
                <w:rFonts w:hint="eastAsia"/>
                <w:b/>
                <w:bCs/>
                <w:color w:val="auto"/>
                <w:lang w:val="de-DE"/>
              </w:rPr>
            </w:pPr>
            <w:r>
              <w:rPr>
                <w:rFonts w:hint="eastAsia"/>
                <w:b/>
                <w:bCs/>
                <w:color w:val="auto"/>
                <w:lang w:val="de-DE"/>
              </w:rPr>
              <w:t>乐山市第一污水处理厂排水浓度执行《四川省岷江、沱江流域水污染物排放标准》（DB51/2311-2016）“城镇污水处理厂”标准限值：</w:t>
            </w:r>
          </w:p>
          <w:p>
            <w:pPr>
              <w:pStyle w:val="104"/>
              <w:ind w:firstLine="480"/>
              <w:rPr>
                <w:rFonts w:hint="eastAsia"/>
                <w:color w:val="auto"/>
                <w:lang w:val="de-DE"/>
              </w:rPr>
            </w:pPr>
            <w:r>
              <w:rPr>
                <w:rFonts w:hint="eastAsia"/>
                <w:color w:val="auto"/>
                <w:lang w:val="de-DE"/>
              </w:rPr>
              <w:t>COD：</w:t>
            </w:r>
            <w:r>
              <w:rPr>
                <w:rFonts w:hint="eastAsia"/>
                <w:color w:val="auto"/>
              </w:rPr>
              <w:t>408.8</w:t>
            </w:r>
            <w:r>
              <w:rPr>
                <w:rFonts w:hint="eastAsia"/>
                <w:color w:val="auto"/>
                <w:lang w:val="de-DE"/>
              </w:rPr>
              <w:t>m</w:t>
            </w:r>
            <w:r>
              <w:rPr>
                <w:rFonts w:hint="eastAsia"/>
                <w:color w:val="auto"/>
                <w:vertAlign w:val="superscript"/>
                <w:lang w:val="de-DE"/>
              </w:rPr>
              <w:t>3</w:t>
            </w:r>
            <w:r>
              <w:rPr>
                <w:rFonts w:hint="eastAsia"/>
                <w:color w:val="auto"/>
                <w:lang w:val="de-DE"/>
              </w:rPr>
              <w:t>/a×</w:t>
            </w:r>
            <w:r>
              <w:rPr>
                <w:rFonts w:hint="eastAsia"/>
                <w:color w:val="auto"/>
              </w:rPr>
              <w:t>3</w:t>
            </w:r>
            <w:r>
              <w:rPr>
                <w:rFonts w:hint="eastAsia"/>
                <w:color w:val="auto"/>
                <w:lang w:val="de-DE"/>
              </w:rPr>
              <w:t>0mg/L×10</w:t>
            </w:r>
            <w:r>
              <w:rPr>
                <w:rFonts w:hint="eastAsia"/>
                <w:color w:val="auto"/>
                <w:vertAlign w:val="superscript"/>
                <w:lang w:val="de-DE"/>
              </w:rPr>
              <w:t>-6</w:t>
            </w:r>
            <w:r>
              <w:rPr>
                <w:rFonts w:hint="eastAsia"/>
                <w:color w:val="auto"/>
                <w:lang w:val="de-DE"/>
              </w:rPr>
              <w:t>=</w:t>
            </w:r>
            <w:r>
              <w:rPr>
                <w:rFonts w:hint="eastAsia"/>
                <w:color w:val="auto"/>
              </w:rPr>
              <w:t>0.012</w:t>
            </w:r>
            <w:r>
              <w:rPr>
                <w:rFonts w:hint="eastAsia"/>
                <w:color w:val="auto"/>
                <w:lang w:val="de-DE"/>
              </w:rPr>
              <w:t>t/a</w:t>
            </w:r>
          </w:p>
          <w:p>
            <w:pPr>
              <w:pStyle w:val="104"/>
              <w:ind w:firstLine="480"/>
              <w:rPr>
                <w:rFonts w:hint="eastAsia"/>
                <w:color w:val="auto"/>
                <w:lang w:val="de-DE"/>
              </w:rPr>
            </w:pPr>
            <w:r>
              <w:rPr>
                <w:rFonts w:hint="eastAsia"/>
                <w:color w:val="auto"/>
                <w:lang w:val="de-DE"/>
              </w:rPr>
              <w:t>NH</w:t>
            </w:r>
            <w:r>
              <w:rPr>
                <w:rFonts w:hint="eastAsia"/>
                <w:color w:val="auto"/>
                <w:vertAlign w:val="subscript"/>
                <w:lang w:val="de-DE"/>
              </w:rPr>
              <w:t>3</w:t>
            </w:r>
            <w:r>
              <w:rPr>
                <w:rFonts w:hint="eastAsia"/>
                <w:color w:val="auto"/>
                <w:lang w:val="de-DE"/>
              </w:rPr>
              <w:t>-N(</w:t>
            </w:r>
            <w:r>
              <w:rPr>
                <w:rFonts w:hint="eastAsia"/>
                <w:color w:val="auto"/>
              </w:rPr>
              <w:t>水温</w:t>
            </w:r>
            <w:r>
              <w:rPr>
                <w:rFonts w:hint="eastAsia"/>
                <w:color w:val="auto"/>
                <w:lang w:val="de-DE"/>
              </w:rPr>
              <w:t>＞12℃）：408.8m</w:t>
            </w:r>
            <w:r>
              <w:rPr>
                <w:rFonts w:hint="eastAsia"/>
                <w:color w:val="auto"/>
                <w:vertAlign w:val="superscript"/>
                <w:lang w:val="de-DE"/>
              </w:rPr>
              <w:t>3</w:t>
            </w:r>
            <w:r>
              <w:rPr>
                <w:rFonts w:hint="eastAsia"/>
                <w:color w:val="auto"/>
                <w:lang w:val="de-DE"/>
              </w:rPr>
              <w:t>/a×1.5mg/L×1</w:t>
            </w:r>
            <w:r>
              <w:rPr>
                <w:rFonts w:hint="eastAsia"/>
                <w:color w:val="auto"/>
                <w:vertAlign w:val="superscript"/>
                <w:lang w:val="de-DE"/>
              </w:rPr>
              <w:t>0-6</w:t>
            </w:r>
            <w:r>
              <w:rPr>
                <w:rFonts w:hint="eastAsia"/>
                <w:color w:val="auto"/>
                <w:lang w:val="de-DE"/>
              </w:rPr>
              <w:t>=0.0006t/a</w:t>
            </w:r>
          </w:p>
          <w:p>
            <w:pPr>
              <w:pStyle w:val="104"/>
              <w:ind w:firstLine="480"/>
              <w:rPr>
                <w:rFonts w:hint="eastAsia"/>
                <w:color w:val="auto"/>
                <w:lang w:val="de-DE"/>
              </w:rPr>
            </w:pPr>
            <w:r>
              <w:rPr>
                <w:rFonts w:hint="eastAsia"/>
                <w:color w:val="auto"/>
                <w:lang w:val="de-DE"/>
              </w:rPr>
              <w:t>NH</w:t>
            </w:r>
            <w:r>
              <w:rPr>
                <w:rFonts w:hint="eastAsia"/>
                <w:color w:val="auto"/>
                <w:vertAlign w:val="subscript"/>
                <w:lang w:val="de-DE"/>
              </w:rPr>
              <w:t>3</w:t>
            </w:r>
            <w:r>
              <w:rPr>
                <w:rFonts w:hint="eastAsia"/>
                <w:color w:val="auto"/>
                <w:lang w:val="de-DE"/>
              </w:rPr>
              <w:t>-N（</w:t>
            </w:r>
            <w:r>
              <w:rPr>
                <w:rFonts w:hint="eastAsia"/>
                <w:color w:val="auto"/>
              </w:rPr>
              <w:t>水温</w:t>
            </w:r>
            <w:r>
              <w:rPr>
                <w:rFonts w:hint="eastAsia"/>
                <w:color w:val="auto"/>
                <w:lang w:val="de-DE"/>
              </w:rPr>
              <w:t>≤12℃）：408.8m</w:t>
            </w:r>
            <w:r>
              <w:rPr>
                <w:rFonts w:hint="eastAsia"/>
                <w:color w:val="auto"/>
                <w:vertAlign w:val="superscript"/>
                <w:lang w:val="de-DE"/>
              </w:rPr>
              <w:t>3</w:t>
            </w:r>
            <w:r>
              <w:rPr>
                <w:rFonts w:hint="eastAsia"/>
                <w:color w:val="auto"/>
                <w:lang w:val="de-DE"/>
              </w:rPr>
              <w:t>/a×3mg/L×10</w:t>
            </w:r>
            <w:r>
              <w:rPr>
                <w:rFonts w:hint="eastAsia"/>
                <w:color w:val="auto"/>
                <w:vertAlign w:val="superscript"/>
                <w:lang w:val="de-DE"/>
              </w:rPr>
              <w:t>-6</w:t>
            </w:r>
            <w:r>
              <w:rPr>
                <w:rFonts w:hint="eastAsia"/>
                <w:color w:val="auto"/>
                <w:lang w:val="de-DE"/>
              </w:rPr>
              <w:t>=0.0012t/a</w:t>
            </w:r>
          </w:p>
          <w:p>
            <w:pPr>
              <w:pStyle w:val="104"/>
              <w:ind w:firstLine="480"/>
              <w:rPr>
                <w:rFonts w:hint="eastAsia"/>
                <w:color w:val="auto"/>
                <w:lang w:val="de-DE"/>
              </w:rPr>
            </w:pPr>
            <w:r>
              <w:rPr>
                <w:rFonts w:hint="eastAsia"/>
                <w:color w:val="auto"/>
              </w:rPr>
              <w:t>TP</w:t>
            </w:r>
            <w:r>
              <w:rPr>
                <w:rFonts w:hint="eastAsia"/>
                <w:color w:val="auto"/>
                <w:lang w:val="de-DE"/>
              </w:rPr>
              <w:t>：408.8m</w:t>
            </w:r>
            <w:r>
              <w:rPr>
                <w:rFonts w:hint="eastAsia"/>
                <w:color w:val="auto"/>
                <w:vertAlign w:val="superscript"/>
                <w:lang w:val="de-DE"/>
              </w:rPr>
              <w:t>3</w:t>
            </w:r>
            <w:r>
              <w:rPr>
                <w:rFonts w:hint="eastAsia"/>
                <w:color w:val="auto"/>
                <w:lang w:val="de-DE"/>
              </w:rPr>
              <w:t>/a×0.</w:t>
            </w:r>
            <w:r>
              <w:rPr>
                <w:rFonts w:hint="eastAsia"/>
                <w:color w:val="auto"/>
              </w:rPr>
              <w:t>3</w:t>
            </w:r>
            <w:r>
              <w:rPr>
                <w:rFonts w:hint="eastAsia"/>
                <w:color w:val="auto"/>
                <w:lang w:val="de-DE"/>
              </w:rPr>
              <w:t>mg/L×10</w:t>
            </w:r>
            <w:r>
              <w:rPr>
                <w:rFonts w:hint="eastAsia"/>
                <w:color w:val="auto"/>
                <w:vertAlign w:val="superscript"/>
                <w:lang w:val="de-DE"/>
              </w:rPr>
              <w:t>-6</w:t>
            </w:r>
            <w:r>
              <w:rPr>
                <w:rFonts w:hint="eastAsia"/>
                <w:color w:val="auto"/>
                <w:lang w:val="de-DE"/>
              </w:rPr>
              <w:t>=</w:t>
            </w:r>
            <w:r>
              <w:rPr>
                <w:rFonts w:hint="eastAsia"/>
                <w:color w:val="auto"/>
              </w:rPr>
              <w:t>0.00012</w:t>
            </w:r>
            <w:r>
              <w:rPr>
                <w:rFonts w:hint="eastAsia"/>
                <w:color w:val="auto"/>
                <w:lang w:val="de-DE"/>
              </w:rPr>
              <w:t>t/a</w:t>
            </w:r>
          </w:p>
          <w:p>
            <w:pPr>
              <w:pStyle w:val="104"/>
              <w:ind w:firstLine="480"/>
              <w:rPr>
                <w:color w:val="auto"/>
              </w:rPr>
            </w:pPr>
            <w:r>
              <w:rPr>
                <w:rFonts w:hint="eastAsia"/>
                <w:color w:val="auto"/>
                <w:lang w:val="de-DE"/>
              </w:rPr>
              <w:t>项目污水最终进入乐山市第一污水处理厂，总量指标计入乐山市第一污水处理厂总量控制。本次环评仅提供数据。</w:t>
            </w:r>
          </w:p>
        </w:tc>
      </w:tr>
    </w:tbl>
    <w:p>
      <w:pPr>
        <w:pStyle w:val="3"/>
        <w:ind w:firstLine="723"/>
        <w:rPr>
          <w:rFonts w:ascii="黑体" w:hAnsi="黑体" w:eastAsia="黑体"/>
          <w:snapToGrid w:val="0"/>
          <w:color w:val="auto"/>
        </w:rPr>
      </w:pPr>
      <w:r>
        <w:rPr>
          <w:rFonts w:ascii="黑体" w:hAnsi="黑体" w:eastAsia="黑体"/>
          <w:snapToGrid w:val="0"/>
          <w:color w:val="auto"/>
          <w:sz w:val="36"/>
          <w:szCs w:val="36"/>
        </w:rPr>
        <w:br w:type="page"/>
      </w:r>
      <w:bookmarkStart w:id="37" w:name="_Toc5151"/>
      <w:r>
        <w:rPr>
          <w:rFonts w:hint="eastAsia" w:ascii="宋体" w:hAnsi="宋体" w:cs="宋体"/>
          <w:snapToGrid w:val="0"/>
          <w:color w:val="auto"/>
        </w:rPr>
        <w:t>四、主要环境影响和保护措施</w:t>
      </w:r>
      <w:bookmarkEnd w:id="37"/>
    </w:p>
    <w:tbl>
      <w:tblPr>
        <w:tblStyle w:val="38"/>
        <w:tblW w:w="8981"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244"/>
        <w:gridCol w:w="8737"/>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216" w:hRule="atLeast"/>
          <w:jc w:val="center"/>
        </w:trPr>
        <w:tc>
          <w:tcPr>
            <w:tcW w:w="568" w:type="dxa"/>
            <w:noWrap w:val="0"/>
            <w:tcMar>
              <w:left w:w="28" w:type="dxa"/>
              <w:right w:w="28" w:type="dxa"/>
            </w:tcMar>
            <w:vAlign w:val="center"/>
          </w:tcPr>
          <w:p>
            <w:pPr>
              <w:pStyle w:val="101"/>
              <w:ind w:firstLine="0" w:firstLineChars="0"/>
              <w:jc w:val="center"/>
              <w:rPr>
                <w:rFonts w:hint="eastAsia"/>
                <w:color w:val="auto"/>
              </w:rPr>
            </w:pPr>
            <w:r>
              <w:rPr>
                <w:rFonts w:hint="eastAsia"/>
                <w:color w:val="auto"/>
              </w:rPr>
              <w:t>施工期环境保护措施</w:t>
            </w:r>
          </w:p>
        </w:tc>
        <w:tc>
          <w:tcPr>
            <w:tcW w:w="8413" w:type="dxa"/>
            <w:noWrap w:val="0"/>
            <w:vAlign w:val="center"/>
          </w:tcPr>
          <w:p>
            <w:pPr>
              <w:pStyle w:val="104"/>
              <w:ind w:firstLine="480"/>
              <w:rPr>
                <w:rFonts w:ascii="宋体" w:hAnsi="宋体"/>
                <w:bCs/>
                <w:color w:val="auto"/>
                <w:spacing w:val="-10"/>
                <w:szCs w:val="21"/>
              </w:rPr>
            </w:pPr>
            <w:r>
              <w:rPr>
                <w:rFonts w:hint="eastAsia"/>
                <w:color w:val="auto"/>
                <w:lang w:val="de-DE"/>
              </w:rPr>
              <w:t>本项目为未批先建项目，属于新建补评手续。项目租赁现有的商铺进行项目建设，建筑主体框架已基本形成，项目建设期间，仅对商铺进行简单装修、隔断及设备安装，项目建设阶段产生的污染物较小，根据现场踏勘，该项目施工期已结束，经现场踏查及询问调查，项目施工期无环境遗留问题，未接到相关环境污染投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68" w:type="dxa"/>
            <w:noWrap w:val="0"/>
            <w:tcMar>
              <w:left w:w="28" w:type="dxa"/>
              <w:right w:w="28" w:type="dxa"/>
            </w:tcMar>
            <w:vAlign w:val="center"/>
          </w:tcPr>
          <w:p>
            <w:pPr>
              <w:pStyle w:val="101"/>
              <w:ind w:firstLine="0" w:firstLineChars="0"/>
              <w:jc w:val="center"/>
              <w:rPr>
                <w:rFonts w:hint="eastAsia" w:ascii="宋体" w:hAnsi="宋体" w:cs="宋体"/>
                <w:bCs/>
                <w:color w:val="auto"/>
                <w:szCs w:val="21"/>
              </w:rPr>
            </w:pPr>
            <w:r>
              <w:rPr>
                <w:rFonts w:hint="eastAsia" w:ascii="宋体" w:hAnsi="宋体" w:cs="宋体"/>
                <w:bCs/>
                <w:color w:val="auto"/>
                <w:szCs w:val="21"/>
              </w:rPr>
              <w:t>运营期环境影响和保护措施</w:t>
            </w:r>
          </w:p>
        </w:tc>
        <w:tc>
          <w:tcPr>
            <w:tcW w:w="8413" w:type="dxa"/>
            <w:noWrap w:val="0"/>
            <w:vAlign w:val="center"/>
          </w:tcPr>
          <w:p>
            <w:pPr>
              <w:spacing w:after="120" w:line="480" w:lineRule="exact"/>
              <w:ind w:firstLine="0" w:firstLineChars="0"/>
              <w:jc w:val="left"/>
              <w:outlineLvl w:val="1"/>
              <w:rPr>
                <w:rFonts w:hint="eastAsia"/>
                <w:b/>
                <w:color w:val="auto"/>
                <w:kern w:val="0"/>
                <w:sz w:val="24"/>
                <w:szCs w:val="28"/>
                <w:lang w:bidi="ar"/>
              </w:rPr>
            </w:pPr>
            <w:r>
              <w:rPr>
                <w:rFonts w:hint="eastAsia"/>
                <w:b/>
                <w:color w:val="auto"/>
                <w:kern w:val="0"/>
                <w:sz w:val="24"/>
                <w:szCs w:val="28"/>
                <w:lang w:bidi="ar"/>
              </w:rPr>
              <w:t>一、营运期水环境影响分析和保护措施</w:t>
            </w:r>
          </w:p>
          <w:p>
            <w:pPr>
              <w:keepNext/>
              <w:keepLines/>
              <w:spacing w:before="10" w:after="10" w:line="480" w:lineRule="exact"/>
              <w:ind w:firstLine="482"/>
              <w:outlineLvl w:val="2"/>
              <w:rPr>
                <w:rFonts w:hint="eastAsia"/>
                <w:b/>
                <w:color w:val="auto"/>
                <w:sz w:val="24"/>
              </w:rPr>
            </w:pPr>
            <w:r>
              <w:rPr>
                <w:rFonts w:hint="eastAsia"/>
                <w:b/>
                <w:color w:val="auto"/>
                <w:sz w:val="24"/>
              </w:rPr>
              <w:t>1、</w:t>
            </w:r>
            <w:r>
              <w:rPr>
                <w:b/>
                <w:color w:val="auto"/>
                <w:sz w:val="24"/>
              </w:rPr>
              <w:t>废水</w:t>
            </w:r>
            <w:r>
              <w:rPr>
                <w:rFonts w:hint="eastAsia"/>
                <w:b/>
                <w:color w:val="auto"/>
                <w:sz w:val="24"/>
              </w:rPr>
              <w:t>的产生源强</w:t>
            </w:r>
          </w:p>
          <w:p>
            <w:pPr>
              <w:pStyle w:val="104"/>
              <w:ind w:firstLine="480"/>
              <w:rPr>
                <w:rFonts w:hint="eastAsia"/>
                <w:color w:val="auto"/>
                <w:lang w:eastAsia="zh-CN"/>
              </w:rPr>
            </w:pPr>
            <w:r>
              <w:rPr>
                <w:rFonts w:hint="eastAsia"/>
                <w:color w:val="auto"/>
                <w:lang w:eastAsia="zh-CN"/>
              </w:rPr>
              <w:t>本项目产生的废水主要为医疗废水（宠物治疗用水、宠物手术器械清洗废水、手术室地面清洗废水）以及员工生活污水，项目医疗废水产生科室集中在手术室、诊室内，包含医疗、手术器械的清洗废水及治疗过程产生的废水。</w:t>
            </w:r>
          </w:p>
          <w:p>
            <w:pPr>
              <w:pStyle w:val="104"/>
              <w:ind w:firstLine="480"/>
              <w:rPr>
                <w:rFonts w:hint="eastAsia"/>
                <w:color w:val="auto"/>
                <w:lang w:eastAsia="zh-CN"/>
              </w:rPr>
            </w:pPr>
            <w:r>
              <w:rPr>
                <w:rFonts w:hint="eastAsia"/>
                <w:color w:val="auto"/>
                <w:lang w:eastAsia="zh-CN"/>
              </w:rPr>
              <w:t>本项目不设食堂，因此无餐饮废水产生；影像室使用数字影像设备，不涉及显影液、定影液的使用，因此无洗印废水产生；不自配检测试剂，不使用氰化物试剂和重金属试剂，因此不会产生含氰废水和重金属废水；无制剂科，因此无制剂废水产生及排放。</w:t>
            </w:r>
          </w:p>
          <w:p>
            <w:pPr>
              <w:pStyle w:val="104"/>
              <w:ind w:firstLine="480"/>
              <w:rPr>
                <w:rFonts w:hint="eastAsia"/>
                <w:color w:val="auto"/>
              </w:rPr>
            </w:pPr>
            <w:r>
              <w:rPr>
                <w:rFonts w:hint="eastAsia"/>
                <w:color w:val="auto"/>
                <w:lang w:eastAsia="zh-CN"/>
              </w:rPr>
              <w:t>根据项目水平衡</w:t>
            </w:r>
            <w:r>
              <w:rPr>
                <w:rFonts w:hint="eastAsia"/>
                <w:color w:val="auto"/>
              </w:rPr>
              <w:t>，项目建成后废水总的排放量为1.12m</w:t>
            </w:r>
            <w:r>
              <w:rPr>
                <w:rFonts w:hint="eastAsia"/>
                <w:color w:val="auto"/>
                <w:vertAlign w:val="superscript"/>
              </w:rPr>
              <w:t>3</w:t>
            </w:r>
            <w:r>
              <w:rPr>
                <w:rFonts w:hint="eastAsia"/>
                <w:color w:val="auto"/>
              </w:rPr>
              <w:t>/d（408.8m</w:t>
            </w:r>
            <w:r>
              <w:rPr>
                <w:rFonts w:hint="eastAsia"/>
                <w:color w:val="auto"/>
                <w:vertAlign w:val="superscript"/>
              </w:rPr>
              <w:t>3</w:t>
            </w:r>
            <w:r>
              <w:rPr>
                <w:rFonts w:hint="eastAsia"/>
                <w:color w:val="auto"/>
              </w:rPr>
              <w:t>/a）。</w:t>
            </w:r>
          </w:p>
          <w:p>
            <w:pPr>
              <w:pStyle w:val="104"/>
              <w:ind w:firstLine="482"/>
              <w:rPr>
                <w:b/>
                <w:bCs/>
                <w:color w:val="auto"/>
              </w:rPr>
            </w:pPr>
            <w:r>
              <w:rPr>
                <w:rFonts w:hint="eastAsia"/>
                <w:b/>
                <w:bCs/>
                <w:color w:val="auto"/>
              </w:rPr>
              <w:t>2、现有废水治理措施</w:t>
            </w:r>
          </w:p>
          <w:p>
            <w:pPr>
              <w:pStyle w:val="104"/>
              <w:ind w:firstLine="480"/>
              <w:rPr>
                <w:rFonts w:hint="eastAsia"/>
                <w:color w:val="auto"/>
              </w:rPr>
            </w:pPr>
            <w:r>
              <w:rPr>
                <w:rFonts w:hint="eastAsia"/>
                <w:color w:val="auto"/>
              </w:rPr>
              <w:t>医疗废水经医院一体化污水处理设备</w:t>
            </w:r>
            <w:r>
              <w:rPr>
                <w:rFonts w:hint="eastAsia"/>
                <w:color w:val="auto"/>
                <w:lang w:eastAsia="zh-CN"/>
              </w:rPr>
              <w:t>采用“混凝沉淀</w:t>
            </w:r>
            <w:r>
              <w:rPr>
                <w:rFonts w:hint="eastAsia"/>
                <w:color w:val="auto"/>
                <w:lang w:val="en-US" w:eastAsia="zh-CN"/>
              </w:rPr>
              <w:t>+消毒”工艺处理</w:t>
            </w:r>
            <w:r>
              <w:rPr>
                <w:rFonts w:hint="eastAsia"/>
                <w:color w:val="auto"/>
              </w:rPr>
              <w:t>后</w:t>
            </w:r>
            <w:r>
              <w:rPr>
                <w:rFonts w:hint="eastAsia"/>
                <w:color w:val="auto"/>
                <w:lang w:eastAsia="zh-CN"/>
              </w:rPr>
              <w:t>，</w:t>
            </w:r>
            <w:r>
              <w:rPr>
                <w:rFonts w:hint="eastAsia"/>
                <w:color w:val="auto"/>
              </w:rPr>
              <w:t>同生活污水</w:t>
            </w:r>
            <w:r>
              <w:rPr>
                <w:rFonts w:hint="eastAsia"/>
                <w:color w:val="auto"/>
                <w:lang w:eastAsia="zh-CN"/>
              </w:rPr>
              <w:t>经污水管网</w:t>
            </w:r>
            <w:r>
              <w:rPr>
                <w:rFonts w:hint="eastAsia"/>
                <w:color w:val="auto"/>
              </w:rPr>
              <w:t>进入嘉州春天小区的预处理处理达到《污水综合排放标准》（GB 8978-1996）表 2 中三级标准限值后排入市政污水管网，最终进入乐山市第一污水处理厂处理，经污水处理厂处理达标后排入岷江。</w:t>
            </w:r>
          </w:p>
          <w:p>
            <w:pPr>
              <w:pStyle w:val="104"/>
              <w:ind w:firstLine="482"/>
              <w:rPr>
                <w:b/>
                <w:bCs/>
                <w:color w:val="auto"/>
              </w:rPr>
            </w:pPr>
            <w:r>
              <w:rPr>
                <w:rFonts w:hint="eastAsia"/>
                <w:b/>
                <w:bCs/>
                <w:color w:val="auto"/>
              </w:rPr>
              <w:t>3、现有污水处理措施可行性分析</w:t>
            </w:r>
          </w:p>
          <w:p>
            <w:pPr>
              <w:pStyle w:val="104"/>
              <w:ind w:firstLine="480"/>
              <w:rPr>
                <w:rFonts w:hint="eastAsia"/>
                <w:color w:val="auto"/>
              </w:rPr>
            </w:pPr>
            <w:r>
              <w:rPr>
                <w:rFonts w:hint="eastAsia"/>
                <w:color w:val="auto"/>
              </w:rPr>
              <w:t>项目医疗废水</w:t>
            </w:r>
            <w:r>
              <w:rPr>
                <w:rFonts w:hint="eastAsia"/>
                <w:color w:val="auto"/>
                <w:lang w:eastAsia="zh-CN"/>
              </w:rPr>
              <w:t>目前</w:t>
            </w:r>
            <w:r>
              <w:rPr>
                <w:rFonts w:hint="eastAsia"/>
                <w:color w:val="auto"/>
              </w:rPr>
              <w:t>采用缓释消毒器“</w:t>
            </w:r>
            <w:r>
              <w:rPr>
                <w:rFonts w:hint="eastAsia"/>
                <w:color w:val="auto"/>
                <w:lang w:eastAsia="zh-CN"/>
              </w:rPr>
              <w:t>混凝沉淀</w:t>
            </w:r>
            <w:r>
              <w:rPr>
                <w:rFonts w:hint="eastAsia"/>
                <w:color w:val="auto"/>
              </w:rPr>
              <w:t>+消毒”工艺处理</w:t>
            </w:r>
            <w:r>
              <w:rPr>
                <w:rFonts w:hint="eastAsia"/>
                <w:color w:val="auto"/>
                <w:lang w:eastAsia="zh-CN"/>
              </w:rPr>
              <w:t>后同生活污水将管道进入嘉州春天小区预处理池，处理后</w:t>
            </w:r>
            <w:r>
              <w:rPr>
                <w:rFonts w:hint="eastAsia"/>
                <w:color w:val="auto"/>
              </w:rPr>
              <w:t>排入市政污水管网，具体的工艺流程如下：</w:t>
            </w:r>
          </w:p>
          <w:p>
            <w:pPr>
              <w:pStyle w:val="170"/>
              <w:rPr>
                <w:rFonts w:hint="eastAsia"/>
                <w:color w:val="auto"/>
              </w:rPr>
            </w:pPr>
          </w:p>
          <w:p>
            <w:pPr>
              <w:pStyle w:val="170"/>
              <w:rPr>
                <w:rFonts w:hint="eastAsia"/>
                <w:color w:val="auto"/>
              </w:rPr>
            </w:pPr>
            <w:r>
              <w:rPr>
                <w:rFonts w:hint="eastAsia"/>
                <w:color w:val="auto"/>
              </w:rPr>
              <w:pict>
                <v:shape id="Object 127" o:spid="_x0000_s2050" o:spt="75" type="#_x0000_t75" style="position:absolute;left:0pt;margin-left:3.55pt;margin-top:4.75pt;height:114.25pt;width:406.4pt;z-index:251663360;mso-width-relative:page;mso-height-relative:page;" o:ole="t" filled="f" o:preferrelative="t" stroked="f" coordsize="21600,21600">
                  <v:path/>
                  <v:fill on="f" focussize="0,0"/>
                  <v:stroke on="f"/>
                  <v:imagedata r:id="rId84" o:title=""/>
                  <o:lock v:ext="edit" aspectratio="f"/>
                </v:shape>
                <o:OLEObject Type="Embed" ProgID="" ShapeID="Object 127" DrawAspect="Content" ObjectID="_1468075739" r:id="rId83">
                  <o:LockedField>false</o:LockedField>
                </o:OLEObject>
              </w:pict>
            </w:r>
          </w:p>
          <w:p>
            <w:pPr>
              <w:pStyle w:val="104"/>
              <w:ind w:firstLine="480"/>
              <w:rPr>
                <w:rFonts w:hint="eastAsia"/>
                <w:color w:val="auto"/>
              </w:rPr>
            </w:pPr>
          </w:p>
          <w:p>
            <w:pPr>
              <w:pStyle w:val="104"/>
              <w:ind w:firstLine="480"/>
              <w:rPr>
                <w:rFonts w:hint="eastAsia"/>
                <w:color w:val="auto"/>
              </w:rPr>
            </w:pPr>
          </w:p>
          <w:p>
            <w:pPr>
              <w:pStyle w:val="104"/>
              <w:ind w:firstLine="480"/>
              <w:rPr>
                <w:rFonts w:hint="eastAsia"/>
                <w:color w:val="auto"/>
              </w:rPr>
            </w:pPr>
          </w:p>
          <w:p>
            <w:pPr>
              <w:pStyle w:val="104"/>
              <w:ind w:firstLine="480"/>
              <w:rPr>
                <w:rFonts w:hint="eastAsia"/>
                <w:color w:val="auto"/>
              </w:rPr>
            </w:pPr>
          </w:p>
          <w:p>
            <w:pPr>
              <w:pStyle w:val="117"/>
              <w:rPr>
                <w:rFonts w:hint="eastAsia"/>
                <w:color w:val="auto"/>
              </w:rPr>
            </w:pPr>
          </w:p>
          <w:p>
            <w:pPr>
              <w:pStyle w:val="117"/>
              <w:rPr>
                <w:rFonts w:hint="eastAsia"/>
                <w:color w:val="auto"/>
              </w:rPr>
            </w:pPr>
            <w:r>
              <w:rPr>
                <w:rFonts w:hint="eastAsia"/>
                <w:color w:val="auto"/>
              </w:rPr>
              <w:t>图4-1 现状采取的废水处理工艺流程图</w:t>
            </w:r>
          </w:p>
          <w:p>
            <w:pPr>
              <w:pStyle w:val="103"/>
              <w:bidi w:val="0"/>
              <w:rPr>
                <w:rFonts w:hint="eastAsia" w:eastAsia="宋体"/>
                <w:color w:val="auto"/>
                <w:lang w:eastAsia="zh-CN"/>
              </w:rPr>
            </w:pPr>
          </w:p>
          <w:p>
            <w:pPr>
              <w:pStyle w:val="103"/>
              <w:bidi w:val="0"/>
              <w:rPr>
                <w:rFonts w:hint="eastAsia"/>
                <w:color w:val="auto"/>
                <w:lang w:eastAsia="zh-CN"/>
              </w:rPr>
            </w:pPr>
            <w:r>
              <w:rPr>
                <w:rFonts w:hint="eastAsia"/>
                <w:color w:val="auto"/>
                <w:lang w:eastAsia="zh-CN"/>
              </w:rPr>
              <w:drawing>
                <wp:inline distT="0" distB="0" distL="114300" distR="114300">
                  <wp:extent cx="2938780" cy="2930525"/>
                  <wp:effectExtent l="0" t="0" r="13970" b="3175"/>
                  <wp:docPr id="12" name="图片 18" descr="IMG_20220609_10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8" descr="IMG_20220609_101121"/>
                          <pic:cNvPicPr>
                            <a:picLocks noChangeAspect="1"/>
                          </pic:cNvPicPr>
                        </pic:nvPicPr>
                        <pic:blipFill>
                          <a:blip r:embed="rId85"/>
                          <a:srcRect r="4350" b="28447"/>
                          <a:stretch>
                            <a:fillRect/>
                          </a:stretch>
                        </pic:blipFill>
                        <pic:spPr>
                          <a:xfrm>
                            <a:off x="0" y="0"/>
                            <a:ext cx="2938780" cy="2930525"/>
                          </a:xfrm>
                          <a:prstGeom prst="rect">
                            <a:avLst/>
                          </a:prstGeom>
                          <a:noFill/>
                          <a:ln>
                            <a:noFill/>
                          </a:ln>
                        </pic:spPr>
                      </pic:pic>
                    </a:graphicData>
                  </a:graphic>
                </wp:inline>
              </w:drawing>
            </w:r>
          </w:p>
          <w:p>
            <w:pPr>
              <w:pStyle w:val="204"/>
              <w:bidi w:val="0"/>
              <w:rPr>
                <w:rFonts w:hint="default"/>
                <w:color w:val="auto"/>
                <w:lang w:val="en-US" w:eastAsia="zh-CN"/>
              </w:rPr>
            </w:pPr>
            <w:r>
              <w:rPr>
                <w:rFonts w:hint="eastAsia"/>
                <w:color w:val="auto"/>
                <w:lang w:eastAsia="zh-CN"/>
              </w:rPr>
              <w:t>图4-</w:t>
            </w:r>
            <w:r>
              <w:rPr>
                <w:rFonts w:hint="eastAsia"/>
                <w:color w:val="auto"/>
                <w:lang w:val="en-US" w:eastAsia="zh-CN"/>
              </w:rPr>
              <w:t>2</w:t>
            </w:r>
            <w:r>
              <w:rPr>
                <w:rFonts w:hint="eastAsia"/>
                <w:color w:val="auto"/>
                <w:lang w:eastAsia="zh-CN"/>
              </w:rPr>
              <w:t xml:space="preserve"> 现状污水处理设备</w:t>
            </w:r>
          </w:p>
          <w:p>
            <w:pPr>
              <w:pStyle w:val="104"/>
              <w:ind w:firstLine="482"/>
              <w:rPr>
                <w:rFonts w:hint="eastAsia"/>
                <w:color w:val="auto"/>
              </w:rPr>
            </w:pPr>
            <w:r>
              <w:rPr>
                <w:rFonts w:hint="eastAsia"/>
                <w:b/>
                <w:bCs/>
                <w:color w:val="auto"/>
              </w:rPr>
              <w:t>处理工艺说明：</w:t>
            </w:r>
            <w:r>
              <w:rPr>
                <w:rFonts w:hint="eastAsia"/>
                <w:color w:val="auto"/>
              </w:rPr>
              <w:t>项目医疗废水进入缓释消毒器中经过滤、沉淀处理后，采用自动缓释延时压力加氯工艺。</w:t>
            </w:r>
            <w:r>
              <w:rPr>
                <w:rFonts w:hint="eastAsia"/>
                <w:color w:val="auto"/>
                <w:lang w:eastAsia="zh-CN"/>
              </w:rPr>
              <w:t>医疗废水处理后</w:t>
            </w:r>
            <w:r>
              <w:rPr>
                <w:rFonts w:hint="eastAsia"/>
                <w:color w:val="auto"/>
              </w:rPr>
              <w:t>同生活污水</w:t>
            </w:r>
            <w:r>
              <w:rPr>
                <w:rFonts w:hint="eastAsia"/>
                <w:color w:val="auto"/>
                <w:lang w:eastAsia="zh-CN"/>
              </w:rPr>
              <w:t>经</w:t>
            </w:r>
            <w:r>
              <w:rPr>
                <w:rFonts w:hint="eastAsia"/>
                <w:color w:val="auto"/>
              </w:rPr>
              <w:t xml:space="preserve">管道排入嘉州春天小区预处理池，通过小区预处理池处理后排入市政污水管网，最终进入乐山市第一污水处理厂，处理达标后排入岷江。 </w:t>
            </w:r>
          </w:p>
          <w:p>
            <w:pPr>
              <w:pStyle w:val="104"/>
              <w:ind w:firstLine="482"/>
              <w:rPr>
                <w:rFonts w:hint="eastAsia"/>
                <w:b/>
                <w:bCs/>
                <w:color w:val="auto"/>
              </w:rPr>
            </w:pPr>
            <w:r>
              <w:rPr>
                <w:rFonts w:hint="eastAsia"/>
                <w:b/>
                <w:bCs/>
                <w:color w:val="auto"/>
              </w:rPr>
              <w:t>污水处理设备基本情况：</w:t>
            </w:r>
          </w:p>
          <w:p>
            <w:pPr>
              <w:pStyle w:val="104"/>
              <w:numPr>
                <w:ilvl w:val="0"/>
                <w:numId w:val="19"/>
              </w:numPr>
              <w:ind w:firstLine="480"/>
              <w:rPr>
                <w:rFonts w:hint="eastAsia"/>
                <w:color w:val="auto"/>
              </w:rPr>
            </w:pPr>
            <w:r>
              <w:rPr>
                <w:rFonts w:hint="eastAsia"/>
                <w:color w:val="auto"/>
              </w:rPr>
              <w:t>缓释消毒器设备特点：</w:t>
            </w:r>
          </w:p>
          <w:p>
            <w:pPr>
              <w:pStyle w:val="104"/>
              <w:ind w:firstLine="480"/>
              <w:rPr>
                <w:rFonts w:hint="eastAsia"/>
                <w:color w:val="auto"/>
              </w:rPr>
            </w:pPr>
            <w:r>
              <w:rPr>
                <w:rFonts w:hint="eastAsia"/>
                <w:color w:val="auto"/>
              </w:rPr>
              <w:t>①将传统的混凝、沉淀、过滤等净水工艺组合在一个设备内完成，占地少，安装方便。</w:t>
            </w:r>
          </w:p>
          <w:p>
            <w:pPr>
              <w:pStyle w:val="104"/>
              <w:ind w:firstLine="480"/>
              <w:rPr>
                <w:rFonts w:hint="eastAsia"/>
                <w:color w:val="auto"/>
              </w:rPr>
            </w:pPr>
            <w:r>
              <w:rPr>
                <w:rFonts w:hint="eastAsia"/>
                <w:color w:val="auto"/>
              </w:rPr>
              <w:t>②运行自动化、智能化。除了对水泵和加药系统的管理外，设备进水、沉淀、过滤、出水、反冲、排污等均自动进行，不需要人工操作。</w:t>
            </w:r>
          </w:p>
          <w:p>
            <w:pPr>
              <w:pStyle w:val="104"/>
              <w:ind w:firstLine="480"/>
              <w:rPr>
                <w:color w:val="auto"/>
              </w:rPr>
            </w:pPr>
            <w:r>
              <w:rPr>
                <w:rFonts w:hint="eastAsia"/>
                <w:color w:val="auto"/>
              </w:rPr>
              <w:t>③适应性强，出水水质稳定、可靠、水量充足，在源水浊度高达3000mg/L时，出水浊度能稳定在3mg/L以下，达自来水浊度标准。</w:t>
            </w:r>
          </w:p>
          <w:p>
            <w:pPr>
              <w:pStyle w:val="104"/>
              <w:numPr>
                <w:ilvl w:val="0"/>
                <w:numId w:val="19"/>
              </w:numPr>
              <w:ind w:firstLine="480"/>
              <w:rPr>
                <w:color w:val="auto"/>
              </w:rPr>
            </w:pPr>
            <w:r>
              <w:rPr>
                <w:rFonts w:hint="eastAsia"/>
                <w:color w:val="auto"/>
              </w:rPr>
              <w:t>缓释消毒器工作原理：</w:t>
            </w:r>
          </w:p>
          <w:p>
            <w:pPr>
              <w:pStyle w:val="104"/>
              <w:ind w:firstLine="480"/>
              <w:rPr>
                <w:color w:val="auto"/>
              </w:rPr>
            </w:pPr>
            <w:r>
              <w:rPr>
                <w:color w:val="auto"/>
              </w:rPr>
              <w:t>采用溶解法，自动缓释，压力加氯工艺设计，CL固体药剂为主要原料，经水与药剂合理混合缓释所产生的消毒液，投入到所需水池(水井)与水充分接触杀菌消毒。</w:t>
            </w:r>
          </w:p>
          <w:p>
            <w:pPr>
              <w:pStyle w:val="104"/>
              <w:ind w:firstLine="480"/>
              <w:rPr>
                <w:color w:val="auto"/>
              </w:rPr>
            </w:pPr>
            <w:r>
              <w:rPr>
                <w:color w:val="auto"/>
              </w:rPr>
              <w:t>缓释消毒器采用化学反应，自动稀释延时压力加氯工艺，以强氯固体药剂为主要原料，水与药剂合理混合后所产生的消毒杀菌液，投加到水池、水井、管道和污水池与接触达到灭菌的作用。缓释消毒器结构较简单，操作方便，不用专人维护，可以自行控制药剂投入量, 制作成本和使用成本低，有很好的使用效果。缓释消毒器是这样构成的，它包括箱体，在箱体的两侧分别设有进水口和出水口</w:t>
            </w:r>
            <w:r>
              <w:rPr>
                <w:rFonts w:hint="eastAsia"/>
                <w:color w:val="auto"/>
              </w:rPr>
              <w:t>；</w:t>
            </w:r>
            <w:r>
              <w:rPr>
                <w:color w:val="auto"/>
              </w:rPr>
              <w:t>进水口和出水口之间连接有缓释管,在缓释管上方设有1个或1个以上的带有密封盖的投药室，在投药室下方的箱体内设有水平隔板。</w:t>
            </w:r>
          </w:p>
          <w:p>
            <w:pPr>
              <w:pStyle w:val="104"/>
              <w:ind w:firstLine="482"/>
              <w:rPr>
                <w:rFonts w:hint="eastAsia"/>
                <w:b w:val="0"/>
                <w:bCs w:val="0"/>
                <w:color w:val="auto"/>
              </w:rPr>
            </w:pPr>
            <w:r>
              <w:rPr>
                <w:rFonts w:hint="eastAsia"/>
                <w:b w:val="0"/>
                <w:bCs w:val="0"/>
                <w:color w:val="auto"/>
              </w:rPr>
              <w:t>本项目为宠物医疗服务项目，</w:t>
            </w:r>
            <w:r>
              <w:rPr>
                <w:rFonts w:hint="eastAsia"/>
                <w:b w:val="0"/>
                <w:bCs w:val="0"/>
                <w:color w:val="auto"/>
                <w:lang w:eastAsia="zh-CN"/>
              </w:rPr>
              <w:t>项目运营期产生的</w:t>
            </w:r>
            <w:r>
              <w:rPr>
                <w:rFonts w:hint="eastAsia"/>
                <w:b w:val="0"/>
                <w:bCs w:val="0"/>
                <w:color w:val="auto"/>
              </w:rPr>
              <w:t>医疗废水</w:t>
            </w:r>
            <w:r>
              <w:rPr>
                <w:rFonts w:hint="eastAsia"/>
                <w:b w:val="0"/>
                <w:bCs w:val="0"/>
                <w:color w:val="auto"/>
                <w:lang w:eastAsia="zh-CN"/>
              </w:rPr>
              <w:t>处理工艺及</w:t>
            </w:r>
            <w:r>
              <w:rPr>
                <w:rFonts w:hint="eastAsia"/>
                <w:b w:val="0"/>
                <w:bCs w:val="0"/>
                <w:color w:val="auto"/>
              </w:rPr>
              <w:t>排放标准参照执行《医疗机构水污染物排放标准》(GB18466－2005)</w:t>
            </w:r>
            <w:r>
              <w:rPr>
                <w:rFonts w:hint="eastAsia"/>
                <w:b w:val="0"/>
                <w:bCs w:val="0"/>
                <w:color w:val="auto"/>
                <w:lang w:eastAsia="zh-CN"/>
              </w:rPr>
              <w:t>。</w:t>
            </w:r>
            <w:r>
              <w:rPr>
                <w:rFonts w:hint="eastAsia"/>
                <w:b/>
                <w:bCs/>
                <w:color w:val="auto"/>
              </w:rPr>
              <w:t>根据《医疗机构水污染物排放标准》（ GB18466-2005）中</w:t>
            </w:r>
            <w:r>
              <w:rPr>
                <w:rFonts w:hint="eastAsia"/>
                <w:b/>
                <w:bCs/>
                <w:color w:val="auto"/>
                <w:lang w:eastAsia="zh-CN"/>
              </w:rPr>
              <w:t>“</w:t>
            </w:r>
            <w:r>
              <w:rPr>
                <w:rFonts w:hint="eastAsia"/>
                <w:b/>
                <w:bCs/>
                <w:color w:val="auto"/>
              </w:rPr>
              <w:t xml:space="preserve"> 4.1.3 规定县或级以下或 20张床位以下的综合医疗机构和其他所有医疗机构污水经消毒处理后方可排放</w:t>
            </w:r>
            <w:r>
              <w:rPr>
                <w:rFonts w:hint="eastAsia"/>
                <w:b/>
                <w:bCs/>
                <w:color w:val="auto"/>
                <w:lang w:eastAsia="zh-CN"/>
              </w:rPr>
              <w:t>”</w:t>
            </w:r>
            <w:r>
              <w:rPr>
                <w:rFonts w:hint="eastAsia"/>
                <w:b/>
                <w:bCs/>
                <w:color w:val="auto"/>
              </w:rPr>
              <w:t>的要求</w:t>
            </w:r>
            <w:r>
              <w:rPr>
                <w:rFonts w:hint="eastAsia"/>
                <w:b/>
                <w:bCs/>
                <w:color w:val="auto"/>
                <w:lang w:eastAsia="zh-CN"/>
              </w:rPr>
              <w:t>，并结合目前的宠物医疗行业废水处理工程经验，本项目现采用一体化污水处理设备（混凝沉淀+氯片消毒）对污水进行净化处理</w:t>
            </w:r>
            <w:r>
              <w:rPr>
                <w:rFonts w:hint="eastAsia"/>
                <w:b/>
                <w:bCs/>
                <w:color w:val="auto"/>
              </w:rPr>
              <w:t>，</w:t>
            </w:r>
            <w:r>
              <w:rPr>
                <w:rFonts w:hint="eastAsia"/>
                <w:b/>
                <w:bCs/>
                <w:color w:val="auto"/>
                <w:lang w:eastAsia="zh-CN"/>
              </w:rPr>
              <w:t>满足《医疗机构水污染物排放标准》的相关要求</w:t>
            </w:r>
            <w:r>
              <w:rPr>
                <w:rFonts w:hint="eastAsia"/>
                <w:b w:val="0"/>
                <w:bCs w:val="0"/>
                <w:color w:val="auto"/>
                <w:lang w:eastAsia="zh-CN"/>
              </w:rPr>
              <w:t>。</w:t>
            </w:r>
            <w:r>
              <w:rPr>
                <w:rFonts w:hint="eastAsia"/>
                <w:b w:val="0"/>
                <w:bCs w:val="0"/>
                <w:color w:val="auto"/>
              </w:rPr>
              <w:t>污水处理设施设计处理能力为2m</w:t>
            </w:r>
            <w:r>
              <w:rPr>
                <w:rFonts w:hint="eastAsia"/>
                <w:b w:val="0"/>
                <w:bCs w:val="0"/>
                <w:color w:val="auto"/>
                <w:vertAlign w:val="superscript"/>
              </w:rPr>
              <w:t>3</w:t>
            </w:r>
            <w:r>
              <w:rPr>
                <w:rFonts w:hint="eastAsia"/>
                <w:b w:val="0"/>
                <w:bCs w:val="0"/>
                <w:color w:val="auto"/>
              </w:rPr>
              <w:t xml:space="preserve">/d，设备采用自动缓释延时压力加氯工艺，项目目前采用的医疗废水处理工艺能满足《医院污水处理工程技术规范》（HJ2029—2013）废水处理工艺要求，项目现有的医疗废水治理措施可行，无需整改。 </w:t>
            </w:r>
          </w:p>
          <w:p>
            <w:pPr>
              <w:pStyle w:val="5"/>
              <w:ind w:firstLine="482"/>
              <w:rPr>
                <w:rFonts w:hint="eastAsia"/>
                <w:color w:val="auto"/>
              </w:rPr>
            </w:pPr>
            <w:r>
              <w:rPr>
                <w:rFonts w:hint="eastAsia"/>
                <w:color w:val="auto"/>
              </w:rPr>
              <w:t>4、项目依托嘉州春天预处理池可行性分析</w:t>
            </w:r>
          </w:p>
          <w:p>
            <w:pPr>
              <w:pStyle w:val="104"/>
              <w:ind w:firstLine="480"/>
              <w:rPr>
                <w:rFonts w:hint="eastAsia"/>
                <w:color w:val="auto"/>
              </w:rPr>
            </w:pPr>
            <w:r>
              <w:rPr>
                <w:rFonts w:hint="eastAsia"/>
                <w:color w:val="auto"/>
              </w:rPr>
              <w:t>本项目废水最终依托嘉州春天小区已建的公用预处理池进行处理，由该小区物管单位管理维护，在修建时已对所有区域废水排放情况进行了分析，可以容纳整个区域所产生的污水。且本项目废水为间歇排放，排放量较小，嘉州春天小区污水预处理池在设计规模时已将小区配套商铺废水排放量纳入其容积范围内，预处理池的处理能力能够满足本项目纳入后的使用要求，因此本环评不再对其做具体分析。</w:t>
            </w:r>
          </w:p>
          <w:p>
            <w:pPr>
              <w:pStyle w:val="104"/>
              <w:ind w:left="480" w:leftChars="200" w:firstLine="0" w:firstLineChars="0"/>
              <w:rPr>
                <w:b/>
                <w:bCs/>
                <w:color w:val="auto"/>
              </w:rPr>
            </w:pPr>
            <w:r>
              <w:rPr>
                <w:rFonts w:hint="eastAsia"/>
                <w:b/>
                <w:bCs/>
                <w:color w:val="auto"/>
              </w:rPr>
              <w:t>5、本项目废水末端排入乐山市第一污水处理厂依托可行性分析</w:t>
            </w:r>
          </w:p>
          <w:p>
            <w:pPr>
              <w:pStyle w:val="104"/>
              <w:ind w:firstLine="480"/>
              <w:rPr>
                <w:rFonts w:hint="eastAsia"/>
                <w:color w:val="auto"/>
              </w:rPr>
            </w:pPr>
            <w:r>
              <w:rPr>
                <w:rFonts w:hint="eastAsia"/>
                <w:color w:val="auto"/>
              </w:rPr>
              <w:t>本项目位于乐山市市中区竹林路636号1楼7号，项目位置属于城市建成区，项目所在街道市政污水管网已与乐山市第一水污水处理厂主干管接通。乐山市第一污水处理厂位于乐山市市中区九峰乡永安村，设计处理能力为15万吨/日，服务范围为乐山市老城区、肖坝片区、竹公溪部分片区、城北、城西以及全部岷江东岸片区。污水处理厂采用“A</w:t>
            </w:r>
            <w:r>
              <w:rPr>
                <w:rFonts w:hint="eastAsia"/>
                <w:color w:val="auto"/>
                <w:vertAlign w:val="superscript"/>
              </w:rPr>
              <w:t>2</w:t>
            </w:r>
            <w:r>
              <w:rPr>
                <w:rFonts w:hint="eastAsia"/>
                <w:color w:val="auto"/>
              </w:rPr>
              <w:t>/O工艺+二沉池+高效沉淀池+反硝化滤池”工艺，出水水质满足《四川省岷江、沱江流域水污染物排放标准》（DB51/2311-2016）中“城镇污水处理厂”标准。</w:t>
            </w:r>
          </w:p>
          <w:p>
            <w:pPr>
              <w:pStyle w:val="104"/>
              <w:ind w:firstLine="480"/>
              <w:rPr>
                <w:rFonts w:hint="eastAsia"/>
                <w:color w:val="auto"/>
              </w:rPr>
            </w:pPr>
            <w:r>
              <w:rPr>
                <w:rFonts w:hint="eastAsia"/>
                <w:color w:val="auto"/>
              </w:rPr>
              <w:t>本项目依托市政污水处理厂的可行性主要从</w:t>
            </w:r>
            <w:r>
              <w:rPr>
                <w:rFonts w:hint="eastAsia"/>
                <w:b/>
                <w:bCs/>
                <w:color w:val="auto"/>
              </w:rPr>
              <w:t>进水水质和水量</w:t>
            </w:r>
            <w:r>
              <w:rPr>
                <w:rFonts w:hint="eastAsia"/>
                <w:color w:val="auto"/>
              </w:rPr>
              <w:t>来分析。</w:t>
            </w:r>
          </w:p>
          <w:p>
            <w:pPr>
              <w:pStyle w:val="104"/>
              <w:ind w:firstLine="482"/>
              <w:rPr>
                <w:rFonts w:hint="eastAsia"/>
                <w:b/>
                <w:bCs/>
                <w:color w:val="auto"/>
                <w:u w:val="single"/>
              </w:rPr>
            </w:pPr>
            <w:r>
              <w:rPr>
                <w:rFonts w:hint="eastAsia"/>
                <w:b/>
                <w:bCs/>
                <w:color w:val="auto"/>
                <w:u w:val="single"/>
              </w:rPr>
              <w:t>进水水质：</w:t>
            </w:r>
          </w:p>
          <w:p>
            <w:pPr>
              <w:pStyle w:val="104"/>
              <w:ind w:firstLine="480"/>
              <w:rPr>
                <w:rFonts w:hint="eastAsia"/>
                <w:color w:val="auto"/>
              </w:rPr>
            </w:pPr>
            <w:r>
              <w:rPr>
                <w:rFonts w:hint="eastAsia"/>
                <w:color w:val="auto"/>
              </w:rPr>
              <w:t>医疗废水经医院一体化污水处理设备处理达到《医疗机构水污染物排放标准》(GB18466-2005)表2中的预处理标准后同生活污水一起依托嘉州春天小区的预处理池处理达到《污水综合排放标准》（GB 8978-1996）表 4 中三级标准限值后排入市政污水管网。因此，本项目出水水质满足乐山市第一污水处理厂的进水水质标准要求。</w:t>
            </w:r>
          </w:p>
          <w:p>
            <w:pPr>
              <w:pStyle w:val="104"/>
              <w:ind w:firstLine="482"/>
              <w:rPr>
                <w:rFonts w:hint="eastAsia"/>
                <w:b/>
                <w:bCs/>
                <w:color w:val="auto"/>
                <w:u w:val="single"/>
              </w:rPr>
            </w:pPr>
            <w:r>
              <w:rPr>
                <w:rFonts w:hint="eastAsia"/>
                <w:b/>
                <w:bCs/>
                <w:color w:val="auto"/>
                <w:u w:val="single"/>
              </w:rPr>
              <w:t>处理水量：</w:t>
            </w:r>
          </w:p>
          <w:p>
            <w:pPr>
              <w:pStyle w:val="104"/>
              <w:ind w:firstLine="480"/>
              <w:rPr>
                <w:rFonts w:hint="eastAsia"/>
                <w:color w:val="auto"/>
              </w:rPr>
            </w:pPr>
            <w:r>
              <w:rPr>
                <w:rFonts w:hint="eastAsia"/>
                <w:color w:val="auto"/>
              </w:rPr>
              <w:t>项目所依托的乐山市第一污水处理厂设计处理规模为15万吨/d，根据前文分析，本项目污水排放总量为1.12m</w:t>
            </w:r>
            <w:r>
              <w:rPr>
                <w:rFonts w:hint="eastAsia"/>
                <w:color w:val="auto"/>
                <w:vertAlign w:val="superscript"/>
              </w:rPr>
              <w:t>3</w:t>
            </w:r>
            <w:r>
              <w:rPr>
                <w:rFonts w:hint="eastAsia"/>
                <w:color w:val="auto"/>
              </w:rPr>
              <w:t>/d，占总处理规模的0.0000075%，占比极小，满足乐山市第一污水处理厂设计处理规模的水量标准。</w:t>
            </w:r>
          </w:p>
          <w:p>
            <w:pPr>
              <w:pStyle w:val="104"/>
              <w:ind w:firstLine="482"/>
              <w:rPr>
                <w:rFonts w:hint="eastAsia"/>
                <w:b/>
                <w:bCs/>
                <w:color w:val="auto"/>
              </w:rPr>
            </w:pPr>
            <w:r>
              <w:rPr>
                <w:rFonts w:hint="eastAsia"/>
                <w:b/>
                <w:bCs/>
                <w:color w:val="auto"/>
              </w:rPr>
              <w:t>综上所述，项目废水接市政污水管网进入乐山市第一污水处理厂处理是可行的。</w:t>
            </w:r>
          </w:p>
          <w:p>
            <w:pPr>
              <w:pStyle w:val="104"/>
              <w:ind w:firstLine="482"/>
              <w:rPr>
                <w:b/>
                <w:bCs/>
                <w:color w:val="auto"/>
              </w:rPr>
            </w:pPr>
            <w:r>
              <w:rPr>
                <w:rFonts w:hint="eastAsia"/>
                <w:b/>
                <w:bCs/>
                <w:color w:val="auto"/>
              </w:rPr>
              <w:t>6、建议及要求</w:t>
            </w:r>
          </w:p>
          <w:p>
            <w:pPr>
              <w:pStyle w:val="104"/>
              <w:ind w:firstLine="480"/>
              <w:rPr>
                <w:rFonts w:hint="eastAsia"/>
                <w:color w:val="auto"/>
              </w:rPr>
            </w:pPr>
            <w:r>
              <w:rPr>
                <w:rFonts w:hint="eastAsia"/>
                <w:color w:val="auto"/>
              </w:rPr>
              <w:t xml:space="preserve">环评要求： </w:t>
            </w:r>
          </w:p>
          <w:p>
            <w:pPr>
              <w:pStyle w:val="104"/>
              <w:ind w:firstLine="480"/>
              <w:rPr>
                <w:rFonts w:hint="eastAsia"/>
                <w:color w:val="auto"/>
              </w:rPr>
            </w:pPr>
            <w:r>
              <w:rPr>
                <w:rFonts w:hint="eastAsia"/>
                <w:color w:val="auto"/>
              </w:rPr>
              <w:t>（1）需严格做好项目内排水管网、承插连接，做好防渗处理，严格做好污水收集系统。</w:t>
            </w:r>
          </w:p>
          <w:p>
            <w:pPr>
              <w:pStyle w:val="104"/>
              <w:ind w:firstLine="480"/>
              <w:rPr>
                <w:rFonts w:hint="eastAsia"/>
                <w:color w:val="auto"/>
              </w:rPr>
            </w:pPr>
            <w:r>
              <w:rPr>
                <w:rFonts w:hint="eastAsia"/>
                <w:color w:val="auto"/>
              </w:rPr>
              <w:t>（2）消毒工艺要使氯片与废水充分混合接触，以杀灭出水中可能残存的病毒和细菌，确保出水满足有关细菌学指标要求。</w:t>
            </w:r>
          </w:p>
          <w:p>
            <w:pPr>
              <w:pStyle w:val="104"/>
              <w:ind w:firstLine="480"/>
              <w:rPr>
                <w:rFonts w:hint="eastAsia"/>
                <w:color w:val="auto"/>
              </w:rPr>
            </w:pPr>
            <w:r>
              <w:rPr>
                <w:rFonts w:hint="eastAsia"/>
                <w:color w:val="auto"/>
              </w:rPr>
              <w:t>（3）污水处理过程中处理设备的操作、设备的维修等环节都易对环境及人体产生危害，因此应对污水处理设施对环境产生的影响及工作人员的劳动保护予以重视。</w:t>
            </w:r>
          </w:p>
          <w:p>
            <w:pPr>
              <w:keepNext/>
              <w:keepLines/>
              <w:spacing w:before="10" w:after="10" w:line="480" w:lineRule="exact"/>
              <w:ind w:firstLine="482"/>
              <w:outlineLvl w:val="2"/>
              <w:rPr>
                <w:rFonts w:hint="eastAsia"/>
                <w:b/>
                <w:color w:val="auto"/>
                <w:sz w:val="24"/>
              </w:rPr>
            </w:pPr>
            <w:r>
              <w:rPr>
                <w:rFonts w:hint="eastAsia"/>
                <w:b/>
                <w:color w:val="auto"/>
                <w:sz w:val="24"/>
                <w:lang w:val="en-US" w:eastAsia="zh-CN"/>
              </w:rPr>
              <w:t>7</w:t>
            </w:r>
            <w:r>
              <w:rPr>
                <w:rFonts w:hint="eastAsia"/>
                <w:b/>
                <w:color w:val="auto"/>
                <w:sz w:val="24"/>
              </w:rPr>
              <w:t>、本项目废水排放情况汇总</w:t>
            </w:r>
          </w:p>
          <w:p>
            <w:pPr>
              <w:spacing w:line="480" w:lineRule="exact"/>
              <w:ind w:firstLine="480"/>
              <w:rPr>
                <w:rFonts w:cs="宋体"/>
                <w:color w:val="auto"/>
                <w:sz w:val="24"/>
              </w:rPr>
            </w:pPr>
            <w:r>
              <w:rPr>
                <w:rFonts w:hint="eastAsia" w:cs="宋体"/>
                <w:color w:val="auto"/>
                <w:sz w:val="24"/>
              </w:rPr>
              <w:t>本项目废水排放总量为1.11m</w:t>
            </w:r>
            <w:r>
              <w:rPr>
                <w:rFonts w:hint="eastAsia" w:cs="宋体"/>
                <w:color w:val="auto"/>
                <w:sz w:val="24"/>
                <w:vertAlign w:val="superscript"/>
              </w:rPr>
              <w:t>3</w:t>
            </w:r>
            <w:r>
              <w:rPr>
                <w:rFonts w:hint="eastAsia" w:cs="宋体"/>
                <w:color w:val="auto"/>
                <w:sz w:val="24"/>
              </w:rPr>
              <w:t>/d（408.8m</w:t>
            </w:r>
            <w:r>
              <w:rPr>
                <w:rFonts w:hint="eastAsia" w:cs="宋体"/>
                <w:color w:val="auto"/>
                <w:sz w:val="24"/>
                <w:vertAlign w:val="superscript"/>
              </w:rPr>
              <w:t>3</w:t>
            </w:r>
            <w:r>
              <w:rPr>
                <w:rFonts w:hint="eastAsia" w:cs="宋体"/>
                <w:color w:val="auto"/>
                <w:sz w:val="24"/>
              </w:rPr>
              <w:t>/a），其中生活污水0.36m</w:t>
            </w:r>
            <w:r>
              <w:rPr>
                <w:rFonts w:hint="eastAsia" w:cs="宋体"/>
                <w:color w:val="auto"/>
                <w:sz w:val="24"/>
                <w:vertAlign w:val="superscript"/>
              </w:rPr>
              <w:t>3</w:t>
            </w:r>
            <w:r>
              <w:rPr>
                <w:rFonts w:hint="eastAsia" w:cs="宋体"/>
                <w:color w:val="auto"/>
                <w:sz w:val="24"/>
              </w:rPr>
              <w:t>/d直接通过管道进入嘉州春天小区预处理池，医疗废水0.76m</w:t>
            </w:r>
            <w:r>
              <w:rPr>
                <w:rFonts w:hint="eastAsia" w:cs="宋体"/>
                <w:color w:val="auto"/>
                <w:sz w:val="24"/>
                <w:vertAlign w:val="superscript"/>
              </w:rPr>
              <w:t>3</w:t>
            </w:r>
            <w:r>
              <w:rPr>
                <w:rFonts w:hint="eastAsia" w:cs="宋体"/>
                <w:color w:val="auto"/>
                <w:sz w:val="24"/>
              </w:rPr>
              <w:t>/d经医院内一体化污水处理器处理后进入嘉州春天小区预处理池，处理后进入市政污水管网，排入末端乐山市第一污水处理厂，经污水处理厂处理后排入岷江。</w:t>
            </w:r>
          </w:p>
          <w:p>
            <w:pPr>
              <w:spacing w:line="480" w:lineRule="exact"/>
              <w:ind w:left="480" w:leftChars="200" w:firstLine="0" w:firstLineChars="0"/>
              <w:rPr>
                <w:rFonts w:hint="eastAsia" w:cs="宋体"/>
                <w:color w:val="auto"/>
                <w:sz w:val="24"/>
              </w:rPr>
            </w:pPr>
            <w:r>
              <w:rPr>
                <w:rFonts w:hint="eastAsia" w:cs="宋体"/>
                <w:color w:val="auto"/>
                <w:sz w:val="24"/>
              </w:rPr>
              <w:t>本项目废水各污染物排放情况见表 4-1。</w:t>
            </w:r>
          </w:p>
          <w:p>
            <w:pPr>
              <w:spacing w:line="480" w:lineRule="exact"/>
              <w:ind w:firstLine="422"/>
              <w:jc w:val="center"/>
              <w:rPr>
                <w:rFonts w:hint="eastAsia"/>
                <w:b/>
                <w:color w:val="auto"/>
              </w:rPr>
            </w:pPr>
            <w:r>
              <w:rPr>
                <w:rFonts w:hint="eastAsia"/>
                <w:b/>
                <w:color w:val="auto"/>
              </w:rPr>
              <w:t xml:space="preserve">表4-1 </w:t>
            </w:r>
            <w:r>
              <w:rPr>
                <w:rFonts w:hint="eastAsia"/>
                <w:b/>
                <w:color w:val="auto"/>
                <w:lang w:eastAsia="zh-CN"/>
              </w:rPr>
              <w:t>项目综合废水污染物产生及排放统计表</w:t>
            </w:r>
            <w:r>
              <w:rPr>
                <w:rFonts w:hint="eastAsia"/>
                <w:b/>
                <w:color w:val="auto"/>
              </w:rPr>
              <w:t xml:space="preserve"> </w:t>
            </w:r>
          </w:p>
          <w:tbl>
            <w:tblPr>
              <w:tblStyle w:val="39"/>
              <w:tblW w:w="4995"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0"/>
              <w:gridCol w:w="1266"/>
              <w:gridCol w:w="1227"/>
              <w:gridCol w:w="654"/>
              <w:gridCol w:w="741"/>
              <w:gridCol w:w="654"/>
              <w:gridCol w:w="742"/>
              <w:gridCol w:w="829"/>
              <w:gridCol w:w="916"/>
              <w:gridCol w:w="7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3" w:type="pct"/>
                  <w:gridSpan w:val="2"/>
                  <w:noWrap w:val="0"/>
                  <w:vAlign w:val="center"/>
                </w:tcPr>
                <w:p>
                  <w:pPr>
                    <w:pStyle w:val="105"/>
                    <w:bidi w:val="0"/>
                    <w:rPr>
                      <w:rFonts w:hint="eastAsia" w:eastAsia="宋体"/>
                      <w:b/>
                      <w:bCs/>
                      <w:color w:val="auto"/>
                      <w:lang w:eastAsia="zh-CN"/>
                    </w:rPr>
                  </w:pPr>
                  <w:r>
                    <w:rPr>
                      <w:rFonts w:hint="eastAsia"/>
                      <w:b/>
                      <w:bCs/>
                      <w:color w:val="auto"/>
                      <w:lang w:eastAsia="zh-CN"/>
                    </w:rPr>
                    <w:t>废水性质</w:t>
                  </w:r>
                </w:p>
              </w:tc>
              <w:tc>
                <w:tcPr>
                  <w:tcW w:w="559" w:type="pct"/>
                  <w:noWrap w:val="0"/>
                  <w:vAlign w:val="center"/>
                </w:tcPr>
                <w:p>
                  <w:pPr>
                    <w:pStyle w:val="105"/>
                    <w:bidi w:val="0"/>
                    <w:rPr>
                      <w:rFonts w:hint="default"/>
                      <w:b/>
                      <w:bCs/>
                      <w:color w:val="auto"/>
                      <w:lang w:val="en-US" w:eastAsia="zh-CN"/>
                    </w:rPr>
                  </w:pPr>
                  <w:r>
                    <w:rPr>
                      <w:rFonts w:hint="eastAsia"/>
                      <w:b/>
                      <w:bCs/>
                      <w:color w:val="auto"/>
                      <w:lang w:eastAsia="zh-CN"/>
                    </w:rPr>
                    <w:t>排水量（</w:t>
                  </w:r>
                  <w:r>
                    <w:rPr>
                      <w:rFonts w:hint="eastAsia"/>
                      <w:b/>
                      <w:bCs/>
                      <w:color w:val="auto"/>
                      <w:lang w:val="en-US" w:eastAsia="zh-CN"/>
                    </w:rPr>
                    <w:t>m</w:t>
                  </w:r>
                  <w:r>
                    <w:rPr>
                      <w:rFonts w:hint="eastAsia"/>
                      <w:b/>
                      <w:bCs/>
                      <w:color w:val="auto"/>
                      <w:vertAlign w:val="superscript"/>
                      <w:lang w:val="en-US" w:eastAsia="zh-CN"/>
                    </w:rPr>
                    <w:t>3</w:t>
                  </w:r>
                  <w:r>
                    <w:rPr>
                      <w:rFonts w:hint="eastAsia"/>
                      <w:b/>
                      <w:bCs/>
                      <w:color w:val="auto"/>
                      <w:lang w:val="en-US" w:eastAsia="zh-CN"/>
                    </w:rPr>
                    <w:t>/a）</w:t>
                  </w:r>
                </w:p>
              </w:tc>
              <w:tc>
                <w:tcPr>
                  <w:tcW w:w="465" w:type="pct"/>
                  <w:noWrap w:val="0"/>
                  <w:vAlign w:val="center"/>
                </w:tcPr>
                <w:p>
                  <w:pPr>
                    <w:pStyle w:val="105"/>
                    <w:bidi w:val="0"/>
                    <w:rPr>
                      <w:rFonts w:hint="default"/>
                      <w:b/>
                      <w:bCs/>
                      <w:color w:val="auto"/>
                      <w:lang w:val="en-US" w:eastAsia="zh-CN"/>
                    </w:rPr>
                  </w:pPr>
                  <w:r>
                    <w:rPr>
                      <w:rFonts w:hint="eastAsia"/>
                      <w:b/>
                      <w:bCs/>
                      <w:color w:val="auto"/>
                      <w:lang w:val="en-US" w:eastAsia="zh-CN"/>
                    </w:rPr>
                    <w:t>COD</w:t>
                  </w:r>
                </w:p>
              </w:tc>
              <w:tc>
                <w:tcPr>
                  <w:tcW w:w="507" w:type="pct"/>
                  <w:noWrap w:val="0"/>
                  <w:vAlign w:val="center"/>
                </w:tcPr>
                <w:p>
                  <w:pPr>
                    <w:pStyle w:val="105"/>
                    <w:bidi w:val="0"/>
                    <w:rPr>
                      <w:rFonts w:hint="default"/>
                      <w:b/>
                      <w:bCs/>
                      <w:color w:val="auto"/>
                      <w:lang w:val="en-US" w:eastAsia="zh-CN"/>
                    </w:rPr>
                  </w:pPr>
                  <w:r>
                    <w:rPr>
                      <w:rFonts w:hint="eastAsia"/>
                      <w:b/>
                      <w:bCs/>
                      <w:color w:val="auto"/>
                      <w:lang w:val="en-US" w:eastAsia="zh-CN"/>
                    </w:rPr>
                    <w:t>BOD</w:t>
                  </w:r>
                  <w:r>
                    <w:rPr>
                      <w:rFonts w:hint="eastAsia"/>
                      <w:b/>
                      <w:bCs/>
                      <w:color w:val="auto"/>
                      <w:vertAlign w:val="subscript"/>
                      <w:lang w:val="en-US" w:eastAsia="zh-CN"/>
                    </w:rPr>
                    <w:t>5</w:t>
                  </w:r>
                </w:p>
              </w:tc>
              <w:tc>
                <w:tcPr>
                  <w:tcW w:w="463" w:type="pct"/>
                  <w:noWrap w:val="0"/>
                  <w:vAlign w:val="center"/>
                </w:tcPr>
                <w:p>
                  <w:pPr>
                    <w:pStyle w:val="105"/>
                    <w:bidi w:val="0"/>
                    <w:rPr>
                      <w:rFonts w:hint="default"/>
                      <w:b/>
                      <w:bCs/>
                      <w:color w:val="auto"/>
                      <w:lang w:val="en-US" w:eastAsia="zh-CN"/>
                    </w:rPr>
                  </w:pPr>
                  <w:r>
                    <w:rPr>
                      <w:rFonts w:hint="eastAsia"/>
                      <w:b/>
                      <w:bCs/>
                      <w:color w:val="auto"/>
                      <w:lang w:val="en-US" w:eastAsia="zh-CN"/>
                    </w:rPr>
                    <w:t>SS</w:t>
                  </w:r>
                </w:p>
              </w:tc>
              <w:tc>
                <w:tcPr>
                  <w:tcW w:w="433" w:type="pct"/>
                  <w:noWrap w:val="0"/>
                  <w:vAlign w:val="center"/>
                </w:tcPr>
                <w:p>
                  <w:pPr>
                    <w:pStyle w:val="105"/>
                    <w:bidi w:val="0"/>
                    <w:rPr>
                      <w:rFonts w:hint="default"/>
                      <w:b/>
                      <w:bCs/>
                      <w:color w:val="auto"/>
                      <w:lang w:val="en-US" w:eastAsia="zh-CN"/>
                    </w:rPr>
                  </w:pPr>
                  <w:r>
                    <w:rPr>
                      <w:rFonts w:hint="eastAsia"/>
                      <w:b/>
                      <w:bCs/>
                      <w:color w:val="auto"/>
                      <w:lang w:val="en-US" w:eastAsia="zh-CN"/>
                    </w:rPr>
                    <w:t>氨氮</w:t>
                  </w:r>
                </w:p>
              </w:tc>
              <w:tc>
                <w:tcPr>
                  <w:tcW w:w="417" w:type="pct"/>
                  <w:noWrap w:val="0"/>
                  <w:vAlign w:val="center"/>
                </w:tcPr>
                <w:p>
                  <w:pPr>
                    <w:pStyle w:val="105"/>
                    <w:bidi w:val="0"/>
                    <w:rPr>
                      <w:rFonts w:hint="default"/>
                      <w:b/>
                      <w:bCs/>
                      <w:color w:val="auto"/>
                      <w:lang w:val="en-US" w:eastAsia="zh-CN"/>
                    </w:rPr>
                  </w:pPr>
                  <w:r>
                    <w:rPr>
                      <w:rFonts w:hint="eastAsia"/>
                      <w:b/>
                      <w:bCs/>
                      <w:color w:val="auto"/>
                      <w:lang w:val="en-US" w:eastAsia="zh-CN"/>
                    </w:rPr>
                    <w:t>TP</w:t>
                  </w:r>
                </w:p>
              </w:tc>
              <w:tc>
                <w:tcPr>
                  <w:tcW w:w="654" w:type="pct"/>
                  <w:noWrap w:val="0"/>
                  <w:vAlign w:val="center"/>
                </w:tcPr>
                <w:p>
                  <w:pPr>
                    <w:pStyle w:val="105"/>
                    <w:bidi w:val="0"/>
                    <w:rPr>
                      <w:rFonts w:hint="default"/>
                      <w:b/>
                      <w:bCs/>
                      <w:color w:val="auto"/>
                      <w:lang w:val="en-US" w:eastAsia="zh-CN"/>
                    </w:rPr>
                  </w:pPr>
                  <w:r>
                    <w:rPr>
                      <w:rFonts w:hint="eastAsia"/>
                      <w:b/>
                      <w:bCs/>
                      <w:color w:val="auto"/>
                      <w:lang w:eastAsia="zh-CN"/>
                    </w:rPr>
                    <w:t>粪大肠菌群</w:t>
                  </w:r>
                  <w:r>
                    <w:rPr>
                      <w:rFonts w:hint="eastAsia"/>
                      <w:b/>
                      <w:bCs/>
                      <w:color w:val="auto"/>
                      <w:lang w:val="en-US" w:eastAsia="zh-CN"/>
                    </w:rPr>
                    <w:t>(</w:t>
                  </w:r>
                  <w:r>
                    <w:rPr>
                      <w:rFonts w:hint="eastAsia"/>
                      <w:b/>
                      <w:bCs/>
                      <w:color w:val="auto"/>
                      <w:lang w:eastAsia="zh-CN"/>
                    </w:rPr>
                    <w:t>个</w:t>
                  </w:r>
                  <w:r>
                    <w:rPr>
                      <w:rFonts w:hint="eastAsia"/>
                      <w:b/>
                      <w:bCs/>
                      <w:color w:val="auto"/>
                      <w:lang w:val="en-US" w:eastAsia="zh-CN"/>
                    </w:rPr>
                    <w:t>/L)</w:t>
                  </w:r>
                </w:p>
              </w:tc>
              <w:tc>
                <w:tcPr>
                  <w:tcW w:w="425" w:type="pct"/>
                  <w:noWrap w:val="0"/>
                  <w:vAlign w:val="center"/>
                </w:tcPr>
                <w:p>
                  <w:pPr>
                    <w:pStyle w:val="105"/>
                    <w:bidi w:val="0"/>
                    <w:rPr>
                      <w:rFonts w:hint="default"/>
                      <w:b/>
                      <w:bCs/>
                      <w:color w:val="auto"/>
                      <w:lang w:val="en-US" w:eastAsia="zh-CN"/>
                    </w:rPr>
                  </w:pPr>
                  <w:r>
                    <w:rPr>
                      <w:rFonts w:hint="eastAsia"/>
                      <w:b/>
                      <w:bCs/>
                      <w:color w:val="auto"/>
                      <w:lang w:val="en-US" w:eastAsia="zh-CN"/>
                    </w:rPr>
                    <w:t>总余氯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trPr>
              <w:tc>
                <w:tcPr>
                  <w:tcW w:w="465" w:type="pct"/>
                  <w:vMerge w:val="restart"/>
                  <w:noWrap w:val="0"/>
                  <w:vAlign w:val="center"/>
                </w:tcPr>
                <w:p>
                  <w:pPr>
                    <w:pStyle w:val="105"/>
                    <w:bidi w:val="0"/>
                    <w:rPr>
                      <w:rFonts w:hint="eastAsia" w:eastAsia="宋体"/>
                      <w:color w:val="auto"/>
                      <w:lang w:eastAsia="zh-CN"/>
                    </w:rPr>
                  </w:pPr>
                  <w:r>
                    <w:rPr>
                      <w:rFonts w:hint="eastAsia"/>
                      <w:color w:val="auto"/>
                      <w:lang w:eastAsia="zh-CN"/>
                    </w:rPr>
                    <w:t>处理前</w:t>
                  </w:r>
                </w:p>
              </w:tc>
              <w:tc>
                <w:tcPr>
                  <w:tcW w:w="608" w:type="pct"/>
                  <w:noWrap w:val="0"/>
                  <w:vAlign w:val="center"/>
                </w:tcPr>
                <w:p>
                  <w:pPr>
                    <w:pStyle w:val="105"/>
                    <w:bidi w:val="0"/>
                    <w:rPr>
                      <w:rFonts w:hint="default" w:eastAsia="宋体"/>
                      <w:color w:val="auto"/>
                      <w:lang w:val="en-US" w:eastAsia="zh-CN"/>
                    </w:rPr>
                  </w:pPr>
                  <w:r>
                    <w:rPr>
                      <w:rFonts w:hint="eastAsia"/>
                      <w:color w:val="auto"/>
                      <w:lang w:eastAsia="zh-CN"/>
                    </w:rPr>
                    <w:t>浓度（</w:t>
                  </w:r>
                  <w:r>
                    <w:rPr>
                      <w:rFonts w:hint="eastAsia"/>
                      <w:color w:val="auto"/>
                      <w:lang w:val="en-US" w:eastAsia="zh-CN"/>
                    </w:rPr>
                    <w:t>mg/L）</w:t>
                  </w:r>
                </w:p>
              </w:tc>
              <w:tc>
                <w:tcPr>
                  <w:tcW w:w="559" w:type="pct"/>
                  <w:vMerge w:val="restart"/>
                  <w:noWrap w:val="0"/>
                  <w:vAlign w:val="center"/>
                </w:tcPr>
                <w:p>
                  <w:pPr>
                    <w:pStyle w:val="105"/>
                    <w:bidi w:val="0"/>
                    <w:rPr>
                      <w:rFonts w:hint="default"/>
                      <w:color w:val="auto"/>
                      <w:lang w:val="en-US" w:eastAsia="zh-CN"/>
                    </w:rPr>
                  </w:pPr>
                  <w:r>
                    <w:rPr>
                      <w:rFonts w:hint="eastAsia"/>
                      <w:color w:val="auto"/>
                      <w:lang w:val="en-US" w:eastAsia="zh-CN"/>
                    </w:rPr>
                    <w:t>408.8</w:t>
                  </w:r>
                </w:p>
              </w:tc>
              <w:tc>
                <w:tcPr>
                  <w:tcW w:w="465" w:type="pct"/>
                  <w:noWrap w:val="0"/>
                  <w:vAlign w:val="center"/>
                </w:tcPr>
                <w:p>
                  <w:pPr>
                    <w:pStyle w:val="105"/>
                    <w:bidi w:val="0"/>
                    <w:rPr>
                      <w:rFonts w:hint="default" w:eastAsia="宋体"/>
                      <w:color w:val="auto"/>
                      <w:lang w:val="en-US" w:eastAsia="zh-CN"/>
                    </w:rPr>
                  </w:pPr>
                  <w:r>
                    <w:rPr>
                      <w:rFonts w:hint="eastAsia"/>
                      <w:color w:val="auto"/>
                      <w:lang w:val="en-US" w:eastAsia="zh-CN"/>
                    </w:rPr>
                    <w:t>1000</w:t>
                  </w:r>
                </w:p>
              </w:tc>
              <w:tc>
                <w:tcPr>
                  <w:tcW w:w="507" w:type="pct"/>
                  <w:noWrap w:val="0"/>
                  <w:vAlign w:val="center"/>
                </w:tcPr>
                <w:p>
                  <w:pPr>
                    <w:pStyle w:val="105"/>
                    <w:bidi w:val="0"/>
                    <w:rPr>
                      <w:rFonts w:hint="default" w:eastAsia="宋体"/>
                      <w:color w:val="auto"/>
                      <w:lang w:val="en-US" w:eastAsia="zh-CN"/>
                    </w:rPr>
                  </w:pPr>
                  <w:r>
                    <w:rPr>
                      <w:rFonts w:hint="eastAsia"/>
                      <w:color w:val="auto"/>
                      <w:lang w:val="en-US" w:eastAsia="zh-CN"/>
                    </w:rPr>
                    <w:t>500</w:t>
                  </w:r>
                </w:p>
              </w:tc>
              <w:tc>
                <w:tcPr>
                  <w:tcW w:w="463" w:type="pct"/>
                  <w:noWrap w:val="0"/>
                  <w:vAlign w:val="center"/>
                </w:tcPr>
                <w:p>
                  <w:pPr>
                    <w:pStyle w:val="105"/>
                    <w:bidi w:val="0"/>
                    <w:rPr>
                      <w:rFonts w:hint="default" w:eastAsia="宋体"/>
                      <w:color w:val="auto"/>
                      <w:lang w:val="en-US" w:eastAsia="zh-CN"/>
                    </w:rPr>
                  </w:pPr>
                  <w:r>
                    <w:rPr>
                      <w:rFonts w:hint="eastAsia"/>
                      <w:color w:val="auto"/>
                      <w:lang w:val="en-US" w:eastAsia="zh-CN"/>
                    </w:rPr>
                    <w:t>800</w:t>
                  </w:r>
                </w:p>
              </w:tc>
              <w:tc>
                <w:tcPr>
                  <w:tcW w:w="433" w:type="pct"/>
                  <w:noWrap w:val="0"/>
                  <w:vAlign w:val="center"/>
                </w:tcPr>
                <w:p>
                  <w:pPr>
                    <w:pStyle w:val="105"/>
                    <w:bidi w:val="0"/>
                    <w:rPr>
                      <w:rFonts w:hint="default" w:eastAsia="宋体"/>
                      <w:color w:val="auto"/>
                      <w:lang w:val="en-US" w:eastAsia="zh-CN"/>
                    </w:rPr>
                  </w:pPr>
                  <w:r>
                    <w:rPr>
                      <w:rFonts w:hint="eastAsia"/>
                      <w:color w:val="auto"/>
                      <w:lang w:val="en-US" w:eastAsia="zh-CN"/>
                    </w:rPr>
                    <w:t>45</w:t>
                  </w:r>
                </w:p>
              </w:tc>
              <w:tc>
                <w:tcPr>
                  <w:tcW w:w="417" w:type="pct"/>
                  <w:noWrap w:val="0"/>
                  <w:vAlign w:val="center"/>
                </w:tcPr>
                <w:p>
                  <w:pPr>
                    <w:pStyle w:val="105"/>
                    <w:bidi w:val="0"/>
                    <w:rPr>
                      <w:rFonts w:hint="eastAsia" w:eastAsia="宋体"/>
                      <w:color w:val="auto"/>
                      <w:lang w:val="en-US" w:eastAsia="zh-CN"/>
                    </w:rPr>
                  </w:pPr>
                  <w:r>
                    <w:rPr>
                      <w:rFonts w:hint="eastAsia"/>
                      <w:color w:val="auto"/>
                      <w:lang w:val="en-US" w:eastAsia="zh-CN"/>
                    </w:rPr>
                    <w:t>8</w:t>
                  </w:r>
                </w:p>
              </w:tc>
              <w:tc>
                <w:tcPr>
                  <w:tcW w:w="654" w:type="pct"/>
                  <w:noWrap w:val="0"/>
                  <w:vAlign w:val="center"/>
                </w:tcPr>
                <w:p>
                  <w:pPr>
                    <w:pStyle w:val="105"/>
                    <w:bidi w:val="0"/>
                    <w:rPr>
                      <w:rFonts w:hint="default" w:eastAsia="宋体"/>
                      <w:color w:val="auto"/>
                      <w:vertAlign w:val="subscript"/>
                      <w:lang w:val="en-US" w:eastAsia="zh-CN"/>
                    </w:rPr>
                  </w:pPr>
                  <w:r>
                    <w:rPr>
                      <w:rFonts w:hint="eastAsia"/>
                      <w:color w:val="auto"/>
                      <w:lang w:val="en-US" w:eastAsia="zh-CN"/>
                    </w:rPr>
                    <w:t>10</w:t>
                  </w:r>
                  <w:r>
                    <w:rPr>
                      <w:rFonts w:hint="eastAsia"/>
                      <w:color w:val="auto"/>
                      <w:vertAlign w:val="superscript"/>
                      <w:lang w:val="en-US" w:eastAsia="zh-CN"/>
                    </w:rPr>
                    <w:t>7</w:t>
                  </w:r>
                </w:p>
              </w:tc>
              <w:tc>
                <w:tcPr>
                  <w:tcW w:w="425" w:type="pct"/>
                  <w:noWrap w:val="0"/>
                  <w:vAlign w:val="center"/>
                </w:tcPr>
                <w:p>
                  <w:pPr>
                    <w:pStyle w:val="105"/>
                    <w:bidi w:val="0"/>
                    <w:rPr>
                      <w:rFonts w:hint="eastAsia" w:eastAsia="宋体"/>
                      <w:color w:val="auto"/>
                      <w:lang w:val="en-US" w:eastAsia="zh-CN"/>
                    </w:rPr>
                  </w:pPr>
                  <w:r>
                    <w:rPr>
                      <w:rFonts w:hint="eastAsia"/>
                      <w:color w:val="auto"/>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5" w:type="pct"/>
                  <w:vMerge w:val="continue"/>
                  <w:noWrap w:val="0"/>
                  <w:vAlign w:val="center"/>
                </w:tcPr>
                <w:p>
                  <w:pPr>
                    <w:pStyle w:val="105"/>
                    <w:bidi w:val="0"/>
                    <w:rPr>
                      <w:rFonts w:hint="eastAsia" w:eastAsia="宋体"/>
                      <w:color w:val="auto"/>
                      <w:lang w:eastAsia="zh-CN"/>
                    </w:rPr>
                  </w:pPr>
                </w:p>
              </w:tc>
              <w:tc>
                <w:tcPr>
                  <w:tcW w:w="608" w:type="pct"/>
                  <w:noWrap w:val="0"/>
                  <w:vAlign w:val="center"/>
                </w:tcPr>
                <w:p>
                  <w:pPr>
                    <w:pStyle w:val="105"/>
                    <w:bidi w:val="0"/>
                    <w:rPr>
                      <w:rFonts w:hint="default" w:eastAsia="宋体"/>
                      <w:color w:val="auto"/>
                      <w:lang w:val="en-US" w:eastAsia="zh-CN"/>
                    </w:rPr>
                  </w:pPr>
                  <w:r>
                    <w:rPr>
                      <w:rFonts w:hint="eastAsia"/>
                      <w:color w:val="auto"/>
                      <w:lang w:eastAsia="zh-CN"/>
                    </w:rPr>
                    <w:t>排放量（</w:t>
                  </w:r>
                  <w:r>
                    <w:rPr>
                      <w:rFonts w:hint="eastAsia"/>
                      <w:color w:val="auto"/>
                      <w:lang w:val="en-US" w:eastAsia="zh-CN"/>
                    </w:rPr>
                    <w:t>t/a）</w:t>
                  </w:r>
                </w:p>
              </w:tc>
              <w:tc>
                <w:tcPr>
                  <w:tcW w:w="559" w:type="pct"/>
                  <w:vMerge w:val="continue"/>
                  <w:noWrap w:val="0"/>
                  <w:vAlign w:val="center"/>
                </w:tcPr>
                <w:p>
                  <w:pPr>
                    <w:pStyle w:val="105"/>
                    <w:bidi w:val="0"/>
                    <w:rPr>
                      <w:rFonts w:hint="eastAsia"/>
                      <w:color w:val="auto"/>
                    </w:rPr>
                  </w:pPr>
                </w:p>
              </w:tc>
              <w:tc>
                <w:tcPr>
                  <w:tcW w:w="465" w:type="pct"/>
                  <w:noWrap w:val="0"/>
                  <w:vAlign w:val="center"/>
                </w:tcPr>
                <w:p>
                  <w:pPr>
                    <w:pStyle w:val="105"/>
                    <w:bidi w:val="0"/>
                    <w:rPr>
                      <w:rFonts w:hint="default" w:eastAsia="宋体"/>
                      <w:color w:val="auto"/>
                      <w:lang w:val="en-US" w:eastAsia="zh-CN"/>
                    </w:rPr>
                  </w:pPr>
                  <w:r>
                    <w:rPr>
                      <w:rFonts w:hint="eastAsia"/>
                      <w:color w:val="auto"/>
                      <w:lang w:val="en-US" w:eastAsia="zh-CN"/>
                    </w:rPr>
                    <w:t>0.409</w:t>
                  </w:r>
                </w:p>
              </w:tc>
              <w:tc>
                <w:tcPr>
                  <w:tcW w:w="507" w:type="pct"/>
                  <w:noWrap w:val="0"/>
                  <w:vAlign w:val="center"/>
                </w:tcPr>
                <w:p>
                  <w:pPr>
                    <w:pStyle w:val="105"/>
                    <w:bidi w:val="0"/>
                    <w:rPr>
                      <w:rFonts w:hint="default" w:eastAsia="宋体"/>
                      <w:color w:val="auto"/>
                      <w:lang w:val="en-US" w:eastAsia="zh-CN"/>
                    </w:rPr>
                  </w:pPr>
                  <w:r>
                    <w:rPr>
                      <w:rFonts w:hint="eastAsia"/>
                      <w:color w:val="auto"/>
                      <w:lang w:val="en-US" w:eastAsia="zh-CN"/>
                    </w:rPr>
                    <w:t>0.204</w:t>
                  </w:r>
                </w:p>
              </w:tc>
              <w:tc>
                <w:tcPr>
                  <w:tcW w:w="463" w:type="pct"/>
                  <w:noWrap w:val="0"/>
                  <w:vAlign w:val="center"/>
                </w:tcPr>
                <w:p>
                  <w:pPr>
                    <w:pStyle w:val="105"/>
                    <w:bidi w:val="0"/>
                    <w:rPr>
                      <w:rFonts w:hint="default" w:eastAsia="宋体"/>
                      <w:color w:val="auto"/>
                      <w:lang w:val="en-US" w:eastAsia="zh-CN"/>
                    </w:rPr>
                  </w:pPr>
                  <w:r>
                    <w:rPr>
                      <w:rFonts w:hint="eastAsia"/>
                      <w:color w:val="auto"/>
                      <w:lang w:val="en-US" w:eastAsia="zh-CN"/>
                    </w:rPr>
                    <w:t>0.327</w:t>
                  </w:r>
                </w:p>
              </w:tc>
              <w:tc>
                <w:tcPr>
                  <w:tcW w:w="433" w:type="pct"/>
                  <w:noWrap w:val="0"/>
                  <w:vAlign w:val="center"/>
                </w:tcPr>
                <w:p>
                  <w:pPr>
                    <w:pStyle w:val="105"/>
                    <w:bidi w:val="0"/>
                    <w:rPr>
                      <w:rFonts w:hint="default" w:eastAsia="宋体"/>
                      <w:color w:val="auto"/>
                      <w:lang w:val="en-US" w:eastAsia="zh-CN"/>
                    </w:rPr>
                  </w:pPr>
                  <w:r>
                    <w:rPr>
                      <w:rFonts w:hint="eastAsia"/>
                      <w:color w:val="auto"/>
                      <w:lang w:val="en-US" w:eastAsia="zh-CN"/>
                    </w:rPr>
                    <w:t>0.018</w:t>
                  </w:r>
                </w:p>
              </w:tc>
              <w:tc>
                <w:tcPr>
                  <w:tcW w:w="417" w:type="pct"/>
                  <w:noWrap w:val="0"/>
                  <w:vAlign w:val="center"/>
                </w:tcPr>
                <w:p>
                  <w:pPr>
                    <w:pStyle w:val="105"/>
                    <w:bidi w:val="0"/>
                    <w:rPr>
                      <w:rFonts w:hint="default" w:eastAsia="宋体"/>
                      <w:color w:val="auto"/>
                      <w:lang w:val="en-US" w:eastAsia="zh-CN"/>
                    </w:rPr>
                  </w:pPr>
                  <w:r>
                    <w:rPr>
                      <w:rFonts w:hint="eastAsia"/>
                      <w:color w:val="auto"/>
                      <w:lang w:val="en-US" w:eastAsia="zh-CN"/>
                    </w:rPr>
                    <w:t>0.003</w:t>
                  </w:r>
                </w:p>
              </w:tc>
              <w:tc>
                <w:tcPr>
                  <w:tcW w:w="654" w:type="pct"/>
                  <w:noWrap w:val="0"/>
                  <w:vAlign w:val="center"/>
                </w:tcPr>
                <w:p>
                  <w:pPr>
                    <w:pStyle w:val="105"/>
                    <w:bidi w:val="0"/>
                    <w:rPr>
                      <w:rFonts w:hint="eastAsia" w:eastAsia="宋体"/>
                      <w:color w:val="auto"/>
                      <w:lang w:val="en-US" w:eastAsia="zh-CN"/>
                    </w:rPr>
                  </w:pPr>
                  <w:r>
                    <w:rPr>
                      <w:rFonts w:hint="eastAsia"/>
                      <w:color w:val="auto"/>
                      <w:lang w:val="en-US" w:eastAsia="zh-CN"/>
                    </w:rPr>
                    <w:t>/</w:t>
                  </w:r>
                </w:p>
              </w:tc>
              <w:tc>
                <w:tcPr>
                  <w:tcW w:w="425" w:type="pct"/>
                  <w:noWrap w:val="0"/>
                  <w:vAlign w:val="center"/>
                </w:tcPr>
                <w:p>
                  <w:pPr>
                    <w:pStyle w:val="105"/>
                    <w:bidi w:val="0"/>
                    <w:rPr>
                      <w:rFonts w:hint="default" w:eastAsia="宋体"/>
                      <w:color w:val="auto"/>
                      <w:lang w:val="en-US" w:eastAsia="zh-CN"/>
                    </w:rPr>
                  </w:pPr>
                  <w:r>
                    <w:rPr>
                      <w:rFonts w:hint="eastAsia"/>
                      <w:color w:val="auto"/>
                      <w:lang w:val="en-US" w:eastAsia="zh-CN"/>
                    </w:rPr>
                    <w:t>0.003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5" w:type="pct"/>
                  <w:vMerge w:val="restart"/>
                  <w:noWrap w:val="0"/>
                  <w:vAlign w:val="center"/>
                </w:tcPr>
                <w:p>
                  <w:pPr>
                    <w:pStyle w:val="105"/>
                    <w:bidi w:val="0"/>
                    <w:rPr>
                      <w:rFonts w:hint="eastAsia" w:eastAsia="宋体"/>
                      <w:color w:val="auto"/>
                      <w:lang w:eastAsia="zh-CN"/>
                    </w:rPr>
                  </w:pPr>
                  <w:r>
                    <w:rPr>
                      <w:rFonts w:hint="eastAsia"/>
                      <w:color w:val="auto"/>
                      <w:lang w:eastAsia="zh-CN"/>
                    </w:rPr>
                    <w:t>处理后</w:t>
                  </w:r>
                </w:p>
              </w:tc>
              <w:tc>
                <w:tcPr>
                  <w:tcW w:w="608" w:type="pct"/>
                  <w:noWrap w:val="0"/>
                  <w:vAlign w:val="center"/>
                </w:tcPr>
                <w:p>
                  <w:pPr>
                    <w:pStyle w:val="105"/>
                    <w:bidi w:val="0"/>
                    <w:ind w:firstLine="0" w:firstLineChars="0"/>
                    <w:rPr>
                      <w:rFonts w:hint="eastAsia"/>
                      <w:color w:val="auto"/>
                    </w:rPr>
                  </w:pPr>
                  <w:r>
                    <w:rPr>
                      <w:rFonts w:hint="eastAsia"/>
                      <w:color w:val="auto"/>
                      <w:lang w:eastAsia="zh-CN"/>
                    </w:rPr>
                    <w:t>浓度（</w:t>
                  </w:r>
                  <w:r>
                    <w:rPr>
                      <w:rFonts w:hint="eastAsia"/>
                      <w:color w:val="auto"/>
                      <w:lang w:val="en-US" w:eastAsia="zh-CN"/>
                    </w:rPr>
                    <w:t>mg/L）</w:t>
                  </w:r>
                </w:p>
              </w:tc>
              <w:tc>
                <w:tcPr>
                  <w:tcW w:w="559" w:type="pct"/>
                  <w:vMerge w:val="restart"/>
                  <w:noWrap w:val="0"/>
                  <w:vAlign w:val="center"/>
                </w:tcPr>
                <w:p>
                  <w:pPr>
                    <w:pStyle w:val="105"/>
                    <w:bidi w:val="0"/>
                    <w:rPr>
                      <w:rFonts w:hint="eastAsia"/>
                      <w:color w:val="auto"/>
                    </w:rPr>
                  </w:pPr>
                  <w:r>
                    <w:rPr>
                      <w:rFonts w:hint="eastAsia"/>
                      <w:color w:val="auto"/>
                      <w:lang w:val="en-US" w:eastAsia="zh-CN"/>
                    </w:rPr>
                    <w:t>408.8</w:t>
                  </w:r>
                </w:p>
              </w:tc>
              <w:tc>
                <w:tcPr>
                  <w:tcW w:w="465" w:type="pct"/>
                  <w:noWrap w:val="0"/>
                  <w:vAlign w:val="center"/>
                </w:tcPr>
                <w:p>
                  <w:pPr>
                    <w:pStyle w:val="105"/>
                    <w:bidi w:val="0"/>
                    <w:rPr>
                      <w:rFonts w:hint="default" w:eastAsia="宋体"/>
                      <w:color w:val="auto"/>
                      <w:lang w:val="en-US" w:eastAsia="zh-CN"/>
                    </w:rPr>
                  </w:pPr>
                  <w:r>
                    <w:rPr>
                      <w:rFonts w:hint="eastAsia"/>
                      <w:color w:val="auto"/>
                      <w:lang w:val="en-US" w:eastAsia="zh-CN"/>
                    </w:rPr>
                    <w:t>500</w:t>
                  </w:r>
                </w:p>
              </w:tc>
              <w:tc>
                <w:tcPr>
                  <w:tcW w:w="507" w:type="pct"/>
                  <w:noWrap w:val="0"/>
                  <w:vAlign w:val="center"/>
                </w:tcPr>
                <w:p>
                  <w:pPr>
                    <w:pStyle w:val="105"/>
                    <w:bidi w:val="0"/>
                    <w:rPr>
                      <w:rFonts w:hint="default" w:eastAsia="宋体"/>
                      <w:color w:val="auto"/>
                      <w:lang w:val="en-US" w:eastAsia="zh-CN"/>
                    </w:rPr>
                  </w:pPr>
                  <w:r>
                    <w:rPr>
                      <w:rFonts w:hint="eastAsia"/>
                      <w:color w:val="auto"/>
                      <w:lang w:val="en-US" w:eastAsia="zh-CN"/>
                    </w:rPr>
                    <w:t>300</w:t>
                  </w:r>
                </w:p>
              </w:tc>
              <w:tc>
                <w:tcPr>
                  <w:tcW w:w="463" w:type="pct"/>
                  <w:noWrap w:val="0"/>
                  <w:vAlign w:val="center"/>
                </w:tcPr>
                <w:p>
                  <w:pPr>
                    <w:pStyle w:val="105"/>
                    <w:bidi w:val="0"/>
                    <w:rPr>
                      <w:rFonts w:hint="default" w:eastAsia="宋体"/>
                      <w:color w:val="auto"/>
                      <w:lang w:val="en-US" w:eastAsia="zh-CN"/>
                    </w:rPr>
                  </w:pPr>
                  <w:r>
                    <w:rPr>
                      <w:rFonts w:hint="eastAsia"/>
                      <w:color w:val="auto"/>
                      <w:lang w:val="en-US" w:eastAsia="zh-CN"/>
                    </w:rPr>
                    <w:t>400</w:t>
                  </w:r>
                </w:p>
              </w:tc>
              <w:tc>
                <w:tcPr>
                  <w:tcW w:w="433" w:type="pct"/>
                  <w:noWrap w:val="0"/>
                  <w:vAlign w:val="center"/>
                </w:tcPr>
                <w:p>
                  <w:pPr>
                    <w:pStyle w:val="105"/>
                    <w:bidi w:val="0"/>
                    <w:rPr>
                      <w:rFonts w:hint="default" w:eastAsia="宋体"/>
                      <w:color w:val="auto"/>
                      <w:lang w:val="en-US" w:eastAsia="zh-CN"/>
                    </w:rPr>
                  </w:pPr>
                  <w:r>
                    <w:rPr>
                      <w:rFonts w:hint="eastAsia"/>
                      <w:color w:val="auto"/>
                      <w:lang w:val="en-US" w:eastAsia="zh-CN"/>
                    </w:rPr>
                    <w:t>45</w:t>
                  </w:r>
                </w:p>
              </w:tc>
              <w:tc>
                <w:tcPr>
                  <w:tcW w:w="417" w:type="pct"/>
                  <w:noWrap w:val="0"/>
                  <w:vAlign w:val="center"/>
                </w:tcPr>
                <w:p>
                  <w:pPr>
                    <w:pStyle w:val="105"/>
                    <w:bidi w:val="0"/>
                    <w:rPr>
                      <w:rFonts w:hint="eastAsia" w:eastAsia="宋体"/>
                      <w:color w:val="auto"/>
                      <w:lang w:val="en-US" w:eastAsia="zh-CN"/>
                    </w:rPr>
                  </w:pPr>
                  <w:r>
                    <w:rPr>
                      <w:rFonts w:hint="eastAsia"/>
                      <w:color w:val="auto"/>
                      <w:lang w:val="en-US" w:eastAsia="zh-CN"/>
                    </w:rPr>
                    <w:t>8</w:t>
                  </w:r>
                </w:p>
              </w:tc>
              <w:tc>
                <w:tcPr>
                  <w:tcW w:w="654" w:type="pct"/>
                  <w:noWrap w:val="0"/>
                  <w:vAlign w:val="center"/>
                </w:tcPr>
                <w:p>
                  <w:pPr>
                    <w:pStyle w:val="105"/>
                    <w:bidi w:val="0"/>
                    <w:rPr>
                      <w:rFonts w:hint="default" w:eastAsia="宋体"/>
                      <w:color w:val="auto"/>
                      <w:lang w:val="en-US" w:eastAsia="zh-CN"/>
                    </w:rPr>
                  </w:pPr>
                  <w:r>
                    <w:rPr>
                      <w:rFonts w:hint="default" w:ascii="Times New Roman" w:hAnsi="Times New Roman" w:cs="Times New Roman"/>
                      <w:color w:val="auto"/>
                      <w:lang w:eastAsia="zh-CN"/>
                    </w:rPr>
                    <w:t>＜</w:t>
                  </w:r>
                  <w:r>
                    <w:rPr>
                      <w:rFonts w:hint="eastAsia"/>
                      <w:color w:val="auto"/>
                      <w:lang w:val="en-US" w:eastAsia="zh-CN"/>
                    </w:rPr>
                    <w:t>5000</w:t>
                  </w:r>
                </w:p>
              </w:tc>
              <w:tc>
                <w:tcPr>
                  <w:tcW w:w="425" w:type="pct"/>
                  <w:noWrap w:val="0"/>
                  <w:vAlign w:val="center"/>
                </w:tcPr>
                <w:p>
                  <w:pPr>
                    <w:pStyle w:val="105"/>
                    <w:bidi w:val="0"/>
                    <w:rPr>
                      <w:rFonts w:hint="eastAsia" w:eastAsia="宋体"/>
                      <w:color w:val="auto"/>
                      <w:lang w:val="en-US" w:eastAsia="zh-CN"/>
                    </w:rPr>
                  </w:pPr>
                  <w:r>
                    <w:rPr>
                      <w:rFonts w:hint="eastAsia"/>
                      <w:color w:val="auto"/>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5" w:type="pct"/>
                  <w:vMerge w:val="continue"/>
                  <w:noWrap w:val="0"/>
                  <w:vAlign w:val="center"/>
                </w:tcPr>
                <w:p>
                  <w:pPr>
                    <w:pStyle w:val="105"/>
                    <w:bidi w:val="0"/>
                    <w:rPr>
                      <w:rFonts w:hint="eastAsia"/>
                      <w:color w:val="auto"/>
                    </w:rPr>
                  </w:pPr>
                </w:p>
              </w:tc>
              <w:tc>
                <w:tcPr>
                  <w:tcW w:w="608" w:type="pct"/>
                  <w:noWrap w:val="0"/>
                  <w:vAlign w:val="center"/>
                </w:tcPr>
                <w:p>
                  <w:pPr>
                    <w:pStyle w:val="105"/>
                    <w:bidi w:val="0"/>
                    <w:ind w:firstLine="0" w:firstLineChars="0"/>
                    <w:rPr>
                      <w:rFonts w:hint="eastAsia"/>
                      <w:color w:val="auto"/>
                      <w:lang w:eastAsia="zh-CN"/>
                    </w:rPr>
                  </w:pPr>
                  <w:r>
                    <w:rPr>
                      <w:rFonts w:hint="eastAsia"/>
                      <w:color w:val="auto"/>
                      <w:lang w:eastAsia="zh-CN"/>
                    </w:rPr>
                    <w:t>排放量</w:t>
                  </w:r>
                </w:p>
                <w:p>
                  <w:pPr>
                    <w:pStyle w:val="170"/>
                    <w:widowControl w:val="0"/>
                    <w:bidi w:val="0"/>
                    <w:rPr>
                      <w:rFonts w:hint="eastAsia"/>
                      <w:color w:val="auto"/>
                    </w:rPr>
                  </w:pPr>
                  <w:r>
                    <w:rPr>
                      <w:rFonts w:hint="eastAsia"/>
                      <w:color w:val="auto"/>
                      <w:lang w:eastAsia="zh-CN"/>
                    </w:rPr>
                    <w:t>（</w:t>
                  </w:r>
                  <w:r>
                    <w:rPr>
                      <w:rFonts w:hint="eastAsia"/>
                      <w:color w:val="auto"/>
                      <w:lang w:val="en-US" w:eastAsia="zh-CN"/>
                    </w:rPr>
                    <w:t>t/a）</w:t>
                  </w:r>
                </w:p>
              </w:tc>
              <w:tc>
                <w:tcPr>
                  <w:tcW w:w="559" w:type="pct"/>
                  <w:vMerge w:val="continue"/>
                  <w:noWrap w:val="0"/>
                  <w:vAlign w:val="center"/>
                </w:tcPr>
                <w:p>
                  <w:pPr>
                    <w:pStyle w:val="105"/>
                    <w:bidi w:val="0"/>
                    <w:rPr>
                      <w:rFonts w:hint="eastAsia"/>
                      <w:color w:val="auto"/>
                    </w:rPr>
                  </w:pPr>
                </w:p>
              </w:tc>
              <w:tc>
                <w:tcPr>
                  <w:tcW w:w="465" w:type="pct"/>
                  <w:noWrap w:val="0"/>
                  <w:vAlign w:val="center"/>
                </w:tcPr>
                <w:p>
                  <w:pPr>
                    <w:pStyle w:val="105"/>
                    <w:bidi w:val="0"/>
                    <w:rPr>
                      <w:rFonts w:hint="default" w:eastAsia="宋体"/>
                      <w:color w:val="auto"/>
                      <w:lang w:val="en-US" w:eastAsia="zh-CN"/>
                    </w:rPr>
                  </w:pPr>
                  <w:r>
                    <w:rPr>
                      <w:rFonts w:hint="eastAsia"/>
                      <w:color w:val="auto"/>
                      <w:lang w:val="en-US" w:eastAsia="zh-CN"/>
                    </w:rPr>
                    <w:t>0.204</w:t>
                  </w:r>
                </w:p>
              </w:tc>
              <w:tc>
                <w:tcPr>
                  <w:tcW w:w="507" w:type="pct"/>
                  <w:noWrap w:val="0"/>
                  <w:vAlign w:val="center"/>
                </w:tcPr>
                <w:p>
                  <w:pPr>
                    <w:pStyle w:val="105"/>
                    <w:bidi w:val="0"/>
                    <w:rPr>
                      <w:rFonts w:hint="default" w:eastAsia="宋体"/>
                      <w:color w:val="auto"/>
                      <w:lang w:val="en-US" w:eastAsia="zh-CN"/>
                    </w:rPr>
                  </w:pPr>
                  <w:r>
                    <w:rPr>
                      <w:rFonts w:hint="eastAsia"/>
                      <w:color w:val="auto"/>
                      <w:lang w:val="en-US" w:eastAsia="zh-CN"/>
                    </w:rPr>
                    <w:t>0.123</w:t>
                  </w:r>
                </w:p>
              </w:tc>
              <w:tc>
                <w:tcPr>
                  <w:tcW w:w="463" w:type="pct"/>
                  <w:noWrap w:val="0"/>
                  <w:vAlign w:val="center"/>
                </w:tcPr>
                <w:p>
                  <w:pPr>
                    <w:pStyle w:val="105"/>
                    <w:bidi w:val="0"/>
                    <w:rPr>
                      <w:rFonts w:hint="default" w:eastAsia="宋体"/>
                      <w:color w:val="auto"/>
                      <w:lang w:val="en-US" w:eastAsia="zh-CN"/>
                    </w:rPr>
                  </w:pPr>
                  <w:r>
                    <w:rPr>
                      <w:rFonts w:hint="eastAsia"/>
                      <w:color w:val="auto"/>
                      <w:lang w:val="en-US" w:eastAsia="zh-CN"/>
                    </w:rPr>
                    <w:t>0.164</w:t>
                  </w:r>
                </w:p>
              </w:tc>
              <w:tc>
                <w:tcPr>
                  <w:tcW w:w="433" w:type="pct"/>
                  <w:noWrap w:val="0"/>
                  <w:vAlign w:val="center"/>
                </w:tcPr>
                <w:p>
                  <w:pPr>
                    <w:pStyle w:val="105"/>
                    <w:bidi w:val="0"/>
                    <w:rPr>
                      <w:rFonts w:hint="eastAsia"/>
                      <w:color w:val="auto"/>
                    </w:rPr>
                  </w:pPr>
                  <w:r>
                    <w:rPr>
                      <w:rFonts w:hint="eastAsia"/>
                      <w:color w:val="auto"/>
                      <w:lang w:val="en-US" w:eastAsia="zh-CN"/>
                    </w:rPr>
                    <w:t>0.018</w:t>
                  </w:r>
                </w:p>
              </w:tc>
              <w:tc>
                <w:tcPr>
                  <w:tcW w:w="417" w:type="pct"/>
                  <w:noWrap w:val="0"/>
                  <w:vAlign w:val="center"/>
                </w:tcPr>
                <w:p>
                  <w:pPr>
                    <w:pStyle w:val="105"/>
                    <w:bidi w:val="0"/>
                    <w:rPr>
                      <w:rFonts w:hint="default" w:eastAsia="宋体"/>
                      <w:color w:val="auto"/>
                      <w:lang w:val="en-US" w:eastAsia="zh-CN"/>
                    </w:rPr>
                  </w:pPr>
                  <w:r>
                    <w:rPr>
                      <w:rFonts w:hint="eastAsia"/>
                      <w:color w:val="auto"/>
                      <w:lang w:val="en-US" w:eastAsia="zh-CN"/>
                    </w:rPr>
                    <w:t>0.003</w:t>
                  </w:r>
                </w:p>
              </w:tc>
              <w:tc>
                <w:tcPr>
                  <w:tcW w:w="654" w:type="pct"/>
                  <w:noWrap w:val="0"/>
                  <w:vAlign w:val="center"/>
                </w:tcPr>
                <w:p>
                  <w:pPr>
                    <w:pStyle w:val="105"/>
                    <w:bidi w:val="0"/>
                    <w:rPr>
                      <w:rFonts w:hint="eastAsia" w:eastAsia="宋体"/>
                      <w:color w:val="auto"/>
                      <w:lang w:val="en-US" w:eastAsia="zh-CN"/>
                    </w:rPr>
                  </w:pPr>
                  <w:r>
                    <w:rPr>
                      <w:rFonts w:hint="eastAsia"/>
                      <w:color w:val="auto"/>
                      <w:lang w:val="en-US" w:eastAsia="zh-CN"/>
                    </w:rPr>
                    <w:t>/</w:t>
                  </w:r>
                </w:p>
              </w:tc>
              <w:tc>
                <w:tcPr>
                  <w:tcW w:w="425" w:type="pct"/>
                  <w:noWrap w:val="0"/>
                  <w:vAlign w:val="center"/>
                </w:tcPr>
                <w:p>
                  <w:pPr>
                    <w:pStyle w:val="105"/>
                    <w:bidi w:val="0"/>
                    <w:rPr>
                      <w:rFonts w:hint="eastAsia"/>
                      <w:color w:val="auto"/>
                    </w:rPr>
                  </w:pPr>
                  <w:r>
                    <w:rPr>
                      <w:rFonts w:hint="eastAsia"/>
                      <w:color w:val="auto"/>
                      <w:lang w:val="en-US" w:eastAsia="zh-CN"/>
                    </w:rPr>
                    <w:t>0.003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32" w:type="pct"/>
                  <w:gridSpan w:val="3"/>
                  <w:noWrap w:val="0"/>
                  <w:vAlign w:val="center"/>
                </w:tcPr>
                <w:p>
                  <w:pPr>
                    <w:pStyle w:val="105"/>
                    <w:bidi w:val="0"/>
                    <w:rPr>
                      <w:rFonts w:hint="eastAsia" w:eastAsia="宋体"/>
                      <w:color w:val="auto"/>
                      <w:lang w:eastAsia="zh-CN"/>
                    </w:rPr>
                  </w:pPr>
                  <w:r>
                    <w:rPr>
                      <w:rFonts w:hint="eastAsia"/>
                      <w:color w:val="auto"/>
                      <w:lang w:eastAsia="zh-CN"/>
                    </w:rPr>
                    <w:t>处理效率</w:t>
                  </w:r>
                </w:p>
              </w:tc>
              <w:tc>
                <w:tcPr>
                  <w:tcW w:w="465" w:type="pct"/>
                  <w:noWrap w:val="0"/>
                  <w:vAlign w:val="center"/>
                </w:tcPr>
                <w:p>
                  <w:pPr>
                    <w:pStyle w:val="105"/>
                    <w:bidi w:val="0"/>
                    <w:rPr>
                      <w:rFonts w:hint="default" w:eastAsia="宋体"/>
                      <w:color w:val="auto"/>
                      <w:lang w:val="en-US" w:eastAsia="zh-CN"/>
                    </w:rPr>
                  </w:pPr>
                  <w:r>
                    <w:rPr>
                      <w:rFonts w:hint="eastAsia"/>
                      <w:color w:val="auto"/>
                      <w:lang w:val="en-US" w:eastAsia="zh-CN"/>
                    </w:rPr>
                    <w:t>49.9%</w:t>
                  </w:r>
                </w:p>
              </w:tc>
              <w:tc>
                <w:tcPr>
                  <w:tcW w:w="507" w:type="pct"/>
                  <w:noWrap w:val="0"/>
                  <w:vAlign w:val="center"/>
                </w:tcPr>
                <w:p>
                  <w:pPr>
                    <w:pStyle w:val="105"/>
                    <w:bidi w:val="0"/>
                    <w:rPr>
                      <w:rFonts w:hint="default" w:eastAsia="宋体"/>
                      <w:color w:val="auto"/>
                      <w:lang w:val="en-US" w:eastAsia="zh-CN"/>
                    </w:rPr>
                  </w:pPr>
                  <w:r>
                    <w:rPr>
                      <w:rFonts w:hint="eastAsia"/>
                      <w:color w:val="auto"/>
                      <w:lang w:val="en-US" w:eastAsia="zh-CN"/>
                    </w:rPr>
                    <w:t>60.3%</w:t>
                  </w:r>
                </w:p>
              </w:tc>
              <w:tc>
                <w:tcPr>
                  <w:tcW w:w="463" w:type="pct"/>
                  <w:noWrap w:val="0"/>
                  <w:vAlign w:val="center"/>
                </w:tcPr>
                <w:p>
                  <w:pPr>
                    <w:pStyle w:val="105"/>
                    <w:bidi w:val="0"/>
                    <w:rPr>
                      <w:rFonts w:hint="default" w:eastAsia="宋体"/>
                      <w:color w:val="auto"/>
                      <w:lang w:val="en-US" w:eastAsia="zh-CN"/>
                    </w:rPr>
                  </w:pPr>
                  <w:r>
                    <w:rPr>
                      <w:rFonts w:hint="eastAsia"/>
                      <w:color w:val="auto"/>
                      <w:lang w:val="en-US" w:eastAsia="zh-CN"/>
                    </w:rPr>
                    <w:t>50.2%</w:t>
                  </w:r>
                </w:p>
              </w:tc>
              <w:tc>
                <w:tcPr>
                  <w:tcW w:w="433" w:type="pct"/>
                  <w:noWrap w:val="0"/>
                  <w:vAlign w:val="center"/>
                </w:tcPr>
                <w:p>
                  <w:pPr>
                    <w:pStyle w:val="105"/>
                    <w:bidi w:val="0"/>
                    <w:rPr>
                      <w:rFonts w:hint="default" w:eastAsia="宋体"/>
                      <w:color w:val="auto"/>
                      <w:lang w:val="en-US" w:eastAsia="zh-CN"/>
                    </w:rPr>
                  </w:pPr>
                  <w:r>
                    <w:rPr>
                      <w:rFonts w:hint="eastAsia"/>
                      <w:color w:val="auto"/>
                      <w:lang w:val="en-US" w:eastAsia="zh-CN"/>
                    </w:rPr>
                    <w:t>0%</w:t>
                  </w:r>
                </w:p>
              </w:tc>
              <w:tc>
                <w:tcPr>
                  <w:tcW w:w="417" w:type="pct"/>
                  <w:noWrap w:val="0"/>
                  <w:vAlign w:val="center"/>
                </w:tcPr>
                <w:p>
                  <w:pPr>
                    <w:pStyle w:val="105"/>
                    <w:bidi w:val="0"/>
                    <w:rPr>
                      <w:rFonts w:hint="default"/>
                      <w:color w:val="auto"/>
                      <w:lang w:val="en-US"/>
                    </w:rPr>
                  </w:pPr>
                  <w:r>
                    <w:rPr>
                      <w:rFonts w:hint="eastAsia"/>
                      <w:color w:val="auto"/>
                      <w:lang w:val="en-US" w:eastAsia="zh-CN"/>
                    </w:rPr>
                    <w:t>0%</w:t>
                  </w:r>
                </w:p>
              </w:tc>
              <w:tc>
                <w:tcPr>
                  <w:tcW w:w="654" w:type="pct"/>
                  <w:noWrap w:val="0"/>
                  <w:vAlign w:val="center"/>
                </w:tcPr>
                <w:p>
                  <w:pPr>
                    <w:pStyle w:val="105"/>
                    <w:bidi w:val="0"/>
                    <w:rPr>
                      <w:rFonts w:hint="default" w:eastAsia="宋体"/>
                      <w:color w:val="auto"/>
                      <w:lang w:val="en-US" w:eastAsia="zh-CN"/>
                    </w:rPr>
                  </w:pPr>
                  <w:r>
                    <w:rPr>
                      <w:rFonts w:hint="eastAsia"/>
                      <w:color w:val="auto"/>
                      <w:lang w:val="en-US" w:eastAsia="zh-CN"/>
                    </w:rPr>
                    <w:t>99%</w:t>
                  </w:r>
                </w:p>
              </w:tc>
              <w:tc>
                <w:tcPr>
                  <w:tcW w:w="425" w:type="pct"/>
                  <w:noWrap w:val="0"/>
                  <w:vAlign w:val="center"/>
                </w:tcPr>
                <w:p>
                  <w:pPr>
                    <w:pStyle w:val="105"/>
                    <w:bidi w:val="0"/>
                    <w:rPr>
                      <w:rFonts w:hint="eastAsia" w:eastAsia="宋体"/>
                      <w:color w:val="auto"/>
                      <w:lang w:val="en-US" w:eastAsia="zh-CN"/>
                    </w:rPr>
                  </w:pPr>
                  <w:r>
                    <w:rPr>
                      <w:rFonts w:hint="eastAsia"/>
                      <w:color w:val="auto"/>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5" w:type="pct"/>
                  <w:vMerge w:val="restart"/>
                  <w:noWrap w:val="0"/>
                  <w:vAlign w:val="center"/>
                </w:tcPr>
                <w:p>
                  <w:pPr>
                    <w:pStyle w:val="105"/>
                    <w:bidi w:val="0"/>
                    <w:rPr>
                      <w:rFonts w:hint="eastAsia" w:eastAsia="宋体"/>
                      <w:color w:val="auto"/>
                      <w:lang w:eastAsia="zh-CN"/>
                    </w:rPr>
                  </w:pPr>
                  <w:r>
                    <w:rPr>
                      <w:rFonts w:hint="eastAsia"/>
                      <w:color w:val="auto"/>
                      <w:lang w:eastAsia="zh-CN"/>
                    </w:rPr>
                    <w:t>乐山市第一污水处理厂</w:t>
                  </w:r>
                </w:p>
              </w:tc>
              <w:tc>
                <w:tcPr>
                  <w:tcW w:w="608" w:type="pct"/>
                  <w:noWrap w:val="0"/>
                  <w:vAlign w:val="center"/>
                </w:tcPr>
                <w:p>
                  <w:pPr>
                    <w:pStyle w:val="105"/>
                    <w:bidi w:val="0"/>
                    <w:ind w:firstLine="0" w:firstLineChars="0"/>
                    <w:rPr>
                      <w:rFonts w:hint="eastAsia"/>
                      <w:color w:val="auto"/>
                    </w:rPr>
                  </w:pPr>
                  <w:r>
                    <w:rPr>
                      <w:rFonts w:hint="eastAsia"/>
                      <w:color w:val="auto"/>
                      <w:lang w:eastAsia="zh-CN"/>
                    </w:rPr>
                    <w:t>浓度（</w:t>
                  </w:r>
                  <w:r>
                    <w:rPr>
                      <w:rFonts w:hint="eastAsia"/>
                      <w:color w:val="auto"/>
                      <w:lang w:val="en-US" w:eastAsia="zh-CN"/>
                    </w:rPr>
                    <w:t>mg/L）</w:t>
                  </w:r>
                </w:p>
              </w:tc>
              <w:tc>
                <w:tcPr>
                  <w:tcW w:w="559" w:type="pct"/>
                  <w:vMerge w:val="restart"/>
                  <w:noWrap w:val="0"/>
                  <w:vAlign w:val="center"/>
                </w:tcPr>
                <w:p>
                  <w:pPr>
                    <w:pStyle w:val="105"/>
                    <w:bidi w:val="0"/>
                    <w:rPr>
                      <w:rFonts w:hint="eastAsia"/>
                      <w:color w:val="auto"/>
                    </w:rPr>
                  </w:pPr>
                  <w:r>
                    <w:rPr>
                      <w:rFonts w:hint="eastAsia"/>
                      <w:color w:val="auto"/>
                      <w:lang w:val="en-US" w:eastAsia="zh-CN"/>
                    </w:rPr>
                    <w:t>408.8</w:t>
                  </w:r>
                </w:p>
              </w:tc>
              <w:tc>
                <w:tcPr>
                  <w:tcW w:w="465" w:type="pct"/>
                  <w:noWrap w:val="0"/>
                  <w:vAlign w:val="center"/>
                </w:tcPr>
                <w:p>
                  <w:pPr>
                    <w:pStyle w:val="105"/>
                    <w:bidi w:val="0"/>
                    <w:rPr>
                      <w:rFonts w:hint="default" w:eastAsia="宋体"/>
                      <w:color w:val="auto"/>
                      <w:lang w:val="en-US" w:eastAsia="zh-CN"/>
                    </w:rPr>
                  </w:pPr>
                  <w:r>
                    <w:rPr>
                      <w:rFonts w:hint="eastAsia"/>
                      <w:color w:val="auto"/>
                      <w:lang w:val="en-US" w:eastAsia="zh-CN"/>
                    </w:rPr>
                    <w:t>30</w:t>
                  </w:r>
                </w:p>
              </w:tc>
              <w:tc>
                <w:tcPr>
                  <w:tcW w:w="507" w:type="pct"/>
                  <w:noWrap w:val="0"/>
                  <w:vAlign w:val="center"/>
                </w:tcPr>
                <w:p>
                  <w:pPr>
                    <w:pStyle w:val="105"/>
                    <w:bidi w:val="0"/>
                    <w:rPr>
                      <w:rFonts w:hint="eastAsia" w:eastAsia="宋体"/>
                      <w:color w:val="auto"/>
                      <w:lang w:val="en-US" w:eastAsia="zh-CN"/>
                    </w:rPr>
                  </w:pPr>
                  <w:r>
                    <w:rPr>
                      <w:rFonts w:hint="eastAsia"/>
                      <w:color w:val="auto"/>
                      <w:lang w:val="en-US" w:eastAsia="zh-CN"/>
                    </w:rPr>
                    <w:t>6</w:t>
                  </w:r>
                </w:p>
              </w:tc>
              <w:tc>
                <w:tcPr>
                  <w:tcW w:w="463" w:type="pct"/>
                  <w:noWrap w:val="0"/>
                  <w:vAlign w:val="center"/>
                </w:tcPr>
                <w:p>
                  <w:pPr>
                    <w:pStyle w:val="105"/>
                    <w:bidi w:val="0"/>
                    <w:rPr>
                      <w:rFonts w:hint="eastAsia" w:eastAsia="宋体"/>
                      <w:color w:val="auto"/>
                      <w:lang w:val="en-US" w:eastAsia="zh-CN"/>
                    </w:rPr>
                  </w:pPr>
                  <w:r>
                    <w:rPr>
                      <w:rFonts w:hint="eastAsia"/>
                      <w:color w:val="auto"/>
                      <w:lang w:val="en-US" w:eastAsia="zh-CN"/>
                    </w:rPr>
                    <w:t>-</w:t>
                  </w:r>
                </w:p>
              </w:tc>
              <w:tc>
                <w:tcPr>
                  <w:tcW w:w="433" w:type="pct"/>
                  <w:noWrap w:val="0"/>
                  <w:vAlign w:val="center"/>
                </w:tcPr>
                <w:p>
                  <w:pPr>
                    <w:pStyle w:val="105"/>
                    <w:bidi w:val="0"/>
                    <w:rPr>
                      <w:rFonts w:hint="default" w:eastAsia="宋体"/>
                      <w:color w:val="auto"/>
                      <w:lang w:val="en-US" w:eastAsia="zh-CN"/>
                    </w:rPr>
                  </w:pPr>
                  <w:r>
                    <w:rPr>
                      <w:rFonts w:hint="eastAsia"/>
                      <w:color w:val="auto"/>
                      <w:lang w:val="en-US" w:eastAsia="zh-CN"/>
                    </w:rPr>
                    <w:t>1.5</w:t>
                  </w:r>
                </w:p>
              </w:tc>
              <w:tc>
                <w:tcPr>
                  <w:tcW w:w="417" w:type="pct"/>
                  <w:noWrap w:val="0"/>
                  <w:vAlign w:val="center"/>
                </w:tcPr>
                <w:p>
                  <w:pPr>
                    <w:pStyle w:val="105"/>
                    <w:bidi w:val="0"/>
                    <w:rPr>
                      <w:rFonts w:hint="default" w:eastAsia="宋体"/>
                      <w:color w:val="auto"/>
                      <w:lang w:val="en-US" w:eastAsia="zh-CN"/>
                    </w:rPr>
                  </w:pPr>
                  <w:r>
                    <w:rPr>
                      <w:rFonts w:hint="eastAsia"/>
                      <w:color w:val="auto"/>
                      <w:lang w:val="en-US" w:eastAsia="zh-CN"/>
                    </w:rPr>
                    <w:t>0.3</w:t>
                  </w:r>
                </w:p>
              </w:tc>
              <w:tc>
                <w:tcPr>
                  <w:tcW w:w="654" w:type="pct"/>
                  <w:noWrap w:val="0"/>
                  <w:vAlign w:val="center"/>
                </w:tcPr>
                <w:p>
                  <w:pPr>
                    <w:pStyle w:val="105"/>
                    <w:bidi w:val="0"/>
                    <w:rPr>
                      <w:rFonts w:hint="eastAsia" w:eastAsia="宋体"/>
                      <w:color w:val="auto"/>
                      <w:lang w:val="en-US" w:eastAsia="zh-CN"/>
                    </w:rPr>
                  </w:pPr>
                  <w:r>
                    <w:rPr>
                      <w:rFonts w:hint="eastAsia"/>
                      <w:color w:val="auto"/>
                      <w:lang w:val="en-US" w:eastAsia="zh-CN"/>
                    </w:rPr>
                    <w:t>-</w:t>
                  </w:r>
                </w:p>
              </w:tc>
              <w:tc>
                <w:tcPr>
                  <w:tcW w:w="425" w:type="pct"/>
                  <w:noWrap w:val="0"/>
                  <w:vAlign w:val="center"/>
                </w:tcPr>
                <w:p>
                  <w:pPr>
                    <w:pStyle w:val="105"/>
                    <w:bidi w:val="0"/>
                    <w:rPr>
                      <w:rFonts w:hint="eastAsia" w:eastAsia="宋体"/>
                      <w:color w:val="auto"/>
                      <w:lang w:val="en-US" w:eastAsia="zh-CN"/>
                    </w:rPr>
                  </w:pPr>
                  <w:r>
                    <w:rPr>
                      <w:rFonts w:hint="eastAsia"/>
                      <w:color w:val="auto"/>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5" w:type="pct"/>
                  <w:vMerge w:val="continue"/>
                  <w:noWrap w:val="0"/>
                  <w:vAlign w:val="center"/>
                </w:tcPr>
                <w:p>
                  <w:pPr>
                    <w:pStyle w:val="105"/>
                    <w:bidi w:val="0"/>
                    <w:rPr>
                      <w:rFonts w:hint="eastAsia"/>
                      <w:color w:val="auto"/>
                    </w:rPr>
                  </w:pPr>
                </w:p>
              </w:tc>
              <w:tc>
                <w:tcPr>
                  <w:tcW w:w="608" w:type="pct"/>
                  <w:noWrap w:val="0"/>
                  <w:vAlign w:val="center"/>
                </w:tcPr>
                <w:p>
                  <w:pPr>
                    <w:pStyle w:val="105"/>
                    <w:bidi w:val="0"/>
                    <w:ind w:firstLine="0" w:firstLineChars="0"/>
                    <w:rPr>
                      <w:rFonts w:hint="eastAsia"/>
                      <w:color w:val="auto"/>
                      <w:lang w:eastAsia="zh-CN"/>
                    </w:rPr>
                  </w:pPr>
                  <w:r>
                    <w:rPr>
                      <w:rFonts w:hint="eastAsia"/>
                      <w:color w:val="auto"/>
                      <w:lang w:eastAsia="zh-CN"/>
                    </w:rPr>
                    <w:t>排放量</w:t>
                  </w:r>
                </w:p>
                <w:p>
                  <w:pPr>
                    <w:pStyle w:val="170"/>
                    <w:widowControl w:val="0"/>
                    <w:bidi w:val="0"/>
                    <w:rPr>
                      <w:rFonts w:hint="eastAsia"/>
                      <w:color w:val="auto"/>
                    </w:rPr>
                  </w:pPr>
                  <w:r>
                    <w:rPr>
                      <w:rFonts w:hint="eastAsia"/>
                      <w:color w:val="auto"/>
                      <w:lang w:eastAsia="zh-CN"/>
                    </w:rPr>
                    <w:t>（</w:t>
                  </w:r>
                  <w:r>
                    <w:rPr>
                      <w:rFonts w:hint="eastAsia"/>
                      <w:color w:val="auto"/>
                      <w:lang w:val="en-US" w:eastAsia="zh-CN"/>
                    </w:rPr>
                    <w:t>t/a）</w:t>
                  </w:r>
                </w:p>
              </w:tc>
              <w:tc>
                <w:tcPr>
                  <w:tcW w:w="559" w:type="pct"/>
                  <w:vMerge w:val="continue"/>
                  <w:noWrap w:val="0"/>
                  <w:vAlign w:val="center"/>
                </w:tcPr>
                <w:p>
                  <w:pPr>
                    <w:pStyle w:val="105"/>
                    <w:bidi w:val="0"/>
                    <w:rPr>
                      <w:rFonts w:hint="eastAsia"/>
                      <w:color w:val="auto"/>
                    </w:rPr>
                  </w:pPr>
                </w:p>
              </w:tc>
              <w:tc>
                <w:tcPr>
                  <w:tcW w:w="465" w:type="pct"/>
                  <w:noWrap w:val="0"/>
                  <w:vAlign w:val="center"/>
                </w:tcPr>
                <w:p>
                  <w:pPr>
                    <w:pStyle w:val="105"/>
                    <w:bidi w:val="0"/>
                    <w:rPr>
                      <w:rFonts w:hint="default" w:eastAsia="宋体"/>
                      <w:color w:val="auto"/>
                      <w:lang w:val="en-US" w:eastAsia="zh-CN"/>
                    </w:rPr>
                  </w:pPr>
                  <w:r>
                    <w:rPr>
                      <w:rFonts w:hint="eastAsia"/>
                      <w:color w:val="auto"/>
                      <w:lang w:val="en-US" w:eastAsia="zh-CN"/>
                    </w:rPr>
                    <w:t>0.012</w:t>
                  </w:r>
                </w:p>
              </w:tc>
              <w:tc>
                <w:tcPr>
                  <w:tcW w:w="507" w:type="pct"/>
                  <w:noWrap w:val="0"/>
                  <w:vAlign w:val="center"/>
                </w:tcPr>
                <w:p>
                  <w:pPr>
                    <w:pStyle w:val="105"/>
                    <w:bidi w:val="0"/>
                    <w:rPr>
                      <w:rFonts w:hint="default" w:eastAsia="宋体"/>
                      <w:color w:val="auto"/>
                      <w:lang w:val="en-US" w:eastAsia="zh-CN"/>
                    </w:rPr>
                  </w:pPr>
                  <w:r>
                    <w:rPr>
                      <w:rFonts w:hint="eastAsia"/>
                      <w:color w:val="auto"/>
                      <w:lang w:val="en-US" w:eastAsia="zh-CN"/>
                    </w:rPr>
                    <w:t>0.0025</w:t>
                  </w:r>
                </w:p>
              </w:tc>
              <w:tc>
                <w:tcPr>
                  <w:tcW w:w="463" w:type="pct"/>
                  <w:noWrap w:val="0"/>
                  <w:vAlign w:val="center"/>
                </w:tcPr>
                <w:p>
                  <w:pPr>
                    <w:pStyle w:val="105"/>
                    <w:bidi w:val="0"/>
                    <w:rPr>
                      <w:rFonts w:hint="eastAsia" w:eastAsia="宋体"/>
                      <w:color w:val="auto"/>
                      <w:lang w:val="en-US" w:eastAsia="zh-CN"/>
                    </w:rPr>
                  </w:pPr>
                  <w:r>
                    <w:rPr>
                      <w:rFonts w:hint="eastAsia"/>
                      <w:color w:val="auto"/>
                      <w:lang w:val="en-US" w:eastAsia="zh-CN"/>
                    </w:rPr>
                    <w:t>-</w:t>
                  </w:r>
                </w:p>
              </w:tc>
              <w:tc>
                <w:tcPr>
                  <w:tcW w:w="433" w:type="pct"/>
                  <w:noWrap w:val="0"/>
                  <w:vAlign w:val="center"/>
                </w:tcPr>
                <w:p>
                  <w:pPr>
                    <w:pStyle w:val="105"/>
                    <w:bidi w:val="0"/>
                    <w:rPr>
                      <w:rFonts w:hint="default" w:eastAsia="宋体"/>
                      <w:color w:val="auto"/>
                      <w:lang w:val="en-US" w:eastAsia="zh-CN"/>
                    </w:rPr>
                  </w:pPr>
                  <w:r>
                    <w:rPr>
                      <w:rFonts w:hint="eastAsia"/>
                      <w:color w:val="auto"/>
                      <w:lang w:val="en-US" w:eastAsia="zh-CN"/>
                    </w:rPr>
                    <w:t>0.0006</w:t>
                  </w:r>
                </w:p>
              </w:tc>
              <w:tc>
                <w:tcPr>
                  <w:tcW w:w="417" w:type="pct"/>
                  <w:noWrap w:val="0"/>
                  <w:vAlign w:val="center"/>
                </w:tcPr>
                <w:p>
                  <w:pPr>
                    <w:pStyle w:val="105"/>
                    <w:bidi w:val="0"/>
                    <w:rPr>
                      <w:rFonts w:hint="default" w:eastAsia="宋体"/>
                      <w:color w:val="auto"/>
                      <w:lang w:val="en-US" w:eastAsia="zh-CN"/>
                    </w:rPr>
                  </w:pPr>
                  <w:r>
                    <w:rPr>
                      <w:rFonts w:hint="eastAsia"/>
                      <w:color w:val="auto"/>
                      <w:lang w:val="en-US" w:eastAsia="zh-CN"/>
                    </w:rPr>
                    <w:t>0.00012</w:t>
                  </w:r>
                </w:p>
              </w:tc>
              <w:tc>
                <w:tcPr>
                  <w:tcW w:w="654" w:type="pct"/>
                  <w:noWrap w:val="0"/>
                  <w:vAlign w:val="center"/>
                </w:tcPr>
                <w:p>
                  <w:pPr>
                    <w:pStyle w:val="105"/>
                    <w:bidi w:val="0"/>
                    <w:rPr>
                      <w:rFonts w:hint="eastAsia" w:eastAsia="宋体"/>
                      <w:color w:val="auto"/>
                      <w:lang w:val="en-US" w:eastAsia="zh-CN"/>
                    </w:rPr>
                  </w:pPr>
                  <w:r>
                    <w:rPr>
                      <w:rFonts w:hint="eastAsia"/>
                      <w:color w:val="auto"/>
                      <w:lang w:val="en-US" w:eastAsia="zh-CN"/>
                    </w:rPr>
                    <w:t>-</w:t>
                  </w:r>
                </w:p>
              </w:tc>
              <w:tc>
                <w:tcPr>
                  <w:tcW w:w="425" w:type="pct"/>
                  <w:noWrap w:val="0"/>
                  <w:vAlign w:val="center"/>
                </w:tcPr>
                <w:p>
                  <w:pPr>
                    <w:pStyle w:val="105"/>
                    <w:bidi w:val="0"/>
                    <w:rPr>
                      <w:rFonts w:hint="eastAsia" w:eastAsia="宋体"/>
                      <w:color w:val="auto"/>
                      <w:lang w:val="en-US" w:eastAsia="zh-CN"/>
                    </w:rPr>
                  </w:pPr>
                  <w:r>
                    <w:rPr>
                      <w:rFonts w:hint="eastAsia"/>
                      <w:color w:val="auto"/>
                      <w:lang w:val="en-US" w:eastAsia="zh-CN"/>
                    </w:rPr>
                    <w:t>-</w:t>
                  </w:r>
                </w:p>
              </w:tc>
            </w:tr>
          </w:tbl>
          <w:p>
            <w:pPr>
              <w:pStyle w:val="101"/>
              <w:ind w:firstLine="0" w:firstLineChars="0"/>
              <w:rPr>
                <w:color w:val="auto"/>
              </w:rPr>
            </w:pPr>
            <w:r>
              <w:rPr>
                <w:rFonts w:hint="eastAsia"/>
                <w:b/>
                <w:bCs/>
                <w:color w:val="auto"/>
              </w:rPr>
              <w:t>二、营运期大气环境影响分析</w:t>
            </w:r>
          </w:p>
          <w:p>
            <w:pPr>
              <w:pStyle w:val="101"/>
              <w:ind w:firstLine="482"/>
              <w:rPr>
                <w:rFonts w:hint="eastAsia"/>
                <w:color w:val="auto"/>
              </w:rPr>
            </w:pPr>
            <w:r>
              <w:rPr>
                <w:rFonts w:hint="eastAsia"/>
                <w:b/>
                <w:bCs/>
                <w:color w:val="auto"/>
              </w:rPr>
              <w:t>1、废气产生情况</w:t>
            </w:r>
          </w:p>
          <w:p>
            <w:pPr>
              <w:pStyle w:val="104"/>
              <w:ind w:firstLine="480"/>
              <w:rPr>
                <w:rFonts w:hint="eastAsia"/>
                <w:color w:val="auto"/>
              </w:rPr>
            </w:pPr>
            <w:r>
              <w:rPr>
                <w:rFonts w:hint="eastAsia"/>
                <w:color w:val="auto"/>
              </w:rPr>
              <w:t>本项目为宠物医院服务项目，根据项目特点，本项目运营期产生的废气主要来源于医疗废物暂存间异味、就诊区域宠物散发的异味、院内带菌空气、一体化污水处理设施臭气，均为无组织形式排放。</w:t>
            </w:r>
          </w:p>
          <w:p>
            <w:pPr>
              <w:pStyle w:val="104"/>
              <w:bidi w:val="0"/>
              <w:rPr>
                <w:rFonts w:hint="eastAsia"/>
                <w:b/>
                <w:bCs/>
                <w:color w:val="auto"/>
              </w:rPr>
            </w:pPr>
            <w:r>
              <w:rPr>
                <w:rFonts w:hint="eastAsia"/>
                <w:b/>
                <w:bCs/>
                <w:color w:val="auto"/>
                <w:lang w:val="en-US" w:eastAsia="zh-CN"/>
              </w:rPr>
              <w:t>2、</w:t>
            </w:r>
            <w:r>
              <w:rPr>
                <w:rFonts w:hint="eastAsia"/>
                <w:b/>
                <w:bCs/>
                <w:color w:val="auto"/>
              </w:rPr>
              <w:t>现有废气治理措施</w:t>
            </w:r>
          </w:p>
          <w:p>
            <w:pPr>
              <w:pStyle w:val="104"/>
              <w:ind w:left="480" w:leftChars="200" w:firstLine="0" w:firstLineChars="0"/>
              <w:rPr>
                <w:rFonts w:hint="eastAsia"/>
                <w:b/>
                <w:bCs/>
                <w:color w:val="auto"/>
              </w:rPr>
            </w:pPr>
            <w:r>
              <w:rPr>
                <w:rFonts w:hint="eastAsia"/>
                <w:b/>
                <w:bCs/>
                <w:color w:val="auto"/>
              </w:rPr>
              <w:t>医疗废物暂存间异味：</w:t>
            </w:r>
          </w:p>
          <w:p>
            <w:pPr>
              <w:pStyle w:val="104"/>
              <w:ind w:firstLine="480"/>
              <w:rPr>
                <w:rFonts w:hint="eastAsia"/>
                <w:color w:val="auto"/>
              </w:rPr>
            </w:pPr>
            <w:r>
              <w:rPr>
                <w:rFonts w:hint="eastAsia"/>
                <w:color w:val="auto"/>
              </w:rPr>
              <w:t>根据要求，项目拟在项目二楼设置医疗废物暂存间一间，本环评要求建设单位应做好医疗废物的密封、清运和消毒工作，同时加强管理，做好暂存间的地面和墙裙进行防渗处理，和暂存间的防鼠、防蚊蝇等措施，定期进行医疗废物暂存间存储设施、设备的清洁和消毒工作，医疗废物及时交由资质单位处置，日常采用移动式紫外线灯及臭氧消毒机加强对院内环境消毒来降低病菌及异味对周边环境的影响，避免对周围大气环境产生不利影响。</w:t>
            </w:r>
          </w:p>
          <w:p>
            <w:pPr>
              <w:pStyle w:val="104"/>
              <w:ind w:firstLine="482"/>
              <w:rPr>
                <w:rFonts w:hint="eastAsia"/>
                <w:b/>
                <w:bCs/>
                <w:color w:val="auto"/>
              </w:rPr>
            </w:pPr>
            <w:r>
              <w:rPr>
                <w:rFonts w:hint="eastAsia"/>
                <w:b/>
                <w:bCs/>
                <w:color w:val="auto"/>
              </w:rPr>
              <w:t>就诊区域宠物散发的异味：</w:t>
            </w:r>
          </w:p>
          <w:p>
            <w:pPr>
              <w:pStyle w:val="104"/>
              <w:ind w:firstLine="480"/>
              <w:rPr>
                <w:rFonts w:hint="eastAsia"/>
                <w:color w:val="auto"/>
              </w:rPr>
            </w:pPr>
            <w:r>
              <w:rPr>
                <w:rFonts w:hint="eastAsia"/>
                <w:color w:val="auto"/>
              </w:rPr>
              <w:t>项目运营过程中，入院宠物可能会有异味产生，建设单位日常采用移动式紫外线灯及臭氧消毒机加强对院内环境消毒来降低异味对周边环境的影响，使用过后的器具及时进行清洗，并及时打扫、清运笼舍区域产生的固废（含粪便、食物残渣等），项目在采取以上措施后可以消除难闻、有害的气体，预防由细菌和寄生虫引起的疾病。</w:t>
            </w:r>
          </w:p>
          <w:p>
            <w:pPr>
              <w:pStyle w:val="104"/>
              <w:ind w:firstLine="482"/>
              <w:rPr>
                <w:rFonts w:hint="eastAsia"/>
                <w:b/>
                <w:bCs/>
                <w:color w:val="auto"/>
              </w:rPr>
            </w:pPr>
            <w:r>
              <w:rPr>
                <w:rFonts w:hint="eastAsia"/>
                <w:b/>
                <w:bCs/>
                <w:color w:val="auto"/>
              </w:rPr>
              <w:t>院内带菌空气：</w:t>
            </w:r>
          </w:p>
          <w:p>
            <w:pPr>
              <w:pStyle w:val="104"/>
              <w:ind w:firstLine="480"/>
              <w:rPr>
                <w:rFonts w:hint="eastAsia"/>
                <w:color w:val="auto"/>
              </w:rPr>
            </w:pPr>
            <w:r>
              <w:rPr>
                <w:rFonts w:hint="eastAsia"/>
                <w:color w:val="auto"/>
              </w:rPr>
              <w:t>本项目营运期在救治宠物过程中，医院空气中可能携带有少量的病菌。针对医院内诊疗环境（包括手术室、诊疗室和住院病房等），项目采用月芐三甲氯胺进行地面环境消毒，日常采用移动式紫外线灯及臭氧消毒机加强对院内空气消毒，同时加强医院内部通风，可有效减少带菌废气对周边环境的影响。</w:t>
            </w:r>
          </w:p>
          <w:p>
            <w:pPr>
              <w:pStyle w:val="104"/>
              <w:ind w:firstLine="482"/>
              <w:rPr>
                <w:rFonts w:hint="eastAsia"/>
                <w:b/>
                <w:bCs/>
                <w:color w:val="auto"/>
              </w:rPr>
            </w:pPr>
            <w:r>
              <w:rPr>
                <w:rFonts w:hint="eastAsia"/>
                <w:b/>
                <w:bCs/>
                <w:color w:val="auto"/>
              </w:rPr>
              <w:t>一体化污水处理设施臭气：</w:t>
            </w:r>
          </w:p>
          <w:p>
            <w:pPr>
              <w:pStyle w:val="104"/>
              <w:ind w:firstLine="480"/>
              <w:rPr>
                <w:rFonts w:hint="eastAsia"/>
                <w:color w:val="auto"/>
              </w:rPr>
            </w:pPr>
            <w:r>
              <w:rPr>
                <w:rFonts w:hint="eastAsia"/>
                <w:color w:val="auto"/>
              </w:rPr>
              <w:t>本项目医疗废水预处理设施处理能力为2m</w:t>
            </w:r>
            <w:r>
              <w:rPr>
                <w:rFonts w:hint="eastAsia"/>
                <w:color w:val="auto"/>
                <w:vertAlign w:val="superscript"/>
              </w:rPr>
              <w:t>3</w:t>
            </w:r>
            <w:r>
              <w:rPr>
                <w:rFonts w:hint="eastAsia"/>
                <w:color w:val="auto"/>
              </w:rPr>
              <w:t>/d，采用“一级强化+消毒处理工艺”，设计废水停留时间约8h。项目医疗废水预处理设施不涉及二级生化处理工序，对BOD无处理效率，污水处理设施臭气产生量较少，且污水处理设施为密闭装置，产生的臭气极少，对周边环境影响较小。</w:t>
            </w:r>
          </w:p>
          <w:p>
            <w:pPr>
              <w:pStyle w:val="104"/>
              <w:ind w:firstLine="482"/>
              <w:rPr>
                <w:b/>
                <w:bCs/>
                <w:color w:val="auto"/>
              </w:rPr>
            </w:pPr>
            <w:r>
              <w:rPr>
                <w:rFonts w:hint="eastAsia"/>
                <w:b/>
                <w:bCs/>
                <w:color w:val="auto"/>
              </w:rPr>
              <w:t>3、废气治理措施的可行性分析</w:t>
            </w:r>
          </w:p>
          <w:p>
            <w:pPr>
              <w:pStyle w:val="104"/>
              <w:ind w:firstLine="480"/>
              <w:rPr>
                <w:rFonts w:hint="eastAsia"/>
                <w:color w:val="auto"/>
              </w:rPr>
            </w:pPr>
            <w:r>
              <w:rPr>
                <w:rFonts w:hint="eastAsia"/>
                <w:color w:val="auto"/>
              </w:rPr>
              <w:t>综上，项目在采取以上措施后，运营期产生的无组织废气对环境的影响较小，加之项目正向南侧为绿化和竹公溪河流，所处地带开阔，医院内的废气经紫外线及臭氧消毒机消毒除臭后，少量的无组织废气经自然通风后能得到较好的扩散，同时项目自建成以来未接到周边临近住户的相关环境投诉，因此，本项目的建成后对区域环境空气质量的影响可接受，采取的各项污染治理措施可行。</w:t>
            </w:r>
          </w:p>
          <w:p>
            <w:pPr>
              <w:pStyle w:val="5"/>
              <w:numPr>
                <w:ilvl w:val="0"/>
                <w:numId w:val="5"/>
              </w:numPr>
              <w:bidi w:val="0"/>
              <w:ind w:left="0" w:leftChars="0" w:firstLine="480" w:firstLineChars="200"/>
              <w:rPr>
                <w:rFonts w:hint="eastAsia"/>
                <w:color w:val="auto"/>
                <w:lang w:eastAsia="zh-CN"/>
              </w:rPr>
            </w:pPr>
            <w:r>
              <w:rPr>
                <w:rFonts w:hint="eastAsia"/>
                <w:color w:val="auto"/>
              </w:rPr>
              <w:t>监测</w:t>
            </w:r>
            <w:r>
              <w:rPr>
                <w:rFonts w:hint="eastAsia"/>
                <w:color w:val="auto"/>
                <w:lang w:eastAsia="zh-CN"/>
              </w:rPr>
              <w:t>计划</w:t>
            </w:r>
          </w:p>
          <w:p>
            <w:pPr>
              <w:pStyle w:val="104"/>
              <w:bidi w:val="0"/>
              <w:rPr>
                <w:rFonts w:hint="eastAsia"/>
                <w:color w:val="auto"/>
              </w:rPr>
            </w:pPr>
            <w:r>
              <w:rPr>
                <w:rFonts w:hint="eastAsia"/>
                <w:color w:val="auto"/>
              </w:rPr>
              <w:t>参考《排污单位自行监测技术指南 总则》（HJ819-2017）、《排污许可证申请与核发技术规范 总则（HJ942-2018）》，本项目运营期噪声监测计划见下表。</w:t>
            </w:r>
          </w:p>
          <w:p>
            <w:pPr>
              <w:pStyle w:val="117"/>
              <w:bidi w:val="0"/>
              <w:rPr>
                <w:rFonts w:hint="eastAsia"/>
                <w:color w:val="auto"/>
              </w:rPr>
            </w:pPr>
            <w:r>
              <w:rPr>
                <w:rFonts w:hint="eastAsia"/>
                <w:color w:val="auto"/>
              </w:rPr>
              <w:t>表4-2 本项目</w:t>
            </w:r>
            <w:r>
              <w:rPr>
                <w:rFonts w:hint="eastAsia"/>
                <w:color w:val="auto"/>
                <w:lang w:eastAsia="zh-CN"/>
              </w:rPr>
              <w:t>废气污染物</w:t>
            </w:r>
            <w:r>
              <w:rPr>
                <w:rFonts w:hint="eastAsia"/>
                <w:color w:val="auto"/>
              </w:rPr>
              <w:t>监测计划一览表</w:t>
            </w:r>
          </w:p>
          <w:tbl>
            <w:tblPr>
              <w:tblStyle w:val="38"/>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40"/>
              <w:gridCol w:w="1714"/>
              <w:gridCol w:w="2727"/>
              <w:gridCol w:w="27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88" w:type="pct"/>
                  <w:noWrap w:val="0"/>
                  <w:vAlign w:val="center"/>
                </w:tcPr>
                <w:p>
                  <w:pPr>
                    <w:pStyle w:val="105"/>
                    <w:bidi w:val="0"/>
                    <w:rPr>
                      <w:rFonts w:hint="eastAsia" w:eastAsia="宋体"/>
                      <w:b/>
                      <w:bCs/>
                      <w:color w:val="auto"/>
                      <w:lang w:eastAsia="zh-CN"/>
                    </w:rPr>
                  </w:pPr>
                  <w:r>
                    <w:rPr>
                      <w:rFonts w:hint="eastAsia"/>
                      <w:b/>
                      <w:bCs/>
                      <w:color w:val="auto"/>
                      <w:lang w:eastAsia="zh-CN"/>
                    </w:rPr>
                    <w:t>监测项目</w:t>
                  </w:r>
                </w:p>
              </w:tc>
              <w:tc>
                <w:tcPr>
                  <w:tcW w:w="1007" w:type="pct"/>
                  <w:noWrap w:val="0"/>
                  <w:vAlign w:val="center"/>
                </w:tcPr>
                <w:p>
                  <w:pPr>
                    <w:pStyle w:val="105"/>
                    <w:bidi w:val="0"/>
                    <w:rPr>
                      <w:rFonts w:hint="eastAsia"/>
                      <w:b/>
                      <w:bCs/>
                      <w:color w:val="auto"/>
                    </w:rPr>
                  </w:pPr>
                  <w:r>
                    <w:rPr>
                      <w:rFonts w:hint="eastAsia"/>
                      <w:b/>
                      <w:bCs/>
                      <w:color w:val="auto"/>
                    </w:rPr>
                    <w:t>监测点位</w:t>
                  </w:r>
                </w:p>
              </w:tc>
              <w:tc>
                <w:tcPr>
                  <w:tcW w:w="1602" w:type="pct"/>
                  <w:noWrap w:val="0"/>
                  <w:vAlign w:val="center"/>
                </w:tcPr>
                <w:p>
                  <w:pPr>
                    <w:pStyle w:val="105"/>
                    <w:bidi w:val="0"/>
                    <w:rPr>
                      <w:rFonts w:hint="eastAsia" w:eastAsia="宋体"/>
                      <w:b/>
                      <w:bCs/>
                      <w:color w:val="auto"/>
                      <w:lang w:eastAsia="zh-CN"/>
                    </w:rPr>
                  </w:pPr>
                  <w:r>
                    <w:rPr>
                      <w:rFonts w:hint="eastAsia"/>
                      <w:b/>
                      <w:bCs/>
                      <w:color w:val="auto"/>
                      <w:lang w:eastAsia="zh-CN"/>
                    </w:rPr>
                    <w:t>监测因子</w:t>
                  </w:r>
                </w:p>
              </w:tc>
              <w:tc>
                <w:tcPr>
                  <w:tcW w:w="1602" w:type="pct"/>
                  <w:noWrap w:val="0"/>
                  <w:vAlign w:val="center"/>
                </w:tcPr>
                <w:p>
                  <w:pPr>
                    <w:pStyle w:val="105"/>
                    <w:bidi w:val="0"/>
                    <w:rPr>
                      <w:rFonts w:hint="eastAsia" w:eastAsia="宋体"/>
                      <w:b/>
                      <w:bCs/>
                      <w:color w:val="auto"/>
                      <w:lang w:eastAsia="zh-CN"/>
                    </w:rPr>
                  </w:pPr>
                  <w:r>
                    <w:rPr>
                      <w:rFonts w:hint="eastAsia"/>
                      <w:b/>
                      <w:bCs/>
                      <w:color w:val="auto"/>
                    </w:rPr>
                    <w:t>监测频</w:t>
                  </w:r>
                  <w:r>
                    <w:rPr>
                      <w:rFonts w:hint="eastAsia"/>
                      <w:b/>
                      <w:bCs/>
                      <w:color w:val="auto"/>
                      <w:lang w:eastAsia="zh-CN"/>
                    </w:rPr>
                    <w:t>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88" w:type="pct"/>
                  <w:noWrap w:val="0"/>
                  <w:vAlign w:val="center"/>
                </w:tcPr>
                <w:p>
                  <w:pPr>
                    <w:pStyle w:val="105"/>
                    <w:bidi w:val="0"/>
                    <w:rPr>
                      <w:rFonts w:hint="eastAsia" w:eastAsia="宋体"/>
                      <w:color w:val="auto"/>
                      <w:lang w:eastAsia="zh-CN"/>
                    </w:rPr>
                  </w:pPr>
                  <w:r>
                    <w:rPr>
                      <w:rFonts w:hint="eastAsia"/>
                      <w:color w:val="auto"/>
                      <w:lang w:eastAsia="zh-CN"/>
                    </w:rPr>
                    <w:t>无组织废气</w:t>
                  </w:r>
                </w:p>
              </w:tc>
              <w:tc>
                <w:tcPr>
                  <w:tcW w:w="1007" w:type="pct"/>
                  <w:noWrap w:val="0"/>
                  <w:vAlign w:val="center"/>
                </w:tcPr>
                <w:p>
                  <w:pPr>
                    <w:pStyle w:val="105"/>
                    <w:bidi w:val="0"/>
                    <w:rPr>
                      <w:rFonts w:hint="eastAsia"/>
                      <w:color w:val="auto"/>
                    </w:rPr>
                  </w:pPr>
                  <w:r>
                    <w:rPr>
                      <w:rFonts w:hint="eastAsia"/>
                      <w:color w:val="auto"/>
                    </w:rPr>
                    <w:t>厂界四周</w:t>
                  </w:r>
                </w:p>
              </w:tc>
              <w:tc>
                <w:tcPr>
                  <w:tcW w:w="1602" w:type="pct"/>
                  <w:noWrap w:val="0"/>
                  <w:vAlign w:val="center"/>
                </w:tcPr>
                <w:p>
                  <w:pPr>
                    <w:pStyle w:val="105"/>
                    <w:bidi w:val="0"/>
                    <w:rPr>
                      <w:rFonts w:hint="eastAsia"/>
                      <w:color w:val="auto"/>
                      <w:lang w:eastAsia="zh-CN"/>
                    </w:rPr>
                  </w:pPr>
                  <w:r>
                    <w:rPr>
                      <w:rFonts w:hint="eastAsia"/>
                      <w:color w:val="auto"/>
                      <w:lang w:eastAsia="zh-CN"/>
                    </w:rPr>
                    <w:t>氨、硫化氢</w:t>
                  </w:r>
                </w:p>
              </w:tc>
              <w:tc>
                <w:tcPr>
                  <w:tcW w:w="1602" w:type="pct"/>
                  <w:noWrap w:val="0"/>
                  <w:vAlign w:val="center"/>
                </w:tcPr>
                <w:p>
                  <w:pPr>
                    <w:pStyle w:val="105"/>
                    <w:bidi w:val="0"/>
                    <w:rPr>
                      <w:rFonts w:hint="eastAsia" w:eastAsia="宋体"/>
                      <w:color w:val="auto"/>
                      <w:lang w:eastAsia="zh-CN"/>
                    </w:rPr>
                  </w:pPr>
                  <w:r>
                    <w:rPr>
                      <w:rFonts w:hint="eastAsia"/>
                      <w:color w:val="auto"/>
                      <w:lang w:eastAsia="zh-CN"/>
                    </w:rPr>
                    <w:t>季度</w:t>
                  </w:r>
                </w:p>
              </w:tc>
            </w:tr>
          </w:tbl>
          <w:p>
            <w:pPr>
              <w:pStyle w:val="4"/>
              <w:numPr>
                <w:ilvl w:val="0"/>
                <w:numId w:val="18"/>
              </w:numPr>
              <w:spacing w:after="120"/>
              <w:rPr>
                <w:color w:val="auto"/>
              </w:rPr>
            </w:pPr>
            <w:r>
              <w:rPr>
                <w:color w:val="auto"/>
              </w:rPr>
              <w:t>运营期噪声环境影响分析</w:t>
            </w:r>
          </w:p>
          <w:p>
            <w:pPr>
              <w:pStyle w:val="5"/>
              <w:numPr>
                <w:ilvl w:val="0"/>
                <w:numId w:val="20"/>
              </w:numPr>
              <w:ind w:firstLine="482"/>
              <w:rPr>
                <w:rFonts w:hint="eastAsia"/>
                <w:color w:val="auto"/>
              </w:rPr>
            </w:pPr>
            <w:r>
              <w:rPr>
                <w:rFonts w:hint="eastAsia"/>
                <w:color w:val="auto"/>
              </w:rPr>
              <w:t>噪声</w:t>
            </w:r>
            <w:r>
              <w:rPr>
                <w:rFonts w:hint="eastAsia"/>
                <w:color w:val="auto"/>
                <w:lang w:eastAsia="zh-CN"/>
              </w:rPr>
              <w:t>源强</w:t>
            </w:r>
          </w:p>
          <w:p>
            <w:pPr>
              <w:pStyle w:val="104"/>
              <w:bidi w:val="0"/>
              <w:rPr>
                <w:rFonts w:hint="eastAsia"/>
                <w:color w:val="auto"/>
              </w:rPr>
            </w:pPr>
            <w:r>
              <w:rPr>
                <w:rFonts w:hint="eastAsia"/>
                <w:color w:val="auto"/>
              </w:rPr>
              <w:t>本项目</w:t>
            </w:r>
            <w:r>
              <w:rPr>
                <w:rFonts w:hint="eastAsia"/>
                <w:color w:val="auto"/>
                <w:lang w:eastAsia="zh-CN"/>
              </w:rPr>
              <w:t>无高噪声设备，</w:t>
            </w:r>
            <w:r>
              <w:rPr>
                <w:rFonts w:hint="eastAsia"/>
                <w:color w:val="auto"/>
              </w:rPr>
              <w:t>运营过程中产生的噪声主要为空调室外机噪声和宠物叫声。宠物叫声为日常偶发噪声，源强一般为</w:t>
            </w:r>
            <w:r>
              <w:rPr>
                <w:rFonts w:hint="eastAsia"/>
                <w:color w:val="auto"/>
                <w:lang w:val="en-US" w:eastAsia="zh-CN"/>
              </w:rPr>
              <w:t>65~</w:t>
            </w:r>
            <w:r>
              <w:rPr>
                <w:rFonts w:hint="eastAsia"/>
                <w:color w:val="auto"/>
              </w:rPr>
              <w:t>70dB（A），主要集中在诊室、住院室内</w:t>
            </w:r>
            <w:r>
              <w:rPr>
                <w:rFonts w:hint="eastAsia"/>
                <w:color w:val="auto"/>
                <w:lang w:eastAsia="zh-CN"/>
              </w:rPr>
              <w:t>，医院采用砖混结构，具有较好的隔声效果，隔声量可降低</w:t>
            </w:r>
            <w:r>
              <w:rPr>
                <w:rFonts w:hint="eastAsia"/>
                <w:color w:val="auto"/>
                <w:lang w:val="en-US" w:eastAsia="zh-CN"/>
              </w:rPr>
              <w:t>15dB（A）左右，</w:t>
            </w:r>
            <w:r>
              <w:rPr>
                <w:rFonts w:hint="eastAsia"/>
                <w:color w:val="auto"/>
              </w:rPr>
              <w:t>项目噪声产生及防治措施见下表。</w:t>
            </w:r>
          </w:p>
          <w:p>
            <w:pPr>
              <w:pStyle w:val="117"/>
              <w:bidi w:val="0"/>
              <w:rPr>
                <w:rFonts w:hint="eastAsia"/>
                <w:color w:val="auto"/>
                <w:lang w:val="en-US" w:eastAsia="zh-CN"/>
              </w:rPr>
            </w:pPr>
            <w:r>
              <w:rPr>
                <w:rFonts w:hint="eastAsia"/>
                <w:color w:val="auto"/>
                <w:lang w:eastAsia="zh-CN"/>
              </w:rPr>
              <w:t>表</w:t>
            </w:r>
            <w:r>
              <w:rPr>
                <w:rFonts w:hint="eastAsia"/>
                <w:color w:val="auto"/>
                <w:lang w:val="en-US" w:eastAsia="zh-CN"/>
              </w:rPr>
              <w:t>4-3 主要设备噪声源强</w:t>
            </w:r>
          </w:p>
          <w:tbl>
            <w:tblPr>
              <w:tblStyle w:val="39"/>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0"/>
              <w:gridCol w:w="1700"/>
              <w:gridCol w:w="1700"/>
              <w:gridCol w:w="1701"/>
              <w:gridCol w:w="17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99" w:type="pct"/>
                  <w:noWrap w:val="0"/>
                  <w:vAlign w:val="center"/>
                </w:tcPr>
                <w:p>
                  <w:pPr>
                    <w:pStyle w:val="105"/>
                    <w:bidi w:val="0"/>
                    <w:jc w:val="center"/>
                    <w:rPr>
                      <w:rFonts w:hint="default"/>
                      <w:b/>
                      <w:bCs/>
                      <w:color w:val="auto"/>
                      <w:vertAlign w:val="baseline"/>
                      <w:lang w:val="en-US" w:eastAsia="zh-CN"/>
                    </w:rPr>
                  </w:pPr>
                  <w:r>
                    <w:rPr>
                      <w:rFonts w:hint="eastAsia"/>
                      <w:b/>
                      <w:bCs/>
                      <w:color w:val="auto"/>
                      <w:vertAlign w:val="baseline"/>
                      <w:lang w:val="en-US" w:eastAsia="zh-CN"/>
                    </w:rPr>
                    <w:t>设备名称</w:t>
                  </w:r>
                </w:p>
              </w:tc>
              <w:tc>
                <w:tcPr>
                  <w:tcW w:w="999" w:type="pct"/>
                  <w:noWrap w:val="0"/>
                  <w:vAlign w:val="center"/>
                </w:tcPr>
                <w:p>
                  <w:pPr>
                    <w:pStyle w:val="105"/>
                    <w:bidi w:val="0"/>
                    <w:jc w:val="center"/>
                    <w:rPr>
                      <w:rFonts w:hint="default"/>
                      <w:b/>
                      <w:bCs/>
                      <w:color w:val="auto"/>
                      <w:vertAlign w:val="baseline"/>
                      <w:lang w:val="en-US" w:eastAsia="zh-CN"/>
                    </w:rPr>
                  </w:pPr>
                  <w:r>
                    <w:rPr>
                      <w:rFonts w:hint="eastAsia"/>
                      <w:b/>
                      <w:bCs/>
                      <w:color w:val="auto"/>
                      <w:vertAlign w:val="baseline"/>
                      <w:lang w:val="en-US" w:eastAsia="zh-CN"/>
                    </w:rPr>
                    <w:t>数量</w:t>
                  </w:r>
                </w:p>
              </w:tc>
              <w:tc>
                <w:tcPr>
                  <w:tcW w:w="999" w:type="pct"/>
                  <w:noWrap w:val="0"/>
                  <w:vAlign w:val="center"/>
                </w:tcPr>
                <w:p>
                  <w:pPr>
                    <w:pStyle w:val="105"/>
                    <w:bidi w:val="0"/>
                    <w:jc w:val="center"/>
                    <w:rPr>
                      <w:rFonts w:hint="default"/>
                      <w:b/>
                      <w:bCs/>
                      <w:color w:val="auto"/>
                      <w:vertAlign w:val="baseline"/>
                      <w:lang w:val="en-US" w:eastAsia="zh-CN"/>
                    </w:rPr>
                  </w:pPr>
                  <w:r>
                    <w:rPr>
                      <w:rFonts w:hint="eastAsia"/>
                      <w:b/>
                      <w:bCs/>
                      <w:color w:val="auto"/>
                      <w:vertAlign w:val="baseline"/>
                      <w:lang w:val="en-US" w:eastAsia="zh-CN"/>
                    </w:rPr>
                    <w:t>噪声级dB（A）</w:t>
                  </w:r>
                </w:p>
              </w:tc>
              <w:tc>
                <w:tcPr>
                  <w:tcW w:w="999" w:type="pct"/>
                  <w:noWrap w:val="0"/>
                  <w:vAlign w:val="center"/>
                </w:tcPr>
                <w:p>
                  <w:pPr>
                    <w:pStyle w:val="105"/>
                    <w:bidi w:val="0"/>
                    <w:jc w:val="center"/>
                    <w:rPr>
                      <w:rFonts w:hint="default"/>
                      <w:b/>
                      <w:bCs/>
                      <w:color w:val="auto"/>
                      <w:vertAlign w:val="baseline"/>
                      <w:lang w:val="en-US" w:eastAsia="zh-CN"/>
                    </w:rPr>
                  </w:pPr>
                  <w:r>
                    <w:rPr>
                      <w:rFonts w:hint="eastAsia"/>
                      <w:b/>
                      <w:bCs/>
                      <w:color w:val="auto"/>
                      <w:vertAlign w:val="baseline"/>
                      <w:lang w:val="en-US" w:eastAsia="zh-CN"/>
                    </w:rPr>
                    <w:t>治理措施</w:t>
                  </w:r>
                </w:p>
              </w:tc>
              <w:tc>
                <w:tcPr>
                  <w:tcW w:w="1001" w:type="pct"/>
                  <w:noWrap w:val="0"/>
                  <w:vAlign w:val="center"/>
                </w:tcPr>
                <w:p>
                  <w:pPr>
                    <w:pStyle w:val="105"/>
                    <w:bidi w:val="0"/>
                    <w:jc w:val="center"/>
                    <w:rPr>
                      <w:rFonts w:hint="default"/>
                      <w:b/>
                      <w:bCs/>
                      <w:color w:val="auto"/>
                      <w:vertAlign w:val="baseline"/>
                      <w:lang w:val="en-US" w:eastAsia="zh-CN"/>
                    </w:rPr>
                  </w:pPr>
                  <w:r>
                    <w:rPr>
                      <w:rFonts w:hint="eastAsia"/>
                      <w:b/>
                      <w:bCs/>
                      <w:color w:val="auto"/>
                      <w:vertAlign w:val="baseline"/>
                      <w:lang w:val="en-US" w:eastAsia="zh-CN"/>
                    </w:rPr>
                    <w:t>治理后噪声级dB（A）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0" w:hRule="atLeast"/>
              </w:trPr>
              <w:tc>
                <w:tcPr>
                  <w:tcW w:w="999" w:type="pct"/>
                  <w:noWrap w:val="0"/>
                  <w:vAlign w:val="center"/>
                </w:tcPr>
                <w:p>
                  <w:pPr>
                    <w:pStyle w:val="105"/>
                    <w:bidi w:val="0"/>
                    <w:jc w:val="center"/>
                    <w:rPr>
                      <w:rFonts w:hint="default"/>
                      <w:color w:val="auto"/>
                      <w:vertAlign w:val="baseline"/>
                      <w:lang w:val="en-US" w:eastAsia="zh-CN"/>
                    </w:rPr>
                  </w:pPr>
                  <w:r>
                    <w:rPr>
                      <w:rFonts w:hint="eastAsia"/>
                      <w:color w:val="auto"/>
                      <w:vertAlign w:val="baseline"/>
                      <w:lang w:val="en-US" w:eastAsia="zh-CN"/>
                    </w:rPr>
                    <w:t>空调外机</w:t>
                  </w:r>
                </w:p>
              </w:tc>
              <w:tc>
                <w:tcPr>
                  <w:tcW w:w="999" w:type="pct"/>
                  <w:noWrap w:val="0"/>
                  <w:vAlign w:val="center"/>
                </w:tcPr>
                <w:p>
                  <w:pPr>
                    <w:pStyle w:val="105"/>
                    <w:bidi w:val="0"/>
                    <w:jc w:val="center"/>
                    <w:rPr>
                      <w:rFonts w:hint="default"/>
                      <w:color w:val="auto"/>
                      <w:vertAlign w:val="baseline"/>
                      <w:lang w:val="en-US" w:eastAsia="zh-CN"/>
                    </w:rPr>
                  </w:pPr>
                  <w:r>
                    <w:rPr>
                      <w:rFonts w:hint="eastAsia"/>
                      <w:color w:val="auto"/>
                      <w:vertAlign w:val="baseline"/>
                      <w:lang w:val="en-US" w:eastAsia="zh-CN"/>
                    </w:rPr>
                    <w:t>2台</w:t>
                  </w:r>
                </w:p>
              </w:tc>
              <w:tc>
                <w:tcPr>
                  <w:tcW w:w="999" w:type="pct"/>
                  <w:noWrap w:val="0"/>
                  <w:vAlign w:val="center"/>
                </w:tcPr>
                <w:p>
                  <w:pPr>
                    <w:pStyle w:val="105"/>
                    <w:bidi w:val="0"/>
                    <w:jc w:val="center"/>
                    <w:rPr>
                      <w:rFonts w:hint="default"/>
                      <w:color w:val="auto"/>
                      <w:vertAlign w:val="baseline"/>
                      <w:lang w:val="en-US" w:eastAsia="zh-CN"/>
                    </w:rPr>
                  </w:pPr>
                  <w:r>
                    <w:rPr>
                      <w:rFonts w:hint="eastAsia"/>
                      <w:color w:val="auto"/>
                      <w:vertAlign w:val="baseline"/>
                      <w:lang w:val="en-US" w:eastAsia="zh-CN"/>
                    </w:rPr>
                    <w:t>65</w:t>
                  </w:r>
                </w:p>
              </w:tc>
              <w:tc>
                <w:tcPr>
                  <w:tcW w:w="999" w:type="pct"/>
                  <w:vMerge w:val="restart"/>
                  <w:noWrap w:val="0"/>
                  <w:vAlign w:val="center"/>
                </w:tcPr>
                <w:p>
                  <w:pPr>
                    <w:pStyle w:val="105"/>
                    <w:bidi w:val="0"/>
                    <w:jc w:val="center"/>
                    <w:rPr>
                      <w:rFonts w:hint="default"/>
                      <w:color w:val="auto"/>
                      <w:vertAlign w:val="baseline"/>
                      <w:lang w:val="en-US" w:eastAsia="zh-CN"/>
                    </w:rPr>
                  </w:pPr>
                  <w:r>
                    <w:rPr>
                      <w:rFonts w:hint="eastAsia"/>
                      <w:color w:val="auto"/>
                      <w:vertAlign w:val="baseline"/>
                      <w:lang w:val="en-US" w:eastAsia="zh-CN"/>
                    </w:rPr>
                    <w:t>建筑隔声、距离衰减、宠物佩戴口罩或嘴套、空调外机安装时采用基座减振等措施</w:t>
                  </w:r>
                </w:p>
              </w:tc>
              <w:tc>
                <w:tcPr>
                  <w:tcW w:w="1001" w:type="pct"/>
                  <w:noWrap w:val="0"/>
                  <w:vAlign w:val="center"/>
                </w:tcPr>
                <w:p>
                  <w:pPr>
                    <w:pStyle w:val="105"/>
                    <w:bidi w:val="0"/>
                    <w:jc w:val="center"/>
                    <w:rPr>
                      <w:rFonts w:hint="default"/>
                      <w:color w:val="auto"/>
                      <w:vertAlign w:val="baseline"/>
                      <w:lang w:val="en-US" w:eastAsia="zh-CN"/>
                    </w:rPr>
                  </w:pPr>
                  <w:r>
                    <w:rPr>
                      <w:rFonts w:hint="eastAsia"/>
                      <w:color w:val="auto"/>
                      <w:vertAlign w:val="baseline"/>
                      <w:lang w:val="en-US" w:eastAsia="zh-CN"/>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9" w:type="pct"/>
                  <w:noWrap w:val="0"/>
                  <w:vAlign w:val="center"/>
                </w:tcPr>
                <w:p>
                  <w:pPr>
                    <w:pStyle w:val="105"/>
                    <w:bidi w:val="0"/>
                    <w:jc w:val="center"/>
                    <w:rPr>
                      <w:rFonts w:hint="default"/>
                      <w:color w:val="auto"/>
                      <w:vertAlign w:val="baseline"/>
                      <w:lang w:val="en-US" w:eastAsia="zh-CN"/>
                    </w:rPr>
                  </w:pPr>
                  <w:r>
                    <w:rPr>
                      <w:rFonts w:hint="eastAsia"/>
                      <w:color w:val="auto"/>
                      <w:vertAlign w:val="baseline"/>
                      <w:lang w:val="en-US" w:eastAsia="zh-CN"/>
                    </w:rPr>
                    <w:t>宠物叫声</w:t>
                  </w:r>
                </w:p>
              </w:tc>
              <w:tc>
                <w:tcPr>
                  <w:tcW w:w="999" w:type="pct"/>
                  <w:noWrap w:val="0"/>
                  <w:vAlign w:val="center"/>
                </w:tcPr>
                <w:p>
                  <w:pPr>
                    <w:pStyle w:val="105"/>
                    <w:bidi w:val="0"/>
                    <w:jc w:val="center"/>
                    <w:rPr>
                      <w:rFonts w:hint="default"/>
                      <w:color w:val="auto"/>
                      <w:vertAlign w:val="baseline"/>
                      <w:lang w:val="en-US" w:eastAsia="zh-CN"/>
                    </w:rPr>
                  </w:pPr>
                  <w:r>
                    <w:rPr>
                      <w:rFonts w:hint="eastAsia"/>
                      <w:color w:val="auto"/>
                      <w:vertAlign w:val="baseline"/>
                      <w:lang w:val="en-US" w:eastAsia="zh-CN"/>
                    </w:rPr>
                    <w:t>/</w:t>
                  </w:r>
                </w:p>
              </w:tc>
              <w:tc>
                <w:tcPr>
                  <w:tcW w:w="999" w:type="pct"/>
                  <w:noWrap w:val="0"/>
                  <w:vAlign w:val="center"/>
                </w:tcPr>
                <w:p>
                  <w:pPr>
                    <w:pStyle w:val="105"/>
                    <w:bidi w:val="0"/>
                    <w:jc w:val="center"/>
                    <w:rPr>
                      <w:rFonts w:hint="default"/>
                      <w:color w:val="auto"/>
                      <w:vertAlign w:val="baseline"/>
                      <w:lang w:val="en-US" w:eastAsia="zh-CN"/>
                    </w:rPr>
                  </w:pPr>
                  <w:r>
                    <w:rPr>
                      <w:rFonts w:hint="eastAsia"/>
                      <w:color w:val="auto"/>
                      <w:vertAlign w:val="baseline"/>
                      <w:lang w:val="en-US" w:eastAsia="zh-CN"/>
                    </w:rPr>
                    <w:t>70</w:t>
                  </w:r>
                </w:p>
              </w:tc>
              <w:tc>
                <w:tcPr>
                  <w:tcW w:w="999" w:type="pct"/>
                  <w:vMerge w:val="continue"/>
                  <w:noWrap w:val="0"/>
                  <w:vAlign w:val="center"/>
                </w:tcPr>
                <w:p>
                  <w:pPr>
                    <w:pStyle w:val="105"/>
                    <w:bidi w:val="0"/>
                    <w:jc w:val="center"/>
                    <w:rPr>
                      <w:rFonts w:hint="default"/>
                      <w:color w:val="auto"/>
                      <w:vertAlign w:val="baseline"/>
                      <w:lang w:val="en-US" w:eastAsia="zh-CN"/>
                    </w:rPr>
                  </w:pPr>
                </w:p>
              </w:tc>
              <w:tc>
                <w:tcPr>
                  <w:tcW w:w="1001" w:type="pct"/>
                  <w:noWrap w:val="0"/>
                  <w:vAlign w:val="center"/>
                </w:tcPr>
                <w:p>
                  <w:pPr>
                    <w:pStyle w:val="105"/>
                    <w:bidi w:val="0"/>
                    <w:jc w:val="center"/>
                    <w:rPr>
                      <w:rFonts w:hint="default"/>
                      <w:color w:val="auto"/>
                      <w:vertAlign w:val="baseline"/>
                      <w:lang w:val="en-US" w:eastAsia="zh-CN"/>
                    </w:rPr>
                  </w:pPr>
                  <w:r>
                    <w:rPr>
                      <w:rFonts w:hint="eastAsia"/>
                      <w:color w:val="auto"/>
                      <w:vertAlign w:val="baseline"/>
                      <w:lang w:val="en-US" w:eastAsia="zh-CN"/>
                    </w:rPr>
                    <w:t>55</w:t>
                  </w:r>
                </w:p>
              </w:tc>
            </w:tr>
          </w:tbl>
          <w:p>
            <w:pPr>
              <w:pStyle w:val="105"/>
              <w:bidi w:val="0"/>
              <w:rPr>
                <w:rFonts w:hint="default"/>
                <w:color w:val="auto"/>
                <w:lang w:val="en-US" w:eastAsia="zh-CN"/>
              </w:rPr>
            </w:pPr>
          </w:p>
          <w:p>
            <w:pPr>
              <w:pStyle w:val="5"/>
              <w:bidi w:val="0"/>
              <w:rPr>
                <w:rFonts w:hint="eastAsia"/>
                <w:color w:val="auto"/>
              </w:rPr>
            </w:pPr>
            <w:r>
              <w:rPr>
                <w:rFonts w:hint="eastAsia"/>
                <w:color w:val="auto"/>
                <w:lang w:val="en-US" w:eastAsia="zh-CN"/>
              </w:rPr>
              <w:t>2、现有</w:t>
            </w:r>
            <w:r>
              <w:rPr>
                <w:rFonts w:hint="eastAsia"/>
                <w:color w:val="auto"/>
              </w:rPr>
              <w:t>治理措施</w:t>
            </w:r>
          </w:p>
          <w:p>
            <w:pPr>
              <w:pStyle w:val="104"/>
              <w:ind w:firstLine="480"/>
              <w:rPr>
                <w:rFonts w:hint="eastAsia"/>
                <w:color w:val="auto"/>
              </w:rPr>
            </w:pPr>
            <w:r>
              <w:rPr>
                <w:rFonts w:hint="eastAsia"/>
                <w:color w:val="auto"/>
              </w:rPr>
              <w:t xml:space="preserve">①空调外机噪声 </w:t>
            </w:r>
          </w:p>
          <w:p>
            <w:pPr>
              <w:pStyle w:val="104"/>
              <w:ind w:firstLine="480"/>
              <w:rPr>
                <w:rFonts w:hint="eastAsia"/>
                <w:color w:val="auto"/>
              </w:rPr>
            </w:pPr>
            <w:r>
              <w:rPr>
                <w:rFonts w:hint="eastAsia"/>
                <w:color w:val="auto"/>
              </w:rPr>
              <w:t>本项目使用分体式家用空调，空调外机位于项目入院处的西侧墙体，</w:t>
            </w:r>
            <w:r>
              <w:rPr>
                <w:rFonts w:hint="eastAsia"/>
                <w:color w:val="auto"/>
                <w:lang w:eastAsia="zh-CN"/>
              </w:rPr>
              <w:t>空调外机采用了基座进行安装，外机朝向对面为公园绿化空旷地带，且仅在白天开放，故不影响周边居民正常休息时间，对周边声环境影响较小</w:t>
            </w:r>
            <w:r>
              <w:rPr>
                <w:rFonts w:hint="eastAsia"/>
                <w:color w:val="auto"/>
              </w:rPr>
              <w:t xml:space="preserve">。 </w:t>
            </w:r>
          </w:p>
          <w:p>
            <w:pPr>
              <w:pStyle w:val="104"/>
              <w:ind w:firstLine="480"/>
              <w:rPr>
                <w:rFonts w:hint="eastAsia"/>
                <w:color w:val="auto"/>
              </w:rPr>
            </w:pPr>
            <w:r>
              <w:rPr>
                <w:rFonts w:hint="eastAsia"/>
                <w:color w:val="auto"/>
              </w:rPr>
              <w:t>②宠物叫声</w:t>
            </w:r>
          </w:p>
          <w:p>
            <w:pPr>
              <w:pStyle w:val="104"/>
              <w:ind w:firstLine="480"/>
              <w:rPr>
                <w:rFonts w:hint="eastAsia"/>
                <w:color w:val="auto"/>
              </w:rPr>
            </w:pPr>
            <w:r>
              <w:rPr>
                <w:rFonts w:hint="eastAsia"/>
                <w:color w:val="auto"/>
              </w:rPr>
              <w:t>入院宠物会有日常偶发噪声，主要集中在治疗室、住院室内，项目治疗室墙体厚度约10cm，具有一定的隔音效果，为了防止宠物的叫声对周围环境敏感点造成影响，本项目针对此类噪声具体降噪措施如下：</w:t>
            </w:r>
          </w:p>
          <w:p>
            <w:pPr>
              <w:pStyle w:val="104"/>
              <w:ind w:firstLine="480"/>
              <w:rPr>
                <w:rFonts w:hint="eastAsia"/>
                <w:color w:val="auto"/>
              </w:rPr>
            </w:pPr>
            <w:r>
              <w:rPr>
                <w:rFonts w:hint="eastAsia"/>
                <w:color w:val="auto"/>
              </w:rPr>
              <w:t>①内部采用隔墙，砌到天花板的顶部；</w:t>
            </w:r>
          </w:p>
          <w:p>
            <w:pPr>
              <w:pStyle w:val="104"/>
              <w:ind w:firstLine="480"/>
              <w:rPr>
                <w:rFonts w:hint="eastAsia"/>
                <w:color w:val="auto"/>
              </w:rPr>
            </w:pPr>
            <w:r>
              <w:rPr>
                <w:rFonts w:hint="eastAsia"/>
                <w:color w:val="auto"/>
              </w:rPr>
              <w:t>②采用硬质地板的设计；</w:t>
            </w:r>
          </w:p>
          <w:p>
            <w:pPr>
              <w:pStyle w:val="104"/>
              <w:bidi w:val="0"/>
              <w:rPr>
                <w:rFonts w:hint="eastAsia"/>
                <w:color w:val="auto"/>
              </w:rPr>
            </w:pPr>
            <w:r>
              <w:rPr>
                <w:rFonts w:hint="eastAsia"/>
                <w:color w:val="auto"/>
              </w:rPr>
              <w:t>③住院室、诊室等区域的门窗作好隔声处理，使用橡胶密封条或考虑使用双重玻璃、隔声窗；</w:t>
            </w:r>
          </w:p>
          <w:p>
            <w:pPr>
              <w:pStyle w:val="104"/>
              <w:bidi w:val="0"/>
              <w:rPr>
                <w:rFonts w:hint="eastAsia"/>
                <w:color w:val="auto"/>
              </w:rPr>
            </w:pPr>
            <w:r>
              <w:rPr>
                <w:rFonts w:hint="eastAsia"/>
                <w:color w:val="auto"/>
              </w:rPr>
              <w:t>④对入院宠物佩戴口罩或嘴套，且避免宠物处于饥饿状态，并加强管理，宠物医院营业时间为 08:30-18:00，其余时间</w:t>
            </w:r>
            <w:r>
              <w:rPr>
                <w:rFonts w:hint="eastAsia"/>
                <w:color w:val="auto"/>
                <w:lang w:eastAsia="zh-CN"/>
              </w:rPr>
              <w:t>为</w:t>
            </w:r>
            <w:r>
              <w:rPr>
                <w:rFonts w:hint="eastAsia"/>
                <w:color w:val="auto"/>
              </w:rPr>
              <w:t>禁止营业</w:t>
            </w:r>
            <w:r>
              <w:rPr>
                <w:rFonts w:hint="eastAsia"/>
                <w:color w:val="auto"/>
                <w:lang w:eastAsia="zh-CN"/>
              </w:rPr>
              <w:t>状态</w:t>
            </w:r>
            <w:r>
              <w:rPr>
                <w:rFonts w:hint="eastAsia"/>
                <w:color w:val="auto"/>
              </w:rPr>
              <w:t>。</w:t>
            </w:r>
          </w:p>
          <w:p>
            <w:pPr>
              <w:pStyle w:val="5"/>
              <w:numPr>
                <w:ilvl w:val="0"/>
                <w:numId w:val="0"/>
              </w:numPr>
              <w:ind w:leftChars="200"/>
              <w:rPr>
                <w:rFonts w:hint="eastAsia"/>
                <w:color w:val="auto"/>
                <w:lang w:val="en-US" w:eastAsia="zh-CN"/>
              </w:rPr>
            </w:pPr>
            <w:r>
              <w:rPr>
                <w:rFonts w:hint="eastAsia"/>
                <w:color w:val="auto"/>
                <w:lang w:val="en-US" w:eastAsia="zh-CN"/>
              </w:rPr>
              <w:t>3、噪声环境影响分析</w:t>
            </w:r>
          </w:p>
          <w:p>
            <w:pPr>
              <w:pStyle w:val="104"/>
              <w:bidi w:val="0"/>
              <w:rPr>
                <w:rFonts w:hint="eastAsia"/>
                <w:color w:val="auto"/>
                <w:lang w:val="en-US" w:eastAsia="zh-CN"/>
              </w:rPr>
            </w:pPr>
            <w:r>
              <w:rPr>
                <w:rFonts w:hint="eastAsia"/>
                <w:color w:val="auto"/>
                <w:lang w:val="en-US" w:eastAsia="zh-CN"/>
              </w:rPr>
              <w:t>（1）噪声源距厂界敏感点距离：</w:t>
            </w:r>
          </w:p>
          <w:p>
            <w:pPr>
              <w:pStyle w:val="117"/>
              <w:bidi w:val="0"/>
              <w:rPr>
                <w:rFonts w:hint="eastAsia"/>
                <w:color w:val="auto"/>
                <w:lang w:val="en-US" w:eastAsia="zh-CN"/>
              </w:rPr>
            </w:pPr>
            <w:r>
              <w:rPr>
                <w:rFonts w:hint="eastAsia"/>
                <w:color w:val="auto"/>
                <w:lang w:val="en-US" w:eastAsia="zh-CN"/>
              </w:rPr>
              <w:t>表4-4 噪声源距厂界及敏感点距离 单位：m</w:t>
            </w:r>
          </w:p>
          <w:tbl>
            <w:tblPr>
              <w:tblStyle w:val="3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62"/>
              <w:gridCol w:w="1365"/>
              <w:gridCol w:w="1035"/>
              <w:gridCol w:w="900"/>
              <w:gridCol w:w="1065"/>
              <w:gridCol w:w="1035"/>
              <w:gridCol w:w="780"/>
              <w:gridCol w:w="8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62" w:type="dxa"/>
                  <w:noWrap w:val="0"/>
                  <w:vAlign w:val="center"/>
                </w:tcPr>
                <w:p>
                  <w:pPr>
                    <w:pStyle w:val="170"/>
                    <w:widowControl w:val="0"/>
                    <w:bidi w:val="0"/>
                    <w:rPr>
                      <w:rFonts w:hint="default"/>
                      <w:b/>
                      <w:bCs/>
                      <w:color w:val="auto"/>
                      <w:lang w:val="en-US" w:eastAsia="zh-CN"/>
                    </w:rPr>
                  </w:pPr>
                  <w:r>
                    <w:rPr>
                      <w:rFonts w:hint="eastAsia"/>
                      <w:b/>
                      <w:bCs/>
                      <w:color w:val="auto"/>
                      <w:lang w:val="en-US" w:eastAsia="zh-CN"/>
                    </w:rPr>
                    <w:t>噪声源</w:t>
                  </w:r>
                </w:p>
              </w:tc>
              <w:tc>
                <w:tcPr>
                  <w:tcW w:w="1365" w:type="dxa"/>
                  <w:noWrap w:val="0"/>
                  <w:vAlign w:val="center"/>
                </w:tcPr>
                <w:p>
                  <w:pPr>
                    <w:pStyle w:val="170"/>
                    <w:widowControl w:val="0"/>
                    <w:bidi w:val="0"/>
                    <w:rPr>
                      <w:rFonts w:hint="default"/>
                      <w:b/>
                      <w:bCs/>
                      <w:color w:val="auto"/>
                      <w:lang w:val="en-US" w:eastAsia="zh-CN"/>
                    </w:rPr>
                  </w:pPr>
                  <w:r>
                    <w:rPr>
                      <w:rFonts w:hint="eastAsia"/>
                      <w:b/>
                      <w:bCs/>
                      <w:color w:val="auto"/>
                      <w:lang w:val="en-US" w:eastAsia="zh-CN"/>
                    </w:rPr>
                    <w:t>噪声源强dB(A）</w:t>
                  </w:r>
                </w:p>
              </w:tc>
              <w:tc>
                <w:tcPr>
                  <w:tcW w:w="1035" w:type="dxa"/>
                  <w:noWrap w:val="0"/>
                  <w:vAlign w:val="center"/>
                </w:tcPr>
                <w:p>
                  <w:pPr>
                    <w:pStyle w:val="170"/>
                    <w:widowControl w:val="0"/>
                    <w:bidi w:val="0"/>
                    <w:rPr>
                      <w:rFonts w:hint="default"/>
                      <w:b/>
                      <w:bCs/>
                      <w:color w:val="auto"/>
                      <w:lang w:val="en-US" w:eastAsia="zh-CN"/>
                    </w:rPr>
                  </w:pPr>
                  <w:r>
                    <w:rPr>
                      <w:rFonts w:hint="eastAsia"/>
                      <w:b/>
                      <w:bCs/>
                      <w:color w:val="auto"/>
                      <w:lang w:val="en-US" w:eastAsia="zh-CN"/>
                    </w:rPr>
                    <w:t>东厂界</w:t>
                  </w:r>
                </w:p>
              </w:tc>
              <w:tc>
                <w:tcPr>
                  <w:tcW w:w="900" w:type="dxa"/>
                  <w:noWrap w:val="0"/>
                  <w:vAlign w:val="center"/>
                </w:tcPr>
                <w:p>
                  <w:pPr>
                    <w:pStyle w:val="170"/>
                    <w:widowControl w:val="0"/>
                    <w:bidi w:val="0"/>
                    <w:rPr>
                      <w:rFonts w:hint="default"/>
                      <w:b/>
                      <w:bCs/>
                      <w:color w:val="auto"/>
                      <w:lang w:val="en-US" w:eastAsia="zh-CN"/>
                    </w:rPr>
                  </w:pPr>
                  <w:r>
                    <w:rPr>
                      <w:rFonts w:hint="eastAsia"/>
                      <w:b/>
                      <w:bCs/>
                      <w:color w:val="auto"/>
                      <w:lang w:val="en-US" w:eastAsia="zh-CN"/>
                    </w:rPr>
                    <w:t>南厂界</w:t>
                  </w:r>
                </w:p>
              </w:tc>
              <w:tc>
                <w:tcPr>
                  <w:tcW w:w="1065" w:type="dxa"/>
                  <w:noWrap w:val="0"/>
                  <w:vAlign w:val="center"/>
                </w:tcPr>
                <w:p>
                  <w:pPr>
                    <w:pStyle w:val="170"/>
                    <w:widowControl w:val="0"/>
                    <w:bidi w:val="0"/>
                    <w:rPr>
                      <w:rFonts w:hint="default"/>
                      <w:b/>
                      <w:bCs/>
                      <w:color w:val="auto"/>
                      <w:lang w:val="en-US" w:eastAsia="zh-CN"/>
                    </w:rPr>
                  </w:pPr>
                  <w:r>
                    <w:rPr>
                      <w:rFonts w:hint="eastAsia"/>
                      <w:b/>
                      <w:bCs/>
                      <w:color w:val="auto"/>
                      <w:lang w:val="en-US" w:eastAsia="zh-CN"/>
                    </w:rPr>
                    <w:t>西厂界</w:t>
                  </w:r>
                </w:p>
              </w:tc>
              <w:tc>
                <w:tcPr>
                  <w:tcW w:w="1035" w:type="dxa"/>
                  <w:noWrap w:val="0"/>
                  <w:vAlign w:val="center"/>
                </w:tcPr>
                <w:p>
                  <w:pPr>
                    <w:pStyle w:val="170"/>
                    <w:widowControl w:val="0"/>
                    <w:bidi w:val="0"/>
                    <w:rPr>
                      <w:rFonts w:hint="eastAsia"/>
                      <w:b/>
                      <w:bCs/>
                      <w:color w:val="auto"/>
                      <w:lang w:val="en-US" w:eastAsia="zh-CN"/>
                    </w:rPr>
                  </w:pPr>
                  <w:r>
                    <w:rPr>
                      <w:rFonts w:hint="eastAsia"/>
                      <w:b/>
                      <w:bCs/>
                      <w:color w:val="auto"/>
                      <w:lang w:val="en-US" w:eastAsia="zh-CN"/>
                    </w:rPr>
                    <w:t>北厂界</w:t>
                  </w:r>
                </w:p>
              </w:tc>
              <w:tc>
                <w:tcPr>
                  <w:tcW w:w="780" w:type="dxa"/>
                  <w:noWrap w:val="0"/>
                  <w:vAlign w:val="center"/>
                </w:tcPr>
                <w:p>
                  <w:pPr>
                    <w:pStyle w:val="170"/>
                    <w:widowControl w:val="0"/>
                    <w:bidi w:val="0"/>
                    <w:rPr>
                      <w:rFonts w:hint="eastAsia"/>
                      <w:b/>
                      <w:bCs/>
                      <w:color w:val="auto"/>
                      <w:lang w:val="en-US" w:eastAsia="zh-CN"/>
                    </w:rPr>
                  </w:pPr>
                  <w:r>
                    <w:rPr>
                      <w:rFonts w:hint="eastAsia"/>
                      <w:b/>
                      <w:bCs/>
                      <w:color w:val="auto"/>
                      <w:lang w:val="en-US" w:eastAsia="zh-CN"/>
                    </w:rPr>
                    <w:t>东侧住户</w:t>
                  </w:r>
                </w:p>
              </w:tc>
              <w:tc>
                <w:tcPr>
                  <w:tcW w:w="845" w:type="dxa"/>
                  <w:noWrap w:val="0"/>
                  <w:vAlign w:val="center"/>
                </w:tcPr>
                <w:p>
                  <w:pPr>
                    <w:pStyle w:val="170"/>
                    <w:widowControl w:val="0"/>
                    <w:bidi w:val="0"/>
                    <w:rPr>
                      <w:rFonts w:hint="eastAsia"/>
                      <w:b/>
                      <w:bCs/>
                      <w:color w:val="auto"/>
                      <w:lang w:val="en-US" w:eastAsia="zh-CN"/>
                    </w:rPr>
                  </w:pPr>
                  <w:r>
                    <w:rPr>
                      <w:rFonts w:hint="eastAsia"/>
                      <w:b/>
                      <w:bCs/>
                      <w:color w:val="auto"/>
                      <w:lang w:val="en-US" w:eastAsia="zh-CN"/>
                    </w:rPr>
                    <w:t>北侧住户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62" w:type="dxa"/>
                  <w:noWrap w:val="0"/>
                  <w:vAlign w:val="center"/>
                </w:tcPr>
                <w:p>
                  <w:pPr>
                    <w:pStyle w:val="170"/>
                    <w:widowControl w:val="0"/>
                    <w:bidi w:val="0"/>
                    <w:rPr>
                      <w:rFonts w:hint="default"/>
                      <w:color w:val="auto"/>
                      <w:lang w:val="en-US" w:eastAsia="zh-CN"/>
                    </w:rPr>
                  </w:pPr>
                  <w:r>
                    <w:rPr>
                      <w:rFonts w:hint="eastAsia"/>
                      <w:color w:val="auto"/>
                      <w:lang w:val="en-US" w:eastAsia="zh-CN"/>
                    </w:rPr>
                    <w:t>空调外机</w:t>
                  </w:r>
                </w:p>
              </w:tc>
              <w:tc>
                <w:tcPr>
                  <w:tcW w:w="1365" w:type="dxa"/>
                  <w:noWrap w:val="0"/>
                  <w:vAlign w:val="center"/>
                </w:tcPr>
                <w:p>
                  <w:pPr>
                    <w:pStyle w:val="170"/>
                    <w:widowControl w:val="0"/>
                    <w:bidi w:val="0"/>
                    <w:rPr>
                      <w:rFonts w:hint="default"/>
                      <w:color w:val="auto"/>
                      <w:lang w:val="en-US" w:eastAsia="zh-CN"/>
                    </w:rPr>
                  </w:pPr>
                  <w:r>
                    <w:rPr>
                      <w:rFonts w:hint="eastAsia"/>
                      <w:color w:val="auto"/>
                      <w:lang w:val="en-US" w:eastAsia="zh-CN"/>
                    </w:rPr>
                    <w:t>50</w:t>
                  </w:r>
                </w:p>
              </w:tc>
              <w:tc>
                <w:tcPr>
                  <w:tcW w:w="1035" w:type="dxa"/>
                  <w:noWrap w:val="0"/>
                  <w:vAlign w:val="center"/>
                </w:tcPr>
                <w:p>
                  <w:pPr>
                    <w:pStyle w:val="170"/>
                    <w:widowControl w:val="0"/>
                    <w:bidi w:val="0"/>
                    <w:rPr>
                      <w:rFonts w:hint="default"/>
                      <w:color w:val="auto"/>
                      <w:lang w:val="en-US" w:eastAsia="zh-CN"/>
                    </w:rPr>
                  </w:pPr>
                  <w:r>
                    <w:rPr>
                      <w:rFonts w:hint="eastAsia"/>
                      <w:color w:val="auto"/>
                      <w:lang w:val="en-US" w:eastAsia="zh-CN"/>
                    </w:rPr>
                    <w:t>6</w:t>
                  </w:r>
                </w:p>
              </w:tc>
              <w:tc>
                <w:tcPr>
                  <w:tcW w:w="900" w:type="dxa"/>
                  <w:noWrap w:val="0"/>
                  <w:vAlign w:val="center"/>
                </w:tcPr>
                <w:p>
                  <w:pPr>
                    <w:pStyle w:val="170"/>
                    <w:widowControl w:val="0"/>
                    <w:bidi w:val="0"/>
                    <w:rPr>
                      <w:rFonts w:hint="default"/>
                      <w:color w:val="auto"/>
                      <w:lang w:val="en-US" w:eastAsia="zh-CN"/>
                    </w:rPr>
                  </w:pPr>
                  <w:r>
                    <w:rPr>
                      <w:rFonts w:hint="eastAsia"/>
                      <w:color w:val="auto"/>
                      <w:lang w:val="en-US" w:eastAsia="zh-CN"/>
                    </w:rPr>
                    <w:t>0.5</w:t>
                  </w:r>
                </w:p>
              </w:tc>
              <w:tc>
                <w:tcPr>
                  <w:tcW w:w="1065" w:type="dxa"/>
                  <w:noWrap w:val="0"/>
                  <w:vAlign w:val="center"/>
                </w:tcPr>
                <w:p>
                  <w:pPr>
                    <w:pStyle w:val="170"/>
                    <w:widowControl w:val="0"/>
                    <w:bidi w:val="0"/>
                    <w:rPr>
                      <w:rFonts w:hint="default"/>
                      <w:color w:val="auto"/>
                      <w:lang w:val="en-US" w:eastAsia="zh-CN"/>
                    </w:rPr>
                  </w:pPr>
                  <w:r>
                    <w:rPr>
                      <w:rFonts w:hint="eastAsia"/>
                      <w:color w:val="auto"/>
                      <w:lang w:val="en-US" w:eastAsia="zh-CN"/>
                    </w:rPr>
                    <w:t>0.5</w:t>
                  </w:r>
                </w:p>
              </w:tc>
              <w:tc>
                <w:tcPr>
                  <w:tcW w:w="1035" w:type="dxa"/>
                  <w:noWrap w:val="0"/>
                  <w:vAlign w:val="center"/>
                </w:tcPr>
                <w:p>
                  <w:pPr>
                    <w:pStyle w:val="170"/>
                    <w:widowControl w:val="0"/>
                    <w:bidi w:val="0"/>
                    <w:rPr>
                      <w:rFonts w:hint="default"/>
                      <w:color w:val="auto"/>
                      <w:lang w:val="en-US" w:eastAsia="zh-CN"/>
                    </w:rPr>
                  </w:pPr>
                  <w:r>
                    <w:rPr>
                      <w:rFonts w:hint="eastAsia"/>
                      <w:color w:val="auto"/>
                      <w:lang w:val="en-US" w:eastAsia="zh-CN"/>
                    </w:rPr>
                    <w:t>9</w:t>
                  </w:r>
                </w:p>
              </w:tc>
              <w:tc>
                <w:tcPr>
                  <w:tcW w:w="780" w:type="dxa"/>
                  <w:noWrap w:val="0"/>
                  <w:vAlign w:val="center"/>
                </w:tcPr>
                <w:p>
                  <w:pPr>
                    <w:pStyle w:val="170"/>
                    <w:widowControl w:val="0"/>
                    <w:bidi w:val="0"/>
                    <w:rPr>
                      <w:rFonts w:hint="default"/>
                      <w:color w:val="auto"/>
                      <w:lang w:val="en-US" w:eastAsia="zh-CN"/>
                    </w:rPr>
                  </w:pPr>
                  <w:r>
                    <w:rPr>
                      <w:rFonts w:hint="eastAsia"/>
                      <w:color w:val="auto"/>
                      <w:lang w:val="en-US" w:eastAsia="zh-CN"/>
                    </w:rPr>
                    <w:t>21</w:t>
                  </w:r>
                </w:p>
              </w:tc>
              <w:tc>
                <w:tcPr>
                  <w:tcW w:w="845" w:type="dxa"/>
                  <w:noWrap w:val="0"/>
                  <w:vAlign w:val="center"/>
                </w:tcPr>
                <w:p>
                  <w:pPr>
                    <w:pStyle w:val="170"/>
                    <w:widowControl w:val="0"/>
                    <w:bidi w:val="0"/>
                    <w:rPr>
                      <w:rFonts w:hint="default"/>
                      <w:color w:val="auto"/>
                      <w:lang w:val="en-US" w:eastAsia="zh-CN"/>
                    </w:rPr>
                  </w:pPr>
                  <w:r>
                    <w:rPr>
                      <w:rFonts w:hint="eastAsia"/>
                      <w:color w:val="auto"/>
                      <w:lang w:val="en-US" w:eastAsia="zh-CN"/>
                    </w:rPr>
                    <w:t>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62" w:type="dxa"/>
                  <w:noWrap w:val="0"/>
                  <w:vAlign w:val="center"/>
                </w:tcPr>
                <w:p>
                  <w:pPr>
                    <w:pStyle w:val="170"/>
                    <w:widowControl w:val="0"/>
                    <w:bidi w:val="0"/>
                    <w:rPr>
                      <w:rFonts w:hint="eastAsia"/>
                      <w:color w:val="auto"/>
                      <w:lang w:val="en-US" w:eastAsia="zh-CN"/>
                    </w:rPr>
                  </w:pPr>
                  <w:r>
                    <w:rPr>
                      <w:rFonts w:hint="eastAsia"/>
                      <w:color w:val="auto"/>
                      <w:lang w:val="en-US" w:eastAsia="zh-CN"/>
                    </w:rPr>
                    <w:t>宠物叫声</w:t>
                  </w:r>
                </w:p>
              </w:tc>
              <w:tc>
                <w:tcPr>
                  <w:tcW w:w="1365" w:type="dxa"/>
                  <w:noWrap w:val="0"/>
                  <w:vAlign w:val="center"/>
                </w:tcPr>
                <w:p>
                  <w:pPr>
                    <w:pStyle w:val="170"/>
                    <w:widowControl w:val="0"/>
                    <w:bidi w:val="0"/>
                    <w:rPr>
                      <w:rFonts w:hint="default"/>
                      <w:color w:val="auto"/>
                      <w:lang w:val="en-US" w:eastAsia="zh-CN"/>
                    </w:rPr>
                  </w:pPr>
                  <w:r>
                    <w:rPr>
                      <w:rFonts w:hint="eastAsia"/>
                      <w:color w:val="auto"/>
                      <w:lang w:val="en-US" w:eastAsia="zh-CN"/>
                    </w:rPr>
                    <w:t>55</w:t>
                  </w:r>
                </w:p>
              </w:tc>
              <w:tc>
                <w:tcPr>
                  <w:tcW w:w="1035" w:type="dxa"/>
                  <w:noWrap w:val="0"/>
                  <w:vAlign w:val="center"/>
                </w:tcPr>
                <w:p>
                  <w:pPr>
                    <w:pStyle w:val="170"/>
                    <w:widowControl w:val="0"/>
                    <w:bidi w:val="0"/>
                    <w:rPr>
                      <w:rFonts w:hint="default"/>
                      <w:color w:val="auto"/>
                      <w:lang w:val="en-US" w:eastAsia="zh-CN"/>
                    </w:rPr>
                  </w:pPr>
                  <w:r>
                    <w:rPr>
                      <w:rFonts w:hint="eastAsia"/>
                      <w:color w:val="auto"/>
                      <w:lang w:val="en-US" w:eastAsia="zh-CN"/>
                    </w:rPr>
                    <w:t>1</w:t>
                  </w:r>
                </w:p>
              </w:tc>
              <w:tc>
                <w:tcPr>
                  <w:tcW w:w="900" w:type="dxa"/>
                  <w:noWrap w:val="0"/>
                  <w:vAlign w:val="center"/>
                </w:tcPr>
                <w:p>
                  <w:pPr>
                    <w:pStyle w:val="170"/>
                    <w:widowControl w:val="0"/>
                    <w:bidi w:val="0"/>
                    <w:rPr>
                      <w:rFonts w:hint="default"/>
                      <w:color w:val="auto"/>
                      <w:lang w:val="en-US" w:eastAsia="zh-CN"/>
                    </w:rPr>
                  </w:pPr>
                  <w:r>
                    <w:rPr>
                      <w:rFonts w:hint="eastAsia"/>
                      <w:color w:val="auto"/>
                      <w:lang w:val="en-US" w:eastAsia="zh-CN"/>
                    </w:rPr>
                    <w:t>1</w:t>
                  </w:r>
                </w:p>
              </w:tc>
              <w:tc>
                <w:tcPr>
                  <w:tcW w:w="1065" w:type="dxa"/>
                  <w:noWrap w:val="0"/>
                  <w:vAlign w:val="center"/>
                </w:tcPr>
                <w:p>
                  <w:pPr>
                    <w:pStyle w:val="170"/>
                    <w:widowControl w:val="0"/>
                    <w:bidi w:val="0"/>
                    <w:rPr>
                      <w:rFonts w:hint="default"/>
                      <w:color w:val="auto"/>
                      <w:lang w:val="en-US" w:eastAsia="zh-CN"/>
                    </w:rPr>
                  </w:pPr>
                  <w:r>
                    <w:rPr>
                      <w:rFonts w:hint="eastAsia"/>
                      <w:color w:val="auto"/>
                      <w:lang w:val="en-US" w:eastAsia="zh-CN"/>
                    </w:rPr>
                    <w:t>1</w:t>
                  </w:r>
                </w:p>
              </w:tc>
              <w:tc>
                <w:tcPr>
                  <w:tcW w:w="1035" w:type="dxa"/>
                  <w:noWrap w:val="0"/>
                  <w:vAlign w:val="center"/>
                </w:tcPr>
                <w:p>
                  <w:pPr>
                    <w:pStyle w:val="170"/>
                    <w:widowControl w:val="0"/>
                    <w:bidi w:val="0"/>
                    <w:rPr>
                      <w:rFonts w:hint="default"/>
                      <w:color w:val="auto"/>
                      <w:lang w:val="en-US" w:eastAsia="zh-CN"/>
                    </w:rPr>
                  </w:pPr>
                  <w:r>
                    <w:rPr>
                      <w:rFonts w:hint="eastAsia"/>
                      <w:color w:val="auto"/>
                      <w:lang w:val="en-US" w:eastAsia="zh-CN"/>
                    </w:rPr>
                    <w:t>6</w:t>
                  </w:r>
                </w:p>
              </w:tc>
              <w:tc>
                <w:tcPr>
                  <w:tcW w:w="780" w:type="dxa"/>
                  <w:noWrap w:val="0"/>
                  <w:vAlign w:val="center"/>
                </w:tcPr>
                <w:p>
                  <w:pPr>
                    <w:pStyle w:val="170"/>
                    <w:widowControl w:val="0"/>
                    <w:bidi w:val="0"/>
                    <w:rPr>
                      <w:rFonts w:hint="default"/>
                      <w:color w:val="auto"/>
                      <w:lang w:val="en-US" w:eastAsia="zh-CN"/>
                    </w:rPr>
                  </w:pPr>
                  <w:r>
                    <w:rPr>
                      <w:rFonts w:hint="eastAsia"/>
                      <w:color w:val="auto"/>
                      <w:lang w:val="en-US" w:eastAsia="zh-CN"/>
                    </w:rPr>
                    <w:t>21</w:t>
                  </w:r>
                </w:p>
              </w:tc>
              <w:tc>
                <w:tcPr>
                  <w:tcW w:w="845" w:type="dxa"/>
                  <w:noWrap w:val="0"/>
                  <w:vAlign w:val="center"/>
                </w:tcPr>
                <w:p>
                  <w:pPr>
                    <w:pStyle w:val="170"/>
                    <w:widowControl w:val="0"/>
                    <w:bidi w:val="0"/>
                    <w:rPr>
                      <w:rFonts w:hint="default"/>
                      <w:color w:val="auto"/>
                      <w:lang w:val="en-US" w:eastAsia="zh-CN"/>
                    </w:rPr>
                  </w:pPr>
                  <w:r>
                    <w:rPr>
                      <w:rFonts w:hint="eastAsia"/>
                      <w:color w:val="auto"/>
                      <w:lang w:val="en-US" w:eastAsia="zh-CN"/>
                    </w:rPr>
                    <w:t>15</w:t>
                  </w:r>
                </w:p>
              </w:tc>
            </w:tr>
          </w:tbl>
          <w:p>
            <w:pPr>
              <w:pStyle w:val="104"/>
              <w:numPr>
                <w:ilvl w:val="0"/>
                <w:numId w:val="0"/>
              </w:numPr>
              <w:bidi w:val="0"/>
              <w:ind w:leftChars="200"/>
              <w:rPr>
                <w:rFonts w:hint="eastAsia"/>
                <w:color w:val="auto"/>
                <w:lang w:val="en-US" w:eastAsia="zh-CN"/>
              </w:rPr>
            </w:pPr>
            <w:r>
              <w:rPr>
                <w:rFonts w:hint="eastAsia"/>
                <w:color w:val="auto"/>
                <w:lang w:val="en-US" w:eastAsia="zh-CN"/>
              </w:rPr>
              <w:t>（2）计算声源作用在预测点时产生的A声级</w:t>
            </w:r>
          </w:p>
          <w:p>
            <w:pPr>
              <w:pStyle w:val="104"/>
              <w:bidi w:val="0"/>
              <w:rPr>
                <w:rFonts w:hint="default"/>
                <w:color w:val="auto"/>
                <w:lang w:val="en-US" w:eastAsia="zh-CN"/>
              </w:rPr>
            </w:pPr>
            <w:r>
              <w:rPr>
                <w:rFonts w:hint="default"/>
                <w:color w:val="auto"/>
                <w:lang w:val="en-US" w:eastAsia="zh-CN"/>
              </w:rPr>
              <w:t>项目噪声随着距离的衰减可采用以下预测模式计算：</w:t>
            </w:r>
          </w:p>
          <w:p>
            <w:pPr>
              <w:pStyle w:val="104"/>
              <w:bidi w:val="0"/>
              <w:jc w:val="center"/>
              <w:rPr>
                <w:rFonts w:hint="default"/>
                <w:color w:val="auto"/>
                <w:sz w:val="32"/>
                <w:szCs w:val="32"/>
                <w:lang w:val="en-US" w:eastAsia="zh-CN"/>
              </w:rPr>
            </w:pPr>
            <w:r>
              <w:rPr>
                <w:rFonts w:hint="default"/>
                <w:color w:val="auto"/>
                <w:sz w:val="28"/>
                <w:szCs w:val="28"/>
                <w:lang w:val="en-US" w:eastAsia="zh-CN"/>
              </w:rPr>
              <w:t>L</w:t>
            </w:r>
            <w:r>
              <w:rPr>
                <w:rFonts w:hint="default"/>
                <w:color w:val="auto"/>
                <w:sz w:val="28"/>
                <w:szCs w:val="28"/>
                <w:vertAlign w:val="subscript"/>
                <w:lang w:val="en-US" w:eastAsia="zh-CN"/>
              </w:rPr>
              <w:t>1</w:t>
            </w:r>
            <w:r>
              <w:rPr>
                <w:rFonts w:hint="default"/>
                <w:color w:val="auto"/>
                <w:sz w:val="28"/>
                <w:szCs w:val="28"/>
                <w:lang w:val="en-US" w:eastAsia="zh-CN"/>
              </w:rPr>
              <w:t>＝L</w:t>
            </w:r>
            <w:r>
              <w:rPr>
                <w:rFonts w:hint="default"/>
                <w:color w:val="auto"/>
                <w:sz w:val="28"/>
                <w:szCs w:val="28"/>
                <w:vertAlign w:val="subscript"/>
                <w:lang w:val="en-US" w:eastAsia="zh-CN"/>
              </w:rPr>
              <w:t>0</w:t>
            </w:r>
            <w:r>
              <w:rPr>
                <w:rFonts w:hint="default"/>
                <w:color w:val="auto"/>
                <w:sz w:val="28"/>
                <w:szCs w:val="28"/>
                <w:lang w:val="en-US" w:eastAsia="zh-CN"/>
              </w:rPr>
              <w:t>－20lg</w:t>
            </w:r>
            <w:r>
              <w:rPr>
                <w:rFonts w:hint="eastAsia"/>
                <w:color w:val="auto"/>
                <w:sz w:val="28"/>
                <w:szCs w:val="28"/>
                <w:lang w:val="en-US" w:eastAsia="zh-CN"/>
              </w:rPr>
              <w:t>(</w:t>
            </w:r>
            <w:r>
              <w:rPr>
                <w:rFonts w:hint="default"/>
                <w:color w:val="auto"/>
                <w:sz w:val="28"/>
                <w:szCs w:val="28"/>
                <w:lang w:val="en-US" w:eastAsia="zh-CN"/>
              </w:rPr>
              <w:t>r</w:t>
            </w:r>
            <w:r>
              <w:rPr>
                <w:rFonts w:hint="default"/>
                <w:color w:val="auto"/>
                <w:sz w:val="28"/>
                <w:szCs w:val="28"/>
                <w:vertAlign w:val="subscript"/>
                <w:lang w:val="en-US" w:eastAsia="zh-CN"/>
              </w:rPr>
              <w:t>1</w:t>
            </w:r>
            <w:r>
              <w:rPr>
                <w:rFonts w:hint="eastAsia"/>
                <w:color w:val="auto"/>
                <w:sz w:val="28"/>
                <w:szCs w:val="28"/>
                <w:lang w:val="en-US" w:eastAsia="zh-CN"/>
              </w:rPr>
              <w:t>/</w:t>
            </w:r>
            <w:r>
              <w:rPr>
                <w:rFonts w:hint="default"/>
                <w:color w:val="auto"/>
                <w:sz w:val="28"/>
                <w:szCs w:val="28"/>
                <w:lang w:val="en-US" w:eastAsia="zh-CN"/>
              </w:rPr>
              <w:t xml:space="preserve">r </w:t>
            </w:r>
            <w:r>
              <w:rPr>
                <w:rFonts w:hint="default"/>
                <w:color w:val="auto"/>
                <w:sz w:val="28"/>
                <w:szCs w:val="28"/>
                <w:vertAlign w:val="subscript"/>
                <w:lang w:val="en-US" w:eastAsia="zh-CN"/>
              </w:rPr>
              <w:t>0</w:t>
            </w:r>
            <w:r>
              <w:rPr>
                <w:rFonts w:hint="eastAsia"/>
                <w:color w:val="auto"/>
                <w:sz w:val="28"/>
                <w:szCs w:val="28"/>
                <w:lang w:val="en-US" w:eastAsia="zh-CN"/>
              </w:rPr>
              <w:t>)-</w:t>
            </w:r>
            <w:r>
              <w:rPr>
                <w:rFonts w:hint="default"/>
                <w:color w:val="auto"/>
                <w:sz w:val="28"/>
                <w:szCs w:val="28"/>
                <w:lang w:val="en-US" w:eastAsia="zh-CN"/>
              </w:rPr>
              <w:t>△L</w:t>
            </w:r>
          </w:p>
          <w:p>
            <w:pPr>
              <w:pStyle w:val="104"/>
              <w:bidi w:val="0"/>
              <w:rPr>
                <w:rFonts w:hint="default"/>
                <w:color w:val="auto"/>
                <w:lang w:val="en-US" w:eastAsia="zh-CN"/>
              </w:rPr>
            </w:pPr>
            <w:r>
              <w:rPr>
                <w:rFonts w:hint="default"/>
                <w:color w:val="auto"/>
                <w:lang w:val="en-US" w:eastAsia="zh-CN"/>
              </w:rPr>
              <w:t>式中：L</w:t>
            </w:r>
            <w:r>
              <w:rPr>
                <w:rFonts w:hint="default"/>
                <w:color w:val="auto"/>
                <w:vertAlign w:val="subscript"/>
                <w:lang w:val="en-US" w:eastAsia="zh-CN"/>
              </w:rPr>
              <w:t>1</w:t>
            </w:r>
            <w:r>
              <w:rPr>
                <w:rFonts w:hint="default"/>
                <w:color w:val="auto"/>
                <w:lang w:val="en-US" w:eastAsia="zh-CN"/>
              </w:rPr>
              <w:t xml:space="preserve"> ——距声源r</w:t>
            </w:r>
            <w:r>
              <w:rPr>
                <w:rFonts w:hint="default"/>
                <w:color w:val="auto"/>
                <w:vertAlign w:val="subscript"/>
                <w:lang w:val="en-US" w:eastAsia="zh-CN"/>
              </w:rPr>
              <w:t>1</w:t>
            </w:r>
            <w:r>
              <w:rPr>
                <w:rFonts w:hint="default"/>
                <w:color w:val="auto"/>
                <w:lang w:val="en-US" w:eastAsia="zh-CN"/>
              </w:rPr>
              <w:t>处的声级，dB（A）；</w:t>
            </w:r>
          </w:p>
          <w:p>
            <w:pPr>
              <w:pStyle w:val="104"/>
              <w:bidi w:val="0"/>
              <w:ind w:firstLine="1200" w:firstLineChars="500"/>
              <w:rPr>
                <w:rFonts w:hint="default"/>
                <w:color w:val="auto"/>
                <w:lang w:val="en-US" w:eastAsia="zh-CN"/>
              </w:rPr>
            </w:pPr>
            <w:r>
              <w:rPr>
                <w:rFonts w:hint="default"/>
                <w:color w:val="auto"/>
                <w:lang w:val="en-US" w:eastAsia="zh-CN"/>
              </w:rPr>
              <w:t>L</w:t>
            </w:r>
            <w:r>
              <w:rPr>
                <w:rFonts w:hint="default"/>
                <w:color w:val="auto"/>
                <w:vertAlign w:val="subscript"/>
                <w:lang w:val="en-US" w:eastAsia="zh-CN"/>
              </w:rPr>
              <w:t>0</w:t>
            </w:r>
            <w:r>
              <w:rPr>
                <w:rFonts w:hint="default"/>
                <w:color w:val="auto"/>
                <w:lang w:val="en-US" w:eastAsia="zh-CN"/>
              </w:rPr>
              <w:t xml:space="preserve"> ——距声源r</w:t>
            </w:r>
            <w:r>
              <w:rPr>
                <w:rFonts w:hint="default"/>
                <w:color w:val="auto"/>
                <w:vertAlign w:val="subscript"/>
                <w:lang w:val="en-US" w:eastAsia="zh-CN"/>
              </w:rPr>
              <w:t>0</w:t>
            </w:r>
            <w:r>
              <w:rPr>
                <w:rFonts w:hint="default"/>
                <w:color w:val="auto"/>
                <w:lang w:val="en-US" w:eastAsia="zh-CN"/>
              </w:rPr>
              <w:t>处的声级，dB（A）；</w:t>
            </w:r>
          </w:p>
          <w:p>
            <w:pPr>
              <w:pStyle w:val="104"/>
              <w:bidi w:val="0"/>
              <w:ind w:firstLine="960" w:firstLineChars="400"/>
              <w:rPr>
                <w:rFonts w:hint="default"/>
                <w:color w:val="auto"/>
                <w:lang w:val="en-US" w:eastAsia="zh-CN"/>
              </w:rPr>
            </w:pPr>
            <w:r>
              <w:rPr>
                <w:rFonts w:hint="default"/>
                <w:color w:val="auto"/>
                <w:lang w:val="en-US" w:eastAsia="zh-CN"/>
              </w:rPr>
              <w:t>r</w:t>
            </w:r>
            <w:r>
              <w:rPr>
                <w:rFonts w:hint="default"/>
                <w:color w:val="auto"/>
                <w:vertAlign w:val="subscript"/>
                <w:lang w:val="en-US" w:eastAsia="zh-CN"/>
              </w:rPr>
              <w:t>1</w:t>
            </w:r>
            <w:r>
              <w:rPr>
                <w:rFonts w:hint="default"/>
                <w:color w:val="auto"/>
                <w:lang w:val="en-US" w:eastAsia="zh-CN"/>
              </w:rPr>
              <w:t xml:space="preserve"> ——预测点距噪声源距离，m；</w:t>
            </w:r>
          </w:p>
          <w:p>
            <w:pPr>
              <w:pStyle w:val="104"/>
              <w:bidi w:val="0"/>
              <w:ind w:firstLine="960" w:firstLineChars="400"/>
              <w:rPr>
                <w:rFonts w:hint="default"/>
                <w:color w:val="auto"/>
                <w:lang w:val="en-US" w:eastAsia="zh-CN"/>
              </w:rPr>
            </w:pPr>
            <w:r>
              <w:rPr>
                <w:rFonts w:hint="default"/>
                <w:color w:val="auto"/>
                <w:lang w:val="en-US" w:eastAsia="zh-CN"/>
              </w:rPr>
              <w:t>r</w:t>
            </w:r>
            <w:r>
              <w:rPr>
                <w:rFonts w:hint="default"/>
                <w:color w:val="auto"/>
                <w:vertAlign w:val="subscript"/>
                <w:lang w:val="en-US" w:eastAsia="zh-CN"/>
              </w:rPr>
              <w:t>0</w:t>
            </w:r>
            <w:r>
              <w:rPr>
                <w:rFonts w:hint="default"/>
                <w:color w:val="auto"/>
                <w:lang w:val="en-US" w:eastAsia="zh-CN"/>
              </w:rPr>
              <w:t xml:space="preserve"> ——</w:t>
            </w:r>
            <w:r>
              <w:rPr>
                <w:rFonts w:hint="eastAsia"/>
                <w:color w:val="auto"/>
                <w:lang w:val="en-US" w:eastAsia="zh-CN"/>
              </w:rPr>
              <w:t>参考位置</w:t>
            </w:r>
            <w:r>
              <w:rPr>
                <w:rFonts w:hint="default"/>
                <w:color w:val="auto"/>
                <w:lang w:val="en-US" w:eastAsia="zh-CN"/>
              </w:rPr>
              <w:t>距噪声源距离，m；</w:t>
            </w:r>
          </w:p>
          <w:p>
            <w:pPr>
              <w:pStyle w:val="104"/>
              <w:bidi w:val="0"/>
              <w:ind w:firstLine="960" w:firstLineChars="400"/>
              <w:rPr>
                <w:rFonts w:hint="eastAsia"/>
                <w:color w:val="auto"/>
                <w:lang w:val="en-US" w:eastAsia="zh-CN"/>
              </w:rPr>
            </w:pPr>
            <w:r>
              <w:rPr>
                <w:rFonts w:hint="default"/>
                <w:color w:val="auto"/>
                <w:lang w:val="en-US" w:eastAsia="zh-CN"/>
              </w:rPr>
              <w:t>△L——各种因素引起的衰减量（包括遮挡物、空气吸收、地面效应引起的衰减量）</w:t>
            </w:r>
            <w:r>
              <w:rPr>
                <w:rFonts w:hint="eastAsia"/>
                <w:color w:val="auto"/>
                <w:lang w:val="en-US" w:eastAsia="zh-CN"/>
              </w:rPr>
              <w:t>。</w:t>
            </w:r>
            <w:r>
              <w:rPr>
                <w:rFonts w:hint="default"/>
                <w:color w:val="auto"/>
                <w:lang w:val="en-US" w:eastAsia="zh-CN"/>
              </w:rPr>
              <w:t>一般为8-25dB</w:t>
            </w:r>
            <w:r>
              <w:rPr>
                <w:rFonts w:hint="eastAsia"/>
                <w:color w:val="auto"/>
                <w:lang w:val="en-US" w:eastAsia="zh-CN"/>
              </w:rPr>
              <w:t>(</w:t>
            </w:r>
            <w:r>
              <w:rPr>
                <w:rFonts w:hint="default"/>
                <w:color w:val="auto"/>
                <w:lang w:val="en-US" w:eastAsia="zh-CN"/>
              </w:rPr>
              <w:t>A</w:t>
            </w:r>
            <w:r>
              <w:rPr>
                <w:rFonts w:hint="eastAsia"/>
                <w:color w:val="auto"/>
                <w:lang w:val="en-US" w:eastAsia="zh-CN"/>
              </w:rPr>
              <w:t>)，</w:t>
            </w:r>
            <w:r>
              <w:rPr>
                <w:rFonts w:hint="default"/>
                <w:color w:val="auto"/>
                <w:lang w:val="en-US" w:eastAsia="zh-CN"/>
              </w:rPr>
              <w:t>本次取</w:t>
            </w:r>
            <w:r>
              <w:rPr>
                <w:rFonts w:hint="eastAsia"/>
                <w:color w:val="auto"/>
                <w:lang w:val="en-US" w:eastAsia="zh-CN"/>
              </w:rPr>
              <w:t>8</w:t>
            </w:r>
            <w:r>
              <w:rPr>
                <w:rFonts w:hint="default"/>
                <w:color w:val="auto"/>
                <w:lang w:val="en-US" w:eastAsia="zh-CN"/>
              </w:rPr>
              <w:t>dB</w:t>
            </w:r>
            <w:r>
              <w:rPr>
                <w:rFonts w:hint="eastAsia"/>
                <w:color w:val="auto"/>
                <w:lang w:val="en-US" w:eastAsia="zh-CN"/>
              </w:rPr>
              <w:t>(</w:t>
            </w:r>
            <w:r>
              <w:rPr>
                <w:rFonts w:hint="default"/>
                <w:color w:val="auto"/>
                <w:lang w:val="en-US" w:eastAsia="zh-CN"/>
              </w:rPr>
              <w:t>A</w:t>
            </w:r>
            <w:r>
              <w:rPr>
                <w:rFonts w:hint="eastAsia"/>
                <w:color w:val="auto"/>
                <w:lang w:val="en-US" w:eastAsia="zh-CN"/>
              </w:rPr>
              <w:t>)。</w:t>
            </w:r>
          </w:p>
          <w:p>
            <w:pPr>
              <w:pStyle w:val="104"/>
              <w:numPr>
                <w:ilvl w:val="0"/>
                <w:numId w:val="19"/>
              </w:numPr>
              <w:bidi w:val="0"/>
              <w:ind w:left="0" w:leftChars="0" w:firstLine="480" w:firstLineChars="200"/>
              <w:rPr>
                <w:rFonts w:hint="eastAsia"/>
                <w:color w:val="auto"/>
                <w:lang w:val="en-US" w:eastAsia="zh-CN"/>
              </w:rPr>
            </w:pPr>
            <w:r>
              <w:rPr>
                <w:rFonts w:hint="eastAsia"/>
                <w:color w:val="auto"/>
                <w:lang w:val="en-US" w:eastAsia="zh-CN"/>
              </w:rPr>
              <w:t>计算噪声从各声源传播到预测点的等效声级贡献值，计算公式如下：</w:t>
            </w:r>
          </w:p>
          <w:p>
            <w:pPr>
              <w:pStyle w:val="104"/>
              <w:numPr>
                <w:ilvl w:val="0"/>
                <w:numId w:val="0"/>
              </w:numPr>
              <w:bidi w:val="0"/>
              <w:ind w:leftChars="200"/>
              <w:jc w:val="center"/>
              <w:rPr>
                <w:color w:val="auto"/>
                <w:szCs w:val="21"/>
              </w:rPr>
            </w:pPr>
            <w:r>
              <w:rPr>
                <w:color w:val="auto"/>
                <w:position w:val="-28"/>
                <w:szCs w:val="21"/>
              </w:rPr>
              <w:object>
                <v:shape id="_x0000_i1039" o:spt="75" type="#_x0000_t75" style="height:34pt;width:89pt;" o:ole="t" filled="f" o:preferrelative="t" stroked="f" coordsize="21600,21600">
                  <v:path/>
                  <v:fill on="f" focussize="0,0"/>
                  <v:stroke on="f"/>
                  <v:imagedata r:id="rId87" o:title=""/>
                  <o:lock v:ext="edit" aspectratio="t"/>
                  <w10:wrap type="none"/>
                  <w10:anchorlock/>
                </v:shape>
                <o:OLEObject Type="Embed" ProgID="Equation.KSEE3" ShapeID="_x0000_i1039" DrawAspect="Content" ObjectID="_1468075740" r:id="rId86">
                  <o:LockedField>false</o:LockedField>
                </o:OLEObject>
              </w:object>
            </w:r>
          </w:p>
          <w:p>
            <w:pPr>
              <w:pStyle w:val="104"/>
              <w:bidi w:val="0"/>
              <w:rPr>
                <w:rFonts w:hint="eastAsia" w:cs="Times New Roman"/>
                <w:color w:val="auto"/>
                <w:lang w:val="en-US" w:eastAsia="zh-CN"/>
              </w:rPr>
            </w:pPr>
            <w:r>
              <w:rPr>
                <w:rFonts w:hint="eastAsia"/>
                <w:color w:val="auto"/>
                <w:lang w:val="en-US" w:eastAsia="zh-CN"/>
              </w:rPr>
              <w:t>式中：L</w:t>
            </w:r>
            <w:r>
              <w:rPr>
                <w:rFonts w:hint="default" w:ascii="Times New Roman" w:hAnsi="Times New Roman" w:cs="Times New Roman"/>
                <w:color w:val="auto"/>
                <w:lang w:val="en-US" w:eastAsia="zh-CN"/>
              </w:rPr>
              <w:t>——</w:t>
            </w:r>
            <w:r>
              <w:rPr>
                <w:rFonts w:hint="eastAsia" w:cs="Times New Roman"/>
                <w:color w:val="auto"/>
                <w:lang w:val="en-US" w:eastAsia="zh-CN"/>
              </w:rPr>
              <w:t>建设项目声源在预测点的等效声级贡献值，dB(A)；</w:t>
            </w:r>
          </w:p>
          <w:p>
            <w:pPr>
              <w:pStyle w:val="104"/>
              <w:bidi w:val="0"/>
              <w:rPr>
                <w:rFonts w:hint="eastAsia" w:cs="Times New Roman"/>
                <w:color w:val="auto"/>
                <w:lang w:val="en-US" w:eastAsia="zh-CN"/>
              </w:rPr>
            </w:pPr>
            <w:r>
              <w:rPr>
                <w:rFonts w:hint="eastAsia" w:cs="Times New Roman"/>
                <w:color w:val="auto"/>
                <w:lang w:val="en-US" w:eastAsia="zh-CN"/>
              </w:rPr>
              <w:t xml:space="preserve">      Li</w:t>
            </w:r>
            <w:r>
              <w:rPr>
                <w:rFonts w:hint="default" w:ascii="Times New Roman" w:hAnsi="Times New Roman" w:cs="Times New Roman"/>
                <w:color w:val="auto"/>
                <w:lang w:val="en-US" w:eastAsia="zh-CN"/>
              </w:rPr>
              <w:t>——</w:t>
            </w:r>
            <w:r>
              <w:rPr>
                <w:rFonts w:hint="eastAsia" w:cs="Times New Roman"/>
                <w:color w:val="auto"/>
                <w:lang w:val="en-US" w:eastAsia="zh-CN"/>
              </w:rPr>
              <w:t>i声源在预测点产生的A声级，dB(A)；</w:t>
            </w:r>
          </w:p>
          <w:p>
            <w:pPr>
              <w:pStyle w:val="104"/>
              <w:bidi w:val="0"/>
              <w:rPr>
                <w:rFonts w:hint="eastAsia"/>
                <w:color w:val="auto"/>
                <w:lang w:val="en-US" w:eastAsia="zh-CN"/>
              </w:rPr>
            </w:pPr>
            <w:r>
              <w:rPr>
                <w:rFonts w:hint="eastAsia"/>
                <w:color w:val="auto"/>
                <w:lang w:val="en-US" w:eastAsia="zh-CN"/>
              </w:rPr>
              <w:t xml:space="preserve">      n</w:t>
            </w:r>
            <w:r>
              <w:rPr>
                <w:rFonts w:hint="default" w:ascii="Times New Roman" w:hAnsi="Times New Roman" w:cs="Times New Roman"/>
                <w:color w:val="auto"/>
                <w:lang w:val="en-US" w:eastAsia="zh-CN"/>
              </w:rPr>
              <w:t>——</w:t>
            </w:r>
            <w:r>
              <w:rPr>
                <w:rFonts w:hint="eastAsia"/>
                <w:color w:val="auto"/>
                <w:lang w:val="en-US" w:eastAsia="zh-CN"/>
              </w:rPr>
              <w:t>声源个数。</w:t>
            </w:r>
          </w:p>
          <w:p>
            <w:pPr>
              <w:pStyle w:val="104"/>
              <w:numPr>
                <w:ilvl w:val="0"/>
                <w:numId w:val="19"/>
              </w:numPr>
              <w:bidi w:val="0"/>
              <w:ind w:left="0" w:leftChars="0" w:firstLine="480" w:firstLineChars="200"/>
              <w:rPr>
                <w:rFonts w:hint="eastAsia"/>
                <w:color w:val="auto"/>
                <w:lang w:val="en-US" w:eastAsia="zh-CN"/>
              </w:rPr>
            </w:pPr>
            <w:r>
              <w:rPr>
                <w:rFonts w:hint="eastAsia"/>
                <w:color w:val="auto"/>
                <w:lang w:val="en-US" w:eastAsia="zh-CN"/>
              </w:rPr>
              <w:t>预测点的预测等效声级的计算，计算公式如下：</w:t>
            </w:r>
          </w:p>
          <w:p>
            <w:pPr>
              <w:pStyle w:val="104"/>
              <w:numPr>
                <w:ilvl w:val="0"/>
                <w:numId w:val="0"/>
              </w:numPr>
              <w:bidi w:val="0"/>
              <w:ind w:leftChars="200"/>
              <w:jc w:val="center"/>
              <w:rPr>
                <w:rFonts w:hint="default"/>
                <w:color w:val="auto"/>
                <w:vertAlign w:val="baseline"/>
                <w:lang w:val="en-US" w:eastAsia="zh-CN"/>
              </w:rPr>
            </w:pPr>
            <w:r>
              <w:rPr>
                <w:rFonts w:hint="eastAsia"/>
                <w:color w:val="auto"/>
                <w:lang w:val="en-US" w:eastAsia="zh-CN"/>
              </w:rPr>
              <w:t>L=10lg(10</w:t>
            </w:r>
            <w:r>
              <w:rPr>
                <w:rFonts w:hint="eastAsia"/>
                <w:color w:val="auto"/>
                <w:vertAlign w:val="superscript"/>
                <w:lang w:val="en-US" w:eastAsia="zh-CN"/>
              </w:rPr>
              <w:t>0.1L贡献值</w:t>
            </w:r>
            <w:r>
              <w:rPr>
                <w:rFonts w:hint="eastAsia"/>
                <w:color w:val="auto"/>
                <w:vertAlign w:val="baseline"/>
                <w:lang w:val="en-US" w:eastAsia="zh-CN"/>
              </w:rPr>
              <w:t>+10</w:t>
            </w:r>
            <w:r>
              <w:rPr>
                <w:rFonts w:hint="eastAsia"/>
                <w:color w:val="auto"/>
                <w:vertAlign w:val="superscript"/>
                <w:lang w:val="en-US" w:eastAsia="zh-CN"/>
              </w:rPr>
              <w:t>0.1L背景值</w:t>
            </w:r>
            <w:r>
              <w:rPr>
                <w:rFonts w:hint="eastAsia"/>
                <w:color w:val="auto"/>
                <w:vertAlign w:val="baseline"/>
                <w:lang w:val="en-US" w:eastAsia="zh-CN"/>
              </w:rPr>
              <w:t>）</w:t>
            </w:r>
          </w:p>
          <w:p>
            <w:pPr>
              <w:pStyle w:val="104"/>
              <w:bidi w:val="0"/>
              <w:rPr>
                <w:rFonts w:hint="eastAsia" w:cs="Times New Roman"/>
                <w:color w:val="auto"/>
                <w:lang w:val="en-US" w:eastAsia="zh-CN"/>
              </w:rPr>
            </w:pPr>
            <w:r>
              <w:rPr>
                <w:rFonts w:hint="eastAsia"/>
                <w:color w:val="auto"/>
                <w:lang w:val="en-US" w:eastAsia="zh-CN"/>
              </w:rPr>
              <w:t>式中：L</w:t>
            </w:r>
            <w:r>
              <w:rPr>
                <w:rFonts w:hint="default" w:ascii="Times New Roman" w:hAnsi="Times New Roman" w:cs="Times New Roman"/>
                <w:color w:val="auto"/>
                <w:lang w:val="en-US" w:eastAsia="zh-CN"/>
              </w:rPr>
              <w:t>——</w:t>
            </w:r>
            <w:r>
              <w:rPr>
                <w:rFonts w:hint="eastAsia" w:cs="Times New Roman"/>
                <w:color w:val="auto"/>
                <w:lang w:val="en-US" w:eastAsia="zh-CN"/>
              </w:rPr>
              <w:t>预测点的预测等效声级，dB(A)；</w:t>
            </w:r>
          </w:p>
          <w:p>
            <w:pPr>
              <w:pStyle w:val="104"/>
              <w:bidi w:val="0"/>
              <w:rPr>
                <w:rFonts w:hint="eastAsia" w:cs="Times New Roman"/>
                <w:color w:val="auto"/>
                <w:lang w:val="en-US" w:eastAsia="zh-CN"/>
              </w:rPr>
            </w:pPr>
            <w:r>
              <w:rPr>
                <w:rFonts w:hint="eastAsia" w:cs="Times New Roman"/>
                <w:color w:val="auto"/>
                <w:lang w:val="en-US" w:eastAsia="zh-CN"/>
              </w:rPr>
              <w:t xml:space="preserve">      L</w:t>
            </w:r>
            <w:r>
              <w:rPr>
                <w:rFonts w:hint="eastAsia" w:cs="Times New Roman"/>
                <w:color w:val="auto"/>
                <w:vertAlign w:val="subscript"/>
                <w:lang w:val="en-US" w:eastAsia="zh-CN"/>
              </w:rPr>
              <w:t>贡献值</w:t>
            </w:r>
            <w:r>
              <w:rPr>
                <w:rFonts w:hint="default" w:ascii="Times New Roman" w:hAnsi="Times New Roman" w:cs="Times New Roman"/>
                <w:color w:val="auto"/>
                <w:lang w:val="en-US" w:eastAsia="zh-CN"/>
              </w:rPr>
              <w:t>——</w:t>
            </w:r>
            <w:r>
              <w:rPr>
                <w:rFonts w:hint="eastAsia" w:cs="Times New Roman"/>
                <w:color w:val="auto"/>
                <w:lang w:val="en-US" w:eastAsia="zh-CN"/>
              </w:rPr>
              <w:t>建设项目声源在预测点的等效声级贡献值，dB(A)；</w:t>
            </w:r>
          </w:p>
          <w:p>
            <w:pPr>
              <w:pStyle w:val="104"/>
              <w:bidi w:val="0"/>
              <w:rPr>
                <w:rFonts w:hint="eastAsia" w:cs="Times New Roman"/>
                <w:color w:val="auto"/>
                <w:lang w:val="en-US" w:eastAsia="zh-CN"/>
              </w:rPr>
            </w:pPr>
            <w:r>
              <w:rPr>
                <w:rFonts w:hint="eastAsia" w:cs="Times New Roman"/>
                <w:color w:val="auto"/>
                <w:lang w:val="en-US" w:eastAsia="zh-CN"/>
              </w:rPr>
              <w:t xml:space="preserve">      L</w:t>
            </w:r>
            <w:r>
              <w:rPr>
                <w:rFonts w:hint="eastAsia" w:cs="Times New Roman"/>
                <w:color w:val="auto"/>
                <w:vertAlign w:val="subscript"/>
                <w:lang w:val="en-US" w:eastAsia="zh-CN"/>
              </w:rPr>
              <w:t>背景值</w:t>
            </w:r>
            <w:r>
              <w:rPr>
                <w:rFonts w:hint="default" w:ascii="Times New Roman" w:hAnsi="Times New Roman" w:cs="Times New Roman"/>
                <w:color w:val="auto"/>
                <w:lang w:val="en-US" w:eastAsia="zh-CN"/>
              </w:rPr>
              <w:t>——</w:t>
            </w:r>
            <w:r>
              <w:rPr>
                <w:rFonts w:hint="eastAsia" w:cs="Times New Roman"/>
                <w:color w:val="auto"/>
                <w:lang w:val="en-US" w:eastAsia="zh-CN"/>
              </w:rPr>
              <w:t>预测点的背景值，dB(A)。</w:t>
            </w:r>
          </w:p>
          <w:p>
            <w:pPr>
              <w:pStyle w:val="104"/>
              <w:numPr>
                <w:ilvl w:val="0"/>
                <w:numId w:val="19"/>
              </w:numPr>
              <w:bidi w:val="0"/>
              <w:ind w:left="0" w:leftChars="0" w:firstLine="480" w:firstLineChars="200"/>
              <w:rPr>
                <w:rFonts w:hint="eastAsia" w:cs="Times New Roman"/>
                <w:color w:val="auto"/>
                <w:lang w:val="en-US" w:eastAsia="zh-CN"/>
              </w:rPr>
            </w:pPr>
            <w:r>
              <w:rPr>
                <w:rFonts w:hint="eastAsia" w:cs="Times New Roman"/>
                <w:color w:val="auto"/>
                <w:lang w:val="en-US" w:eastAsia="zh-CN"/>
              </w:rPr>
              <w:t>厂界噪声预测结果及影响分析</w:t>
            </w:r>
          </w:p>
          <w:p>
            <w:pPr>
              <w:pStyle w:val="117"/>
              <w:bidi w:val="0"/>
              <w:rPr>
                <w:rFonts w:hint="eastAsia"/>
                <w:b/>
                <w:bCs/>
                <w:color w:val="auto"/>
                <w:szCs w:val="21"/>
              </w:rPr>
            </w:pPr>
            <w:r>
              <w:rPr>
                <w:rFonts w:hint="eastAsia"/>
                <w:color w:val="auto"/>
                <w:lang w:val="en-US" w:eastAsia="zh-CN"/>
              </w:rPr>
              <w:t xml:space="preserve">表4-5 </w:t>
            </w:r>
            <w:r>
              <w:rPr>
                <w:rFonts w:hint="eastAsia"/>
                <w:b/>
                <w:bCs/>
                <w:color w:val="auto"/>
                <w:szCs w:val="21"/>
              </w:rPr>
              <w:t>噪声对厂界声环境影响预测结果</w:t>
            </w:r>
          </w:p>
          <w:tbl>
            <w:tblPr>
              <w:tblStyle w:val="39"/>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33"/>
              <w:gridCol w:w="1161"/>
              <w:gridCol w:w="1161"/>
              <w:gridCol w:w="1161"/>
              <w:gridCol w:w="1161"/>
              <w:gridCol w:w="1161"/>
              <w:gridCol w:w="11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9" w:hRule="atLeast"/>
              </w:trPr>
              <w:tc>
                <w:tcPr>
                  <w:tcW w:w="901" w:type="pct"/>
                  <w:vMerge w:val="restart"/>
                  <w:noWrap w:val="0"/>
                  <w:vAlign w:val="center"/>
                </w:tcPr>
                <w:p>
                  <w:pPr>
                    <w:pStyle w:val="170"/>
                    <w:widowControl w:val="0"/>
                    <w:bidi w:val="0"/>
                    <w:rPr>
                      <w:rFonts w:hint="default"/>
                      <w:b/>
                      <w:bCs/>
                      <w:color w:val="auto"/>
                      <w:lang w:val="en-US" w:eastAsia="zh-CN"/>
                    </w:rPr>
                  </w:pPr>
                  <w:r>
                    <w:rPr>
                      <w:rFonts w:hint="eastAsia"/>
                      <w:b/>
                      <w:bCs/>
                      <w:color w:val="auto"/>
                      <w:lang w:val="en-US" w:eastAsia="zh-CN"/>
                    </w:rPr>
                    <w:t>噪声源</w:t>
                  </w:r>
                </w:p>
              </w:tc>
              <w:tc>
                <w:tcPr>
                  <w:tcW w:w="4098" w:type="pct"/>
                  <w:gridSpan w:val="6"/>
                  <w:noWrap w:val="0"/>
                  <w:vAlign w:val="center"/>
                </w:tcPr>
                <w:p>
                  <w:pPr>
                    <w:pStyle w:val="170"/>
                    <w:widowControl w:val="0"/>
                    <w:bidi w:val="0"/>
                    <w:rPr>
                      <w:rFonts w:hint="default"/>
                      <w:b/>
                      <w:bCs/>
                      <w:color w:val="auto"/>
                      <w:lang w:val="en-US" w:eastAsia="zh-CN"/>
                    </w:rPr>
                  </w:pPr>
                  <w:r>
                    <w:rPr>
                      <w:rFonts w:hint="eastAsia"/>
                      <w:b/>
                      <w:bCs/>
                      <w:color w:val="auto"/>
                      <w:lang w:val="en-US" w:eastAsia="zh-CN"/>
                    </w:rPr>
                    <w:t>贡献值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 w:type="pct"/>
                  <w:vMerge w:val="continue"/>
                  <w:noWrap w:val="0"/>
                  <w:vAlign w:val="center"/>
                </w:tcPr>
                <w:p>
                  <w:pPr>
                    <w:pStyle w:val="170"/>
                    <w:widowControl w:val="0"/>
                    <w:bidi w:val="0"/>
                    <w:rPr>
                      <w:rFonts w:hint="default"/>
                      <w:color w:val="auto"/>
                      <w:lang w:val="en-US" w:eastAsia="zh-CN"/>
                    </w:rPr>
                  </w:pPr>
                </w:p>
              </w:tc>
              <w:tc>
                <w:tcPr>
                  <w:tcW w:w="682" w:type="pct"/>
                  <w:noWrap w:val="0"/>
                  <w:vAlign w:val="center"/>
                </w:tcPr>
                <w:p>
                  <w:pPr>
                    <w:pStyle w:val="170"/>
                    <w:widowControl w:val="0"/>
                    <w:bidi w:val="0"/>
                    <w:rPr>
                      <w:rFonts w:hint="default"/>
                      <w:color w:val="auto"/>
                      <w:lang w:val="en-US" w:eastAsia="zh-CN"/>
                    </w:rPr>
                  </w:pPr>
                  <w:r>
                    <w:rPr>
                      <w:rFonts w:hint="eastAsia"/>
                      <w:color w:val="auto"/>
                      <w:lang w:val="en-US" w:eastAsia="zh-CN"/>
                    </w:rPr>
                    <w:t>东厂界</w:t>
                  </w:r>
                </w:p>
              </w:tc>
              <w:tc>
                <w:tcPr>
                  <w:tcW w:w="682" w:type="pct"/>
                  <w:noWrap w:val="0"/>
                  <w:vAlign w:val="center"/>
                </w:tcPr>
                <w:p>
                  <w:pPr>
                    <w:pStyle w:val="170"/>
                    <w:widowControl w:val="0"/>
                    <w:bidi w:val="0"/>
                    <w:rPr>
                      <w:rFonts w:hint="default"/>
                      <w:color w:val="auto"/>
                      <w:lang w:val="en-US" w:eastAsia="zh-CN"/>
                    </w:rPr>
                  </w:pPr>
                  <w:r>
                    <w:rPr>
                      <w:rFonts w:hint="eastAsia"/>
                      <w:color w:val="auto"/>
                      <w:lang w:val="en-US" w:eastAsia="zh-CN"/>
                    </w:rPr>
                    <w:t>南厂界</w:t>
                  </w:r>
                </w:p>
              </w:tc>
              <w:tc>
                <w:tcPr>
                  <w:tcW w:w="682" w:type="pct"/>
                  <w:noWrap w:val="0"/>
                  <w:vAlign w:val="center"/>
                </w:tcPr>
                <w:p>
                  <w:pPr>
                    <w:pStyle w:val="170"/>
                    <w:widowControl w:val="0"/>
                    <w:bidi w:val="0"/>
                    <w:rPr>
                      <w:rFonts w:hint="default"/>
                      <w:color w:val="auto"/>
                      <w:lang w:val="en-US" w:eastAsia="zh-CN"/>
                    </w:rPr>
                  </w:pPr>
                  <w:r>
                    <w:rPr>
                      <w:rFonts w:hint="eastAsia"/>
                      <w:color w:val="auto"/>
                      <w:lang w:val="en-US" w:eastAsia="zh-CN"/>
                    </w:rPr>
                    <w:t>西厂界</w:t>
                  </w:r>
                </w:p>
              </w:tc>
              <w:tc>
                <w:tcPr>
                  <w:tcW w:w="682" w:type="pct"/>
                  <w:noWrap w:val="0"/>
                  <w:vAlign w:val="center"/>
                </w:tcPr>
                <w:p>
                  <w:pPr>
                    <w:pStyle w:val="170"/>
                    <w:widowControl w:val="0"/>
                    <w:bidi w:val="0"/>
                    <w:rPr>
                      <w:rFonts w:hint="default"/>
                      <w:color w:val="auto"/>
                      <w:lang w:val="en-US" w:eastAsia="zh-CN"/>
                    </w:rPr>
                  </w:pPr>
                  <w:r>
                    <w:rPr>
                      <w:rFonts w:hint="eastAsia"/>
                      <w:color w:val="auto"/>
                      <w:lang w:val="en-US" w:eastAsia="zh-CN"/>
                    </w:rPr>
                    <w:t>北厂界</w:t>
                  </w:r>
                </w:p>
              </w:tc>
              <w:tc>
                <w:tcPr>
                  <w:tcW w:w="682" w:type="pct"/>
                  <w:noWrap w:val="0"/>
                  <w:vAlign w:val="center"/>
                </w:tcPr>
                <w:p>
                  <w:pPr>
                    <w:pStyle w:val="170"/>
                    <w:widowControl w:val="0"/>
                    <w:bidi w:val="0"/>
                    <w:rPr>
                      <w:rFonts w:hint="default"/>
                      <w:color w:val="auto"/>
                      <w:lang w:val="en-US" w:eastAsia="zh-CN"/>
                    </w:rPr>
                  </w:pPr>
                  <w:r>
                    <w:rPr>
                      <w:rFonts w:hint="eastAsia"/>
                      <w:color w:val="auto"/>
                      <w:lang w:val="en-US" w:eastAsia="zh-CN"/>
                    </w:rPr>
                    <w:t>东侧住户</w:t>
                  </w:r>
                </w:p>
              </w:tc>
              <w:tc>
                <w:tcPr>
                  <w:tcW w:w="684" w:type="pct"/>
                  <w:noWrap w:val="0"/>
                  <w:vAlign w:val="center"/>
                </w:tcPr>
                <w:p>
                  <w:pPr>
                    <w:pStyle w:val="170"/>
                    <w:widowControl w:val="0"/>
                    <w:bidi w:val="0"/>
                    <w:rPr>
                      <w:rFonts w:hint="default"/>
                      <w:color w:val="auto"/>
                      <w:lang w:val="en-US" w:eastAsia="zh-CN"/>
                    </w:rPr>
                  </w:pPr>
                  <w:r>
                    <w:rPr>
                      <w:rFonts w:hint="eastAsia"/>
                      <w:color w:val="auto"/>
                      <w:lang w:val="en-US" w:eastAsia="zh-CN"/>
                    </w:rPr>
                    <w:t>北侧住户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 w:type="pct"/>
                  <w:noWrap w:val="0"/>
                  <w:vAlign w:val="center"/>
                </w:tcPr>
                <w:p>
                  <w:pPr>
                    <w:pStyle w:val="170"/>
                    <w:widowControl w:val="0"/>
                    <w:bidi w:val="0"/>
                    <w:rPr>
                      <w:rFonts w:hint="default"/>
                      <w:color w:val="auto"/>
                      <w:lang w:val="en-US" w:eastAsia="zh-CN"/>
                    </w:rPr>
                  </w:pPr>
                  <w:r>
                    <w:rPr>
                      <w:rFonts w:hint="eastAsia"/>
                      <w:color w:val="auto"/>
                      <w:lang w:val="en-US" w:eastAsia="zh-CN"/>
                    </w:rPr>
                    <w:t>空调外机</w:t>
                  </w:r>
                </w:p>
              </w:tc>
              <w:tc>
                <w:tcPr>
                  <w:tcW w:w="1133" w:type="dxa"/>
                  <w:noWrap w:val="0"/>
                  <w:vAlign w:val="center"/>
                </w:tcPr>
                <w:p>
                  <w:pPr>
                    <w:pStyle w:val="170"/>
                    <w:widowControl w:val="0"/>
                    <w:bidi w:val="0"/>
                    <w:rPr>
                      <w:rFonts w:hint="default"/>
                      <w:color w:val="auto"/>
                      <w:lang w:val="en-US" w:eastAsia="zh-CN"/>
                    </w:rPr>
                  </w:pPr>
                  <w:r>
                    <w:rPr>
                      <w:rFonts w:hint="eastAsia"/>
                      <w:color w:val="auto"/>
                      <w:lang w:val="en-US" w:eastAsia="zh-CN"/>
                    </w:rPr>
                    <w:t xml:space="preserve">26 </w:t>
                  </w:r>
                </w:p>
              </w:tc>
              <w:tc>
                <w:tcPr>
                  <w:tcW w:w="1133" w:type="dxa"/>
                  <w:noWrap w:val="0"/>
                  <w:vAlign w:val="center"/>
                </w:tcPr>
                <w:p>
                  <w:pPr>
                    <w:pStyle w:val="170"/>
                    <w:widowControl w:val="0"/>
                    <w:bidi w:val="0"/>
                    <w:rPr>
                      <w:rFonts w:hint="default"/>
                      <w:color w:val="auto"/>
                      <w:lang w:val="en-US" w:eastAsia="zh-CN"/>
                    </w:rPr>
                  </w:pPr>
                  <w:r>
                    <w:rPr>
                      <w:rFonts w:hint="eastAsia"/>
                      <w:color w:val="auto"/>
                      <w:lang w:val="en-US" w:eastAsia="zh-CN"/>
                    </w:rPr>
                    <w:t xml:space="preserve">48 </w:t>
                  </w:r>
                </w:p>
              </w:tc>
              <w:tc>
                <w:tcPr>
                  <w:tcW w:w="1133" w:type="dxa"/>
                  <w:noWrap w:val="0"/>
                  <w:vAlign w:val="center"/>
                </w:tcPr>
                <w:p>
                  <w:pPr>
                    <w:pStyle w:val="170"/>
                    <w:widowControl w:val="0"/>
                    <w:bidi w:val="0"/>
                    <w:rPr>
                      <w:rFonts w:hint="default"/>
                      <w:color w:val="auto"/>
                      <w:lang w:val="en-US" w:eastAsia="zh-CN"/>
                    </w:rPr>
                  </w:pPr>
                  <w:r>
                    <w:rPr>
                      <w:rFonts w:hint="eastAsia"/>
                      <w:color w:val="auto"/>
                      <w:lang w:val="en-US" w:eastAsia="zh-CN"/>
                    </w:rPr>
                    <w:t xml:space="preserve">48 </w:t>
                  </w:r>
                </w:p>
              </w:tc>
              <w:tc>
                <w:tcPr>
                  <w:tcW w:w="1133" w:type="dxa"/>
                  <w:noWrap w:val="0"/>
                  <w:vAlign w:val="center"/>
                </w:tcPr>
                <w:p>
                  <w:pPr>
                    <w:pStyle w:val="170"/>
                    <w:widowControl w:val="0"/>
                    <w:bidi w:val="0"/>
                    <w:rPr>
                      <w:rFonts w:hint="default"/>
                      <w:color w:val="auto"/>
                      <w:lang w:val="en-US" w:eastAsia="zh-CN"/>
                    </w:rPr>
                  </w:pPr>
                  <w:r>
                    <w:rPr>
                      <w:rFonts w:hint="eastAsia"/>
                      <w:color w:val="auto"/>
                      <w:lang w:val="en-US" w:eastAsia="zh-CN"/>
                    </w:rPr>
                    <w:t xml:space="preserve">23 </w:t>
                  </w:r>
                </w:p>
              </w:tc>
              <w:tc>
                <w:tcPr>
                  <w:tcW w:w="1133" w:type="dxa"/>
                  <w:noWrap w:val="0"/>
                  <w:vAlign w:val="center"/>
                </w:tcPr>
                <w:p>
                  <w:pPr>
                    <w:pStyle w:val="170"/>
                    <w:widowControl w:val="0"/>
                    <w:bidi w:val="0"/>
                    <w:rPr>
                      <w:rFonts w:hint="default"/>
                      <w:color w:val="auto"/>
                      <w:lang w:val="en-US" w:eastAsia="zh-CN"/>
                    </w:rPr>
                  </w:pPr>
                  <w:r>
                    <w:rPr>
                      <w:rFonts w:hint="eastAsia"/>
                      <w:color w:val="auto"/>
                      <w:lang w:val="en-US" w:eastAsia="zh-CN"/>
                    </w:rPr>
                    <w:t xml:space="preserve">16 </w:t>
                  </w:r>
                </w:p>
              </w:tc>
              <w:tc>
                <w:tcPr>
                  <w:tcW w:w="1143" w:type="dxa"/>
                  <w:noWrap w:val="0"/>
                  <w:vAlign w:val="center"/>
                </w:tcPr>
                <w:p>
                  <w:pPr>
                    <w:pStyle w:val="170"/>
                    <w:widowControl w:val="0"/>
                    <w:bidi w:val="0"/>
                    <w:rPr>
                      <w:rFonts w:hint="default"/>
                      <w:color w:val="auto"/>
                      <w:lang w:val="en-US" w:eastAsia="zh-CN"/>
                    </w:rPr>
                  </w:pPr>
                  <w:r>
                    <w:rPr>
                      <w:rFonts w:hint="eastAsia"/>
                      <w:color w:val="auto"/>
                      <w:lang w:val="en-US" w:eastAsia="zh-CN"/>
                    </w:rPr>
                    <w:t xml:space="preserve">14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 w:type="pct"/>
                  <w:noWrap w:val="0"/>
                  <w:vAlign w:val="center"/>
                </w:tcPr>
                <w:p>
                  <w:pPr>
                    <w:pStyle w:val="170"/>
                    <w:widowControl w:val="0"/>
                    <w:bidi w:val="0"/>
                    <w:rPr>
                      <w:rFonts w:hint="default"/>
                      <w:color w:val="auto"/>
                      <w:lang w:val="en-US" w:eastAsia="zh-CN"/>
                    </w:rPr>
                  </w:pPr>
                  <w:r>
                    <w:rPr>
                      <w:rFonts w:hint="eastAsia"/>
                      <w:color w:val="auto"/>
                      <w:lang w:val="en-US" w:eastAsia="zh-CN"/>
                    </w:rPr>
                    <w:t>宠物叫声</w:t>
                  </w:r>
                </w:p>
              </w:tc>
              <w:tc>
                <w:tcPr>
                  <w:tcW w:w="1133" w:type="dxa"/>
                  <w:noWrap w:val="0"/>
                  <w:vAlign w:val="center"/>
                </w:tcPr>
                <w:p>
                  <w:pPr>
                    <w:pStyle w:val="170"/>
                    <w:widowControl w:val="0"/>
                    <w:bidi w:val="0"/>
                    <w:rPr>
                      <w:rFonts w:hint="default"/>
                      <w:color w:val="auto"/>
                      <w:lang w:val="en-US" w:eastAsia="zh-CN"/>
                    </w:rPr>
                  </w:pPr>
                  <w:r>
                    <w:rPr>
                      <w:rFonts w:hint="eastAsia"/>
                      <w:color w:val="auto"/>
                      <w:lang w:val="en-US" w:eastAsia="zh-CN"/>
                    </w:rPr>
                    <w:t xml:space="preserve">47 </w:t>
                  </w:r>
                </w:p>
              </w:tc>
              <w:tc>
                <w:tcPr>
                  <w:tcW w:w="1133" w:type="dxa"/>
                  <w:noWrap w:val="0"/>
                  <w:vAlign w:val="center"/>
                </w:tcPr>
                <w:p>
                  <w:pPr>
                    <w:pStyle w:val="170"/>
                    <w:widowControl w:val="0"/>
                    <w:bidi w:val="0"/>
                    <w:rPr>
                      <w:rFonts w:hint="default"/>
                      <w:color w:val="auto"/>
                      <w:lang w:val="en-US" w:eastAsia="zh-CN"/>
                    </w:rPr>
                  </w:pPr>
                  <w:r>
                    <w:rPr>
                      <w:rFonts w:hint="eastAsia"/>
                      <w:color w:val="auto"/>
                      <w:lang w:val="en-US" w:eastAsia="zh-CN"/>
                    </w:rPr>
                    <w:t xml:space="preserve">47 </w:t>
                  </w:r>
                </w:p>
              </w:tc>
              <w:tc>
                <w:tcPr>
                  <w:tcW w:w="1133" w:type="dxa"/>
                  <w:noWrap w:val="0"/>
                  <w:vAlign w:val="center"/>
                </w:tcPr>
                <w:p>
                  <w:pPr>
                    <w:pStyle w:val="170"/>
                    <w:widowControl w:val="0"/>
                    <w:bidi w:val="0"/>
                    <w:rPr>
                      <w:rFonts w:hint="default"/>
                      <w:color w:val="auto"/>
                      <w:lang w:val="en-US" w:eastAsia="zh-CN"/>
                    </w:rPr>
                  </w:pPr>
                  <w:r>
                    <w:rPr>
                      <w:rFonts w:hint="eastAsia"/>
                      <w:color w:val="auto"/>
                      <w:lang w:val="en-US" w:eastAsia="zh-CN"/>
                    </w:rPr>
                    <w:t xml:space="preserve">47 </w:t>
                  </w:r>
                </w:p>
              </w:tc>
              <w:tc>
                <w:tcPr>
                  <w:tcW w:w="1133" w:type="dxa"/>
                  <w:noWrap w:val="0"/>
                  <w:vAlign w:val="center"/>
                </w:tcPr>
                <w:p>
                  <w:pPr>
                    <w:pStyle w:val="170"/>
                    <w:widowControl w:val="0"/>
                    <w:bidi w:val="0"/>
                    <w:rPr>
                      <w:rFonts w:hint="default"/>
                      <w:color w:val="auto"/>
                      <w:lang w:val="en-US" w:eastAsia="zh-CN"/>
                    </w:rPr>
                  </w:pPr>
                  <w:r>
                    <w:rPr>
                      <w:rFonts w:hint="eastAsia"/>
                      <w:color w:val="auto"/>
                      <w:lang w:val="en-US" w:eastAsia="zh-CN"/>
                    </w:rPr>
                    <w:t xml:space="preserve">31 </w:t>
                  </w:r>
                </w:p>
              </w:tc>
              <w:tc>
                <w:tcPr>
                  <w:tcW w:w="1133" w:type="dxa"/>
                  <w:noWrap w:val="0"/>
                  <w:vAlign w:val="center"/>
                </w:tcPr>
                <w:p>
                  <w:pPr>
                    <w:pStyle w:val="170"/>
                    <w:widowControl w:val="0"/>
                    <w:bidi w:val="0"/>
                    <w:rPr>
                      <w:rFonts w:hint="default"/>
                      <w:color w:val="auto"/>
                      <w:lang w:val="en-US" w:eastAsia="zh-CN"/>
                    </w:rPr>
                  </w:pPr>
                  <w:r>
                    <w:rPr>
                      <w:rFonts w:hint="eastAsia"/>
                      <w:color w:val="auto"/>
                      <w:lang w:val="en-US" w:eastAsia="zh-CN"/>
                    </w:rPr>
                    <w:t xml:space="preserve">21 </w:t>
                  </w:r>
                </w:p>
              </w:tc>
              <w:tc>
                <w:tcPr>
                  <w:tcW w:w="1143" w:type="dxa"/>
                  <w:noWrap w:val="0"/>
                  <w:vAlign w:val="center"/>
                </w:tcPr>
                <w:p>
                  <w:pPr>
                    <w:pStyle w:val="170"/>
                    <w:widowControl w:val="0"/>
                    <w:bidi w:val="0"/>
                    <w:rPr>
                      <w:rFonts w:hint="default"/>
                      <w:color w:val="auto"/>
                      <w:lang w:val="en-US" w:eastAsia="zh-CN"/>
                    </w:rPr>
                  </w:pPr>
                  <w:r>
                    <w:rPr>
                      <w:rFonts w:hint="eastAsia"/>
                      <w:color w:val="auto"/>
                      <w:lang w:val="en-US" w:eastAsia="zh-CN"/>
                    </w:rPr>
                    <w:t xml:space="preserve">23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 w:type="pct"/>
                  <w:noWrap w:val="0"/>
                  <w:vAlign w:val="center"/>
                </w:tcPr>
                <w:p>
                  <w:pPr>
                    <w:pStyle w:val="170"/>
                    <w:widowControl w:val="0"/>
                    <w:bidi w:val="0"/>
                    <w:rPr>
                      <w:rFonts w:hint="eastAsia"/>
                      <w:color w:val="auto"/>
                      <w:lang w:val="en-US" w:eastAsia="zh-CN"/>
                    </w:rPr>
                  </w:pPr>
                  <w:r>
                    <w:rPr>
                      <w:rFonts w:hint="eastAsia"/>
                      <w:color w:val="auto"/>
                      <w:lang w:val="en-US" w:eastAsia="zh-CN"/>
                    </w:rPr>
                    <w:t>贡献值叠加</w:t>
                  </w:r>
                </w:p>
              </w:tc>
              <w:tc>
                <w:tcPr>
                  <w:tcW w:w="1133" w:type="dxa"/>
                  <w:noWrap w:val="0"/>
                  <w:vAlign w:val="center"/>
                </w:tcPr>
                <w:p>
                  <w:pPr>
                    <w:pStyle w:val="170"/>
                    <w:widowControl w:val="0"/>
                    <w:bidi w:val="0"/>
                    <w:rPr>
                      <w:rFonts w:hint="default"/>
                      <w:color w:val="auto"/>
                      <w:lang w:val="en-US" w:eastAsia="zh-CN"/>
                    </w:rPr>
                  </w:pPr>
                  <w:r>
                    <w:rPr>
                      <w:rFonts w:hint="eastAsia"/>
                      <w:color w:val="auto"/>
                      <w:lang w:val="en-US" w:eastAsia="zh-CN"/>
                    </w:rPr>
                    <w:t xml:space="preserve">47 </w:t>
                  </w:r>
                </w:p>
              </w:tc>
              <w:tc>
                <w:tcPr>
                  <w:tcW w:w="1133" w:type="dxa"/>
                  <w:noWrap w:val="0"/>
                  <w:vAlign w:val="center"/>
                </w:tcPr>
                <w:p>
                  <w:pPr>
                    <w:pStyle w:val="170"/>
                    <w:widowControl w:val="0"/>
                    <w:bidi w:val="0"/>
                    <w:rPr>
                      <w:rFonts w:hint="default"/>
                      <w:color w:val="auto"/>
                      <w:lang w:val="en-US" w:eastAsia="zh-CN"/>
                    </w:rPr>
                  </w:pPr>
                  <w:r>
                    <w:rPr>
                      <w:rFonts w:hint="eastAsia"/>
                      <w:color w:val="auto"/>
                      <w:lang w:val="en-US" w:eastAsia="zh-CN"/>
                    </w:rPr>
                    <w:t xml:space="preserve">51 </w:t>
                  </w:r>
                </w:p>
              </w:tc>
              <w:tc>
                <w:tcPr>
                  <w:tcW w:w="1133" w:type="dxa"/>
                  <w:noWrap w:val="0"/>
                  <w:vAlign w:val="center"/>
                </w:tcPr>
                <w:p>
                  <w:pPr>
                    <w:pStyle w:val="170"/>
                    <w:widowControl w:val="0"/>
                    <w:bidi w:val="0"/>
                    <w:rPr>
                      <w:rFonts w:hint="default"/>
                      <w:color w:val="auto"/>
                      <w:lang w:val="en-US" w:eastAsia="zh-CN"/>
                    </w:rPr>
                  </w:pPr>
                  <w:r>
                    <w:rPr>
                      <w:rFonts w:hint="eastAsia"/>
                      <w:color w:val="auto"/>
                      <w:lang w:val="en-US" w:eastAsia="zh-CN"/>
                    </w:rPr>
                    <w:t xml:space="preserve">51 </w:t>
                  </w:r>
                </w:p>
              </w:tc>
              <w:tc>
                <w:tcPr>
                  <w:tcW w:w="1133" w:type="dxa"/>
                  <w:noWrap w:val="0"/>
                  <w:vAlign w:val="center"/>
                </w:tcPr>
                <w:p>
                  <w:pPr>
                    <w:pStyle w:val="170"/>
                    <w:widowControl w:val="0"/>
                    <w:bidi w:val="0"/>
                    <w:rPr>
                      <w:rFonts w:hint="default"/>
                      <w:color w:val="auto"/>
                      <w:lang w:val="en-US" w:eastAsia="zh-CN"/>
                    </w:rPr>
                  </w:pPr>
                  <w:r>
                    <w:rPr>
                      <w:rFonts w:hint="eastAsia"/>
                      <w:color w:val="auto"/>
                      <w:lang w:val="en-US" w:eastAsia="zh-CN"/>
                    </w:rPr>
                    <w:t xml:space="preserve">32 </w:t>
                  </w:r>
                </w:p>
              </w:tc>
              <w:tc>
                <w:tcPr>
                  <w:tcW w:w="1133" w:type="dxa"/>
                  <w:noWrap w:val="0"/>
                  <w:vAlign w:val="center"/>
                </w:tcPr>
                <w:p>
                  <w:pPr>
                    <w:pStyle w:val="170"/>
                    <w:widowControl w:val="0"/>
                    <w:bidi w:val="0"/>
                    <w:rPr>
                      <w:rFonts w:hint="default"/>
                      <w:color w:val="auto"/>
                      <w:lang w:val="en-US" w:eastAsia="zh-CN"/>
                    </w:rPr>
                  </w:pPr>
                  <w:r>
                    <w:rPr>
                      <w:rFonts w:hint="eastAsia"/>
                      <w:color w:val="auto"/>
                      <w:lang w:val="en-US" w:eastAsia="zh-CN"/>
                    </w:rPr>
                    <w:t xml:space="preserve">22 </w:t>
                  </w:r>
                </w:p>
              </w:tc>
              <w:tc>
                <w:tcPr>
                  <w:tcW w:w="1143" w:type="dxa"/>
                  <w:noWrap w:val="0"/>
                  <w:vAlign w:val="center"/>
                </w:tcPr>
                <w:p>
                  <w:pPr>
                    <w:pStyle w:val="170"/>
                    <w:widowControl w:val="0"/>
                    <w:bidi w:val="0"/>
                    <w:rPr>
                      <w:rFonts w:hint="default"/>
                      <w:color w:val="auto"/>
                      <w:lang w:val="en-US" w:eastAsia="zh-CN"/>
                    </w:rPr>
                  </w:pPr>
                  <w:r>
                    <w:rPr>
                      <w:rFonts w:hint="eastAsia"/>
                      <w:color w:val="auto"/>
                      <w:lang w:val="en-US" w:eastAsia="zh-CN"/>
                    </w:rPr>
                    <w:t xml:space="preserve">24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 w:type="pct"/>
                  <w:noWrap w:val="0"/>
                  <w:vAlign w:val="center"/>
                </w:tcPr>
                <w:p>
                  <w:pPr>
                    <w:pStyle w:val="170"/>
                    <w:widowControl w:val="0"/>
                    <w:bidi w:val="0"/>
                    <w:rPr>
                      <w:rFonts w:hint="eastAsia"/>
                      <w:color w:val="auto"/>
                      <w:lang w:val="en-US" w:eastAsia="zh-CN"/>
                    </w:rPr>
                  </w:pPr>
                  <w:r>
                    <w:rPr>
                      <w:rFonts w:hint="eastAsia"/>
                      <w:color w:val="auto"/>
                      <w:lang w:val="en-US" w:eastAsia="zh-CN"/>
                    </w:rPr>
                    <w:t>背景值</w:t>
                  </w:r>
                </w:p>
              </w:tc>
              <w:tc>
                <w:tcPr>
                  <w:tcW w:w="1133" w:type="dxa"/>
                  <w:noWrap w:val="0"/>
                  <w:vAlign w:val="center"/>
                </w:tcPr>
                <w:p>
                  <w:pPr>
                    <w:pStyle w:val="170"/>
                    <w:widowControl w:val="0"/>
                    <w:bidi w:val="0"/>
                    <w:rPr>
                      <w:rFonts w:hint="default"/>
                      <w:color w:val="auto"/>
                      <w:lang w:val="en-US" w:eastAsia="zh-CN"/>
                    </w:rPr>
                  </w:pPr>
                  <w:r>
                    <w:rPr>
                      <w:rFonts w:hint="default"/>
                      <w:color w:val="auto"/>
                      <w:lang w:val="en-US" w:eastAsia="zh-CN"/>
                    </w:rPr>
                    <w:t>/</w:t>
                  </w:r>
                </w:p>
              </w:tc>
              <w:tc>
                <w:tcPr>
                  <w:tcW w:w="1133" w:type="dxa"/>
                  <w:noWrap w:val="0"/>
                  <w:vAlign w:val="center"/>
                </w:tcPr>
                <w:p>
                  <w:pPr>
                    <w:pStyle w:val="170"/>
                    <w:widowControl w:val="0"/>
                    <w:bidi w:val="0"/>
                    <w:rPr>
                      <w:rFonts w:hint="default"/>
                      <w:color w:val="auto"/>
                      <w:lang w:val="en-US" w:eastAsia="zh-CN"/>
                    </w:rPr>
                  </w:pPr>
                  <w:r>
                    <w:rPr>
                      <w:rFonts w:hint="default"/>
                      <w:color w:val="auto"/>
                      <w:lang w:val="en-US" w:eastAsia="zh-CN"/>
                    </w:rPr>
                    <w:t>50</w:t>
                  </w:r>
                </w:p>
              </w:tc>
              <w:tc>
                <w:tcPr>
                  <w:tcW w:w="1133" w:type="dxa"/>
                  <w:noWrap w:val="0"/>
                  <w:vAlign w:val="center"/>
                </w:tcPr>
                <w:p>
                  <w:pPr>
                    <w:pStyle w:val="170"/>
                    <w:widowControl w:val="0"/>
                    <w:bidi w:val="0"/>
                    <w:rPr>
                      <w:rFonts w:hint="default"/>
                      <w:color w:val="auto"/>
                      <w:lang w:val="en-US" w:eastAsia="zh-CN"/>
                    </w:rPr>
                  </w:pPr>
                  <w:r>
                    <w:rPr>
                      <w:rFonts w:hint="default"/>
                      <w:color w:val="auto"/>
                      <w:lang w:val="en-US" w:eastAsia="zh-CN"/>
                    </w:rPr>
                    <w:t>/</w:t>
                  </w:r>
                </w:p>
              </w:tc>
              <w:tc>
                <w:tcPr>
                  <w:tcW w:w="1133" w:type="dxa"/>
                  <w:noWrap w:val="0"/>
                  <w:vAlign w:val="center"/>
                </w:tcPr>
                <w:p>
                  <w:pPr>
                    <w:pStyle w:val="170"/>
                    <w:widowControl w:val="0"/>
                    <w:bidi w:val="0"/>
                    <w:rPr>
                      <w:rFonts w:hint="default"/>
                      <w:color w:val="auto"/>
                      <w:lang w:val="en-US" w:eastAsia="zh-CN"/>
                    </w:rPr>
                  </w:pPr>
                  <w:r>
                    <w:rPr>
                      <w:rFonts w:hint="default"/>
                      <w:color w:val="auto"/>
                      <w:lang w:val="en-US" w:eastAsia="zh-CN"/>
                    </w:rPr>
                    <w:t>/</w:t>
                  </w:r>
                </w:p>
              </w:tc>
              <w:tc>
                <w:tcPr>
                  <w:tcW w:w="1133" w:type="dxa"/>
                  <w:noWrap w:val="0"/>
                  <w:vAlign w:val="center"/>
                </w:tcPr>
                <w:p>
                  <w:pPr>
                    <w:pStyle w:val="170"/>
                    <w:widowControl w:val="0"/>
                    <w:bidi w:val="0"/>
                    <w:rPr>
                      <w:rFonts w:hint="default"/>
                      <w:color w:val="auto"/>
                      <w:lang w:val="en-US" w:eastAsia="zh-CN"/>
                    </w:rPr>
                  </w:pPr>
                  <w:r>
                    <w:rPr>
                      <w:rFonts w:hint="default"/>
                      <w:color w:val="auto"/>
                      <w:lang w:val="en-US" w:eastAsia="zh-CN"/>
                    </w:rPr>
                    <w:t>51</w:t>
                  </w:r>
                </w:p>
              </w:tc>
              <w:tc>
                <w:tcPr>
                  <w:tcW w:w="1143" w:type="dxa"/>
                  <w:noWrap w:val="0"/>
                  <w:vAlign w:val="center"/>
                </w:tcPr>
                <w:p>
                  <w:pPr>
                    <w:pStyle w:val="170"/>
                    <w:widowControl w:val="0"/>
                    <w:bidi w:val="0"/>
                    <w:rPr>
                      <w:rFonts w:hint="default"/>
                      <w:color w:val="auto"/>
                      <w:lang w:val="en-US" w:eastAsia="zh-CN"/>
                    </w:rPr>
                  </w:pPr>
                  <w:r>
                    <w:rPr>
                      <w:rFonts w:hint="default"/>
                      <w:color w:val="auto"/>
                      <w:lang w:val="en-US" w:eastAsia="zh-CN"/>
                    </w:rPr>
                    <w:t>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 w:type="pct"/>
                  <w:noWrap w:val="0"/>
                  <w:vAlign w:val="center"/>
                </w:tcPr>
                <w:p>
                  <w:pPr>
                    <w:pStyle w:val="170"/>
                    <w:widowControl w:val="0"/>
                    <w:bidi w:val="0"/>
                    <w:rPr>
                      <w:rFonts w:hint="eastAsia"/>
                      <w:color w:val="auto"/>
                      <w:lang w:val="en-US" w:eastAsia="zh-CN"/>
                    </w:rPr>
                  </w:pPr>
                  <w:r>
                    <w:rPr>
                      <w:rFonts w:hint="eastAsia"/>
                      <w:color w:val="auto"/>
                      <w:lang w:val="en-US" w:eastAsia="zh-CN"/>
                    </w:rPr>
                    <w:t>预测值</w:t>
                  </w:r>
                </w:p>
              </w:tc>
              <w:tc>
                <w:tcPr>
                  <w:tcW w:w="1133" w:type="dxa"/>
                  <w:noWrap w:val="0"/>
                  <w:vAlign w:val="center"/>
                </w:tcPr>
                <w:p>
                  <w:pPr>
                    <w:pStyle w:val="170"/>
                    <w:widowControl w:val="0"/>
                    <w:bidi w:val="0"/>
                    <w:rPr>
                      <w:rFonts w:hint="default"/>
                      <w:color w:val="auto"/>
                      <w:lang w:val="en-US" w:eastAsia="zh-CN"/>
                    </w:rPr>
                  </w:pPr>
                  <w:r>
                    <w:rPr>
                      <w:rFonts w:hint="eastAsia"/>
                      <w:color w:val="auto"/>
                      <w:lang w:val="en-US" w:eastAsia="zh-CN"/>
                    </w:rPr>
                    <w:t>/</w:t>
                  </w:r>
                </w:p>
              </w:tc>
              <w:tc>
                <w:tcPr>
                  <w:tcW w:w="1133" w:type="dxa"/>
                  <w:noWrap w:val="0"/>
                  <w:vAlign w:val="center"/>
                </w:tcPr>
                <w:p>
                  <w:pPr>
                    <w:pStyle w:val="170"/>
                    <w:widowControl w:val="0"/>
                    <w:bidi w:val="0"/>
                    <w:rPr>
                      <w:rFonts w:hint="default"/>
                      <w:color w:val="auto"/>
                      <w:lang w:val="en-US" w:eastAsia="zh-CN"/>
                    </w:rPr>
                  </w:pPr>
                  <w:r>
                    <w:rPr>
                      <w:rFonts w:hint="eastAsia"/>
                      <w:color w:val="auto"/>
                      <w:lang w:val="en-US" w:eastAsia="zh-CN"/>
                    </w:rPr>
                    <w:t xml:space="preserve">53 </w:t>
                  </w:r>
                </w:p>
              </w:tc>
              <w:tc>
                <w:tcPr>
                  <w:tcW w:w="1133" w:type="dxa"/>
                  <w:noWrap w:val="0"/>
                  <w:vAlign w:val="center"/>
                </w:tcPr>
                <w:p>
                  <w:pPr>
                    <w:pStyle w:val="170"/>
                    <w:widowControl w:val="0"/>
                    <w:bidi w:val="0"/>
                    <w:rPr>
                      <w:rFonts w:hint="default"/>
                      <w:color w:val="auto"/>
                      <w:lang w:val="en-US" w:eastAsia="zh-CN"/>
                    </w:rPr>
                  </w:pPr>
                  <w:r>
                    <w:rPr>
                      <w:rFonts w:hint="default"/>
                      <w:color w:val="auto"/>
                      <w:lang w:val="en-US" w:eastAsia="zh-CN"/>
                    </w:rPr>
                    <w:t>/</w:t>
                  </w:r>
                </w:p>
              </w:tc>
              <w:tc>
                <w:tcPr>
                  <w:tcW w:w="1133" w:type="dxa"/>
                  <w:noWrap w:val="0"/>
                  <w:vAlign w:val="center"/>
                </w:tcPr>
                <w:p>
                  <w:pPr>
                    <w:pStyle w:val="170"/>
                    <w:widowControl w:val="0"/>
                    <w:bidi w:val="0"/>
                    <w:rPr>
                      <w:rFonts w:hint="default"/>
                      <w:color w:val="auto"/>
                      <w:lang w:val="en-US" w:eastAsia="zh-CN"/>
                    </w:rPr>
                  </w:pPr>
                  <w:r>
                    <w:rPr>
                      <w:rFonts w:hint="default"/>
                      <w:color w:val="auto"/>
                      <w:lang w:val="en-US" w:eastAsia="zh-CN"/>
                    </w:rPr>
                    <w:t>/</w:t>
                  </w:r>
                </w:p>
              </w:tc>
              <w:tc>
                <w:tcPr>
                  <w:tcW w:w="1133" w:type="dxa"/>
                  <w:noWrap w:val="0"/>
                  <w:vAlign w:val="center"/>
                </w:tcPr>
                <w:p>
                  <w:pPr>
                    <w:pStyle w:val="170"/>
                    <w:widowControl w:val="0"/>
                    <w:bidi w:val="0"/>
                    <w:rPr>
                      <w:rFonts w:hint="default"/>
                      <w:color w:val="auto"/>
                      <w:lang w:val="en-US" w:eastAsia="zh-CN"/>
                    </w:rPr>
                  </w:pPr>
                  <w:r>
                    <w:rPr>
                      <w:rFonts w:hint="eastAsia"/>
                      <w:color w:val="auto"/>
                      <w:lang w:val="en-US" w:eastAsia="zh-CN"/>
                    </w:rPr>
                    <w:t xml:space="preserve">51 </w:t>
                  </w:r>
                </w:p>
              </w:tc>
              <w:tc>
                <w:tcPr>
                  <w:tcW w:w="1143" w:type="dxa"/>
                  <w:noWrap w:val="0"/>
                  <w:vAlign w:val="center"/>
                </w:tcPr>
                <w:p>
                  <w:pPr>
                    <w:pStyle w:val="170"/>
                    <w:widowControl w:val="0"/>
                    <w:bidi w:val="0"/>
                    <w:rPr>
                      <w:rFonts w:hint="default"/>
                      <w:color w:val="auto"/>
                      <w:lang w:val="en-US" w:eastAsia="zh-CN"/>
                    </w:rPr>
                  </w:pPr>
                  <w:r>
                    <w:rPr>
                      <w:rFonts w:hint="eastAsia"/>
                      <w:color w:val="auto"/>
                      <w:lang w:val="en-US" w:eastAsia="zh-CN"/>
                    </w:rPr>
                    <w:t xml:space="preserve">49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 w:type="pct"/>
                  <w:noWrap w:val="0"/>
                  <w:vAlign w:val="center"/>
                </w:tcPr>
                <w:p>
                  <w:pPr>
                    <w:pStyle w:val="170"/>
                    <w:widowControl w:val="0"/>
                    <w:bidi w:val="0"/>
                    <w:rPr>
                      <w:rFonts w:hint="eastAsia"/>
                      <w:color w:val="auto"/>
                      <w:lang w:val="en-US" w:eastAsia="zh-CN"/>
                    </w:rPr>
                  </w:pPr>
                  <w:r>
                    <w:rPr>
                      <w:rFonts w:hint="eastAsia"/>
                      <w:color w:val="auto"/>
                      <w:lang w:val="en-US" w:eastAsia="zh-CN"/>
                    </w:rPr>
                    <w:t>标准值</w:t>
                  </w:r>
                </w:p>
              </w:tc>
              <w:tc>
                <w:tcPr>
                  <w:tcW w:w="1133" w:type="dxa"/>
                  <w:noWrap w:val="0"/>
                  <w:vAlign w:val="center"/>
                </w:tcPr>
                <w:p>
                  <w:pPr>
                    <w:pStyle w:val="170"/>
                    <w:widowControl w:val="0"/>
                    <w:bidi w:val="0"/>
                    <w:rPr>
                      <w:rFonts w:hint="default"/>
                      <w:color w:val="auto"/>
                      <w:lang w:val="en-US" w:eastAsia="zh-CN"/>
                    </w:rPr>
                  </w:pPr>
                  <w:r>
                    <w:rPr>
                      <w:rFonts w:hint="default"/>
                      <w:color w:val="auto"/>
                      <w:lang w:val="en-US" w:eastAsia="zh-CN"/>
                    </w:rPr>
                    <w:t>60</w:t>
                  </w:r>
                </w:p>
              </w:tc>
              <w:tc>
                <w:tcPr>
                  <w:tcW w:w="1133" w:type="dxa"/>
                  <w:noWrap w:val="0"/>
                  <w:vAlign w:val="center"/>
                </w:tcPr>
                <w:p>
                  <w:pPr>
                    <w:pStyle w:val="170"/>
                    <w:widowControl w:val="0"/>
                    <w:bidi w:val="0"/>
                    <w:rPr>
                      <w:rFonts w:hint="default"/>
                      <w:color w:val="auto"/>
                      <w:lang w:val="en-US" w:eastAsia="zh-CN"/>
                    </w:rPr>
                  </w:pPr>
                  <w:r>
                    <w:rPr>
                      <w:rFonts w:hint="default"/>
                      <w:color w:val="auto"/>
                      <w:lang w:val="en-US" w:eastAsia="zh-CN"/>
                    </w:rPr>
                    <w:t>60</w:t>
                  </w:r>
                </w:p>
              </w:tc>
              <w:tc>
                <w:tcPr>
                  <w:tcW w:w="1133" w:type="dxa"/>
                  <w:noWrap w:val="0"/>
                  <w:vAlign w:val="center"/>
                </w:tcPr>
                <w:p>
                  <w:pPr>
                    <w:pStyle w:val="170"/>
                    <w:widowControl w:val="0"/>
                    <w:bidi w:val="0"/>
                    <w:rPr>
                      <w:rFonts w:hint="default"/>
                      <w:color w:val="auto"/>
                      <w:lang w:val="en-US" w:eastAsia="zh-CN"/>
                    </w:rPr>
                  </w:pPr>
                  <w:r>
                    <w:rPr>
                      <w:rFonts w:hint="default"/>
                      <w:color w:val="auto"/>
                      <w:lang w:val="en-US" w:eastAsia="zh-CN"/>
                    </w:rPr>
                    <w:t>60</w:t>
                  </w:r>
                </w:p>
              </w:tc>
              <w:tc>
                <w:tcPr>
                  <w:tcW w:w="1133" w:type="dxa"/>
                  <w:noWrap w:val="0"/>
                  <w:vAlign w:val="center"/>
                </w:tcPr>
                <w:p>
                  <w:pPr>
                    <w:pStyle w:val="170"/>
                    <w:widowControl w:val="0"/>
                    <w:bidi w:val="0"/>
                    <w:rPr>
                      <w:rFonts w:hint="default"/>
                      <w:color w:val="auto"/>
                      <w:lang w:val="en-US" w:eastAsia="zh-CN"/>
                    </w:rPr>
                  </w:pPr>
                  <w:r>
                    <w:rPr>
                      <w:rFonts w:hint="default"/>
                      <w:color w:val="auto"/>
                      <w:lang w:val="en-US" w:eastAsia="zh-CN"/>
                    </w:rPr>
                    <w:t>60</w:t>
                  </w:r>
                </w:p>
              </w:tc>
              <w:tc>
                <w:tcPr>
                  <w:tcW w:w="1133" w:type="dxa"/>
                  <w:noWrap w:val="0"/>
                  <w:vAlign w:val="center"/>
                </w:tcPr>
                <w:p>
                  <w:pPr>
                    <w:pStyle w:val="170"/>
                    <w:widowControl w:val="0"/>
                    <w:bidi w:val="0"/>
                    <w:rPr>
                      <w:rFonts w:hint="default"/>
                      <w:color w:val="auto"/>
                      <w:lang w:val="en-US" w:eastAsia="zh-CN"/>
                    </w:rPr>
                  </w:pPr>
                  <w:r>
                    <w:rPr>
                      <w:rFonts w:hint="default"/>
                      <w:color w:val="auto"/>
                      <w:lang w:val="en-US" w:eastAsia="zh-CN"/>
                    </w:rPr>
                    <w:t>60</w:t>
                  </w:r>
                </w:p>
              </w:tc>
              <w:tc>
                <w:tcPr>
                  <w:tcW w:w="1143" w:type="dxa"/>
                  <w:noWrap w:val="0"/>
                  <w:vAlign w:val="center"/>
                </w:tcPr>
                <w:p>
                  <w:pPr>
                    <w:pStyle w:val="170"/>
                    <w:widowControl w:val="0"/>
                    <w:bidi w:val="0"/>
                    <w:rPr>
                      <w:rFonts w:hint="default"/>
                      <w:color w:val="auto"/>
                      <w:lang w:val="en-US" w:eastAsia="zh-CN"/>
                    </w:rPr>
                  </w:pPr>
                  <w:r>
                    <w:rPr>
                      <w:rFonts w:hint="default"/>
                      <w:color w:val="auto"/>
                      <w:lang w:val="en-US" w:eastAsia="zh-CN"/>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 w:type="pct"/>
                  <w:noWrap w:val="0"/>
                  <w:vAlign w:val="center"/>
                </w:tcPr>
                <w:p>
                  <w:pPr>
                    <w:pStyle w:val="170"/>
                    <w:widowControl w:val="0"/>
                    <w:bidi w:val="0"/>
                    <w:rPr>
                      <w:rFonts w:hint="eastAsia"/>
                      <w:color w:val="auto"/>
                      <w:lang w:val="en-US" w:eastAsia="zh-CN"/>
                    </w:rPr>
                  </w:pPr>
                  <w:r>
                    <w:rPr>
                      <w:rFonts w:hint="eastAsia"/>
                      <w:color w:val="auto"/>
                      <w:lang w:val="en-US" w:eastAsia="zh-CN"/>
                    </w:rPr>
                    <w:t>达标情况</w:t>
                  </w:r>
                </w:p>
              </w:tc>
              <w:tc>
                <w:tcPr>
                  <w:tcW w:w="682" w:type="pct"/>
                  <w:noWrap w:val="0"/>
                  <w:vAlign w:val="center"/>
                </w:tcPr>
                <w:p>
                  <w:pPr>
                    <w:pStyle w:val="170"/>
                    <w:widowControl w:val="0"/>
                    <w:bidi w:val="0"/>
                    <w:rPr>
                      <w:rFonts w:hint="default"/>
                      <w:color w:val="auto"/>
                      <w:lang w:val="en-US" w:eastAsia="zh-CN"/>
                    </w:rPr>
                  </w:pPr>
                  <w:r>
                    <w:rPr>
                      <w:rFonts w:hint="eastAsia"/>
                      <w:color w:val="auto"/>
                      <w:lang w:val="en-US" w:eastAsia="zh-CN"/>
                    </w:rPr>
                    <w:t>达标</w:t>
                  </w:r>
                </w:p>
              </w:tc>
              <w:tc>
                <w:tcPr>
                  <w:tcW w:w="682" w:type="pct"/>
                  <w:noWrap w:val="0"/>
                  <w:vAlign w:val="center"/>
                </w:tcPr>
                <w:p>
                  <w:pPr>
                    <w:pStyle w:val="170"/>
                    <w:widowControl w:val="0"/>
                    <w:bidi w:val="0"/>
                    <w:rPr>
                      <w:rFonts w:hint="default"/>
                      <w:color w:val="auto"/>
                      <w:lang w:val="en-US" w:eastAsia="zh-CN"/>
                    </w:rPr>
                  </w:pPr>
                  <w:r>
                    <w:rPr>
                      <w:rFonts w:hint="eastAsia"/>
                      <w:color w:val="auto"/>
                      <w:lang w:val="en-US" w:eastAsia="zh-CN"/>
                    </w:rPr>
                    <w:t>达标</w:t>
                  </w:r>
                </w:p>
              </w:tc>
              <w:tc>
                <w:tcPr>
                  <w:tcW w:w="682" w:type="pct"/>
                  <w:noWrap w:val="0"/>
                  <w:vAlign w:val="center"/>
                </w:tcPr>
                <w:p>
                  <w:pPr>
                    <w:pStyle w:val="170"/>
                    <w:widowControl w:val="0"/>
                    <w:bidi w:val="0"/>
                    <w:rPr>
                      <w:rFonts w:hint="default"/>
                      <w:color w:val="auto"/>
                      <w:lang w:val="en-US" w:eastAsia="zh-CN"/>
                    </w:rPr>
                  </w:pPr>
                  <w:r>
                    <w:rPr>
                      <w:rFonts w:hint="eastAsia"/>
                      <w:color w:val="auto"/>
                      <w:lang w:val="en-US" w:eastAsia="zh-CN"/>
                    </w:rPr>
                    <w:t>达标</w:t>
                  </w:r>
                </w:p>
              </w:tc>
              <w:tc>
                <w:tcPr>
                  <w:tcW w:w="682" w:type="pct"/>
                  <w:noWrap w:val="0"/>
                  <w:vAlign w:val="center"/>
                </w:tcPr>
                <w:p>
                  <w:pPr>
                    <w:pStyle w:val="170"/>
                    <w:widowControl w:val="0"/>
                    <w:bidi w:val="0"/>
                    <w:rPr>
                      <w:rFonts w:hint="default"/>
                      <w:color w:val="auto"/>
                      <w:lang w:val="en-US" w:eastAsia="zh-CN"/>
                    </w:rPr>
                  </w:pPr>
                  <w:r>
                    <w:rPr>
                      <w:rFonts w:hint="eastAsia"/>
                      <w:color w:val="auto"/>
                      <w:lang w:val="en-US" w:eastAsia="zh-CN"/>
                    </w:rPr>
                    <w:t>达标</w:t>
                  </w:r>
                </w:p>
              </w:tc>
              <w:tc>
                <w:tcPr>
                  <w:tcW w:w="682" w:type="pct"/>
                  <w:noWrap w:val="0"/>
                  <w:vAlign w:val="center"/>
                </w:tcPr>
                <w:p>
                  <w:pPr>
                    <w:pStyle w:val="170"/>
                    <w:widowControl w:val="0"/>
                    <w:bidi w:val="0"/>
                    <w:rPr>
                      <w:rFonts w:hint="default"/>
                      <w:color w:val="auto"/>
                      <w:lang w:val="en-US" w:eastAsia="zh-CN"/>
                    </w:rPr>
                  </w:pPr>
                  <w:r>
                    <w:rPr>
                      <w:rFonts w:hint="eastAsia"/>
                      <w:color w:val="auto"/>
                      <w:lang w:val="en-US" w:eastAsia="zh-CN"/>
                    </w:rPr>
                    <w:t>达标</w:t>
                  </w:r>
                </w:p>
              </w:tc>
              <w:tc>
                <w:tcPr>
                  <w:tcW w:w="684" w:type="pct"/>
                  <w:noWrap w:val="0"/>
                  <w:vAlign w:val="center"/>
                </w:tcPr>
                <w:p>
                  <w:pPr>
                    <w:pStyle w:val="170"/>
                    <w:widowControl w:val="0"/>
                    <w:bidi w:val="0"/>
                    <w:rPr>
                      <w:rFonts w:hint="default"/>
                      <w:color w:val="auto"/>
                      <w:lang w:val="en-US" w:eastAsia="zh-CN"/>
                    </w:rPr>
                  </w:pPr>
                  <w:r>
                    <w:rPr>
                      <w:rFonts w:hint="eastAsia"/>
                      <w:color w:val="auto"/>
                      <w:lang w:val="en-US" w:eastAsia="zh-CN"/>
                    </w:rPr>
                    <w:t>达标</w:t>
                  </w:r>
                </w:p>
              </w:tc>
            </w:tr>
          </w:tbl>
          <w:p>
            <w:pPr>
              <w:pStyle w:val="104"/>
              <w:bidi w:val="0"/>
              <w:rPr>
                <w:rFonts w:hint="default"/>
                <w:color w:val="auto"/>
                <w:lang w:val="en-US" w:eastAsia="zh-CN"/>
              </w:rPr>
            </w:pPr>
            <w:r>
              <w:rPr>
                <w:rFonts w:hint="eastAsia"/>
                <w:color w:val="auto"/>
                <w:lang w:val="en-US" w:eastAsia="zh-CN"/>
              </w:rPr>
              <w:t>根据</w:t>
            </w:r>
            <w:r>
              <w:rPr>
                <w:rFonts w:hint="default"/>
                <w:color w:val="auto"/>
                <w:lang w:val="en-US" w:eastAsia="zh-CN"/>
              </w:rPr>
              <w:t>预测结果表明，通过合理布局噪声源，并</w:t>
            </w:r>
            <w:r>
              <w:rPr>
                <w:rFonts w:hint="eastAsia"/>
                <w:color w:val="auto"/>
                <w:lang w:val="en-US" w:eastAsia="zh-CN"/>
              </w:rPr>
              <w:t>采取</w:t>
            </w:r>
            <w:r>
              <w:rPr>
                <w:rFonts w:hint="default"/>
                <w:color w:val="auto"/>
                <w:lang w:val="en-US" w:eastAsia="zh-CN"/>
              </w:rPr>
              <w:t>噪声治理措施，厂界和敏感点的噪声值均能满足《工业企业厂界环境噪声排放标准》（GB12348-2008）中 2 类标准值。</w:t>
            </w:r>
          </w:p>
          <w:p>
            <w:pPr>
              <w:pStyle w:val="5"/>
              <w:ind w:firstLine="482"/>
              <w:rPr>
                <w:rFonts w:hint="eastAsia"/>
                <w:color w:val="auto"/>
              </w:rPr>
            </w:pPr>
            <w:r>
              <w:rPr>
                <w:rFonts w:hint="eastAsia"/>
                <w:color w:val="auto"/>
                <w:lang w:val="en-US" w:eastAsia="zh-CN"/>
              </w:rPr>
              <w:t>4</w:t>
            </w:r>
            <w:r>
              <w:rPr>
                <w:rFonts w:hint="eastAsia"/>
                <w:color w:val="auto"/>
              </w:rPr>
              <w:t>、现有治理措施可行性分析</w:t>
            </w:r>
          </w:p>
          <w:p>
            <w:pPr>
              <w:pStyle w:val="104"/>
              <w:ind w:firstLine="480"/>
              <w:rPr>
                <w:color w:val="auto"/>
              </w:rPr>
            </w:pPr>
            <w:r>
              <w:rPr>
                <w:rFonts w:hint="eastAsia"/>
                <w:color w:val="auto"/>
              </w:rPr>
              <w:t>本项目为已建成运营，</w:t>
            </w:r>
            <w:r>
              <w:rPr>
                <w:rFonts w:hint="eastAsia"/>
                <w:color w:val="auto"/>
                <w:lang w:eastAsia="zh-CN"/>
              </w:rPr>
              <w:t>根据预测结果，项目在采取了以上治理措施后，</w:t>
            </w:r>
            <w:r>
              <w:rPr>
                <w:rFonts w:hint="eastAsia"/>
                <w:color w:val="auto"/>
                <w:lang w:val="en-US" w:eastAsia="zh-CN"/>
              </w:rPr>
              <w:t>厂界和敏感点的噪声值均能满足《工业企业厂界环境噪声排放标准》（GB12348-2008）中 2 类标准值，</w:t>
            </w:r>
            <w:r>
              <w:rPr>
                <w:rFonts w:hint="eastAsia"/>
                <w:color w:val="auto"/>
                <w:lang w:eastAsia="zh-CN"/>
              </w:rPr>
              <w:t>能有效减少项目运营期对周边声环境的影响。</w:t>
            </w:r>
          </w:p>
          <w:p>
            <w:pPr>
              <w:pStyle w:val="104"/>
              <w:ind w:firstLine="482"/>
              <w:rPr>
                <w:rFonts w:hint="eastAsia"/>
                <w:b/>
                <w:bCs/>
                <w:color w:val="auto"/>
              </w:rPr>
            </w:pPr>
            <w:r>
              <w:rPr>
                <w:rFonts w:hint="eastAsia"/>
                <w:b/>
                <w:bCs/>
                <w:color w:val="auto"/>
              </w:rPr>
              <w:t>因此，本项目噪声采取的现有治理措施可行，无需整改。</w:t>
            </w:r>
          </w:p>
          <w:p>
            <w:pPr>
              <w:pStyle w:val="5"/>
              <w:ind w:firstLine="482"/>
              <w:rPr>
                <w:rFonts w:hint="eastAsia" w:eastAsia="宋体"/>
                <w:color w:val="auto"/>
                <w:lang w:eastAsia="zh-CN"/>
              </w:rPr>
            </w:pPr>
            <w:r>
              <w:rPr>
                <w:rFonts w:hint="eastAsia"/>
                <w:color w:val="auto"/>
              </w:rPr>
              <w:t>4、监测</w:t>
            </w:r>
            <w:r>
              <w:rPr>
                <w:rFonts w:hint="eastAsia"/>
                <w:color w:val="auto"/>
                <w:lang w:eastAsia="zh-CN"/>
              </w:rPr>
              <w:t>计划</w:t>
            </w:r>
          </w:p>
          <w:p>
            <w:pPr>
              <w:pStyle w:val="104"/>
              <w:ind w:firstLine="480"/>
              <w:rPr>
                <w:rFonts w:hint="eastAsia"/>
                <w:color w:val="auto"/>
              </w:rPr>
            </w:pPr>
            <w:r>
              <w:rPr>
                <w:color w:val="auto"/>
              </w:rPr>
              <w:t>参考《排污单位自行监测技术指南 总则》（HJ819-2017）、《排污许可证申请与核发技术规范 总则（HJ942-2018）》，本项目运营期噪声监测</w:t>
            </w:r>
            <w:r>
              <w:rPr>
                <w:rFonts w:hint="eastAsia"/>
                <w:color w:val="auto"/>
              </w:rPr>
              <w:t>计划见下表。</w:t>
            </w:r>
          </w:p>
          <w:p>
            <w:pPr>
              <w:pStyle w:val="117"/>
              <w:rPr>
                <w:rFonts w:hint="eastAsia"/>
                <w:color w:val="auto"/>
              </w:rPr>
            </w:pPr>
            <w:r>
              <w:rPr>
                <w:rFonts w:hint="eastAsia"/>
                <w:color w:val="auto"/>
              </w:rPr>
              <w:t>表4-</w:t>
            </w:r>
            <w:r>
              <w:rPr>
                <w:rFonts w:hint="eastAsia"/>
                <w:color w:val="auto"/>
                <w:lang w:val="en-US" w:eastAsia="zh-CN"/>
              </w:rPr>
              <w:t>6</w:t>
            </w:r>
            <w:r>
              <w:rPr>
                <w:rFonts w:hint="eastAsia"/>
                <w:color w:val="auto"/>
              </w:rPr>
              <w:t xml:space="preserve"> 本项目噪声监测计划一览表</w:t>
            </w:r>
          </w:p>
          <w:tbl>
            <w:tblPr>
              <w:tblStyle w:val="3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7"/>
              <w:gridCol w:w="1770"/>
              <w:gridCol w:w="1340"/>
              <w:gridCol w:w="1928"/>
              <w:gridCol w:w="23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50" w:type="pct"/>
                  <w:noWrap w:val="0"/>
                  <w:vAlign w:val="center"/>
                </w:tcPr>
                <w:p>
                  <w:pPr>
                    <w:pStyle w:val="170"/>
                    <w:bidi w:val="0"/>
                    <w:rPr>
                      <w:b/>
                      <w:bCs/>
                      <w:color w:val="auto"/>
                    </w:rPr>
                  </w:pPr>
                  <w:r>
                    <w:rPr>
                      <w:b/>
                      <w:bCs/>
                      <w:color w:val="auto"/>
                    </w:rPr>
                    <w:t>类别</w:t>
                  </w:r>
                </w:p>
              </w:tc>
              <w:tc>
                <w:tcPr>
                  <w:tcW w:w="1039" w:type="pct"/>
                  <w:noWrap w:val="0"/>
                  <w:vAlign w:val="center"/>
                </w:tcPr>
                <w:p>
                  <w:pPr>
                    <w:pStyle w:val="170"/>
                    <w:bidi w:val="0"/>
                    <w:rPr>
                      <w:b/>
                      <w:bCs/>
                      <w:color w:val="auto"/>
                    </w:rPr>
                  </w:pPr>
                  <w:r>
                    <w:rPr>
                      <w:b/>
                      <w:bCs/>
                      <w:color w:val="auto"/>
                    </w:rPr>
                    <w:t>监测点位</w:t>
                  </w:r>
                </w:p>
              </w:tc>
              <w:tc>
                <w:tcPr>
                  <w:tcW w:w="787" w:type="pct"/>
                  <w:noWrap w:val="0"/>
                  <w:vAlign w:val="center"/>
                </w:tcPr>
                <w:p>
                  <w:pPr>
                    <w:pStyle w:val="170"/>
                    <w:bidi w:val="0"/>
                    <w:rPr>
                      <w:b/>
                      <w:bCs/>
                      <w:color w:val="auto"/>
                    </w:rPr>
                  </w:pPr>
                  <w:r>
                    <w:rPr>
                      <w:b/>
                      <w:bCs/>
                      <w:color w:val="auto"/>
                    </w:rPr>
                    <w:t>监测项目</w:t>
                  </w:r>
                </w:p>
              </w:tc>
              <w:tc>
                <w:tcPr>
                  <w:tcW w:w="1132" w:type="pct"/>
                  <w:noWrap w:val="0"/>
                  <w:vAlign w:val="center"/>
                </w:tcPr>
                <w:p>
                  <w:pPr>
                    <w:pStyle w:val="170"/>
                    <w:bidi w:val="0"/>
                    <w:rPr>
                      <w:b/>
                      <w:bCs/>
                      <w:color w:val="auto"/>
                    </w:rPr>
                  </w:pPr>
                  <w:r>
                    <w:rPr>
                      <w:b/>
                      <w:bCs/>
                      <w:color w:val="auto"/>
                    </w:rPr>
                    <w:t>监测频率</w:t>
                  </w:r>
                </w:p>
              </w:tc>
              <w:tc>
                <w:tcPr>
                  <w:tcW w:w="1389" w:type="pct"/>
                  <w:noWrap w:val="0"/>
                  <w:vAlign w:val="center"/>
                </w:tcPr>
                <w:p>
                  <w:pPr>
                    <w:pStyle w:val="170"/>
                    <w:bidi w:val="0"/>
                    <w:rPr>
                      <w:b/>
                      <w:bCs/>
                      <w:color w:val="auto"/>
                    </w:rPr>
                  </w:pPr>
                  <w:r>
                    <w:rPr>
                      <w:b/>
                      <w:bCs/>
                      <w:color w:val="auto"/>
                    </w:rPr>
                    <w:t>监测方法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50" w:type="pct"/>
                  <w:noWrap w:val="0"/>
                  <w:vAlign w:val="center"/>
                </w:tcPr>
                <w:p>
                  <w:pPr>
                    <w:pStyle w:val="170"/>
                    <w:bidi w:val="0"/>
                    <w:rPr>
                      <w:color w:val="auto"/>
                    </w:rPr>
                  </w:pPr>
                  <w:r>
                    <w:rPr>
                      <w:rFonts w:hint="eastAsia"/>
                      <w:color w:val="auto"/>
                      <w:lang w:eastAsia="zh-CN"/>
                    </w:rPr>
                    <w:t>厂界</w:t>
                  </w:r>
                  <w:r>
                    <w:rPr>
                      <w:color w:val="auto"/>
                    </w:rPr>
                    <w:t>噪声</w:t>
                  </w:r>
                </w:p>
              </w:tc>
              <w:tc>
                <w:tcPr>
                  <w:tcW w:w="1039" w:type="pct"/>
                  <w:noWrap w:val="0"/>
                  <w:vAlign w:val="center"/>
                </w:tcPr>
                <w:p>
                  <w:pPr>
                    <w:pStyle w:val="170"/>
                    <w:bidi w:val="0"/>
                    <w:rPr>
                      <w:color w:val="auto"/>
                    </w:rPr>
                  </w:pPr>
                  <w:r>
                    <w:rPr>
                      <w:color w:val="auto"/>
                    </w:rPr>
                    <w:t>厂界四周</w:t>
                  </w:r>
                </w:p>
              </w:tc>
              <w:tc>
                <w:tcPr>
                  <w:tcW w:w="787" w:type="pct"/>
                  <w:vMerge w:val="restart"/>
                  <w:noWrap w:val="0"/>
                  <w:vAlign w:val="center"/>
                </w:tcPr>
                <w:p>
                  <w:pPr>
                    <w:pStyle w:val="170"/>
                    <w:bidi w:val="0"/>
                    <w:rPr>
                      <w:color w:val="auto"/>
                    </w:rPr>
                  </w:pPr>
                  <w:r>
                    <w:rPr>
                      <w:color w:val="auto"/>
                    </w:rPr>
                    <w:t>等效声级</w:t>
                  </w:r>
                </w:p>
              </w:tc>
              <w:tc>
                <w:tcPr>
                  <w:tcW w:w="1132" w:type="pct"/>
                  <w:vMerge w:val="restart"/>
                  <w:noWrap w:val="0"/>
                  <w:vAlign w:val="center"/>
                </w:tcPr>
                <w:p>
                  <w:pPr>
                    <w:pStyle w:val="170"/>
                    <w:bidi w:val="0"/>
                    <w:rPr>
                      <w:rFonts w:hint="eastAsia"/>
                      <w:color w:val="auto"/>
                      <w:lang w:eastAsia="zh-CN"/>
                    </w:rPr>
                  </w:pPr>
                  <w:r>
                    <w:rPr>
                      <w:rFonts w:hint="eastAsia"/>
                      <w:color w:val="auto"/>
                      <w:lang w:eastAsia="zh-CN"/>
                    </w:rPr>
                    <w:t>每年至少一次</w:t>
                  </w:r>
                </w:p>
              </w:tc>
              <w:tc>
                <w:tcPr>
                  <w:tcW w:w="1389" w:type="pct"/>
                  <w:vMerge w:val="restart"/>
                  <w:noWrap w:val="0"/>
                  <w:vAlign w:val="center"/>
                </w:tcPr>
                <w:p>
                  <w:pPr>
                    <w:pStyle w:val="170"/>
                    <w:bidi w:val="0"/>
                    <w:rPr>
                      <w:color w:val="auto"/>
                    </w:rPr>
                  </w:pPr>
                  <w:r>
                    <w:rPr>
                      <w:rFonts w:hint="eastAsia"/>
                      <w:color w:val="auto"/>
                    </w:rPr>
                    <w:t>《工业企业厂界环境噪声排放标准》中2类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50" w:type="pct"/>
                  <w:noWrap w:val="0"/>
                  <w:vAlign w:val="center"/>
                </w:tcPr>
                <w:p>
                  <w:pPr>
                    <w:pStyle w:val="170"/>
                    <w:bidi w:val="0"/>
                    <w:rPr>
                      <w:rFonts w:hint="eastAsia"/>
                      <w:color w:val="auto"/>
                      <w:lang w:eastAsia="zh-CN"/>
                    </w:rPr>
                  </w:pPr>
                  <w:r>
                    <w:rPr>
                      <w:rFonts w:hint="eastAsia"/>
                      <w:color w:val="auto"/>
                      <w:lang w:eastAsia="zh-CN"/>
                    </w:rPr>
                    <w:t>敏感点</w:t>
                  </w:r>
                </w:p>
              </w:tc>
              <w:tc>
                <w:tcPr>
                  <w:tcW w:w="1039" w:type="pct"/>
                  <w:noWrap w:val="0"/>
                  <w:vAlign w:val="center"/>
                </w:tcPr>
                <w:p>
                  <w:pPr>
                    <w:pStyle w:val="170"/>
                    <w:bidi w:val="0"/>
                    <w:rPr>
                      <w:rFonts w:hint="eastAsia"/>
                      <w:color w:val="auto"/>
                      <w:lang w:eastAsia="zh-CN"/>
                    </w:rPr>
                  </w:pPr>
                  <w:r>
                    <w:rPr>
                      <w:rFonts w:hint="eastAsia"/>
                      <w:color w:val="auto"/>
                      <w:lang w:eastAsia="zh-CN"/>
                    </w:rPr>
                    <w:t>项目敏感点处</w:t>
                  </w:r>
                </w:p>
              </w:tc>
              <w:tc>
                <w:tcPr>
                  <w:tcW w:w="787" w:type="pct"/>
                  <w:vMerge w:val="continue"/>
                  <w:noWrap w:val="0"/>
                  <w:vAlign w:val="center"/>
                </w:tcPr>
                <w:p>
                  <w:pPr>
                    <w:pStyle w:val="170"/>
                    <w:bidi w:val="0"/>
                    <w:rPr>
                      <w:color w:val="auto"/>
                    </w:rPr>
                  </w:pPr>
                </w:p>
              </w:tc>
              <w:tc>
                <w:tcPr>
                  <w:tcW w:w="1132" w:type="pct"/>
                  <w:vMerge w:val="continue"/>
                  <w:noWrap w:val="0"/>
                  <w:vAlign w:val="center"/>
                </w:tcPr>
                <w:p>
                  <w:pPr>
                    <w:pStyle w:val="170"/>
                    <w:bidi w:val="0"/>
                    <w:rPr>
                      <w:rFonts w:hint="eastAsia"/>
                      <w:color w:val="auto"/>
                      <w:lang w:eastAsia="zh-CN"/>
                    </w:rPr>
                  </w:pPr>
                </w:p>
              </w:tc>
              <w:tc>
                <w:tcPr>
                  <w:tcW w:w="1389" w:type="pct"/>
                  <w:vMerge w:val="continue"/>
                  <w:noWrap w:val="0"/>
                  <w:vAlign w:val="center"/>
                </w:tcPr>
                <w:p>
                  <w:pPr>
                    <w:pStyle w:val="170"/>
                    <w:bidi w:val="0"/>
                    <w:rPr>
                      <w:rFonts w:hint="eastAsia"/>
                      <w:color w:val="auto"/>
                    </w:rPr>
                  </w:pPr>
                </w:p>
              </w:tc>
            </w:tr>
          </w:tbl>
          <w:p>
            <w:pPr>
              <w:pStyle w:val="4"/>
              <w:spacing w:after="120"/>
              <w:rPr>
                <w:color w:val="auto"/>
              </w:rPr>
            </w:pPr>
            <w:r>
              <w:rPr>
                <w:color w:val="auto"/>
              </w:rPr>
              <w:t>四、固体废弃物环境影响分析</w:t>
            </w:r>
          </w:p>
          <w:p>
            <w:pPr>
              <w:pStyle w:val="5"/>
              <w:ind w:firstLine="482"/>
              <w:rPr>
                <w:rFonts w:hint="eastAsia"/>
                <w:color w:val="auto"/>
              </w:rPr>
            </w:pPr>
            <w:r>
              <w:rPr>
                <w:rFonts w:hint="eastAsia"/>
                <w:color w:val="auto"/>
              </w:rPr>
              <w:t>1、固体废物的产生情况</w:t>
            </w:r>
          </w:p>
          <w:p>
            <w:pPr>
              <w:pStyle w:val="101"/>
              <w:ind w:firstLine="480"/>
              <w:rPr>
                <w:rFonts w:hint="eastAsia"/>
                <w:color w:val="auto"/>
              </w:rPr>
            </w:pPr>
            <w:r>
              <w:rPr>
                <w:rFonts w:hint="eastAsia"/>
                <w:color w:val="auto"/>
              </w:rPr>
              <w:t>本项目营运期所产生的固废主要为生活垃圾、宠物粪便、宠物尸体、宠物毛发、医疗垃圾</w:t>
            </w:r>
            <w:r>
              <w:rPr>
                <w:rFonts w:hint="eastAsia"/>
                <w:color w:val="auto"/>
                <w:lang w:eastAsia="zh-CN"/>
              </w:rPr>
              <w:t>及废紫外线灯管</w:t>
            </w:r>
            <w:r>
              <w:rPr>
                <w:rFonts w:hint="eastAsia"/>
                <w:color w:val="auto"/>
              </w:rPr>
              <w:t>，其中宠物尸体</w:t>
            </w:r>
            <w:r>
              <w:rPr>
                <w:rFonts w:hint="eastAsia"/>
                <w:color w:val="auto"/>
                <w:lang w:eastAsia="zh-CN"/>
              </w:rPr>
              <w:t>、</w:t>
            </w:r>
            <w:r>
              <w:rPr>
                <w:rFonts w:hint="eastAsia"/>
                <w:color w:val="auto"/>
              </w:rPr>
              <w:t>医疗垃圾</w:t>
            </w:r>
            <w:r>
              <w:rPr>
                <w:rFonts w:hint="eastAsia"/>
                <w:color w:val="auto"/>
                <w:lang w:eastAsia="zh-CN"/>
              </w:rPr>
              <w:t>、废紫外线灯管和统一</w:t>
            </w:r>
            <w:r>
              <w:rPr>
                <w:rFonts w:hint="eastAsia"/>
                <w:color w:val="auto"/>
              </w:rPr>
              <w:t>按照危险废物处置和管理。</w:t>
            </w:r>
            <w:r>
              <w:rPr>
                <w:rFonts w:hint="eastAsia"/>
                <w:b/>
                <w:bCs/>
                <w:color w:val="auto"/>
              </w:rPr>
              <w:t>嘉州春天小区预处理池的清掏工作由小区负责，不在本项目责任范围内。</w:t>
            </w:r>
          </w:p>
          <w:p>
            <w:pPr>
              <w:pStyle w:val="101"/>
              <w:ind w:firstLine="482"/>
              <w:rPr>
                <w:b/>
                <w:bCs/>
                <w:color w:val="auto"/>
              </w:rPr>
            </w:pPr>
            <w:r>
              <w:rPr>
                <w:rFonts w:hint="eastAsia"/>
                <w:b/>
                <w:bCs/>
                <w:color w:val="auto"/>
              </w:rPr>
              <w:t>（1）一般固废</w:t>
            </w:r>
          </w:p>
          <w:p>
            <w:pPr>
              <w:pStyle w:val="101"/>
              <w:ind w:firstLine="480"/>
              <w:rPr>
                <w:rFonts w:hint="eastAsia"/>
                <w:color w:val="auto"/>
              </w:rPr>
            </w:pPr>
            <w:r>
              <w:rPr>
                <w:rFonts w:hint="eastAsia"/>
                <w:color w:val="auto"/>
              </w:rPr>
              <w:t xml:space="preserve"> ①生活垃圾 </w:t>
            </w:r>
          </w:p>
          <w:p>
            <w:pPr>
              <w:pStyle w:val="101"/>
              <w:ind w:firstLine="480"/>
              <w:rPr>
                <w:rFonts w:hint="eastAsia"/>
                <w:color w:val="auto"/>
              </w:rPr>
            </w:pPr>
            <w:r>
              <w:rPr>
                <w:rFonts w:hint="eastAsia"/>
                <w:color w:val="auto"/>
              </w:rPr>
              <w:t>本项目产生的生活垃圾主要为员工和宠物主人产生，项目员工生活垃圾产生量按0.5kg/d 人计，员工 5 人，宠物主人产生生活垃圾按 0.1kg/d 计，一天流量约按10 人，则生活垃圾产生量为 3.5kg/d（1.27t/a）。</w:t>
            </w:r>
          </w:p>
          <w:p>
            <w:pPr>
              <w:pStyle w:val="104"/>
              <w:ind w:firstLine="480"/>
              <w:rPr>
                <w:rFonts w:hint="eastAsia"/>
                <w:color w:val="auto"/>
              </w:rPr>
            </w:pPr>
            <w:r>
              <w:rPr>
                <w:rFonts w:hint="eastAsia"/>
                <w:color w:val="auto"/>
              </w:rPr>
              <w:t xml:space="preserve">②宠物粪便 </w:t>
            </w:r>
          </w:p>
          <w:p>
            <w:pPr>
              <w:pStyle w:val="104"/>
              <w:ind w:firstLine="480"/>
              <w:rPr>
                <w:rFonts w:hint="eastAsia"/>
                <w:color w:val="auto"/>
              </w:rPr>
            </w:pPr>
            <w:r>
              <w:rPr>
                <w:rFonts w:hint="eastAsia"/>
                <w:color w:val="auto"/>
              </w:rPr>
              <w:t>针对宠物在笼子里的排泄物，产生量按照 0.05 千克/只宠物进行计算，平均每天就诊最大按照10 只、住院最大量按照10 只进行考虑，粪便产生量为 0.365t/a。</w:t>
            </w:r>
          </w:p>
          <w:p>
            <w:pPr>
              <w:pStyle w:val="104"/>
              <w:ind w:firstLine="480"/>
              <w:rPr>
                <w:rFonts w:hint="eastAsia"/>
                <w:color w:val="auto"/>
              </w:rPr>
            </w:pPr>
            <w:r>
              <w:rPr>
                <w:rFonts w:hint="eastAsia"/>
                <w:color w:val="auto"/>
              </w:rPr>
              <w:t xml:space="preserve">③宠物毛发 </w:t>
            </w:r>
          </w:p>
          <w:p>
            <w:pPr>
              <w:pStyle w:val="104"/>
              <w:ind w:firstLine="480"/>
              <w:rPr>
                <w:rFonts w:hint="eastAsia"/>
                <w:color w:val="auto"/>
              </w:rPr>
            </w:pPr>
            <w:r>
              <w:rPr>
                <w:rFonts w:hint="eastAsia"/>
                <w:color w:val="auto"/>
              </w:rPr>
              <w:t>本项目宠物毛发来源于对宠物在医院内毛发脱落、宠物手术及治疗过程中的修剪过程产生的毛发，根据建设单位资料提供，营运期宠物毛发产生量约为 0.04t/a。</w:t>
            </w:r>
          </w:p>
          <w:p>
            <w:pPr>
              <w:pStyle w:val="104"/>
              <w:ind w:firstLine="482"/>
              <w:rPr>
                <w:rFonts w:hint="eastAsia"/>
                <w:b/>
                <w:bCs/>
                <w:color w:val="auto"/>
              </w:rPr>
            </w:pPr>
            <w:r>
              <w:rPr>
                <w:rFonts w:hint="eastAsia"/>
                <w:b/>
                <w:bCs/>
                <w:color w:val="auto"/>
              </w:rPr>
              <w:t>（2）危险废物</w:t>
            </w:r>
          </w:p>
          <w:p>
            <w:pPr>
              <w:pStyle w:val="101"/>
              <w:ind w:firstLine="480"/>
              <w:rPr>
                <w:rFonts w:hint="eastAsia"/>
                <w:color w:val="auto"/>
              </w:rPr>
            </w:pPr>
            <w:r>
              <w:rPr>
                <w:rFonts w:hint="eastAsia"/>
                <w:color w:val="auto"/>
              </w:rPr>
              <w:t>①宠物尸体</w:t>
            </w:r>
          </w:p>
          <w:p>
            <w:pPr>
              <w:pStyle w:val="101"/>
              <w:ind w:firstLine="480"/>
              <w:rPr>
                <w:rFonts w:hint="eastAsia"/>
                <w:color w:val="auto"/>
              </w:rPr>
            </w:pPr>
            <w:r>
              <w:rPr>
                <w:rFonts w:hint="eastAsia"/>
                <w:color w:val="auto"/>
              </w:rPr>
              <w:t>项目在营运过程中，若遇到动物安乐死或不治身亡现象，按照《中华人民共和国动物防疫法》规定，宠物尸体不得随意处置，应按照《病死动物无害化处理技术规范》进行无害化处理，除宠物主人自行带走处置的宠物外，留在院内处置的当天交由资质单位处置。根据建设单位资料提供，本项目宠物尸体约 0.05t/a。</w:t>
            </w:r>
          </w:p>
          <w:p>
            <w:pPr>
              <w:pStyle w:val="101"/>
              <w:ind w:firstLine="480"/>
              <w:rPr>
                <w:rFonts w:hint="eastAsia"/>
                <w:color w:val="auto"/>
              </w:rPr>
            </w:pPr>
            <w:r>
              <w:rPr>
                <w:rFonts w:hint="eastAsia"/>
                <w:color w:val="auto"/>
              </w:rPr>
              <w:t>②医疗废物</w:t>
            </w:r>
          </w:p>
          <w:p>
            <w:pPr>
              <w:pStyle w:val="101"/>
              <w:ind w:firstLine="480"/>
              <w:rPr>
                <w:rFonts w:hint="eastAsia"/>
                <w:color w:val="auto"/>
              </w:rPr>
            </w:pPr>
            <w:r>
              <w:rPr>
                <w:rFonts w:hint="eastAsia"/>
                <w:color w:val="auto"/>
              </w:rPr>
              <w:t>本项目产生的医疗废物主要来源于（1）宠物检验过程中产生的带有血液的试管、棉球等；（2）宠物在治疗和手术过程中产生的病理组织和纱布等；（3）宠物输液过程产生的一次性针头，塑料药品瓶等；（4）过期药品；（5）废试剂盒。</w:t>
            </w:r>
          </w:p>
          <w:p>
            <w:pPr>
              <w:pStyle w:val="101"/>
              <w:ind w:firstLine="480"/>
              <w:rPr>
                <w:rFonts w:hint="eastAsia"/>
                <w:color w:val="auto"/>
              </w:rPr>
            </w:pPr>
            <w:r>
              <w:rPr>
                <w:rFonts w:hint="eastAsia"/>
                <w:color w:val="auto"/>
              </w:rPr>
              <w:t>根据建设单位资料提供，本项目满负荷运行时，医疗废物最大产生量为 4kg/d（1.46t/a）。</w:t>
            </w:r>
          </w:p>
          <w:p>
            <w:pPr>
              <w:pStyle w:val="101"/>
              <w:ind w:firstLine="480"/>
              <w:rPr>
                <w:rFonts w:hint="eastAsia"/>
                <w:color w:val="auto"/>
              </w:rPr>
            </w:pPr>
            <w:r>
              <w:rPr>
                <w:rFonts w:hint="eastAsia"/>
                <w:color w:val="auto"/>
                <w:lang w:eastAsia="zh-CN"/>
              </w:rPr>
              <w:t>③</w:t>
            </w:r>
            <w:r>
              <w:rPr>
                <w:rFonts w:hint="eastAsia"/>
                <w:color w:val="auto"/>
              </w:rPr>
              <w:t>废紫外线灯管</w:t>
            </w:r>
          </w:p>
          <w:p>
            <w:pPr>
              <w:pStyle w:val="101"/>
              <w:ind w:firstLine="480"/>
              <w:rPr>
                <w:rFonts w:hint="eastAsia"/>
                <w:color w:val="auto"/>
              </w:rPr>
            </w:pPr>
            <w:r>
              <w:rPr>
                <w:rFonts w:hint="eastAsia"/>
                <w:color w:val="auto"/>
              </w:rPr>
              <w:t>项目运营期间采用移动式紫外线灯管对医院环境进行杀菌消毒，年使用紫外灯管量约</w:t>
            </w:r>
            <w:r>
              <w:rPr>
                <w:rFonts w:hint="eastAsia"/>
                <w:color w:val="auto"/>
                <w:lang w:val="en-US" w:eastAsia="zh-CN"/>
              </w:rPr>
              <w:t>0.003</w:t>
            </w:r>
            <w:r>
              <w:rPr>
                <w:rFonts w:hint="eastAsia"/>
                <w:color w:val="auto"/>
              </w:rPr>
              <w:t>/a。</w:t>
            </w:r>
          </w:p>
          <w:p>
            <w:pPr>
              <w:pStyle w:val="5"/>
              <w:ind w:firstLine="482"/>
              <w:rPr>
                <w:rFonts w:hint="eastAsia"/>
                <w:color w:val="auto"/>
              </w:rPr>
            </w:pPr>
            <w:r>
              <w:rPr>
                <w:rFonts w:hint="eastAsia"/>
                <w:color w:val="auto"/>
              </w:rPr>
              <w:t>2、现有治理措施</w:t>
            </w:r>
          </w:p>
          <w:p>
            <w:pPr>
              <w:pStyle w:val="101"/>
              <w:ind w:firstLine="480"/>
              <w:rPr>
                <w:rFonts w:hint="eastAsia"/>
                <w:color w:val="auto"/>
              </w:rPr>
            </w:pPr>
            <w:r>
              <w:rPr>
                <w:rFonts w:hint="eastAsia"/>
                <w:color w:val="auto"/>
              </w:rPr>
              <w:t>（1）生活垃圾：经各科室设置生活垃圾收集桶，生活垃圾统一收集后放置于社区生活垃圾暂存点待环卫部门转运处置。</w:t>
            </w:r>
          </w:p>
          <w:p>
            <w:pPr>
              <w:pStyle w:val="101"/>
              <w:ind w:firstLine="480"/>
              <w:rPr>
                <w:rFonts w:hint="eastAsia"/>
                <w:color w:val="auto"/>
              </w:rPr>
            </w:pPr>
            <w:r>
              <w:rPr>
                <w:rFonts w:hint="eastAsia"/>
                <w:color w:val="auto"/>
              </w:rPr>
              <w:t>（2）宠物粪便：项目采用喷洒消毒剂的方式对宠物粪便进行消毒灭活，消毒灭活后交由环卫部门收运处置。</w:t>
            </w:r>
          </w:p>
          <w:p>
            <w:pPr>
              <w:pStyle w:val="101"/>
              <w:ind w:firstLine="480"/>
              <w:rPr>
                <w:rFonts w:hint="eastAsia"/>
                <w:color w:val="auto"/>
              </w:rPr>
            </w:pPr>
            <w:r>
              <w:rPr>
                <w:rFonts w:hint="eastAsia"/>
                <w:color w:val="auto"/>
              </w:rPr>
              <w:t>（3）宠物毛发：经喷洒消毒剂处理后可作为一般固废与生活垃圾一起交由环卫部门处理。</w:t>
            </w:r>
          </w:p>
          <w:p>
            <w:pPr>
              <w:pStyle w:val="104"/>
              <w:ind w:firstLine="480"/>
              <w:rPr>
                <w:rFonts w:hint="eastAsia"/>
                <w:color w:val="auto"/>
              </w:rPr>
            </w:pPr>
            <w:r>
              <w:rPr>
                <w:rFonts w:hint="eastAsia"/>
                <w:color w:val="auto"/>
              </w:rPr>
              <w:t>（4）宠物尸体：除宠物主人自行带走处置的宠物外，留在院内处置的经消毒后采用密封袋封存当天通知并交由资质单位收运处置，不在院内储存。</w:t>
            </w:r>
          </w:p>
          <w:p>
            <w:pPr>
              <w:pStyle w:val="104"/>
              <w:ind w:firstLine="480"/>
              <w:rPr>
                <w:rFonts w:hint="eastAsia"/>
                <w:color w:val="auto"/>
              </w:rPr>
            </w:pPr>
            <w:r>
              <w:rPr>
                <w:rFonts w:hint="eastAsia"/>
                <w:color w:val="auto"/>
              </w:rPr>
              <w:t>（5）医疗废物：项目现状医疗废物交由成都市科农动物无害化处置有限公司，但目前医疗废物未按照《危险废物贮存污染控制标准》（GB18597-2001（2013年修订）中的相关要求进行规范化储存，应进行整改</w:t>
            </w:r>
          </w:p>
          <w:p>
            <w:pPr>
              <w:pStyle w:val="104"/>
              <w:ind w:firstLine="480"/>
              <w:rPr>
                <w:rFonts w:hint="eastAsia"/>
                <w:color w:val="auto"/>
              </w:rPr>
            </w:pPr>
            <w:r>
              <w:rPr>
                <w:rFonts w:hint="eastAsia"/>
                <w:color w:val="auto"/>
              </w:rPr>
              <w:t>（6）废紫外线灯管：根据《国家危险废物名录（2021 版）》，废紫外灯管属于“HW29 含汞废物中的 900-023-29 生产、销售及使用过程中产生的废含汞荧光灯管及其他废含汞电光源”，项目现状未对废紫外线灯管进行规范化储存和处置，应进行整改</w:t>
            </w:r>
          </w:p>
          <w:p>
            <w:pPr>
              <w:pStyle w:val="5"/>
              <w:numPr>
                <w:ilvl w:val="0"/>
                <w:numId w:val="21"/>
              </w:numPr>
              <w:ind w:firstLine="482"/>
              <w:rPr>
                <w:rFonts w:hint="eastAsia"/>
                <w:color w:val="auto"/>
              </w:rPr>
            </w:pPr>
            <w:r>
              <w:rPr>
                <w:rFonts w:hint="eastAsia"/>
                <w:color w:val="auto"/>
              </w:rPr>
              <w:t>整改措施</w:t>
            </w:r>
          </w:p>
          <w:p>
            <w:pPr>
              <w:pStyle w:val="104"/>
              <w:ind w:firstLine="480"/>
              <w:rPr>
                <w:color w:val="auto"/>
              </w:rPr>
            </w:pPr>
            <w:r>
              <w:rPr>
                <w:rFonts w:hint="eastAsia"/>
                <w:color w:val="auto"/>
              </w:rPr>
              <w:t>由于本项目为未批先建，根据对项目现场勘查，项目对危险废物未采用合理妥当的贮存措施，因此，</w:t>
            </w:r>
            <w:r>
              <w:rPr>
                <w:rFonts w:hint="eastAsia"/>
                <w:b/>
                <w:bCs/>
                <w:color w:val="auto"/>
              </w:rPr>
              <w:t>本环评要求项目进行整改，严格按照《危险废物贮存污染控制标准》（GB18597-2001，2013年修改）的设计要求设置医疗废物暂存间</w:t>
            </w:r>
            <w:r>
              <w:rPr>
                <w:rFonts w:hint="eastAsia"/>
                <w:color w:val="auto"/>
              </w:rPr>
              <w:t>，并将运营期产生的危险废物（医疗废物和废紫外线灯管）暂存于医疗废物暂存间，明确危险废物处置单位，并签订相关危废处置协议，定期将危险废物交由资质单位处置。</w:t>
            </w:r>
          </w:p>
          <w:p>
            <w:pPr>
              <w:pStyle w:val="104"/>
              <w:ind w:firstLine="482"/>
              <w:rPr>
                <w:rFonts w:hint="eastAsia"/>
                <w:color w:val="auto"/>
              </w:rPr>
            </w:pPr>
            <w:r>
              <w:rPr>
                <w:rFonts w:hint="eastAsia"/>
                <w:b/>
                <w:bCs/>
                <w:color w:val="auto"/>
              </w:rPr>
              <w:t>此外，环评要求建设单位按照相关规定要求做到以下几点：</w:t>
            </w:r>
            <w:r>
              <w:rPr>
                <w:rFonts w:hint="eastAsia"/>
                <w:color w:val="auto"/>
              </w:rPr>
              <w:t xml:space="preserve"> </w:t>
            </w:r>
          </w:p>
          <w:p>
            <w:pPr>
              <w:pStyle w:val="104"/>
              <w:ind w:firstLine="482"/>
              <w:rPr>
                <w:rFonts w:hint="eastAsia"/>
                <w:b/>
                <w:bCs/>
                <w:color w:val="auto"/>
              </w:rPr>
            </w:pPr>
            <w:r>
              <w:rPr>
                <w:rFonts w:hint="eastAsia"/>
                <w:b/>
                <w:bCs/>
                <w:color w:val="auto"/>
              </w:rPr>
              <w:t xml:space="preserve">① 医疗废物分类收集要求 </w:t>
            </w:r>
          </w:p>
          <w:p>
            <w:pPr>
              <w:pStyle w:val="104"/>
              <w:ind w:firstLine="480"/>
              <w:rPr>
                <w:rFonts w:hint="eastAsia"/>
                <w:color w:val="auto"/>
              </w:rPr>
            </w:pPr>
            <w:r>
              <w:rPr>
                <w:rFonts w:hint="eastAsia"/>
                <w:color w:val="auto"/>
              </w:rPr>
              <w:t xml:space="preserve">A、根据医疗废物的类别，将医疗废物分类置于符合《医疗废物专用包装物、容器的标准和警示标识的规定》的包装物或者容器内；收集容器应符合规定要求，盛装医疗废物的每个单位、产生日期、类别及需要的特别说明等。 </w:t>
            </w:r>
          </w:p>
          <w:p>
            <w:pPr>
              <w:pStyle w:val="104"/>
              <w:ind w:firstLine="480"/>
              <w:rPr>
                <w:rFonts w:hint="eastAsia"/>
                <w:color w:val="auto"/>
              </w:rPr>
            </w:pPr>
            <w:r>
              <w:rPr>
                <w:rFonts w:hint="eastAsia"/>
                <w:color w:val="auto"/>
              </w:rPr>
              <w:t xml:space="preserve">B、在盛装医疗废物前，应当对医疗废物包装物或者容器进行认真检查，确保无破损、渗漏和其它缺陷。 </w:t>
            </w:r>
          </w:p>
          <w:p>
            <w:pPr>
              <w:pStyle w:val="104"/>
              <w:ind w:firstLine="480"/>
              <w:rPr>
                <w:rFonts w:hint="eastAsia"/>
                <w:color w:val="auto"/>
              </w:rPr>
            </w:pPr>
            <w:r>
              <w:rPr>
                <w:rFonts w:hint="eastAsia"/>
                <w:color w:val="auto"/>
              </w:rPr>
              <w:t xml:space="preserve">C、各类医疗废物不能混合收集。 </w:t>
            </w:r>
          </w:p>
          <w:p>
            <w:pPr>
              <w:pStyle w:val="104"/>
              <w:ind w:firstLine="480"/>
              <w:rPr>
                <w:rFonts w:hint="eastAsia"/>
                <w:color w:val="auto"/>
              </w:rPr>
            </w:pPr>
            <w:r>
              <w:rPr>
                <w:rFonts w:hint="eastAsia"/>
                <w:color w:val="auto"/>
              </w:rPr>
              <w:t xml:space="preserve">D、在病房、诊断室等高危区必须采用双层废物袋或可密封处理的聚丙烯塑料桶，针头等锐器不应和其他废物混放，使用后要稳妥安全地放入防漏、防刺的专用容器中。锐器容器要求有盖，并做好明显的标识，防止转运人员被锐器划伤引起疾病感染。 </w:t>
            </w:r>
          </w:p>
          <w:p>
            <w:pPr>
              <w:pStyle w:val="104"/>
              <w:ind w:firstLine="480"/>
              <w:rPr>
                <w:rFonts w:hint="eastAsia"/>
                <w:color w:val="auto"/>
              </w:rPr>
            </w:pPr>
            <w:r>
              <w:rPr>
                <w:rFonts w:hint="eastAsia"/>
                <w:color w:val="auto"/>
              </w:rPr>
              <w:t>E、医疗废物收集袋印有盛装医疗废物的文字说明和医疗废物警示标识，装满 3/4 后就应当由专人密封清运至医疗垃圾暂存间。</w:t>
            </w:r>
          </w:p>
          <w:p>
            <w:pPr>
              <w:pStyle w:val="104"/>
              <w:ind w:firstLine="482"/>
              <w:rPr>
                <w:rFonts w:hint="eastAsia"/>
                <w:color w:val="auto"/>
              </w:rPr>
            </w:pPr>
            <w:r>
              <w:rPr>
                <w:rFonts w:hint="eastAsia"/>
                <w:b/>
                <w:bCs/>
                <w:color w:val="auto"/>
              </w:rPr>
              <w:t>② 医疗废物暂存要求</w:t>
            </w:r>
            <w:r>
              <w:rPr>
                <w:rFonts w:hint="eastAsia"/>
                <w:color w:val="auto"/>
              </w:rPr>
              <w:t xml:space="preserve"> </w:t>
            </w:r>
          </w:p>
          <w:p>
            <w:pPr>
              <w:pStyle w:val="104"/>
              <w:ind w:firstLine="480"/>
              <w:rPr>
                <w:rFonts w:hint="eastAsia"/>
                <w:color w:val="auto"/>
              </w:rPr>
            </w:pPr>
            <w:r>
              <w:rPr>
                <w:rFonts w:hint="eastAsia"/>
                <w:color w:val="auto"/>
              </w:rPr>
              <w:t xml:space="preserve">本项目拟设专门的医疗垃圾暂存间。要求医疗垃圾暂存间严格按照《危险废物储存污染控制标准》相关要求进行建设，做好防风、防雨、防渗措施，防止二次污染；地面采用坚固、防渗、耐腐蚀的材料建造，设堵截泄漏的裙脚、地沟等设施。同时，要求医疗垃圾暂存间应设置严密的封闭措施，并设专职管理人员，防止非工作人员接触医疗废物；有防鼠、防蚊蝇、防蟑螂、防盗等安全措施；易于清洁和消毒；设置明显的医疗废物警示标识和“禁止吸烟、饮食”的警示标识。根据《医疗卫生机构医疗废物管理办法》中“医疗废物暂时贮存的时间不得超过 2 天”的规定要求，要求医疗垃圾尽可能做到“日产日清”的清运方式，院内暂存时间不得超过 2 天，对医疗废物需进行消毒处理。 </w:t>
            </w:r>
          </w:p>
          <w:p>
            <w:pPr>
              <w:pStyle w:val="104"/>
              <w:ind w:firstLine="482"/>
              <w:rPr>
                <w:rFonts w:hint="eastAsia"/>
                <w:color w:val="auto"/>
              </w:rPr>
            </w:pPr>
            <w:r>
              <w:rPr>
                <w:rFonts w:hint="eastAsia"/>
                <w:b/>
                <w:bCs/>
                <w:color w:val="auto"/>
              </w:rPr>
              <w:t>③ 医疗废物的交接</w:t>
            </w:r>
            <w:r>
              <w:rPr>
                <w:rFonts w:hint="eastAsia"/>
                <w:color w:val="auto"/>
              </w:rPr>
              <w:t xml:space="preserve"> </w:t>
            </w:r>
          </w:p>
          <w:p>
            <w:pPr>
              <w:pStyle w:val="104"/>
              <w:ind w:firstLine="480"/>
              <w:rPr>
                <w:rFonts w:hint="eastAsia"/>
                <w:color w:val="auto"/>
              </w:rPr>
            </w:pPr>
            <w:r>
              <w:rPr>
                <w:rFonts w:hint="eastAsia"/>
                <w:color w:val="auto"/>
              </w:rPr>
              <w:t xml:space="preserve">医疗废物运送人员在接收医疗废物时，应外观检查医疗卫生机构是否按规定进行包装、标识，并盛装于周转箱内，不得打开包装袋取出医疗废物。对包装破损、包装外表污染或未盛装于周转箱内的医疗废物，医疗废物运送人员应当要求医疗卫生机构重新包装、标识，并盛装于周转箱内。拒不按规定对医疗废物进行包装的，运送人员有权拒绝运送，并向当地环保部门报告。 </w:t>
            </w:r>
          </w:p>
          <w:p>
            <w:pPr>
              <w:pStyle w:val="104"/>
              <w:ind w:firstLine="482"/>
              <w:rPr>
                <w:rFonts w:hint="eastAsia"/>
                <w:color w:val="auto"/>
              </w:rPr>
            </w:pPr>
            <w:r>
              <w:rPr>
                <w:rFonts w:hint="eastAsia"/>
                <w:b/>
                <w:bCs/>
                <w:color w:val="auto"/>
              </w:rPr>
              <w:t>④ 医疗废物转运要求</w:t>
            </w:r>
            <w:r>
              <w:rPr>
                <w:rFonts w:hint="eastAsia"/>
                <w:color w:val="auto"/>
              </w:rPr>
              <w:t xml:space="preserve"> </w:t>
            </w:r>
          </w:p>
          <w:p>
            <w:pPr>
              <w:pStyle w:val="104"/>
              <w:ind w:firstLine="480"/>
              <w:rPr>
                <w:rFonts w:hint="eastAsia"/>
                <w:color w:val="auto"/>
              </w:rPr>
            </w:pPr>
            <w:r>
              <w:rPr>
                <w:rFonts w:hint="eastAsia"/>
                <w:color w:val="auto"/>
              </w:rPr>
              <w:t xml:space="preserve">本项目医疗废物的交接和运输时应填写《危险废物转移联单（医疗废物专用）》 ，实施危险废物转移联单管理制度。在医疗废物运送过程中不得丢弃、遗撒医疗废物，不得装载或混装其它货物和动植物。转运医疗废物应使用专用转运袋，同时，医疗废物转运应当使用符合《医疗废物转运车技术要求》GB19217 的专用车辆。 </w:t>
            </w:r>
          </w:p>
          <w:p>
            <w:pPr>
              <w:pStyle w:val="104"/>
              <w:ind w:firstLine="482"/>
              <w:rPr>
                <w:rFonts w:hint="eastAsia"/>
                <w:color w:val="auto"/>
              </w:rPr>
            </w:pPr>
            <w:r>
              <w:rPr>
                <w:rFonts w:hint="eastAsia"/>
                <w:b/>
                <w:bCs/>
                <w:color w:val="auto"/>
              </w:rPr>
              <w:t>⑤ 医疗废物处置要求</w:t>
            </w:r>
            <w:r>
              <w:rPr>
                <w:rFonts w:hint="eastAsia"/>
                <w:color w:val="auto"/>
              </w:rPr>
              <w:t xml:space="preserve"> </w:t>
            </w:r>
          </w:p>
          <w:p>
            <w:pPr>
              <w:pStyle w:val="104"/>
              <w:ind w:firstLine="480"/>
              <w:rPr>
                <w:rFonts w:hint="eastAsia"/>
                <w:color w:val="auto"/>
              </w:rPr>
            </w:pPr>
            <w:r>
              <w:rPr>
                <w:rFonts w:hint="eastAsia"/>
                <w:color w:val="auto"/>
              </w:rPr>
              <w:t>项目运营过程中产生的病理组织暂存在专用冰柜内，与其它医疗废物一起交由有资质的单位进行统一处置，并做好医疗废弃物的转运台账。禁止委托无资质的单位从事收集、运送、贮存和处置医疗废物；禁止将医疗废物混入其它废物、生活垃圾或向环境排放，或不按环保要求擅自进行处置；禁止任何单位和个人转让、买卖医疗废物；禁止在运送过程中丢弃医疗废物。</w:t>
            </w:r>
          </w:p>
          <w:p>
            <w:pPr>
              <w:pStyle w:val="104"/>
              <w:ind w:firstLine="480"/>
              <w:rPr>
                <w:rFonts w:hint="eastAsia"/>
                <w:color w:val="auto"/>
              </w:rPr>
            </w:pPr>
            <w:r>
              <w:rPr>
                <w:rFonts w:hint="eastAsia"/>
                <w:color w:val="auto"/>
              </w:rPr>
              <w:t>建设单位应在今后的运营过程中，加强消毒灭菌等工作，确保医疗废物得到合理有效的处置，不会对周围环境造成二次污染</w:t>
            </w:r>
          </w:p>
          <w:p>
            <w:pPr>
              <w:pStyle w:val="104"/>
              <w:ind w:left="480" w:leftChars="200" w:firstLine="0" w:firstLineChars="0"/>
              <w:rPr>
                <w:color w:val="auto"/>
              </w:rPr>
            </w:pPr>
            <w:r>
              <w:rPr>
                <w:rFonts w:hint="eastAsia"/>
                <w:color w:val="auto"/>
              </w:rPr>
              <w:t>综上，本项目运营期固体废物产生情况见下表4-</w:t>
            </w:r>
            <w:r>
              <w:rPr>
                <w:rFonts w:hint="eastAsia"/>
                <w:color w:val="auto"/>
                <w:lang w:val="en-US" w:eastAsia="zh-CN"/>
              </w:rPr>
              <w:t>7</w:t>
            </w:r>
            <w:r>
              <w:rPr>
                <w:rFonts w:hint="eastAsia"/>
                <w:color w:val="auto"/>
              </w:rPr>
              <w:t>。</w:t>
            </w:r>
          </w:p>
          <w:p>
            <w:pPr>
              <w:pStyle w:val="101"/>
              <w:widowControl w:val="0"/>
              <w:spacing w:line="360" w:lineRule="exact"/>
              <w:ind w:firstLine="0" w:firstLineChars="0"/>
              <w:jc w:val="center"/>
              <w:rPr>
                <w:rFonts w:hint="eastAsia"/>
                <w:b/>
                <w:color w:val="auto"/>
                <w:sz w:val="21"/>
                <w:szCs w:val="21"/>
              </w:rPr>
            </w:pPr>
            <w:r>
              <w:rPr>
                <w:b/>
                <w:color w:val="auto"/>
                <w:sz w:val="21"/>
                <w:szCs w:val="21"/>
              </w:rPr>
              <w:t>表</w:t>
            </w:r>
            <w:r>
              <w:rPr>
                <w:rFonts w:hint="eastAsia"/>
                <w:b/>
                <w:color w:val="auto"/>
                <w:sz w:val="21"/>
                <w:szCs w:val="21"/>
              </w:rPr>
              <w:t>4</w:t>
            </w:r>
            <w:r>
              <w:rPr>
                <w:b/>
                <w:color w:val="auto"/>
                <w:sz w:val="21"/>
                <w:szCs w:val="21"/>
              </w:rPr>
              <w:t>-</w:t>
            </w:r>
            <w:r>
              <w:rPr>
                <w:rFonts w:hint="eastAsia"/>
                <w:b/>
                <w:color w:val="auto"/>
                <w:sz w:val="21"/>
                <w:szCs w:val="21"/>
                <w:lang w:val="en-US" w:eastAsia="zh-CN"/>
              </w:rPr>
              <w:t>7</w:t>
            </w:r>
            <w:r>
              <w:rPr>
                <w:b/>
                <w:color w:val="auto"/>
                <w:sz w:val="21"/>
                <w:szCs w:val="21"/>
              </w:rPr>
              <w:t xml:space="preserve"> </w:t>
            </w:r>
            <w:r>
              <w:rPr>
                <w:rFonts w:hint="eastAsia"/>
                <w:b/>
                <w:color w:val="auto"/>
                <w:sz w:val="21"/>
                <w:szCs w:val="21"/>
              </w:rPr>
              <w:t>本</w:t>
            </w:r>
            <w:r>
              <w:rPr>
                <w:b/>
                <w:color w:val="auto"/>
                <w:sz w:val="21"/>
                <w:szCs w:val="21"/>
              </w:rPr>
              <w:t>项目</w:t>
            </w:r>
            <w:r>
              <w:rPr>
                <w:rFonts w:hint="eastAsia"/>
                <w:b/>
                <w:color w:val="auto"/>
                <w:sz w:val="21"/>
                <w:szCs w:val="21"/>
              </w:rPr>
              <w:t>固体废物</w:t>
            </w:r>
            <w:r>
              <w:rPr>
                <w:rFonts w:hint="eastAsia"/>
                <w:b/>
                <w:color w:val="auto"/>
                <w:sz w:val="21"/>
                <w:szCs w:val="21"/>
                <w:lang w:eastAsia="zh-CN"/>
              </w:rPr>
              <w:t>产排情况</w:t>
            </w:r>
            <w:r>
              <w:rPr>
                <w:rFonts w:hint="eastAsia"/>
                <w:b/>
                <w:color w:val="auto"/>
                <w:sz w:val="21"/>
                <w:szCs w:val="21"/>
              </w:rPr>
              <w:t>一览表</w:t>
            </w:r>
          </w:p>
          <w:tbl>
            <w:tblPr>
              <w:tblStyle w:val="38"/>
              <w:tblW w:w="830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17"/>
              <w:gridCol w:w="780"/>
              <w:gridCol w:w="544"/>
              <w:gridCol w:w="2275"/>
              <w:gridCol w:w="1513"/>
              <w:gridCol w:w="20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trPr>
              <w:tc>
                <w:tcPr>
                  <w:tcW w:w="1117" w:type="dxa"/>
                  <w:noWrap w:val="0"/>
                  <w:vAlign w:val="center"/>
                </w:tcPr>
                <w:p>
                  <w:pPr>
                    <w:pStyle w:val="118"/>
                    <w:rPr>
                      <w:rFonts w:hint="eastAsia"/>
                      <w:b/>
                      <w:bCs/>
                      <w:color w:val="auto"/>
                    </w:rPr>
                  </w:pPr>
                  <w:r>
                    <w:rPr>
                      <w:rFonts w:hint="eastAsia"/>
                      <w:b/>
                      <w:bCs/>
                      <w:color w:val="auto"/>
                    </w:rPr>
                    <w:t>种类</w:t>
                  </w:r>
                </w:p>
              </w:tc>
              <w:tc>
                <w:tcPr>
                  <w:tcW w:w="3599" w:type="dxa"/>
                  <w:gridSpan w:val="3"/>
                  <w:noWrap w:val="0"/>
                  <w:vAlign w:val="center"/>
                </w:tcPr>
                <w:p>
                  <w:pPr>
                    <w:pStyle w:val="118"/>
                    <w:rPr>
                      <w:rFonts w:hint="eastAsia" w:eastAsia="宋体"/>
                      <w:b/>
                      <w:bCs/>
                      <w:color w:val="auto"/>
                      <w:lang w:eastAsia="zh-CN"/>
                    </w:rPr>
                  </w:pPr>
                  <w:r>
                    <w:rPr>
                      <w:rFonts w:hint="eastAsia"/>
                      <w:b/>
                      <w:bCs/>
                      <w:color w:val="auto"/>
                      <w:lang w:eastAsia="zh-CN"/>
                    </w:rPr>
                    <w:t>固体废物类别及代码</w:t>
                  </w:r>
                </w:p>
              </w:tc>
              <w:tc>
                <w:tcPr>
                  <w:tcW w:w="1513" w:type="dxa"/>
                  <w:noWrap w:val="0"/>
                  <w:vAlign w:val="center"/>
                </w:tcPr>
                <w:p>
                  <w:pPr>
                    <w:pStyle w:val="118"/>
                    <w:rPr>
                      <w:b/>
                      <w:bCs/>
                      <w:color w:val="auto"/>
                    </w:rPr>
                  </w:pPr>
                  <w:r>
                    <w:rPr>
                      <w:rFonts w:hint="eastAsia"/>
                      <w:b/>
                      <w:bCs/>
                      <w:color w:val="auto"/>
                    </w:rPr>
                    <w:t>产生量（t/a）</w:t>
                  </w:r>
                </w:p>
              </w:tc>
              <w:tc>
                <w:tcPr>
                  <w:tcW w:w="2077" w:type="dxa"/>
                  <w:noWrap w:val="0"/>
                  <w:vAlign w:val="center"/>
                </w:tcPr>
                <w:p>
                  <w:pPr>
                    <w:pStyle w:val="118"/>
                    <w:rPr>
                      <w:rFonts w:hint="eastAsia"/>
                      <w:b/>
                      <w:bCs/>
                      <w:color w:val="auto"/>
                    </w:rPr>
                  </w:pPr>
                  <w:r>
                    <w:rPr>
                      <w:rFonts w:hint="eastAsia"/>
                      <w:b/>
                      <w:bCs/>
                      <w:color w:val="auto"/>
                    </w:rPr>
                    <w:t>污染防治措施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7" w:type="dxa"/>
                  <w:vMerge w:val="restart"/>
                  <w:noWrap w:val="0"/>
                  <w:vAlign w:val="center"/>
                </w:tcPr>
                <w:p>
                  <w:pPr>
                    <w:pStyle w:val="118"/>
                    <w:rPr>
                      <w:rFonts w:hint="eastAsia"/>
                      <w:color w:val="auto"/>
                    </w:rPr>
                  </w:pPr>
                  <w:r>
                    <w:rPr>
                      <w:rFonts w:hint="eastAsia"/>
                      <w:color w:val="auto"/>
                    </w:rPr>
                    <w:t>危险废物</w:t>
                  </w:r>
                </w:p>
              </w:tc>
              <w:tc>
                <w:tcPr>
                  <w:tcW w:w="780" w:type="dxa"/>
                  <w:vMerge w:val="restart"/>
                  <w:noWrap w:val="0"/>
                  <w:vAlign w:val="center"/>
                </w:tcPr>
                <w:p>
                  <w:pPr>
                    <w:pStyle w:val="118"/>
                    <w:rPr>
                      <w:rFonts w:hint="eastAsia"/>
                      <w:color w:val="auto"/>
                    </w:rPr>
                  </w:pPr>
                  <w:r>
                    <w:rPr>
                      <w:rFonts w:hint="eastAsia"/>
                      <w:color w:val="auto"/>
                    </w:rPr>
                    <w:t>医疗废物</w:t>
                  </w:r>
                </w:p>
                <w:p>
                  <w:pPr>
                    <w:pStyle w:val="118"/>
                    <w:rPr>
                      <w:rFonts w:hint="eastAsia"/>
                      <w:color w:val="auto"/>
                    </w:rPr>
                  </w:pPr>
                  <w:r>
                    <w:rPr>
                      <w:rFonts w:hint="eastAsia"/>
                      <w:color w:val="auto"/>
                    </w:rPr>
                    <w:t>HW01</w:t>
                  </w:r>
                </w:p>
              </w:tc>
              <w:tc>
                <w:tcPr>
                  <w:tcW w:w="2819" w:type="dxa"/>
                  <w:gridSpan w:val="2"/>
                  <w:noWrap w:val="0"/>
                  <w:vAlign w:val="center"/>
                </w:tcPr>
                <w:p>
                  <w:pPr>
                    <w:pStyle w:val="118"/>
                    <w:rPr>
                      <w:color w:val="auto"/>
                    </w:rPr>
                  </w:pPr>
                  <w:r>
                    <w:rPr>
                      <w:rFonts w:hint="eastAsia"/>
                      <w:color w:val="auto"/>
                    </w:rPr>
                    <w:t>感染性废物841-001-01</w:t>
                  </w:r>
                </w:p>
              </w:tc>
              <w:tc>
                <w:tcPr>
                  <w:tcW w:w="1513" w:type="dxa"/>
                  <w:vMerge w:val="restart"/>
                  <w:noWrap w:val="0"/>
                  <w:vAlign w:val="center"/>
                </w:tcPr>
                <w:p>
                  <w:pPr>
                    <w:pStyle w:val="170"/>
                    <w:bidi w:val="0"/>
                    <w:rPr>
                      <w:color w:val="auto"/>
                    </w:rPr>
                  </w:pPr>
                  <w:r>
                    <w:rPr>
                      <w:rFonts w:hint="eastAsia"/>
                      <w:color w:val="auto"/>
                    </w:rPr>
                    <w:t>1.46</w:t>
                  </w:r>
                </w:p>
              </w:tc>
              <w:tc>
                <w:tcPr>
                  <w:tcW w:w="2077" w:type="dxa"/>
                  <w:vMerge w:val="restart"/>
                  <w:noWrap w:val="0"/>
                  <w:vAlign w:val="center"/>
                </w:tcPr>
                <w:p>
                  <w:pPr>
                    <w:pStyle w:val="118"/>
                    <w:rPr>
                      <w:color w:val="auto"/>
                    </w:rPr>
                  </w:pPr>
                  <w:r>
                    <w:rPr>
                      <w:rFonts w:hint="eastAsia"/>
                      <w:color w:val="auto"/>
                    </w:rPr>
                    <w:t>分类收集，暂存于医疗废物暂存间，定期交由具有相关资质的单位处置，医疗废物的收集周期不超过2天，并做好医疗废弃物的转运台账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7" w:type="dxa"/>
                  <w:vMerge w:val="continue"/>
                  <w:noWrap w:val="0"/>
                  <w:vAlign w:val="center"/>
                </w:tcPr>
                <w:p>
                  <w:pPr>
                    <w:pStyle w:val="118"/>
                    <w:rPr>
                      <w:rFonts w:hint="eastAsia"/>
                      <w:color w:val="auto"/>
                    </w:rPr>
                  </w:pPr>
                </w:p>
              </w:tc>
              <w:tc>
                <w:tcPr>
                  <w:tcW w:w="780" w:type="dxa"/>
                  <w:vMerge w:val="continue"/>
                  <w:noWrap w:val="0"/>
                  <w:vAlign w:val="center"/>
                </w:tcPr>
                <w:p>
                  <w:pPr>
                    <w:pStyle w:val="118"/>
                    <w:rPr>
                      <w:rFonts w:hint="eastAsia"/>
                      <w:color w:val="auto"/>
                    </w:rPr>
                  </w:pPr>
                </w:p>
              </w:tc>
              <w:tc>
                <w:tcPr>
                  <w:tcW w:w="2819" w:type="dxa"/>
                  <w:gridSpan w:val="2"/>
                  <w:noWrap w:val="0"/>
                  <w:vAlign w:val="center"/>
                </w:tcPr>
                <w:p>
                  <w:pPr>
                    <w:pStyle w:val="118"/>
                    <w:rPr>
                      <w:color w:val="auto"/>
                    </w:rPr>
                  </w:pPr>
                  <w:r>
                    <w:rPr>
                      <w:rFonts w:hint="eastAsia"/>
                      <w:color w:val="auto"/>
                    </w:rPr>
                    <w:t>损伤性废物841-002-01</w:t>
                  </w:r>
                </w:p>
              </w:tc>
              <w:tc>
                <w:tcPr>
                  <w:tcW w:w="1513" w:type="dxa"/>
                  <w:vMerge w:val="continue"/>
                  <w:noWrap w:val="0"/>
                  <w:vAlign w:val="center"/>
                </w:tcPr>
                <w:p>
                  <w:pPr>
                    <w:pStyle w:val="118"/>
                    <w:rPr>
                      <w:rFonts w:hint="eastAsia"/>
                      <w:color w:val="auto"/>
                    </w:rPr>
                  </w:pPr>
                </w:p>
              </w:tc>
              <w:tc>
                <w:tcPr>
                  <w:tcW w:w="2077" w:type="dxa"/>
                  <w:vMerge w:val="continue"/>
                  <w:noWrap w:val="0"/>
                  <w:vAlign w:val="center"/>
                </w:tcPr>
                <w:p>
                  <w:pPr>
                    <w:pStyle w:val="118"/>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7" w:type="dxa"/>
                  <w:vMerge w:val="continue"/>
                  <w:noWrap w:val="0"/>
                  <w:vAlign w:val="center"/>
                </w:tcPr>
                <w:p>
                  <w:pPr>
                    <w:pStyle w:val="118"/>
                    <w:rPr>
                      <w:rFonts w:hint="eastAsia"/>
                      <w:color w:val="auto"/>
                    </w:rPr>
                  </w:pPr>
                </w:p>
              </w:tc>
              <w:tc>
                <w:tcPr>
                  <w:tcW w:w="780" w:type="dxa"/>
                  <w:vMerge w:val="continue"/>
                  <w:noWrap w:val="0"/>
                  <w:vAlign w:val="center"/>
                </w:tcPr>
                <w:p>
                  <w:pPr>
                    <w:pStyle w:val="118"/>
                    <w:rPr>
                      <w:rFonts w:hint="eastAsia"/>
                      <w:color w:val="auto"/>
                    </w:rPr>
                  </w:pPr>
                </w:p>
              </w:tc>
              <w:tc>
                <w:tcPr>
                  <w:tcW w:w="2819" w:type="dxa"/>
                  <w:gridSpan w:val="2"/>
                  <w:noWrap w:val="0"/>
                  <w:vAlign w:val="center"/>
                </w:tcPr>
                <w:p>
                  <w:pPr>
                    <w:pStyle w:val="118"/>
                    <w:rPr>
                      <w:rFonts w:hint="eastAsia"/>
                      <w:color w:val="auto"/>
                    </w:rPr>
                  </w:pPr>
                  <w:r>
                    <w:rPr>
                      <w:rFonts w:hint="eastAsia"/>
                      <w:color w:val="auto"/>
                    </w:rPr>
                    <w:t>化学性废物841-004-01</w:t>
                  </w:r>
                </w:p>
              </w:tc>
              <w:tc>
                <w:tcPr>
                  <w:tcW w:w="1513" w:type="dxa"/>
                  <w:vMerge w:val="continue"/>
                  <w:noWrap w:val="0"/>
                  <w:vAlign w:val="center"/>
                </w:tcPr>
                <w:p>
                  <w:pPr>
                    <w:pStyle w:val="118"/>
                    <w:rPr>
                      <w:rFonts w:hint="eastAsia"/>
                      <w:color w:val="auto"/>
                    </w:rPr>
                  </w:pPr>
                </w:p>
              </w:tc>
              <w:tc>
                <w:tcPr>
                  <w:tcW w:w="2077" w:type="dxa"/>
                  <w:vMerge w:val="continue"/>
                  <w:noWrap w:val="0"/>
                  <w:vAlign w:val="center"/>
                </w:tcPr>
                <w:p>
                  <w:pPr>
                    <w:pStyle w:val="118"/>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7" w:type="dxa"/>
                  <w:vMerge w:val="continue"/>
                  <w:noWrap w:val="0"/>
                  <w:vAlign w:val="center"/>
                </w:tcPr>
                <w:p>
                  <w:pPr>
                    <w:pStyle w:val="118"/>
                    <w:rPr>
                      <w:rFonts w:hint="eastAsia"/>
                      <w:color w:val="auto"/>
                    </w:rPr>
                  </w:pPr>
                </w:p>
              </w:tc>
              <w:tc>
                <w:tcPr>
                  <w:tcW w:w="780" w:type="dxa"/>
                  <w:vMerge w:val="continue"/>
                  <w:noWrap w:val="0"/>
                  <w:vAlign w:val="center"/>
                </w:tcPr>
                <w:p>
                  <w:pPr>
                    <w:pStyle w:val="118"/>
                    <w:rPr>
                      <w:rFonts w:hint="eastAsia"/>
                      <w:color w:val="auto"/>
                    </w:rPr>
                  </w:pPr>
                </w:p>
              </w:tc>
              <w:tc>
                <w:tcPr>
                  <w:tcW w:w="2819" w:type="dxa"/>
                  <w:gridSpan w:val="2"/>
                  <w:noWrap w:val="0"/>
                  <w:vAlign w:val="center"/>
                </w:tcPr>
                <w:p>
                  <w:pPr>
                    <w:pStyle w:val="118"/>
                    <w:rPr>
                      <w:rFonts w:hint="eastAsia"/>
                      <w:color w:val="auto"/>
                    </w:rPr>
                  </w:pPr>
                  <w:r>
                    <w:rPr>
                      <w:rFonts w:hint="eastAsia"/>
                      <w:color w:val="auto"/>
                    </w:rPr>
                    <w:t>药物性废物841-005-01</w:t>
                  </w:r>
                </w:p>
              </w:tc>
              <w:tc>
                <w:tcPr>
                  <w:tcW w:w="1513" w:type="dxa"/>
                  <w:vMerge w:val="continue"/>
                  <w:noWrap w:val="0"/>
                  <w:vAlign w:val="center"/>
                </w:tcPr>
                <w:p>
                  <w:pPr>
                    <w:pStyle w:val="118"/>
                    <w:rPr>
                      <w:rFonts w:hint="eastAsia"/>
                      <w:color w:val="auto"/>
                    </w:rPr>
                  </w:pPr>
                </w:p>
              </w:tc>
              <w:tc>
                <w:tcPr>
                  <w:tcW w:w="2077" w:type="dxa"/>
                  <w:vMerge w:val="continue"/>
                  <w:noWrap w:val="0"/>
                  <w:vAlign w:val="center"/>
                </w:tcPr>
                <w:p>
                  <w:pPr>
                    <w:pStyle w:val="118"/>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7" w:type="dxa"/>
                  <w:vMerge w:val="continue"/>
                  <w:noWrap w:val="0"/>
                  <w:vAlign w:val="center"/>
                </w:tcPr>
                <w:p>
                  <w:pPr>
                    <w:pStyle w:val="118"/>
                    <w:rPr>
                      <w:rFonts w:hint="eastAsia"/>
                      <w:color w:val="auto"/>
                    </w:rPr>
                  </w:pPr>
                </w:p>
              </w:tc>
              <w:tc>
                <w:tcPr>
                  <w:tcW w:w="3599" w:type="dxa"/>
                  <w:gridSpan w:val="3"/>
                  <w:noWrap w:val="0"/>
                  <w:vAlign w:val="center"/>
                </w:tcPr>
                <w:p>
                  <w:pPr>
                    <w:pStyle w:val="118"/>
                    <w:rPr>
                      <w:color w:val="auto"/>
                    </w:rPr>
                  </w:pPr>
                  <w:r>
                    <w:rPr>
                      <w:rFonts w:hint="eastAsia"/>
                      <w:color w:val="auto"/>
                      <w:lang w:eastAsia="zh-CN"/>
                    </w:rPr>
                    <w:t>宠物尸体</w:t>
                  </w:r>
                  <w:r>
                    <w:rPr>
                      <w:rFonts w:hint="eastAsia"/>
                      <w:color w:val="auto"/>
                    </w:rPr>
                    <w:t>HW01  841-00</w:t>
                  </w:r>
                  <w:r>
                    <w:rPr>
                      <w:rFonts w:hint="eastAsia"/>
                      <w:color w:val="auto"/>
                      <w:lang w:val="en-US" w:eastAsia="zh-CN"/>
                    </w:rPr>
                    <w:t>3</w:t>
                  </w:r>
                  <w:r>
                    <w:rPr>
                      <w:rFonts w:hint="eastAsia"/>
                      <w:color w:val="auto"/>
                    </w:rPr>
                    <w:t xml:space="preserve">-01 </w:t>
                  </w:r>
                </w:p>
              </w:tc>
              <w:tc>
                <w:tcPr>
                  <w:tcW w:w="1513" w:type="dxa"/>
                  <w:noWrap w:val="0"/>
                  <w:vAlign w:val="center"/>
                </w:tcPr>
                <w:p>
                  <w:pPr>
                    <w:pStyle w:val="170"/>
                    <w:bidi w:val="0"/>
                    <w:rPr>
                      <w:color w:val="auto"/>
                    </w:rPr>
                  </w:pPr>
                  <w:r>
                    <w:rPr>
                      <w:rFonts w:hint="eastAsia"/>
                      <w:color w:val="auto"/>
                    </w:rPr>
                    <w:t>0.05</w:t>
                  </w:r>
                </w:p>
              </w:tc>
              <w:tc>
                <w:tcPr>
                  <w:tcW w:w="2077" w:type="dxa"/>
                  <w:vMerge w:val="continue"/>
                  <w:noWrap w:val="0"/>
                  <w:vAlign w:val="center"/>
                </w:tcPr>
                <w:p>
                  <w:pPr>
                    <w:pStyle w:val="118"/>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7" w:type="dxa"/>
                  <w:vMerge w:val="continue"/>
                  <w:noWrap w:val="0"/>
                  <w:vAlign w:val="center"/>
                </w:tcPr>
                <w:p>
                  <w:pPr>
                    <w:pStyle w:val="118"/>
                    <w:rPr>
                      <w:rFonts w:hint="eastAsia"/>
                      <w:color w:val="auto"/>
                    </w:rPr>
                  </w:pPr>
                </w:p>
              </w:tc>
              <w:tc>
                <w:tcPr>
                  <w:tcW w:w="3599" w:type="dxa"/>
                  <w:gridSpan w:val="3"/>
                  <w:noWrap w:val="0"/>
                  <w:vAlign w:val="center"/>
                </w:tcPr>
                <w:p>
                  <w:pPr>
                    <w:pStyle w:val="118"/>
                    <w:rPr>
                      <w:rFonts w:hint="eastAsia"/>
                      <w:color w:val="auto"/>
                    </w:rPr>
                  </w:pPr>
                  <w:r>
                    <w:rPr>
                      <w:rFonts w:hint="eastAsia"/>
                      <w:color w:val="auto"/>
                    </w:rPr>
                    <w:t>废紫外线灯管HW29  900-023-29</w:t>
                  </w:r>
                </w:p>
              </w:tc>
              <w:tc>
                <w:tcPr>
                  <w:tcW w:w="1513" w:type="dxa"/>
                  <w:noWrap w:val="0"/>
                  <w:vAlign w:val="center"/>
                </w:tcPr>
                <w:p>
                  <w:pPr>
                    <w:pStyle w:val="170"/>
                    <w:bidi w:val="0"/>
                    <w:rPr>
                      <w:rFonts w:hint="default" w:eastAsia="宋体"/>
                      <w:color w:val="auto"/>
                      <w:lang w:val="en-US" w:eastAsia="zh-CN"/>
                    </w:rPr>
                  </w:pPr>
                  <w:r>
                    <w:rPr>
                      <w:rFonts w:hint="eastAsia"/>
                      <w:color w:val="auto"/>
                    </w:rPr>
                    <w:t>0.0</w:t>
                  </w:r>
                  <w:r>
                    <w:rPr>
                      <w:rFonts w:hint="eastAsia"/>
                      <w:color w:val="auto"/>
                      <w:lang w:val="en-US" w:eastAsia="zh-CN"/>
                    </w:rPr>
                    <w:t>03</w:t>
                  </w:r>
                </w:p>
              </w:tc>
              <w:tc>
                <w:tcPr>
                  <w:tcW w:w="2077" w:type="dxa"/>
                  <w:vMerge w:val="continue"/>
                  <w:noWrap w:val="0"/>
                  <w:vAlign w:val="center"/>
                </w:tcPr>
                <w:p>
                  <w:pPr>
                    <w:pStyle w:val="118"/>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16" w:type="dxa"/>
                  <w:gridSpan w:val="4"/>
                  <w:noWrap w:val="0"/>
                  <w:vAlign w:val="center"/>
                </w:tcPr>
                <w:p>
                  <w:pPr>
                    <w:pStyle w:val="118"/>
                    <w:rPr>
                      <w:rFonts w:hint="eastAsia"/>
                      <w:color w:val="auto"/>
                    </w:rPr>
                  </w:pPr>
                  <w:r>
                    <w:rPr>
                      <w:rFonts w:hint="eastAsia"/>
                      <w:color w:val="auto"/>
                    </w:rPr>
                    <w:t>合计</w:t>
                  </w:r>
                </w:p>
              </w:tc>
              <w:tc>
                <w:tcPr>
                  <w:tcW w:w="1513" w:type="dxa"/>
                  <w:noWrap w:val="0"/>
                  <w:vAlign w:val="center"/>
                </w:tcPr>
                <w:p>
                  <w:pPr>
                    <w:pStyle w:val="118"/>
                    <w:rPr>
                      <w:rFonts w:hint="default" w:eastAsia="宋体"/>
                      <w:color w:val="auto"/>
                      <w:lang w:val="en-US" w:eastAsia="zh-CN"/>
                    </w:rPr>
                  </w:pPr>
                  <w:r>
                    <w:rPr>
                      <w:rFonts w:hint="eastAsia"/>
                      <w:color w:val="auto"/>
                      <w:lang w:val="en-US" w:eastAsia="zh-CN"/>
                    </w:rPr>
                    <w:t>1.513</w:t>
                  </w:r>
                </w:p>
              </w:tc>
              <w:tc>
                <w:tcPr>
                  <w:tcW w:w="2077" w:type="dxa"/>
                  <w:vMerge w:val="continue"/>
                  <w:noWrap w:val="0"/>
                  <w:vAlign w:val="center"/>
                </w:tcPr>
                <w:p>
                  <w:pPr>
                    <w:pStyle w:val="118"/>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2" w:hRule="atLeast"/>
              </w:trPr>
              <w:tc>
                <w:tcPr>
                  <w:tcW w:w="1117" w:type="dxa"/>
                  <w:vMerge w:val="restart"/>
                  <w:noWrap w:val="0"/>
                  <w:vAlign w:val="center"/>
                </w:tcPr>
                <w:p>
                  <w:pPr>
                    <w:pStyle w:val="118"/>
                    <w:rPr>
                      <w:rFonts w:hint="eastAsia"/>
                      <w:color w:val="auto"/>
                    </w:rPr>
                  </w:pPr>
                  <w:r>
                    <w:rPr>
                      <w:rFonts w:hint="eastAsia"/>
                      <w:color w:val="auto"/>
                    </w:rPr>
                    <w:t>一般固废</w:t>
                  </w:r>
                </w:p>
              </w:tc>
              <w:tc>
                <w:tcPr>
                  <w:tcW w:w="1324" w:type="dxa"/>
                  <w:gridSpan w:val="2"/>
                  <w:noWrap w:val="0"/>
                  <w:vAlign w:val="center"/>
                </w:tcPr>
                <w:p>
                  <w:pPr>
                    <w:pStyle w:val="170"/>
                    <w:bidi w:val="0"/>
                    <w:rPr>
                      <w:rFonts w:hint="eastAsia"/>
                      <w:color w:val="auto"/>
                    </w:rPr>
                  </w:pPr>
                  <w:r>
                    <w:rPr>
                      <w:rFonts w:hint="eastAsia"/>
                      <w:color w:val="auto"/>
                    </w:rPr>
                    <w:t>生活垃圾</w:t>
                  </w:r>
                </w:p>
              </w:tc>
              <w:tc>
                <w:tcPr>
                  <w:tcW w:w="2275" w:type="dxa"/>
                  <w:vMerge w:val="restart"/>
                  <w:noWrap w:val="0"/>
                  <w:vAlign w:val="center"/>
                </w:tcPr>
                <w:p>
                  <w:pPr>
                    <w:pStyle w:val="170"/>
                    <w:bidi w:val="0"/>
                    <w:rPr>
                      <w:rFonts w:hint="eastAsia"/>
                      <w:color w:val="auto"/>
                    </w:rPr>
                  </w:pPr>
                  <w:r>
                    <w:rPr>
                      <w:rFonts w:hint="eastAsia"/>
                      <w:color w:val="auto"/>
                    </w:rPr>
                    <w:t>900-999-99</w:t>
                  </w:r>
                </w:p>
              </w:tc>
              <w:tc>
                <w:tcPr>
                  <w:tcW w:w="1513" w:type="dxa"/>
                  <w:noWrap w:val="0"/>
                  <w:vAlign w:val="center"/>
                </w:tcPr>
                <w:p>
                  <w:pPr>
                    <w:pStyle w:val="170"/>
                    <w:bidi w:val="0"/>
                    <w:rPr>
                      <w:color w:val="auto"/>
                    </w:rPr>
                  </w:pPr>
                  <w:r>
                    <w:rPr>
                      <w:rFonts w:hint="eastAsia"/>
                      <w:color w:val="auto"/>
                    </w:rPr>
                    <w:t>1.27</w:t>
                  </w:r>
                </w:p>
              </w:tc>
              <w:tc>
                <w:tcPr>
                  <w:tcW w:w="2077" w:type="dxa"/>
                  <w:vMerge w:val="restart"/>
                  <w:noWrap w:val="0"/>
                  <w:vAlign w:val="center"/>
                </w:tcPr>
                <w:p>
                  <w:pPr>
                    <w:pStyle w:val="170"/>
                    <w:bidi w:val="0"/>
                    <w:rPr>
                      <w:rFonts w:hint="eastAsia"/>
                      <w:color w:val="auto"/>
                    </w:rPr>
                  </w:pPr>
                  <w:r>
                    <w:rPr>
                      <w:rFonts w:hint="eastAsia"/>
                      <w:color w:val="auto"/>
                    </w:rPr>
                    <w:t>生活垃圾收集后放置于社区生活垃圾暂存点待环卫部门转运处置；</w:t>
                  </w:r>
                </w:p>
                <w:p>
                  <w:pPr>
                    <w:pStyle w:val="118"/>
                    <w:rPr>
                      <w:rFonts w:hint="eastAsia"/>
                      <w:color w:val="auto"/>
                    </w:rPr>
                  </w:pPr>
                  <w:r>
                    <w:rPr>
                      <w:rFonts w:hint="eastAsia"/>
                      <w:color w:val="auto"/>
                    </w:rPr>
                    <w:t>宠物毛发和粪便集中收集，喷洒消毒剂后同生活垃圾交由市环卫部门统一收集清运和处理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trPr>
              <w:tc>
                <w:tcPr>
                  <w:tcW w:w="1117" w:type="dxa"/>
                  <w:vMerge w:val="continue"/>
                  <w:noWrap w:val="0"/>
                  <w:vAlign w:val="center"/>
                </w:tcPr>
                <w:p>
                  <w:pPr>
                    <w:pStyle w:val="118"/>
                    <w:rPr>
                      <w:rFonts w:hint="eastAsia"/>
                      <w:color w:val="auto"/>
                    </w:rPr>
                  </w:pPr>
                </w:p>
              </w:tc>
              <w:tc>
                <w:tcPr>
                  <w:tcW w:w="1324" w:type="dxa"/>
                  <w:gridSpan w:val="2"/>
                  <w:noWrap w:val="0"/>
                  <w:vAlign w:val="center"/>
                </w:tcPr>
                <w:p>
                  <w:pPr>
                    <w:pStyle w:val="170"/>
                    <w:bidi w:val="0"/>
                    <w:rPr>
                      <w:rFonts w:hint="eastAsia"/>
                      <w:color w:val="auto"/>
                    </w:rPr>
                  </w:pPr>
                  <w:r>
                    <w:rPr>
                      <w:rFonts w:hint="eastAsia"/>
                      <w:color w:val="auto"/>
                    </w:rPr>
                    <w:t>宠物毛发</w:t>
                  </w:r>
                </w:p>
              </w:tc>
              <w:tc>
                <w:tcPr>
                  <w:tcW w:w="2275" w:type="dxa"/>
                  <w:vMerge w:val="continue"/>
                  <w:noWrap w:val="0"/>
                  <w:vAlign w:val="center"/>
                </w:tcPr>
                <w:p>
                  <w:pPr>
                    <w:pStyle w:val="170"/>
                    <w:bidi w:val="0"/>
                    <w:rPr>
                      <w:rFonts w:hint="eastAsia"/>
                      <w:color w:val="auto"/>
                    </w:rPr>
                  </w:pPr>
                </w:p>
              </w:tc>
              <w:tc>
                <w:tcPr>
                  <w:tcW w:w="1513" w:type="dxa"/>
                  <w:noWrap w:val="0"/>
                  <w:vAlign w:val="center"/>
                </w:tcPr>
                <w:p>
                  <w:pPr>
                    <w:pStyle w:val="170"/>
                    <w:bidi w:val="0"/>
                    <w:rPr>
                      <w:color w:val="auto"/>
                    </w:rPr>
                  </w:pPr>
                  <w:r>
                    <w:rPr>
                      <w:rFonts w:hint="eastAsia"/>
                      <w:color w:val="auto"/>
                    </w:rPr>
                    <w:t>0.04</w:t>
                  </w:r>
                </w:p>
              </w:tc>
              <w:tc>
                <w:tcPr>
                  <w:tcW w:w="2077" w:type="dxa"/>
                  <w:vMerge w:val="continue"/>
                  <w:noWrap w:val="0"/>
                  <w:vAlign w:val="center"/>
                </w:tcPr>
                <w:p>
                  <w:pPr>
                    <w:pStyle w:val="118"/>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7" w:hRule="atLeast"/>
              </w:trPr>
              <w:tc>
                <w:tcPr>
                  <w:tcW w:w="1117" w:type="dxa"/>
                  <w:vMerge w:val="continue"/>
                  <w:noWrap w:val="0"/>
                  <w:vAlign w:val="center"/>
                </w:tcPr>
                <w:p>
                  <w:pPr>
                    <w:pStyle w:val="118"/>
                    <w:rPr>
                      <w:rFonts w:hint="eastAsia"/>
                      <w:color w:val="auto"/>
                    </w:rPr>
                  </w:pPr>
                </w:p>
              </w:tc>
              <w:tc>
                <w:tcPr>
                  <w:tcW w:w="1324" w:type="dxa"/>
                  <w:gridSpan w:val="2"/>
                  <w:noWrap w:val="0"/>
                  <w:vAlign w:val="center"/>
                </w:tcPr>
                <w:p>
                  <w:pPr>
                    <w:pStyle w:val="170"/>
                    <w:bidi w:val="0"/>
                    <w:rPr>
                      <w:rFonts w:hint="eastAsia"/>
                      <w:color w:val="auto"/>
                    </w:rPr>
                  </w:pPr>
                  <w:r>
                    <w:rPr>
                      <w:rFonts w:hint="eastAsia"/>
                      <w:color w:val="auto"/>
                    </w:rPr>
                    <w:t>宠物粪便</w:t>
                  </w:r>
                </w:p>
              </w:tc>
              <w:tc>
                <w:tcPr>
                  <w:tcW w:w="2275" w:type="dxa"/>
                  <w:vMerge w:val="continue"/>
                  <w:noWrap w:val="0"/>
                  <w:vAlign w:val="center"/>
                </w:tcPr>
                <w:p>
                  <w:pPr>
                    <w:pStyle w:val="170"/>
                    <w:bidi w:val="0"/>
                    <w:rPr>
                      <w:rFonts w:hint="eastAsia"/>
                      <w:color w:val="auto"/>
                    </w:rPr>
                  </w:pPr>
                </w:p>
              </w:tc>
              <w:tc>
                <w:tcPr>
                  <w:tcW w:w="1513" w:type="dxa"/>
                  <w:noWrap w:val="0"/>
                  <w:vAlign w:val="center"/>
                </w:tcPr>
                <w:p>
                  <w:pPr>
                    <w:pStyle w:val="170"/>
                    <w:bidi w:val="0"/>
                    <w:rPr>
                      <w:color w:val="auto"/>
                    </w:rPr>
                  </w:pPr>
                  <w:r>
                    <w:rPr>
                      <w:rFonts w:hint="eastAsia"/>
                      <w:color w:val="auto"/>
                    </w:rPr>
                    <w:t>0.365</w:t>
                  </w:r>
                </w:p>
              </w:tc>
              <w:tc>
                <w:tcPr>
                  <w:tcW w:w="2077" w:type="dxa"/>
                  <w:vMerge w:val="continue"/>
                  <w:noWrap w:val="0"/>
                  <w:vAlign w:val="center"/>
                </w:tcPr>
                <w:p>
                  <w:pPr>
                    <w:pStyle w:val="118"/>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16" w:type="dxa"/>
                  <w:gridSpan w:val="4"/>
                  <w:noWrap w:val="0"/>
                  <w:vAlign w:val="center"/>
                </w:tcPr>
                <w:p>
                  <w:pPr>
                    <w:pStyle w:val="170"/>
                    <w:bidi w:val="0"/>
                    <w:rPr>
                      <w:rFonts w:hint="eastAsia" w:eastAsia="宋体"/>
                      <w:color w:val="auto"/>
                      <w:lang w:eastAsia="zh-CN"/>
                    </w:rPr>
                  </w:pPr>
                  <w:r>
                    <w:rPr>
                      <w:rFonts w:hint="eastAsia"/>
                      <w:color w:val="auto"/>
                      <w:lang w:eastAsia="zh-CN"/>
                    </w:rPr>
                    <w:t>合计</w:t>
                  </w:r>
                </w:p>
              </w:tc>
              <w:tc>
                <w:tcPr>
                  <w:tcW w:w="1513" w:type="dxa"/>
                  <w:noWrap w:val="0"/>
                  <w:vAlign w:val="center"/>
                </w:tcPr>
                <w:p>
                  <w:pPr>
                    <w:pStyle w:val="170"/>
                    <w:bidi w:val="0"/>
                    <w:rPr>
                      <w:rFonts w:hint="default" w:eastAsia="宋体"/>
                      <w:color w:val="auto"/>
                      <w:lang w:val="en-US" w:eastAsia="zh-CN"/>
                    </w:rPr>
                  </w:pPr>
                  <w:r>
                    <w:rPr>
                      <w:rFonts w:hint="eastAsia"/>
                      <w:color w:val="auto"/>
                      <w:lang w:val="en-US" w:eastAsia="zh-CN"/>
                    </w:rPr>
                    <w:t>1.675</w:t>
                  </w:r>
                </w:p>
              </w:tc>
              <w:tc>
                <w:tcPr>
                  <w:tcW w:w="2077" w:type="dxa"/>
                  <w:vMerge w:val="continue"/>
                  <w:noWrap w:val="0"/>
                  <w:vAlign w:val="center"/>
                </w:tcPr>
                <w:p>
                  <w:pPr>
                    <w:pStyle w:val="118"/>
                    <w:rPr>
                      <w:rFonts w:hint="eastAsia"/>
                      <w:color w:val="auto"/>
                    </w:rPr>
                  </w:pPr>
                </w:p>
              </w:tc>
            </w:tr>
          </w:tbl>
          <w:p>
            <w:pPr>
              <w:pStyle w:val="104"/>
              <w:ind w:firstLine="480"/>
              <w:rPr>
                <w:rFonts w:hint="eastAsia"/>
                <w:color w:val="auto"/>
              </w:rPr>
            </w:pPr>
            <w:r>
              <w:rPr>
                <w:rFonts w:hint="eastAsia"/>
                <w:color w:val="auto"/>
              </w:rPr>
              <w:t>由上表可知，本项目产生的固体废弃物按照要求分类处理，去向明确，均能得到妥善处置，不会产生二次污染。</w:t>
            </w:r>
          </w:p>
          <w:p>
            <w:pPr>
              <w:pStyle w:val="4"/>
              <w:spacing w:after="120"/>
              <w:rPr>
                <w:color w:val="auto"/>
              </w:rPr>
            </w:pPr>
            <w:r>
              <w:rPr>
                <w:color w:val="auto"/>
              </w:rPr>
              <w:t>五、地下水、土壤环境分析</w:t>
            </w:r>
          </w:p>
          <w:p>
            <w:pPr>
              <w:pStyle w:val="104"/>
              <w:ind w:firstLine="480"/>
              <w:rPr>
                <w:rFonts w:hint="eastAsia"/>
                <w:color w:val="auto"/>
                <w:lang w:eastAsia="zh-CN"/>
              </w:rPr>
            </w:pPr>
            <w:r>
              <w:rPr>
                <w:rFonts w:hint="eastAsia"/>
                <w:color w:val="auto"/>
                <w:lang w:eastAsia="zh-CN"/>
              </w:rPr>
              <w:t>本项目运营期不取用地下水，也不向地下注水和排水，所有建筑均已采取防渗漏的地面硬化措施，危险废物经暂存间收集后交由资质单位处理，项目产生的所有废水均得到有效处理，正常情况下，项目不会对地下水及土壤环境造成污染影响。</w:t>
            </w:r>
          </w:p>
          <w:p>
            <w:pPr>
              <w:pStyle w:val="104"/>
              <w:ind w:firstLine="480"/>
              <w:rPr>
                <w:rFonts w:hint="eastAsia"/>
                <w:color w:val="auto"/>
                <w:lang w:eastAsia="zh-CN"/>
              </w:rPr>
            </w:pPr>
            <w:r>
              <w:rPr>
                <w:rFonts w:hint="eastAsia"/>
                <w:color w:val="auto"/>
                <w:lang w:eastAsia="zh-CN"/>
              </w:rPr>
              <w:t>项目地下水与土壤污染防治措施和对策，应坚持“源头控制、分区防治、污染监控、应急响应”的原则。</w:t>
            </w:r>
          </w:p>
          <w:p>
            <w:pPr>
              <w:pStyle w:val="5"/>
              <w:numPr>
                <w:ilvl w:val="0"/>
                <w:numId w:val="22"/>
              </w:numPr>
              <w:bidi w:val="0"/>
              <w:rPr>
                <w:rFonts w:hint="eastAsia"/>
                <w:color w:val="auto"/>
                <w:lang w:val="en-US" w:eastAsia="zh-CN"/>
              </w:rPr>
            </w:pPr>
            <w:r>
              <w:rPr>
                <w:rFonts w:hint="eastAsia"/>
                <w:color w:val="auto"/>
                <w:lang w:val="en-US" w:eastAsia="zh-CN"/>
              </w:rPr>
              <w:t>项目现有治理措施</w:t>
            </w:r>
          </w:p>
          <w:p>
            <w:pPr>
              <w:pStyle w:val="104"/>
              <w:bidi w:val="0"/>
              <w:rPr>
                <w:rFonts w:hint="eastAsia"/>
                <w:color w:val="auto"/>
                <w:lang w:eastAsia="zh-CN"/>
              </w:rPr>
            </w:pPr>
            <w:r>
              <w:rPr>
                <w:rFonts w:hint="eastAsia"/>
                <w:color w:val="auto"/>
                <w:lang w:eastAsia="zh-CN"/>
              </w:rPr>
              <w:t>本项目已建成投产，租赁的小区商业设施进行项目生产经营，且项目已对地面进行了混凝土硬化防渗处理。</w:t>
            </w:r>
          </w:p>
          <w:p>
            <w:pPr>
              <w:pStyle w:val="5"/>
              <w:numPr>
                <w:ilvl w:val="0"/>
                <w:numId w:val="22"/>
              </w:numPr>
              <w:bidi w:val="0"/>
              <w:ind w:left="0" w:leftChars="0" w:firstLine="480" w:firstLineChars="200"/>
              <w:rPr>
                <w:rFonts w:hint="eastAsia"/>
                <w:color w:val="auto"/>
                <w:lang w:val="en-US" w:eastAsia="zh-CN"/>
              </w:rPr>
            </w:pPr>
            <w:r>
              <w:rPr>
                <w:rFonts w:hint="eastAsia"/>
                <w:color w:val="auto"/>
                <w:lang w:val="en-US" w:eastAsia="zh-CN"/>
              </w:rPr>
              <w:t>存在问题及整改措施</w:t>
            </w:r>
          </w:p>
          <w:p>
            <w:pPr>
              <w:pStyle w:val="104"/>
              <w:numPr>
                <w:ilvl w:val="0"/>
                <w:numId w:val="23"/>
              </w:numPr>
              <w:bidi w:val="0"/>
              <w:rPr>
                <w:rFonts w:hint="eastAsia"/>
                <w:b/>
                <w:bCs/>
                <w:color w:val="auto"/>
                <w:lang w:val="en-US" w:eastAsia="zh-CN"/>
              </w:rPr>
            </w:pPr>
            <w:r>
              <w:rPr>
                <w:rFonts w:hint="eastAsia"/>
                <w:b/>
                <w:bCs/>
                <w:color w:val="auto"/>
                <w:lang w:val="en-US" w:eastAsia="zh-CN"/>
              </w:rPr>
              <w:t>存在问题</w:t>
            </w:r>
          </w:p>
          <w:p>
            <w:pPr>
              <w:pStyle w:val="104"/>
              <w:bidi w:val="0"/>
              <w:rPr>
                <w:rFonts w:hint="eastAsia" w:cs="Times New Roman"/>
                <w:color w:val="auto"/>
                <w:vertAlign w:val="baseline"/>
                <w:lang w:val="en-US" w:eastAsia="zh-CN"/>
              </w:rPr>
            </w:pPr>
            <w:r>
              <w:rPr>
                <w:rFonts w:hint="eastAsia"/>
                <w:color w:val="auto"/>
                <w:lang w:val="en-US" w:eastAsia="zh-CN"/>
              </w:rPr>
              <w:t>目前项目地面已采取20cm厚P6抗渗混凝土+地砖，等效黏土防渗层Mb≥1.5m，K≤1.0</w:t>
            </w:r>
            <w:r>
              <w:rPr>
                <w:rFonts w:hint="default"/>
                <w:color w:val="auto"/>
                <w:lang w:val="en-US" w:eastAsia="zh-CN"/>
              </w:rPr>
              <w:t>×</w:t>
            </w:r>
            <w:r>
              <w:rPr>
                <w:rFonts w:hint="eastAsia"/>
                <w:color w:val="auto"/>
                <w:lang w:val="en-US" w:eastAsia="zh-CN"/>
              </w:rPr>
              <w:t>10</w:t>
            </w:r>
            <w:r>
              <w:rPr>
                <w:rFonts w:hint="eastAsia"/>
                <w:color w:val="auto"/>
                <w:vertAlign w:val="superscript"/>
                <w:lang w:val="en-US" w:eastAsia="zh-CN"/>
              </w:rPr>
              <w:t>-7</w:t>
            </w:r>
            <w:r>
              <w:rPr>
                <w:rFonts w:hint="eastAsia"/>
                <w:color w:val="auto"/>
                <w:lang w:val="en-US" w:eastAsia="zh-CN"/>
              </w:rPr>
              <w:t>cm/s，满足一般防渗区和简单防渗区要求，但不能满足“源头控制和过程防控”的要求。</w:t>
            </w:r>
          </w:p>
          <w:p>
            <w:pPr>
              <w:pStyle w:val="104"/>
              <w:numPr>
                <w:ilvl w:val="0"/>
                <w:numId w:val="23"/>
              </w:numPr>
              <w:bidi w:val="0"/>
              <w:ind w:left="0" w:leftChars="0" w:firstLine="482" w:firstLineChars="200"/>
              <w:rPr>
                <w:rFonts w:hint="eastAsia" w:cs="Times New Roman"/>
                <w:b/>
                <w:bCs/>
                <w:color w:val="auto"/>
                <w:vertAlign w:val="baseline"/>
                <w:lang w:val="en-US" w:eastAsia="zh-CN"/>
              </w:rPr>
            </w:pPr>
            <w:r>
              <w:rPr>
                <w:rFonts w:hint="eastAsia" w:cs="Times New Roman"/>
                <w:b/>
                <w:bCs/>
                <w:color w:val="auto"/>
                <w:vertAlign w:val="baseline"/>
                <w:lang w:val="en-US" w:eastAsia="zh-CN"/>
              </w:rPr>
              <w:t>整改措施</w:t>
            </w:r>
          </w:p>
          <w:p>
            <w:pPr>
              <w:pStyle w:val="104"/>
              <w:numPr>
                <w:ilvl w:val="0"/>
                <w:numId w:val="0"/>
              </w:numPr>
              <w:bidi w:val="0"/>
              <w:ind w:leftChars="200"/>
              <w:rPr>
                <w:rFonts w:hint="eastAsia" w:cs="Times New Roman"/>
                <w:b/>
                <w:bCs/>
                <w:color w:val="auto"/>
                <w:vertAlign w:val="baseline"/>
                <w:lang w:val="en-US" w:eastAsia="zh-CN"/>
              </w:rPr>
            </w:pPr>
            <w:r>
              <w:rPr>
                <w:rFonts w:hint="eastAsia" w:cs="Times New Roman"/>
                <w:b/>
                <w:bCs/>
                <w:color w:val="auto"/>
                <w:vertAlign w:val="baseline"/>
                <w:lang w:val="en-US" w:eastAsia="zh-CN"/>
              </w:rPr>
              <w:t>①源头控制措施：</w:t>
            </w:r>
          </w:p>
          <w:p>
            <w:pPr>
              <w:pStyle w:val="104"/>
              <w:numPr>
                <w:ilvl w:val="0"/>
                <w:numId w:val="24"/>
              </w:numPr>
              <w:bidi w:val="0"/>
              <w:rPr>
                <w:rFonts w:hint="eastAsia"/>
                <w:color w:val="auto"/>
                <w:lang w:val="en-US" w:eastAsia="zh-CN"/>
              </w:rPr>
            </w:pPr>
            <w:r>
              <w:rPr>
                <w:rFonts w:hint="eastAsia"/>
                <w:color w:val="auto"/>
                <w:lang w:val="en-US" w:eastAsia="zh-CN"/>
              </w:rPr>
              <w:t>加强环境管理，采取防止和降低污染物跑、冒、滴、漏的措施。正常运营期间应加强对医疗废物暂存间及设施危险物品区域的检查，及时处理污染物跑、冒、滴、漏，同时应加强对防渗工程的检查，若发现防渗层密封材料老化或损坏，应及时维修和更换。</w:t>
            </w:r>
          </w:p>
          <w:p>
            <w:pPr>
              <w:pStyle w:val="104"/>
              <w:numPr>
                <w:ilvl w:val="0"/>
                <w:numId w:val="24"/>
              </w:numPr>
              <w:bidi w:val="0"/>
              <w:rPr>
                <w:rFonts w:hint="default"/>
                <w:color w:val="auto"/>
                <w:lang w:val="en-US" w:eastAsia="zh-CN"/>
              </w:rPr>
            </w:pPr>
            <w:r>
              <w:rPr>
                <w:rFonts w:hint="eastAsia"/>
                <w:color w:val="auto"/>
                <w:lang w:val="en-US" w:eastAsia="zh-CN"/>
              </w:rPr>
              <w:t>对工艺、管道、设备、污水储存及处理构筑物采取控制措施，防止污染物的跑、冒、滴、漏，将污染物泄漏的环境风险事故降到最低限度。</w:t>
            </w:r>
          </w:p>
          <w:p>
            <w:pPr>
              <w:pStyle w:val="104"/>
              <w:bidi w:val="0"/>
              <w:rPr>
                <w:rFonts w:hint="eastAsia"/>
                <w:b/>
                <w:bCs/>
                <w:color w:val="auto"/>
                <w:lang w:val="en-US" w:eastAsia="zh-CN"/>
              </w:rPr>
            </w:pPr>
            <w:r>
              <w:rPr>
                <w:rFonts w:hint="eastAsia"/>
                <w:b/>
                <w:bCs/>
                <w:color w:val="auto"/>
                <w:lang w:val="en-US" w:eastAsia="zh-CN"/>
              </w:rPr>
              <w:t>②分区防渗措施：</w:t>
            </w:r>
          </w:p>
          <w:p>
            <w:pPr>
              <w:pStyle w:val="104"/>
              <w:bidi w:val="0"/>
              <w:rPr>
                <w:rFonts w:hint="eastAsia"/>
                <w:b w:val="0"/>
                <w:bCs w:val="0"/>
                <w:color w:val="auto"/>
                <w:lang w:val="en-US" w:eastAsia="zh-CN"/>
              </w:rPr>
            </w:pPr>
            <w:r>
              <w:rPr>
                <w:rFonts w:hint="eastAsia"/>
                <w:b w:val="0"/>
                <w:bCs w:val="0"/>
                <w:color w:val="auto"/>
                <w:lang w:val="en-US" w:eastAsia="zh-CN"/>
              </w:rPr>
              <w:t>结合本项目实际情况，将项目运营场所涉及危险物品的功能单元所处的位置划分为重点防渗区、一般防渗区和简单防渗区域。</w:t>
            </w:r>
          </w:p>
          <w:p>
            <w:pPr>
              <w:pStyle w:val="104"/>
              <w:bidi w:val="0"/>
              <w:rPr>
                <w:rFonts w:hint="eastAsia"/>
                <w:b w:val="0"/>
                <w:bCs w:val="0"/>
                <w:color w:val="auto"/>
                <w:lang w:val="en-US" w:eastAsia="zh-CN"/>
              </w:rPr>
            </w:pPr>
            <w:r>
              <w:rPr>
                <w:rFonts w:hint="eastAsia"/>
                <w:b w:val="0"/>
                <w:bCs w:val="0"/>
                <w:color w:val="auto"/>
                <w:lang w:val="en-US" w:eastAsia="zh-CN"/>
              </w:rPr>
              <w:t>重点防渗区主要为：医疗废物暂存间、污水处理设施区域；</w:t>
            </w:r>
          </w:p>
          <w:p>
            <w:pPr>
              <w:pStyle w:val="104"/>
              <w:bidi w:val="0"/>
              <w:rPr>
                <w:rFonts w:hint="eastAsia"/>
                <w:b w:val="0"/>
                <w:bCs w:val="0"/>
                <w:color w:val="auto"/>
                <w:lang w:val="en-US" w:eastAsia="zh-CN"/>
              </w:rPr>
            </w:pPr>
            <w:r>
              <w:rPr>
                <w:rFonts w:hint="eastAsia"/>
                <w:b w:val="0"/>
                <w:bCs w:val="0"/>
                <w:color w:val="auto"/>
                <w:lang w:val="en-US" w:eastAsia="zh-CN"/>
              </w:rPr>
              <w:t>一般防渗区主要为：化验室、宠物住院病房、DR室、手术室、库房及门诊室；</w:t>
            </w:r>
          </w:p>
          <w:p>
            <w:pPr>
              <w:pStyle w:val="104"/>
              <w:bidi w:val="0"/>
              <w:rPr>
                <w:rFonts w:hint="eastAsia"/>
                <w:b w:val="0"/>
                <w:bCs w:val="0"/>
                <w:color w:val="auto"/>
                <w:lang w:val="en-US" w:eastAsia="zh-CN"/>
              </w:rPr>
            </w:pPr>
            <w:r>
              <w:rPr>
                <w:rFonts w:hint="eastAsia"/>
                <w:b w:val="0"/>
                <w:bCs w:val="0"/>
                <w:color w:val="auto"/>
                <w:lang w:val="en-US" w:eastAsia="zh-CN"/>
              </w:rPr>
              <w:t>简单防渗区主要为：前台接待区域、大厅、走廊过道。</w:t>
            </w:r>
          </w:p>
          <w:p>
            <w:pPr>
              <w:pStyle w:val="117"/>
              <w:bidi w:val="0"/>
              <w:rPr>
                <w:rFonts w:hint="eastAsia"/>
                <w:color w:val="auto"/>
                <w:lang w:val="en-US" w:eastAsia="zh-CN"/>
              </w:rPr>
            </w:pPr>
            <w:r>
              <w:rPr>
                <w:rFonts w:hint="eastAsia"/>
                <w:color w:val="auto"/>
                <w:lang w:val="en-US" w:eastAsia="zh-CN"/>
              </w:rPr>
              <w:t>表4-8 项目分区防渗一览表</w:t>
            </w:r>
          </w:p>
          <w:tbl>
            <w:tblPr>
              <w:tblStyle w:val="3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8"/>
              <w:gridCol w:w="1072"/>
              <w:gridCol w:w="1827"/>
              <w:gridCol w:w="1373"/>
              <w:gridCol w:w="1373"/>
              <w:gridCol w:w="13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8" w:type="dxa"/>
                  <w:noWrap w:val="0"/>
                  <w:vAlign w:val="center"/>
                </w:tcPr>
                <w:p>
                  <w:pPr>
                    <w:pStyle w:val="170"/>
                    <w:widowControl w:val="0"/>
                    <w:bidi w:val="0"/>
                    <w:jc w:val="center"/>
                    <w:rPr>
                      <w:rFonts w:hint="default"/>
                      <w:b/>
                      <w:bCs/>
                      <w:color w:val="auto"/>
                      <w:vertAlign w:val="baseline"/>
                      <w:lang w:val="en-US" w:eastAsia="zh-CN"/>
                    </w:rPr>
                  </w:pPr>
                  <w:r>
                    <w:rPr>
                      <w:rFonts w:hint="eastAsia"/>
                      <w:b/>
                      <w:bCs/>
                      <w:color w:val="auto"/>
                      <w:vertAlign w:val="baseline"/>
                      <w:lang w:val="en-US" w:eastAsia="zh-CN"/>
                    </w:rPr>
                    <w:t>地下水污染隐患单元</w:t>
                  </w:r>
                </w:p>
              </w:tc>
              <w:tc>
                <w:tcPr>
                  <w:tcW w:w="1072" w:type="dxa"/>
                  <w:noWrap w:val="0"/>
                  <w:vAlign w:val="center"/>
                </w:tcPr>
                <w:p>
                  <w:pPr>
                    <w:pStyle w:val="170"/>
                    <w:widowControl w:val="0"/>
                    <w:bidi w:val="0"/>
                    <w:jc w:val="center"/>
                    <w:rPr>
                      <w:rFonts w:hint="default"/>
                      <w:b/>
                      <w:bCs/>
                      <w:color w:val="auto"/>
                      <w:vertAlign w:val="baseline"/>
                      <w:lang w:val="en-US" w:eastAsia="zh-CN"/>
                    </w:rPr>
                  </w:pPr>
                  <w:r>
                    <w:rPr>
                      <w:rFonts w:hint="eastAsia"/>
                      <w:b/>
                      <w:bCs/>
                      <w:color w:val="auto"/>
                      <w:vertAlign w:val="baseline"/>
                      <w:lang w:val="en-US" w:eastAsia="zh-CN"/>
                    </w:rPr>
                    <w:t>防渗区域</w:t>
                  </w:r>
                </w:p>
              </w:tc>
              <w:tc>
                <w:tcPr>
                  <w:tcW w:w="1827" w:type="dxa"/>
                  <w:noWrap w:val="0"/>
                  <w:vAlign w:val="center"/>
                </w:tcPr>
                <w:p>
                  <w:pPr>
                    <w:pStyle w:val="170"/>
                    <w:widowControl w:val="0"/>
                    <w:bidi w:val="0"/>
                    <w:jc w:val="center"/>
                    <w:rPr>
                      <w:rFonts w:hint="default"/>
                      <w:b/>
                      <w:bCs/>
                      <w:color w:val="auto"/>
                      <w:vertAlign w:val="baseline"/>
                      <w:lang w:val="en-US" w:eastAsia="zh-CN"/>
                    </w:rPr>
                  </w:pPr>
                  <w:r>
                    <w:rPr>
                      <w:rFonts w:hint="eastAsia"/>
                      <w:b/>
                      <w:bCs/>
                      <w:color w:val="auto"/>
                      <w:vertAlign w:val="baseline"/>
                      <w:lang w:val="en-US" w:eastAsia="zh-CN"/>
                    </w:rPr>
                    <w:t>防渗技术要求</w:t>
                  </w:r>
                </w:p>
              </w:tc>
              <w:tc>
                <w:tcPr>
                  <w:tcW w:w="1373" w:type="dxa"/>
                  <w:noWrap w:val="0"/>
                  <w:vAlign w:val="center"/>
                </w:tcPr>
                <w:p>
                  <w:pPr>
                    <w:pStyle w:val="170"/>
                    <w:widowControl w:val="0"/>
                    <w:bidi w:val="0"/>
                    <w:jc w:val="center"/>
                    <w:rPr>
                      <w:rFonts w:hint="default"/>
                      <w:b/>
                      <w:bCs/>
                      <w:color w:val="auto"/>
                      <w:vertAlign w:val="baseline"/>
                      <w:lang w:val="en-US" w:eastAsia="zh-CN"/>
                    </w:rPr>
                  </w:pPr>
                  <w:r>
                    <w:rPr>
                      <w:rFonts w:hint="eastAsia"/>
                      <w:b/>
                      <w:bCs/>
                      <w:color w:val="auto"/>
                      <w:vertAlign w:val="baseline"/>
                      <w:lang w:val="en-US" w:eastAsia="zh-CN"/>
                    </w:rPr>
                    <w:t>现有防渗措施</w:t>
                  </w:r>
                </w:p>
              </w:tc>
              <w:tc>
                <w:tcPr>
                  <w:tcW w:w="1373" w:type="dxa"/>
                  <w:noWrap w:val="0"/>
                  <w:vAlign w:val="center"/>
                </w:tcPr>
                <w:p>
                  <w:pPr>
                    <w:pStyle w:val="170"/>
                    <w:widowControl w:val="0"/>
                    <w:bidi w:val="0"/>
                    <w:jc w:val="center"/>
                    <w:rPr>
                      <w:rFonts w:hint="default"/>
                      <w:b/>
                      <w:bCs/>
                      <w:color w:val="auto"/>
                      <w:vertAlign w:val="baseline"/>
                      <w:lang w:val="en-US" w:eastAsia="zh-CN"/>
                    </w:rPr>
                  </w:pPr>
                  <w:r>
                    <w:rPr>
                      <w:rFonts w:hint="eastAsia"/>
                      <w:b/>
                      <w:bCs/>
                      <w:color w:val="auto"/>
                      <w:vertAlign w:val="baseline"/>
                      <w:lang w:val="en-US" w:eastAsia="zh-CN"/>
                    </w:rPr>
                    <w:t>是否满足防渗要求</w:t>
                  </w:r>
                </w:p>
              </w:tc>
              <w:tc>
                <w:tcPr>
                  <w:tcW w:w="1373" w:type="dxa"/>
                  <w:noWrap w:val="0"/>
                  <w:vAlign w:val="center"/>
                </w:tcPr>
                <w:p>
                  <w:pPr>
                    <w:pStyle w:val="170"/>
                    <w:widowControl w:val="0"/>
                    <w:bidi w:val="0"/>
                    <w:jc w:val="center"/>
                    <w:rPr>
                      <w:rFonts w:hint="default"/>
                      <w:b/>
                      <w:bCs/>
                      <w:color w:val="auto"/>
                      <w:vertAlign w:val="baseline"/>
                      <w:lang w:val="en-US" w:eastAsia="zh-CN"/>
                    </w:rPr>
                  </w:pPr>
                  <w:r>
                    <w:rPr>
                      <w:rFonts w:hint="eastAsia"/>
                      <w:b/>
                      <w:bCs/>
                      <w:color w:val="auto"/>
                      <w:vertAlign w:val="baseline"/>
                      <w:lang w:val="en-US" w:eastAsia="zh-CN"/>
                    </w:rPr>
                    <w:t>整改措施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8" w:type="dxa"/>
                  <w:noWrap w:val="0"/>
                  <w:vAlign w:val="center"/>
                </w:tcPr>
                <w:p>
                  <w:pPr>
                    <w:pStyle w:val="170"/>
                    <w:widowControl w:val="0"/>
                    <w:bidi w:val="0"/>
                    <w:jc w:val="center"/>
                    <w:rPr>
                      <w:rFonts w:hint="eastAsia"/>
                      <w:color w:val="auto"/>
                      <w:vertAlign w:val="baseline"/>
                      <w:lang w:val="en-US" w:eastAsia="zh-CN"/>
                    </w:rPr>
                  </w:pPr>
                </w:p>
                <w:p>
                  <w:pPr>
                    <w:pStyle w:val="170"/>
                    <w:widowControl w:val="0"/>
                    <w:bidi w:val="0"/>
                    <w:jc w:val="center"/>
                    <w:rPr>
                      <w:rFonts w:hint="eastAsia"/>
                      <w:color w:val="auto"/>
                      <w:vertAlign w:val="baseline"/>
                      <w:lang w:val="en-US" w:eastAsia="zh-CN"/>
                    </w:rPr>
                  </w:pPr>
                </w:p>
                <w:p>
                  <w:pPr>
                    <w:pStyle w:val="170"/>
                    <w:widowControl w:val="0"/>
                    <w:bidi w:val="0"/>
                    <w:jc w:val="center"/>
                    <w:rPr>
                      <w:rFonts w:hint="eastAsia"/>
                      <w:color w:val="auto"/>
                      <w:vertAlign w:val="baseline"/>
                      <w:lang w:val="en-US" w:eastAsia="zh-CN"/>
                    </w:rPr>
                  </w:pPr>
                </w:p>
                <w:p>
                  <w:pPr>
                    <w:pStyle w:val="170"/>
                    <w:widowControl w:val="0"/>
                    <w:bidi w:val="0"/>
                    <w:jc w:val="center"/>
                    <w:rPr>
                      <w:rFonts w:hint="eastAsia"/>
                      <w:color w:val="auto"/>
                      <w:vertAlign w:val="baseline"/>
                      <w:lang w:val="en-US" w:eastAsia="zh-CN"/>
                    </w:rPr>
                  </w:pPr>
                </w:p>
                <w:p>
                  <w:pPr>
                    <w:pStyle w:val="170"/>
                    <w:widowControl w:val="0"/>
                    <w:bidi w:val="0"/>
                    <w:jc w:val="center"/>
                    <w:rPr>
                      <w:rFonts w:hint="default"/>
                      <w:color w:val="auto"/>
                      <w:vertAlign w:val="baseline"/>
                      <w:lang w:val="en-US" w:eastAsia="zh-CN"/>
                    </w:rPr>
                  </w:pPr>
                  <w:r>
                    <w:rPr>
                      <w:rFonts w:hint="eastAsia"/>
                      <w:color w:val="auto"/>
                      <w:vertAlign w:val="baseline"/>
                      <w:lang w:val="en-US" w:eastAsia="zh-CN"/>
                    </w:rPr>
                    <w:t>医疗废物暂存间、污水处理设施区域</w:t>
                  </w:r>
                </w:p>
              </w:tc>
              <w:tc>
                <w:tcPr>
                  <w:tcW w:w="1072" w:type="dxa"/>
                  <w:noWrap w:val="0"/>
                  <w:vAlign w:val="center"/>
                </w:tcPr>
                <w:p>
                  <w:pPr>
                    <w:pStyle w:val="170"/>
                    <w:widowControl w:val="0"/>
                    <w:bidi w:val="0"/>
                    <w:jc w:val="center"/>
                    <w:rPr>
                      <w:rFonts w:hint="eastAsia"/>
                      <w:color w:val="auto"/>
                      <w:vertAlign w:val="baseline"/>
                      <w:lang w:val="en-US" w:eastAsia="zh-CN"/>
                    </w:rPr>
                  </w:pPr>
                </w:p>
                <w:p>
                  <w:pPr>
                    <w:pStyle w:val="170"/>
                    <w:widowControl w:val="0"/>
                    <w:bidi w:val="0"/>
                    <w:jc w:val="center"/>
                    <w:rPr>
                      <w:rFonts w:hint="eastAsia"/>
                      <w:color w:val="auto"/>
                      <w:vertAlign w:val="baseline"/>
                      <w:lang w:val="en-US" w:eastAsia="zh-CN"/>
                    </w:rPr>
                  </w:pPr>
                </w:p>
                <w:p>
                  <w:pPr>
                    <w:pStyle w:val="170"/>
                    <w:widowControl w:val="0"/>
                    <w:bidi w:val="0"/>
                    <w:jc w:val="center"/>
                    <w:rPr>
                      <w:rFonts w:hint="eastAsia"/>
                      <w:color w:val="auto"/>
                      <w:vertAlign w:val="baseline"/>
                      <w:lang w:val="en-US" w:eastAsia="zh-CN"/>
                    </w:rPr>
                  </w:pPr>
                </w:p>
                <w:p>
                  <w:pPr>
                    <w:pStyle w:val="170"/>
                    <w:widowControl w:val="0"/>
                    <w:bidi w:val="0"/>
                    <w:jc w:val="center"/>
                    <w:rPr>
                      <w:rFonts w:hint="eastAsia"/>
                      <w:color w:val="auto"/>
                      <w:vertAlign w:val="baseline"/>
                      <w:lang w:val="en-US" w:eastAsia="zh-CN"/>
                    </w:rPr>
                  </w:pPr>
                </w:p>
                <w:p>
                  <w:pPr>
                    <w:pStyle w:val="170"/>
                    <w:widowControl w:val="0"/>
                    <w:bidi w:val="0"/>
                    <w:jc w:val="center"/>
                    <w:rPr>
                      <w:rFonts w:hint="eastAsia"/>
                      <w:color w:val="auto"/>
                      <w:vertAlign w:val="baseline"/>
                      <w:lang w:val="en-US" w:eastAsia="zh-CN"/>
                    </w:rPr>
                  </w:pPr>
                </w:p>
                <w:p>
                  <w:pPr>
                    <w:pStyle w:val="170"/>
                    <w:widowControl w:val="0"/>
                    <w:bidi w:val="0"/>
                    <w:jc w:val="center"/>
                    <w:rPr>
                      <w:rFonts w:hint="default"/>
                      <w:color w:val="auto"/>
                      <w:vertAlign w:val="baseline"/>
                      <w:lang w:val="en-US" w:eastAsia="zh-CN"/>
                    </w:rPr>
                  </w:pPr>
                  <w:r>
                    <w:rPr>
                      <w:rFonts w:hint="eastAsia"/>
                      <w:color w:val="auto"/>
                      <w:vertAlign w:val="baseline"/>
                      <w:lang w:val="en-US" w:eastAsia="zh-CN"/>
                    </w:rPr>
                    <w:t>重点防渗区</w:t>
                  </w:r>
                </w:p>
              </w:tc>
              <w:tc>
                <w:tcPr>
                  <w:tcW w:w="1827" w:type="dxa"/>
                  <w:noWrap w:val="0"/>
                  <w:vAlign w:val="center"/>
                </w:tcPr>
                <w:p>
                  <w:pPr>
                    <w:pStyle w:val="170"/>
                    <w:widowControl w:val="0"/>
                    <w:bidi w:val="0"/>
                    <w:jc w:val="center"/>
                    <w:rPr>
                      <w:rFonts w:hint="eastAsia"/>
                      <w:color w:val="auto"/>
                      <w:vertAlign w:val="baseline"/>
                      <w:lang w:val="en-US" w:eastAsia="zh-CN"/>
                    </w:rPr>
                  </w:pPr>
                </w:p>
                <w:p>
                  <w:pPr>
                    <w:pStyle w:val="170"/>
                    <w:widowControl w:val="0"/>
                    <w:bidi w:val="0"/>
                    <w:jc w:val="center"/>
                    <w:rPr>
                      <w:rFonts w:hint="eastAsia"/>
                      <w:color w:val="auto"/>
                      <w:vertAlign w:val="baseline"/>
                      <w:lang w:val="en-US" w:eastAsia="zh-CN"/>
                    </w:rPr>
                  </w:pPr>
                </w:p>
                <w:p>
                  <w:pPr>
                    <w:pStyle w:val="170"/>
                    <w:widowControl w:val="0"/>
                    <w:bidi w:val="0"/>
                    <w:jc w:val="center"/>
                    <w:rPr>
                      <w:rFonts w:hint="eastAsia"/>
                      <w:color w:val="auto"/>
                      <w:vertAlign w:val="baseline"/>
                      <w:lang w:val="en-US" w:eastAsia="zh-CN"/>
                    </w:rPr>
                  </w:pPr>
                </w:p>
                <w:p>
                  <w:pPr>
                    <w:pStyle w:val="170"/>
                    <w:widowControl w:val="0"/>
                    <w:bidi w:val="0"/>
                    <w:jc w:val="center"/>
                    <w:rPr>
                      <w:rFonts w:hint="default"/>
                      <w:color w:val="auto"/>
                      <w:vertAlign w:val="baseline"/>
                      <w:lang w:val="en-US" w:eastAsia="zh-CN"/>
                    </w:rPr>
                  </w:pPr>
                  <w:r>
                    <w:rPr>
                      <w:rFonts w:hint="eastAsia"/>
                      <w:color w:val="auto"/>
                      <w:vertAlign w:val="baseline"/>
                      <w:lang w:val="en-US" w:eastAsia="zh-CN"/>
                    </w:rPr>
                    <w:t>确保防渗层等效黏土防渗层Mb</w:t>
                  </w:r>
                  <w:r>
                    <w:rPr>
                      <w:rFonts w:hint="default" w:ascii="Times New Roman" w:hAnsi="Times New Roman" w:cs="Times New Roman"/>
                      <w:color w:val="auto"/>
                      <w:vertAlign w:val="baseline"/>
                      <w:lang w:val="en-US" w:eastAsia="zh-CN"/>
                    </w:rPr>
                    <w:t>≥</w:t>
                  </w:r>
                  <w:r>
                    <w:rPr>
                      <w:rFonts w:hint="eastAsia"/>
                      <w:color w:val="auto"/>
                      <w:vertAlign w:val="baseline"/>
                      <w:lang w:val="en-US" w:eastAsia="zh-CN"/>
                    </w:rPr>
                    <w:t>6.0m，渗透系数</w:t>
                  </w:r>
                  <w:r>
                    <w:rPr>
                      <w:rFonts w:hint="default" w:ascii="Times New Roman" w:hAnsi="Times New Roman" w:cs="Times New Roman"/>
                      <w:color w:val="auto"/>
                      <w:lang w:val="en-US" w:eastAsia="zh-CN"/>
                    </w:rPr>
                    <w:t>≤</w:t>
                  </w:r>
                  <w:r>
                    <w:rPr>
                      <w:rFonts w:hint="eastAsia"/>
                      <w:color w:val="auto"/>
                      <w:lang w:val="en-US" w:eastAsia="zh-CN"/>
                    </w:rPr>
                    <w:t>1.0</w:t>
                  </w:r>
                  <w:r>
                    <w:rPr>
                      <w:rFonts w:hint="default"/>
                      <w:color w:val="auto"/>
                      <w:lang w:val="en-US" w:eastAsia="zh-CN"/>
                    </w:rPr>
                    <w:t>×</w:t>
                  </w:r>
                  <w:r>
                    <w:rPr>
                      <w:rFonts w:hint="eastAsia"/>
                      <w:color w:val="auto"/>
                      <w:lang w:val="en-US" w:eastAsia="zh-CN"/>
                    </w:rPr>
                    <w:t>10</w:t>
                  </w:r>
                  <w:r>
                    <w:rPr>
                      <w:rFonts w:hint="eastAsia"/>
                      <w:color w:val="auto"/>
                      <w:vertAlign w:val="superscript"/>
                      <w:lang w:val="en-US" w:eastAsia="zh-CN"/>
                    </w:rPr>
                    <w:t>-7</w:t>
                  </w:r>
                  <w:r>
                    <w:rPr>
                      <w:rFonts w:hint="eastAsia"/>
                      <w:color w:val="auto"/>
                      <w:lang w:val="en-US" w:eastAsia="zh-CN"/>
                    </w:rPr>
                    <w:t>cm/s，或执行参照GB18598执行</w:t>
                  </w:r>
                </w:p>
              </w:tc>
              <w:tc>
                <w:tcPr>
                  <w:tcW w:w="1373" w:type="dxa"/>
                  <w:noWrap w:val="0"/>
                  <w:vAlign w:val="center"/>
                </w:tcPr>
                <w:p>
                  <w:pPr>
                    <w:pStyle w:val="170"/>
                    <w:widowControl w:val="0"/>
                    <w:bidi w:val="0"/>
                    <w:jc w:val="center"/>
                    <w:rPr>
                      <w:rFonts w:hint="eastAsia"/>
                      <w:color w:val="auto"/>
                      <w:vertAlign w:val="baseline"/>
                      <w:lang w:val="en-US" w:eastAsia="zh-CN"/>
                    </w:rPr>
                  </w:pPr>
                </w:p>
                <w:p>
                  <w:pPr>
                    <w:pStyle w:val="170"/>
                    <w:widowControl w:val="0"/>
                    <w:bidi w:val="0"/>
                    <w:jc w:val="center"/>
                    <w:rPr>
                      <w:rFonts w:hint="default"/>
                      <w:color w:val="auto"/>
                      <w:vertAlign w:val="baseline"/>
                      <w:lang w:val="en-US" w:eastAsia="zh-CN"/>
                    </w:rPr>
                  </w:pPr>
                  <w:r>
                    <w:rPr>
                      <w:rFonts w:hint="eastAsia"/>
                      <w:color w:val="auto"/>
                      <w:vertAlign w:val="baseline"/>
                      <w:lang w:val="en-US" w:eastAsia="zh-CN"/>
                    </w:rPr>
                    <w:t>水泥硬化+地砖</w:t>
                  </w:r>
                </w:p>
              </w:tc>
              <w:tc>
                <w:tcPr>
                  <w:tcW w:w="1373" w:type="dxa"/>
                  <w:noWrap w:val="0"/>
                  <w:vAlign w:val="center"/>
                </w:tcPr>
                <w:p>
                  <w:pPr>
                    <w:pStyle w:val="170"/>
                    <w:widowControl w:val="0"/>
                    <w:bidi w:val="0"/>
                    <w:jc w:val="center"/>
                    <w:rPr>
                      <w:rFonts w:hint="eastAsia"/>
                      <w:color w:val="auto"/>
                      <w:vertAlign w:val="baseline"/>
                      <w:lang w:val="en-US" w:eastAsia="zh-CN"/>
                    </w:rPr>
                  </w:pPr>
                </w:p>
                <w:p>
                  <w:pPr>
                    <w:pStyle w:val="170"/>
                    <w:widowControl w:val="0"/>
                    <w:bidi w:val="0"/>
                    <w:jc w:val="center"/>
                    <w:rPr>
                      <w:rFonts w:hint="default"/>
                      <w:color w:val="auto"/>
                      <w:vertAlign w:val="baseline"/>
                      <w:lang w:val="en-US" w:eastAsia="zh-CN"/>
                    </w:rPr>
                  </w:pPr>
                  <w:r>
                    <w:rPr>
                      <w:rFonts w:hint="eastAsia"/>
                      <w:color w:val="auto"/>
                      <w:vertAlign w:val="baseline"/>
                      <w:lang w:val="en-US" w:eastAsia="zh-CN"/>
                    </w:rPr>
                    <w:t>不满足</w:t>
                  </w:r>
                </w:p>
              </w:tc>
              <w:tc>
                <w:tcPr>
                  <w:tcW w:w="1373" w:type="dxa"/>
                  <w:noWrap w:val="0"/>
                  <w:vAlign w:val="center"/>
                </w:tcPr>
                <w:p>
                  <w:pPr>
                    <w:pStyle w:val="170"/>
                    <w:widowControl w:val="0"/>
                    <w:bidi w:val="0"/>
                    <w:jc w:val="center"/>
                    <w:rPr>
                      <w:rFonts w:hint="default"/>
                      <w:color w:val="auto"/>
                      <w:vertAlign w:val="baseline"/>
                      <w:lang w:val="en-US" w:eastAsia="zh-CN"/>
                    </w:rPr>
                  </w:pPr>
                  <w:r>
                    <w:rPr>
                      <w:rFonts w:hint="eastAsia"/>
                      <w:color w:val="auto"/>
                      <w:vertAlign w:val="baseline"/>
                      <w:lang w:val="en-US" w:eastAsia="zh-CN"/>
                    </w:rPr>
                    <w:t>新增医疗废物暂存间，在现有防渗措施上，污水处理设施和医疗废物暂存间液体危废收集桶下方设置托盘，并密封设施。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8" w:type="dxa"/>
                  <w:noWrap w:val="0"/>
                  <w:vAlign w:val="center"/>
                </w:tcPr>
                <w:p>
                  <w:pPr>
                    <w:pStyle w:val="170"/>
                    <w:widowControl w:val="0"/>
                    <w:bidi w:val="0"/>
                    <w:jc w:val="center"/>
                    <w:rPr>
                      <w:rFonts w:hint="default"/>
                      <w:color w:val="auto"/>
                      <w:vertAlign w:val="baseline"/>
                      <w:lang w:val="en-US" w:eastAsia="zh-CN"/>
                    </w:rPr>
                  </w:pPr>
                  <w:r>
                    <w:rPr>
                      <w:rFonts w:hint="eastAsia"/>
                      <w:color w:val="auto"/>
                      <w:vertAlign w:val="baseline"/>
                      <w:lang w:val="en-US" w:eastAsia="zh-CN"/>
                    </w:rPr>
                    <w:t>化验室、宠物住院病房、手术室、DR室、库房及门诊室</w:t>
                  </w:r>
                </w:p>
              </w:tc>
              <w:tc>
                <w:tcPr>
                  <w:tcW w:w="1072" w:type="dxa"/>
                  <w:noWrap w:val="0"/>
                  <w:vAlign w:val="center"/>
                </w:tcPr>
                <w:p>
                  <w:pPr>
                    <w:pStyle w:val="170"/>
                    <w:widowControl w:val="0"/>
                    <w:bidi w:val="0"/>
                    <w:jc w:val="center"/>
                    <w:rPr>
                      <w:rFonts w:hint="default"/>
                      <w:color w:val="auto"/>
                      <w:vertAlign w:val="baseline"/>
                      <w:lang w:val="en-US" w:eastAsia="zh-CN"/>
                    </w:rPr>
                  </w:pPr>
                  <w:r>
                    <w:rPr>
                      <w:rFonts w:hint="eastAsia"/>
                      <w:color w:val="auto"/>
                      <w:vertAlign w:val="baseline"/>
                      <w:lang w:val="en-US" w:eastAsia="zh-CN"/>
                    </w:rPr>
                    <w:t>一般防渗区</w:t>
                  </w:r>
                </w:p>
              </w:tc>
              <w:tc>
                <w:tcPr>
                  <w:tcW w:w="1827" w:type="dxa"/>
                  <w:noWrap w:val="0"/>
                  <w:vAlign w:val="center"/>
                </w:tcPr>
                <w:p>
                  <w:pPr>
                    <w:pStyle w:val="170"/>
                    <w:widowControl w:val="0"/>
                    <w:bidi w:val="0"/>
                    <w:jc w:val="center"/>
                    <w:rPr>
                      <w:rFonts w:hint="default"/>
                      <w:color w:val="auto"/>
                      <w:vertAlign w:val="baseline"/>
                      <w:lang w:val="en-US" w:eastAsia="zh-CN"/>
                    </w:rPr>
                  </w:pPr>
                  <w:r>
                    <w:rPr>
                      <w:rFonts w:hint="eastAsia"/>
                      <w:color w:val="auto"/>
                      <w:vertAlign w:val="baseline"/>
                      <w:lang w:val="en-US" w:eastAsia="zh-CN"/>
                    </w:rPr>
                    <w:t>等效黏土防渗层Mb</w:t>
                  </w:r>
                  <w:r>
                    <w:rPr>
                      <w:rFonts w:hint="default" w:ascii="Times New Roman" w:hAnsi="Times New Roman" w:cs="Times New Roman"/>
                      <w:color w:val="auto"/>
                      <w:vertAlign w:val="baseline"/>
                      <w:lang w:val="en-US" w:eastAsia="zh-CN"/>
                    </w:rPr>
                    <w:t>≥</w:t>
                  </w:r>
                  <w:r>
                    <w:rPr>
                      <w:rFonts w:hint="eastAsia"/>
                      <w:color w:val="auto"/>
                      <w:vertAlign w:val="baseline"/>
                      <w:lang w:val="en-US" w:eastAsia="zh-CN"/>
                    </w:rPr>
                    <w:t>1.5m，渗透系数</w:t>
                  </w:r>
                  <w:r>
                    <w:rPr>
                      <w:rFonts w:hint="default" w:ascii="Times New Roman" w:hAnsi="Times New Roman" w:cs="Times New Roman"/>
                      <w:color w:val="auto"/>
                      <w:lang w:val="en-US" w:eastAsia="zh-CN"/>
                    </w:rPr>
                    <w:t>≤</w:t>
                  </w:r>
                  <w:r>
                    <w:rPr>
                      <w:rFonts w:hint="eastAsia"/>
                      <w:color w:val="auto"/>
                      <w:lang w:val="en-US" w:eastAsia="zh-CN"/>
                    </w:rPr>
                    <w:t>1.0</w:t>
                  </w:r>
                  <w:r>
                    <w:rPr>
                      <w:rFonts w:hint="default"/>
                      <w:color w:val="auto"/>
                      <w:lang w:val="en-US" w:eastAsia="zh-CN"/>
                    </w:rPr>
                    <w:t>×</w:t>
                  </w:r>
                  <w:r>
                    <w:rPr>
                      <w:rFonts w:hint="eastAsia"/>
                      <w:color w:val="auto"/>
                      <w:lang w:val="en-US" w:eastAsia="zh-CN"/>
                    </w:rPr>
                    <w:t>10</w:t>
                  </w:r>
                  <w:r>
                    <w:rPr>
                      <w:rFonts w:hint="eastAsia"/>
                      <w:color w:val="auto"/>
                      <w:vertAlign w:val="superscript"/>
                      <w:lang w:val="en-US" w:eastAsia="zh-CN"/>
                    </w:rPr>
                    <w:t>-7</w:t>
                  </w:r>
                  <w:r>
                    <w:rPr>
                      <w:rFonts w:hint="eastAsia"/>
                      <w:color w:val="auto"/>
                      <w:lang w:val="en-US" w:eastAsia="zh-CN"/>
                    </w:rPr>
                    <w:t>cm/s，或执行参照GB18598执行</w:t>
                  </w:r>
                </w:p>
              </w:tc>
              <w:tc>
                <w:tcPr>
                  <w:tcW w:w="1373" w:type="dxa"/>
                  <w:noWrap w:val="0"/>
                  <w:vAlign w:val="center"/>
                </w:tcPr>
                <w:p>
                  <w:pPr>
                    <w:pStyle w:val="170"/>
                    <w:widowControl w:val="0"/>
                    <w:bidi w:val="0"/>
                    <w:jc w:val="center"/>
                    <w:rPr>
                      <w:rFonts w:hint="default"/>
                      <w:color w:val="auto"/>
                      <w:vertAlign w:val="baseline"/>
                      <w:lang w:val="en-US" w:eastAsia="zh-CN"/>
                    </w:rPr>
                  </w:pPr>
                  <w:r>
                    <w:rPr>
                      <w:rFonts w:hint="eastAsia"/>
                      <w:color w:val="auto"/>
                      <w:vertAlign w:val="baseline"/>
                      <w:lang w:val="en-US" w:eastAsia="zh-CN"/>
                    </w:rPr>
                    <w:t>水泥硬化+地砖</w:t>
                  </w:r>
                </w:p>
              </w:tc>
              <w:tc>
                <w:tcPr>
                  <w:tcW w:w="1373" w:type="dxa"/>
                  <w:noWrap w:val="0"/>
                  <w:vAlign w:val="center"/>
                </w:tcPr>
                <w:p>
                  <w:pPr>
                    <w:pStyle w:val="170"/>
                    <w:widowControl w:val="0"/>
                    <w:bidi w:val="0"/>
                    <w:jc w:val="center"/>
                    <w:rPr>
                      <w:rFonts w:hint="default"/>
                      <w:color w:val="auto"/>
                      <w:vertAlign w:val="baseline"/>
                      <w:lang w:val="en-US" w:eastAsia="zh-CN"/>
                    </w:rPr>
                  </w:pPr>
                  <w:r>
                    <w:rPr>
                      <w:rFonts w:hint="eastAsia"/>
                      <w:color w:val="auto"/>
                      <w:vertAlign w:val="baseline"/>
                      <w:lang w:val="en-US" w:eastAsia="zh-CN"/>
                    </w:rPr>
                    <w:t>满足</w:t>
                  </w:r>
                </w:p>
              </w:tc>
              <w:tc>
                <w:tcPr>
                  <w:tcW w:w="1373" w:type="dxa"/>
                  <w:noWrap w:val="0"/>
                  <w:vAlign w:val="center"/>
                </w:tcPr>
                <w:p>
                  <w:pPr>
                    <w:pStyle w:val="170"/>
                    <w:widowControl w:val="0"/>
                    <w:bidi w:val="0"/>
                    <w:jc w:val="center"/>
                    <w:rPr>
                      <w:rFonts w:hint="default"/>
                      <w:color w:val="auto"/>
                      <w:vertAlign w:val="baseline"/>
                      <w:lang w:val="en-US" w:eastAsia="zh-CN"/>
                    </w:rPr>
                  </w:pPr>
                  <w:r>
                    <w:rPr>
                      <w:rFonts w:hint="eastAsia"/>
                      <w:color w:val="auto"/>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8" w:type="dxa"/>
                  <w:noWrap w:val="0"/>
                  <w:vAlign w:val="center"/>
                </w:tcPr>
                <w:p>
                  <w:pPr>
                    <w:pStyle w:val="170"/>
                    <w:widowControl w:val="0"/>
                    <w:bidi w:val="0"/>
                    <w:jc w:val="center"/>
                    <w:rPr>
                      <w:rFonts w:hint="default"/>
                      <w:color w:val="auto"/>
                      <w:vertAlign w:val="baseline"/>
                      <w:lang w:val="en-US" w:eastAsia="zh-CN"/>
                    </w:rPr>
                  </w:pPr>
                  <w:r>
                    <w:rPr>
                      <w:rFonts w:hint="eastAsia"/>
                      <w:color w:val="auto"/>
                      <w:vertAlign w:val="baseline"/>
                      <w:lang w:val="en-US" w:eastAsia="zh-CN"/>
                    </w:rPr>
                    <w:t>前台接待区域、大厅、走廊过道</w:t>
                  </w:r>
                </w:p>
              </w:tc>
              <w:tc>
                <w:tcPr>
                  <w:tcW w:w="1072" w:type="dxa"/>
                  <w:noWrap w:val="0"/>
                  <w:vAlign w:val="center"/>
                </w:tcPr>
                <w:p>
                  <w:pPr>
                    <w:pStyle w:val="170"/>
                    <w:widowControl w:val="0"/>
                    <w:bidi w:val="0"/>
                    <w:jc w:val="center"/>
                    <w:rPr>
                      <w:rFonts w:hint="default"/>
                      <w:color w:val="auto"/>
                      <w:vertAlign w:val="baseline"/>
                      <w:lang w:val="en-US" w:eastAsia="zh-CN"/>
                    </w:rPr>
                  </w:pPr>
                  <w:r>
                    <w:rPr>
                      <w:rFonts w:hint="eastAsia"/>
                      <w:color w:val="auto"/>
                      <w:vertAlign w:val="baseline"/>
                      <w:lang w:val="en-US" w:eastAsia="zh-CN"/>
                    </w:rPr>
                    <w:t>简单防渗区</w:t>
                  </w:r>
                </w:p>
              </w:tc>
              <w:tc>
                <w:tcPr>
                  <w:tcW w:w="1827" w:type="dxa"/>
                  <w:noWrap w:val="0"/>
                  <w:vAlign w:val="center"/>
                </w:tcPr>
                <w:p>
                  <w:pPr>
                    <w:pStyle w:val="170"/>
                    <w:widowControl w:val="0"/>
                    <w:bidi w:val="0"/>
                    <w:jc w:val="center"/>
                    <w:rPr>
                      <w:rFonts w:hint="default"/>
                      <w:color w:val="auto"/>
                      <w:vertAlign w:val="baseline"/>
                      <w:lang w:val="en-US" w:eastAsia="zh-CN"/>
                    </w:rPr>
                  </w:pPr>
                  <w:r>
                    <w:rPr>
                      <w:rFonts w:hint="eastAsia"/>
                      <w:color w:val="auto"/>
                      <w:vertAlign w:val="baseline"/>
                      <w:lang w:val="en-US" w:eastAsia="zh-CN"/>
                    </w:rPr>
                    <w:t>一般地面硬化</w:t>
                  </w:r>
                </w:p>
              </w:tc>
              <w:tc>
                <w:tcPr>
                  <w:tcW w:w="1373" w:type="dxa"/>
                  <w:noWrap w:val="0"/>
                  <w:vAlign w:val="center"/>
                </w:tcPr>
                <w:p>
                  <w:pPr>
                    <w:pStyle w:val="170"/>
                    <w:widowControl w:val="0"/>
                    <w:bidi w:val="0"/>
                    <w:jc w:val="center"/>
                    <w:rPr>
                      <w:rFonts w:hint="default"/>
                      <w:color w:val="auto"/>
                      <w:vertAlign w:val="baseline"/>
                      <w:lang w:val="en-US" w:eastAsia="zh-CN"/>
                    </w:rPr>
                  </w:pPr>
                  <w:r>
                    <w:rPr>
                      <w:rFonts w:hint="eastAsia"/>
                      <w:color w:val="auto"/>
                      <w:vertAlign w:val="baseline"/>
                      <w:lang w:val="en-US" w:eastAsia="zh-CN"/>
                    </w:rPr>
                    <w:t>水泥硬化+地砖</w:t>
                  </w:r>
                </w:p>
              </w:tc>
              <w:tc>
                <w:tcPr>
                  <w:tcW w:w="1373" w:type="dxa"/>
                  <w:noWrap w:val="0"/>
                  <w:vAlign w:val="center"/>
                </w:tcPr>
                <w:p>
                  <w:pPr>
                    <w:pStyle w:val="170"/>
                    <w:widowControl w:val="0"/>
                    <w:bidi w:val="0"/>
                    <w:jc w:val="center"/>
                    <w:rPr>
                      <w:rFonts w:hint="default"/>
                      <w:color w:val="auto"/>
                      <w:vertAlign w:val="baseline"/>
                      <w:lang w:val="en-US" w:eastAsia="zh-CN"/>
                    </w:rPr>
                  </w:pPr>
                  <w:r>
                    <w:rPr>
                      <w:rFonts w:hint="eastAsia"/>
                      <w:color w:val="auto"/>
                      <w:vertAlign w:val="baseline"/>
                      <w:lang w:val="en-US" w:eastAsia="zh-CN"/>
                    </w:rPr>
                    <w:t>满足</w:t>
                  </w:r>
                </w:p>
              </w:tc>
              <w:tc>
                <w:tcPr>
                  <w:tcW w:w="1373" w:type="dxa"/>
                  <w:noWrap w:val="0"/>
                  <w:vAlign w:val="center"/>
                </w:tcPr>
                <w:p>
                  <w:pPr>
                    <w:pStyle w:val="170"/>
                    <w:widowControl w:val="0"/>
                    <w:bidi w:val="0"/>
                    <w:jc w:val="center"/>
                    <w:rPr>
                      <w:rFonts w:hint="default"/>
                      <w:color w:val="auto"/>
                      <w:vertAlign w:val="baseline"/>
                      <w:lang w:val="en-US" w:eastAsia="zh-CN"/>
                    </w:rPr>
                  </w:pPr>
                  <w:r>
                    <w:rPr>
                      <w:rFonts w:hint="eastAsia"/>
                      <w:color w:val="auto"/>
                      <w:vertAlign w:val="baseline"/>
                      <w:lang w:val="en-US" w:eastAsia="zh-CN"/>
                    </w:rPr>
                    <w:t>/</w:t>
                  </w:r>
                </w:p>
              </w:tc>
            </w:tr>
          </w:tbl>
          <w:p>
            <w:pPr>
              <w:pStyle w:val="104"/>
              <w:bidi w:val="0"/>
              <w:rPr>
                <w:rFonts w:hint="default"/>
                <w:color w:val="auto"/>
                <w:lang w:val="en-US" w:eastAsia="zh-CN"/>
              </w:rPr>
            </w:pPr>
            <w:r>
              <w:rPr>
                <w:rFonts w:hint="eastAsia"/>
                <w:color w:val="auto"/>
                <w:lang w:val="en-US" w:eastAsia="zh-CN"/>
              </w:rPr>
              <w:t>综上，在确保各项防渗措施得以落实，并加强维护和项目环境管理的前提下，可有效控制项目的污染物泄漏渗透现象，有效防止污染物渗漏污染地下水及土壤。</w:t>
            </w:r>
          </w:p>
          <w:p>
            <w:pPr>
              <w:pStyle w:val="4"/>
              <w:spacing w:after="120"/>
              <w:rPr>
                <w:color w:val="auto"/>
              </w:rPr>
            </w:pPr>
            <w:r>
              <w:rPr>
                <w:color w:val="auto"/>
              </w:rPr>
              <w:t>六、生态环境影响分析</w:t>
            </w:r>
          </w:p>
          <w:p>
            <w:pPr>
              <w:pStyle w:val="101"/>
              <w:ind w:firstLine="480"/>
              <w:rPr>
                <w:rFonts w:hint="eastAsia"/>
                <w:color w:val="auto"/>
              </w:rPr>
            </w:pPr>
            <w:r>
              <w:rPr>
                <w:rFonts w:hint="eastAsia"/>
                <w:color w:val="auto"/>
              </w:rPr>
              <w:t>本项目为新建项目，项目的建设地位于乐山市市中区竹林路636号1楼7号，项目所在区域植被类型为人工植被，区域属于城市环境，其自然生态环境已很大程度上收到人类的干扰，周围无生态环境敏感点，不涉及野生动植物，对生态影响较小。</w:t>
            </w:r>
          </w:p>
          <w:p>
            <w:pPr>
              <w:pStyle w:val="4"/>
              <w:spacing w:after="120"/>
              <w:rPr>
                <w:color w:val="auto"/>
              </w:rPr>
            </w:pPr>
            <w:r>
              <w:rPr>
                <w:color w:val="auto"/>
              </w:rPr>
              <w:t>七、环境风险分析</w:t>
            </w:r>
          </w:p>
          <w:p>
            <w:pPr>
              <w:pStyle w:val="104"/>
              <w:ind w:firstLine="480"/>
              <w:rPr>
                <w:rFonts w:hint="eastAsia"/>
                <w:color w:val="auto"/>
              </w:rPr>
            </w:pPr>
            <w:r>
              <w:rPr>
                <w:rFonts w:hint="eastAsia"/>
                <w:color w:val="auto"/>
              </w:rPr>
              <w:t xml:space="preserve">环境风险是指突发性事故造成的重大环境污染的事件，其特点是危害大、影响范围广、发生概率具有很大的不确定性。环境风险评价的目的是分析和预测本项目存在的潜在危险、有害因素，本期工程建设和运行期间可能发生的突发性事件或事故（一般不包括人为破坏及自然灾害），引起有毒有害和易燃易爆等物质泄漏，所造成的人身安全、环境影响及其损害程度，提出合理可行的防范、应急与减缓措施，以使建设项目事故率、损失和环境影响达到可接受水平。 </w:t>
            </w:r>
          </w:p>
          <w:p>
            <w:pPr>
              <w:pStyle w:val="5"/>
              <w:ind w:firstLine="482"/>
              <w:rPr>
                <w:color w:val="auto"/>
              </w:rPr>
            </w:pPr>
            <w:r>
              <w:rPr>
                <w:rFonts w:hint="eastAsia"/>
                <w:color w:val="auto"/>
              </w:rPr>
              <w:t>1、本项目危险物质调查</w:t>
            </w:r>
          </w:p>
          <w:p>
            <w:pPr>
              <w:pStyle w:val="104"/>
              <w:ind w:firstLine="480"/>
              <w:rPr>
                <w:rFonts w:hint="eastAsia"/>
                <w:color w:val="auto"/>
              </w:rPr>
            </w:pPr>
            <w:r>
              <w:rPr>
                <w:rFonts w:hint="eastAsia"/>
                <w:color w:val="auto"/>
              </w:rPr>
              <w:t>本项目为宠物医院，不涉及高温高压等会导致火灾、爆炸、中毒等重点监管的危险工艺过程，根据《建设项目环境风险评价技术导则》（HJ169-2018）及《企业突发环境事件风险分级方法》(HJ 941-2018)对本项目环境风险源进行调查，本项目建成后，运营期涉及的风险物质为二氧化氯泡腾片（溶解后释放的二氧化氯纯度≥98%）、医用酒精，风险物质均储存于药房。本项目的危险物质的储存情况见下表：</w:t>
            </w:r>
          </w:p>
          <w:p>
            <w:pPr>
              <w:pStyle w:val="117"/>
              <w:rPr>
                <w:rFonts w:hint="eastAsia"/>
                <w:color w:val="auto"/>
              </w:rPr>
            </w:pPr>
            <w:r>
              <w:rPr>
                <w:rFonts w:hint="eastAsia"/>
                <w:color w:val="auto"/>
              </w:rPr>
              <w:t>表4-</w:t>
            </w:r>
            <w:r>
              <w:rPr>
                <w:rFonts w:hint="eastAsia"/>
                <w:color w:val="auto"/>
                <w:lang w:val="en-US" w:eastAsia="zh-CN"/>
              </w:rPr>
              <w:t>9</w:t>
            </w:r>
            <w:r>
              <w:rPr>
                <w:rFonts w:hint="eastAsia"/>
                <w:color w:val="auto"/>
              </w:rPr>
              <w:t xml:space="preserve"> 本项目危险物质的储存情况一览表</w:t>
            </w:r>
          </w:p>
          <w:tbl>
            <w:tblPr>
              <w:tblStyle w:val="3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4"/>
              <w:gridCol w:w="1910"/>
              <w:gridCol w:w="2124"/>
              <w:gridCol w:w="2546"/>
              <w:gridCol w:w="11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7" w:type="pct"/>
                  <w:noWrap w:val="0"/>
                  <w:vAlign w:val="top"/>
                </w:tcPr>
                <w:p>
                  <w:pPr>
                    <w:pStyle w:val="170"/>
                    <w:rPr>
                      <w:rFonts w:hint="eastAsia"/>
                      <w:b/>
                      <w:bCs/>
                      <w:color w:val="auto"/>
                    </w:rPr>
                  </w:pPr>
                  <w:r>
                    <w:rPr>
                      <w:rFonts w:hint="eastAsia"/>
                      <w:b/>
                      <w:bCs/>
                      <w:color w:val="auto"/>
                    </w:rPr>
                    <w:t>序号</w:t>
                  </w:r>
                </w:p>
              </w:tc>
              <w:tc>
                <w:tcPr>
                  <w:tcW w:w="1122" w:type="pct"/>
                  <w:noWrap w:val="0"/>
                  <w:vAlign w:val="top"/>
                </w:tcPr>
                <w:p>
                  <w:pPr>
                    <w:pStyle w:val="170"/>
                    <w:rPr>
                      <w:rFonts w:hint="eastAsia"/>
                      <w:b/>
                      <w:bCs/>
                      <w:color w:val="auto"/>
                    </w:rPr>
                  </w:pPr>
                  <w:r>
                    <w:rPr>
                      <w:rFonts w:hint="eastAsia"/>
                      <w:b/>
                      <w:bCs/>
                      <w:color w:val="auto"/>
                    </w:rPr>
                    <w:t>危险物质名称</w:t>
                  </w:r>
                </w:p>
              </w:tc>
              <w:tc>
                <w:tcPr>
                  <w:tcW w:w="1248" w:type="pct"/>
                  <w:noWrap w:val="0"/>
                  <w:vAlign w:val="top"/>
                </w:tcPr>
                <w:p>
                  <w:pPr>
                    <w:pStyle w:val="170"/>
                    <w:rPr>
                      <w:rFonts w:hint="eastAsia"/>
                      <w:b/>
                      <w:bCs/>
                      <w:color w:val="auto"/>
                    </w:rPr>
                  </w:pPr>
                  <w:r>
                    <w:rPr>
                      <w:rFonts w:hint="eastAsia"/>
                      <w:b/>
                      <w:bCs/>
                      <w:color w:val="auto"/>
                    </w:rPr>
                    <w:t>实际存储量（t）</w:t>
                  </w:r>
                </w:p>
              </w:tc>
              <w:tc>
                <w:tcPr>
                  <w:tcW w:w="1496" w:type="pct"/>
                  <w:noWrap w:val="0"/>
                  <w:vAlign w:val="top"/>
                </w:tcPr>
                <w:p>
                  <w:pPr>
                    <w:pStyle w:val="170"/>
                    <w:rPr>
                      <w:rFonts w:hint="eastAsia"/>
                      <w:b/>
                      <w:bCs/>
                      <w:color w:val="auto"/>
                    </w:rPr>
                  </w:pPr>
                  <w:r>
                    <w:rPr>
                      <w:rFonts w:hint="eastAsia"/>
                      <w:b/>
                      <w:bCs/>
                      <w:color w:val="auto"/>
                    </w:rPr>
                    <w:t>储存位置</w:t>
                  </w:r>
                </w:p>
              </w:tc>
              <w:tc>
                <w:tcPr>
                  <w:tcW w:w="695" w:type="pct"/>
                  <w:noWrap w:val="0"/>
                  <w:vAlign w:val="top"/>
                </w:tcPr>
                <w:p>
                  <w:pPr>
                    <w:pStyle w:val="170"/>
                    <w:rPr>
                      <w:rFonts w:hint="eastAsia"/>
                      <w:b/>
                      <w:bCs/>
                      <w:color w:val="auto"/>
                    </w:rPr>
                  </w:pPr>
                  <w:r>
                    <w:rPr>
                      <w:rFonts w:hint="eastAsia"/>
                      <w:b/>
                      <w:bCs/>
                      <w:color w:val="auto"/>
                    </w:rPr>
                    <w:t>储存方式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7" w:type="pct"/>
                  <w:noWrap w:val="0"/>
                  <w:vAlign w:val="top"/>
                </w:tcPr>
                <w:p>
                  <w:pPr>
                    <w:pStyle w:val="170"/>
                    <w:rPr>
                      <w:rFonts w:hint="eastAsia"/>
                      <w:color w:val="auto"/>
                    </w:rPr>
                  </w:pPr>
                  <w:r>
                    <w:rPr>
                      <w:rFonts w:hint="eastAsia"/>
                      <w:color w:val="auto"/>
                    </w:rPr>
                    <w:t>1</w:t>
                  </w:r>
                </w:p>
              </w:tc>
              <w:tc>
                <w:tcPr>
                  <w:tcW w:w="1122" w:type="pct"/>
                  <w:noWrap w:val="0"/>
                  <w:vAlign w:val="top"/>
                </w:tcPr>
                <w:p>
                  <w:pPr>
                    <w:pStyle w:val="170"/>
                    <w:rPr>
                      <w:rFonts w:hint="eastAsia"/>
                      <w:color w:val="auto"/>
                    </w:rPr>
                  </w:pPr>
                  <w:r>
                    <w:rPr>
                      <w:rFonts w:hint="eastAsia"/>
                      <w:color w:val="auto"/>
                    </w:rPr>
                    <w:t>二氧化氯泡腾片</w:t>
                  </w:r>
                </w:p>
              </w:tc>
              <w:tc>
                <w:tcPr>
                  <w:tcW w:w="1248" w:type="pct"/>
                  <w:noWrap w:val="0"/>
                  <w:vAlign w:val="top"/>
                </w:tcPr>
                <w:p>
                  <w:pPr>
                    <w:pStyle w:val="170"/>
                    <w:rPr>
                      <w:color w:val="auto"/>
                    </w:rPr>
                  </w:pPr>
                  <w:r>
                    <w:rPr>
                      <w:rFonts w:hint="eastAsia"/>
                      <w:color w:val="auto"/>
                    </w:rPr>
                    <w:t>0.2</w:t>
                  </w:r>
                </w:p>
              </w:tc>
              <w:tc>
                <w:tcPr>
                  <w:tcW w:w="1496" w:type="pct"/>
                  <w:noWrap w:val="0"/>
                  <w:vAlign w:val="top"/>
                </w:tcPr>
                <w:p>
                  <w:pPr>
                    <w:pStyle w:val="170"/>
                    <w:rPr>
                      <w:rFonts w:hint="eastAsia"/>
                      <w:color w:val="auto"/>
                    </w:rPr>
                  </w:pPr>
                  <w:r>
                    <w:rPr>
                      <w:rFonts w:hint="eastAsia"/>
                      <w:color w:val="auto"/>
                    </w:rPr>
                    <w:t>药房</w:t>
                  </w:r>
                </w:p>
              </w:tc>
              <w:tc>
                <w:tcPr>
                  <w:tcW w:w="695" w:type="pct"/>
                  <w:noWrap w:val="0"/>
                  <w:vAlign w:val="top"/>
                </w:tcPr>
                <w:p>
                  <w:pPr>
                    <w:pStyle w:val="170"/>
                    <w:rPr>
                      <w:rFonts w:hint="eastAsia"/>
                      <w:color w:val="auto"/>
                    </w:rPr>
                  </w:pPr>
                  <w:r>
                    <w:rPr>
                      <w:rFonts w:hint="eastAsia"/>
                      <w:color w:val="auto"/>
                    </w:rPr>
                    <w:t>瓶装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7" w:type="pct"/>
                  <w:noWrap w:val="0"/>
                  <w:vAlign w:val="top"/>
                </w:tcPr>
                <w:p>
                  <w:pPr>
                    <w:pStyle w:val="170"/>
                    <w:rPr>
                      <w:rFonts w:hint="eastAsia"/>
                      <w:color w:val="auto"/>
                    </w:rPr>
                  </w:pPr>
                  <w:r>
                    <w:rPr>
                      <w:rFonts w:hint="eastAsia"/>
                      <w:color w:val="auto"/>
                    </w:rPr>
                    <w:t>2</w:t>
                  </w:r>
                </w:p>
              </w:tc>
              <w:tc>
                <w:tcPr>
                  <w:tcW w:w="1122" w:type="pct"/>
                  <w:noWrap w:val="0"/>
                  <w:vAlign w:val="top"/>
                </w:tcPr>
                <w:p>
                  <w:pPr>
                    <w:pStyle w:val="170"/>
                    <w:rPr>
                      <w:rFonts w:hint="eastAsia"/>
                      <w:color w:val="auto"/>
                    </w:rPr>
                  </w:pPr>
                  <w:r>
                    <w:rPr>
                      <w:rFonts w:hint="eastAsia"/>
                      <w:color w:val="auto"/>
                    </w:rPr>
                    <w:t>酒精（乙醇）</w:t>
                  </w:r>
                </w:p>
              </w:tc>
              <w:tc>
                <w:tcPr>
                  <w:tcW w:w="1248" w:type="pct"/>
                  <w:noWrap w:val="0"/>
                  <w:vAlign w:val="top"/>
                </w:tcPr>
                <w:p>
                  <w:pPr>
                    <w:pStyle w:val="170"/>
                    <w:rPr>
                      <w:color w:val="auto"/>
                    </w:rPr>
                  </w:pPr>
                  <w:r>
                    <w:rPr>
                      <w:rFonts w:hint="eastAsia"/>
                      <w:color w:val="auto"/>
                    </w:rPr>
                    <w:t>0.05</w:t>
                  </w:r>
                </w:p>
              </w:tc>
              <w:tc>
                <w:tcPr>
                  <w:tcW w:w="1496" w:type="pct"/>
                  <w:noWrap w:val="0"/>
                  <w:vAlign w:val="top"/>
                </w:tcPr>
                <w:p>
                  <w:pPr>
                    <w:pStyle w:val="170"/>
                    <w:rPr>
                      <w:rFonts w:hint="eastAsia"/>
                      <w:color w:val="auto"/>
                    </w:rPr>
                  </w:pPr>
                  <w:r>
                    <w:rPr>
                      <w:rFonts w:hint="eastAsia"/>
                      <w:color w:val="auto"/>
                    </w:rPr>
                    <w:t>药房</w:t>
                  </w:r>
                </w:p>
              </w:tc>
              <w:tc>
                <w:tcPr>
                  <w:tcW w:w="695" w:type="pct"/>
                  <w:noWrap w:val="0"/>
                  <w:vAlign w:val="top"/>
                </w:tcPr>
                <w:p>
                  <w:pPr>
                    <w:pStyle w:val="170"/>
                    <w:rPr>
                      <w:rFonts w:hint="eastAsia"/>
                      <w:color w:val="auto"/>
                    </w:rPr>
                  </w:pPr>
                  <w:r>
                    <w:rPr>
                      <w:rFonts w:hint="eastAsia"/>
                      <w:color w:val="auto"/>
                    </w:rPr>
                    <w:t>瓶装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5"/>
                  <w:noWrap w:val="0"/>
                  <w:vAlign w:val="top"/>
                </w:tcPr>
                <w:p>
                  <w:pPr>
                    <w:pStyle w:val="170"/>
                    <w:rPr>
                      <w:color w:val="auto"/>
                    </w:rPr>
                  </w:pPr>
                  <w:r>
                    <w:rPr>
                      <w:rFonts w:hint="eastAsia"/>
                      <w:color w:val="auto"/>
                    </w:rPr>
                    <w:t>*注：二氧化氯泡腾片的储存量按1片≈1000ml来折算</w:t>
                  </w:r>
                </w:p>
              </w:tc>
            </w:tr>
          </w:tbl>
          <w:p>
            <w:pPr>
              <w:pStyle w:val="5"/>
              <w:numPr>
                <w:ilvl w:val="0"/>
                <w:numId w:val="20"/>
              </w:numPr>
              <w:ind w:firstLine="482"/>
              <w:rPr>
                <w:rFonts w:hint="eastAsia"/>
                <w:color w:val="auto"/>
              </w:rPr>
            </w:pPr>
            <w:r>
              <w:rPr>
                <w:rFonts w:hint="eastAsia"/>
                <w:color w:val="auto"/>
              </w:rPr>
              <w:t>环境风险识别及影响途径</w:t>
            </w:r>
          </w:p>
          <w:p>
            <w:pPr>
              <w:pStyle w:val="104"/>
              <w:ind w:firstLine="480"/>
              <w:rPr>
                <w:rFonts w:hint="eastAsia"/>
                <w:color w:val="auto"/>
              </w:rPr>
            </w:pPr>
            <w:r>
              <w:rPr>
                <w:rFonts w:hint="eastAsia"/>
                <w:color w:val="auto"/>
              </w:rPr>
              <w:t>本项目涉及乙醇、二氧化氯泡腾片储存于药房内，药房内地面已采取硬化措施，化学药品泄漏造成地表水、土壤和地下水污染的风险事故较小；医疗废物暂存间拟设置于医院二层，不存在泄漏造成土壤、地下水污染的环境风险事故。</w:t>
            </w:r>
          </w:p>
          <w:p>
            <w:pPr>
              <w:pStyle w:val="104"/>
              <w:ind w:firstLine="480"/>
              <w:rPr>
                <w:rFonts w:hint="eastAsia"/>
                <w:color w:val="auto"/>
              </w:rPr>
            </w:pPr>
            <w:r>
              <w:rPr>
                <w:rFonts w:hint="eastAsia"/>
                <w:color w:val="auto"/>
              </w:rPr>
              <w:t>由于本项目单次储存的试剂存放量较小，日常由专人负责监管，项目发生化学品泄漏事故概率较低，对环境产生的影响较小。</w:t>
            </w:r>
          </w:p>
          <w:p>
            <w:pPr>
              <w:pStyle w:val="104"/>
              <w:ind w:firstLine="482"/>
              <w:rPr>
                <w:color w:val="auto"/>
              </w:rPr>
            </w:pPr>
            <w:r>
              <w:rPr>
                <w:b/>
                <w:bCs/>
                <w:color w:val="auto"/>
              </w:rPr>
              <w:t>营运期环境风险主要包括：</w:t>
            </w:r>
            <w:r>
              <w:rPr>
                <w:color w:val="auto"/>
              </w:rPr>
              <w:t xml:space="preserve"> </w:t>
            </w:r>
          </w:p>
          <w:p>
            <w:pPr>
              <w:pStyle w:val="104"/>
              <w:ind w:firstLine="480"/>
              <w:rPr>
                <w:color w:val="auto"/>
              </w:rPr>
            </w:pPr>
            <w:r>
              <w:rPr>
                <w:color w:val="auto"/>
              </w:rPr>
              <w:t xml:space="preserve">①污水处理器出现故障时，外排的医疗废水对受纳水体的污染。 </w:t>
            </w:r>
          </w:p>
          <w:p>
            <w:pPr>
              <w:pStyle w:val="104"/>
              <w:ind w:firstLine="480"/>
              <w:rPr>
                <w:color w:val="auto"/>
              </w:rPr>
            </w:pPr>
            <w:r>
              <w:rPr>
                <w:color w:val="auto"/>
              </w:rPr>
              <w:t xml:space="preserve">②各类医用化学品存储、使用过程中的环境风险。 </w:t>
            </w:r>
          </w:p>
          <w:p>
            <w:pPr>
              <w:pStyle w:val="104"/>
              <w:ind w:firstLine="480"/>
              <w:rPr>
                <w:color w:val="auto"/>
              </w:rPr>
            </w:pPr>
            <w:r>
              <w:rPr>
                <w:color w:val="auto"/>
              </w:rPr>
              <w:t xml:space="preserve">③医疗废物发生泄漏，本项目产生的医疗废物主要为药物性废物属危险废物，如处置不当，可能对人群健康造成危害。 </w:t>
            </w:r>
          </w:p>
          <w:p>
            <w:pPr>
              <w:pStyle w:val="104"/>
              <w:ind w:firstLine="480"/>
              <w:rPr>
                <w:color w:val="auto"/>
              </w:rPr>
            </w:pPr>
            <w:r>
              <w:rPr>
                <w:color w:val="auto"/>
              </w:rPr>
              <w:t>④医院涉及的动物可能发生的传染病/疫情等对周边人群的影响。</w:t>
            </w:r>
          </w:p>
          <w:p>
            <w:pPr>
              <w:pStyle w:val="104"/>
              <w:ind w:firstLine="480"/>
              <w:rPr>
                <w:color w:val="auto"/>
              </w:rPr>
            </w:pPr>
            <w:r>
              <w:rPr>
                <w:color w:val="auto"/>
              </w:rPr>
              <w:t>在上述风险中，考虑到项目各类医用化学品存储、使用量均较小，故评价主要针对废水事故性外排和可能涉及的动物发生的狂犬病等对周边人群的风险影响提出相关风险防范措施，并对危险化学品管理提出相关管理措施。</w:t>
            </w:r>
          </w:p>
          <w:p>
            <w:pPr>
              <w:pStyle w:val="5"/>
              <w:ind w:firstLine="482"/>
              <w:rPr>
                <w:color w:val="auto"/>
              </w:rPr>
            </w:pPr>
            <w:r>
              <w:rPr>
                <w:rFonts w:hint="eastAsia"/>
                <w:color w:val="auto"/>
              </w:rPr>
              <w:t>3、环境风险防范措施及应急要求</w:t>
            </w:r>
          </w:p>
          <w:p>
            <w:pPr>
              <w:pStyle w:val="101"/>
              <w:ind w:firstLine="482"/>
              <w:rPr>
                <w:rFonts w:hint="eastAsia"/>
                <w:b/>
                <w:bCs/>
                <w:color w:val="auto"/>
              </w:rPr>
            </w:pPr>
            <w:r>
              <w:rPr>
                <w:rFonts w:hint="eastAsia"/>
                <w:b/>
                <w:bCs/>
                <w:color w:val="auto"/>
              </w:rPr>
              <w:t xml:space="preserve">①污水处理器的风险防范措施 </w:t>
            </w:r>
          </w:p>
          <w:p>
            <w:pPr>
              <w:pStyle w:val="101"/>
              <w:ind w:firstLine="480"/>
              <w:rPr>
                <w:rFonts w:hint="eastAsia"/>
                <w:color w:val="auto"/>
              </w:rPr>
            </w:pPr>
            <w:r>
              <w:rPr>
                <w:rFonts w:hint="eastAsia"/>
                <w:color w:val="auto"/>
              </w:rPr>
              <w:t>A、建设单位必须防止医疗废物事故性外排，</w:t>
            </w:r>
            <w:r>
              <w:rPr>
                <w:rFonts w:hint="eastAsia"/>
                <w:b/>
                <w:bCs/>
                <w:color w:val="auto"/>
              </w:rPr>
              <w:t>环评要求建设单位设置事故废水应急收集池（桶）</w:t>
            </w:r>
            <w:r>
              <w:rPr>
                <w:rFonts w:hint="eastAsia"/>
                <w:color w:val="auto"/>
              </w:rPr>
              <w:t xml:space="preserve">。安排专人定期对污水处理器进行维修，确保其正常运行，严防污水事故性排放。一旦污水处理器出现故障时，立即通知相应科室停止用水，减少废水产生量，同时切断消毒设施和污水管网的接口，未处理废水收集至应急收集池（桶）后待设备恢复正常运行再由污水处理器进行处理，防止医疗废水未经有效处理直接排入市政污水管网。 </w:t>
            </w:r>
          </w:p>
          <w:p>
            <w:pPr>
              <w:pStyle w:val="101"/>
              <w:ind w:firstLine="480"/>
              <w:rPr>
                <w:rFonts w:hint="eastAsia"/>
                <w:color w:val="auto"/>
              </w:rPr>
            </w:pPr>
            <w:r>
              <w:rPr>
                <w:rFonts w:hint="eastAsia"/>
                <w:color w:val="auto"/>
              </w:rPr>
              <w:t xml:space="preserve">B、加强污水处理器的日常检查维护，医疗废水处理系统主要配件一旦设备出现故障应立即更换处理。 </w:t>
            </w:r>
          </w:p>
          <w:p>
            <w:pPr>
              <w:pStyle w:val="101"/>
              <w:ind w:firstLine="480"/>
              <w:rPr>
                <w:rFonts w:hint="eastAsia"/>
                <w:color w:val="auto"/>
              </w:rPr>
            </w:pPr>
            <w:r>
              <w:rPr>
                <w:rFonts w:hint="eastAsia"/>
                <w:color w:val="auto"/>
              </w:rPr>
              <w:t>C、要求加强项目污水处理器的日常管理工作，定期检查污水处理器内的药剂。</w:t>
            </w:r>
          </w:p>
          <w:p>
            <w:pPr>
              <w:pStyle w:val="101"/>
              <w:ind w:firstLine="480"/>
              <w:rPr>
                <w:color w:val="auto"/>
              </w:rPr>
            </w:pPr>
            <w:r>
              <w:rPr>
                <w:color w:val="auto"/>
              </w:rPr>
              <w:t>D、在污水处理实施恢复使用后，建设单位应将污水处理器处理池内暂存的未经处理的污水有效处理，再达标外排。</w:t>
            </w:r>
          </w:p>
          <w:p>
            <w:pPr>
              <w:pStyle w:val="101"/>
              <w:ind w:firstLine="482"/>
              <w:rPr>
                <w:b/>
                <w:bCs/>
                <w:color w:val="auto"/>
              </w:rPr>
            </w:pPr>
            <w:r>
              <w:rPr>
                <w:b/>
                <w:bCs/>
                <w:color w:val="auto"/>
              </w:rPr>
              <w:t xml:space="preserve">②化学品管理 </w:t>
            </w:r>
          </w:p>
          <w:p>
            <w:pPr>
              <w:pStyle w:val="101"/>
              <w:ind w:firstLine="480"/>
              <w:rPr>
                <w:color w:val="auto"/>
              </w:rPr>
            </w:pPr>
            <w:r>
              <w:rPr>
                <w:color w:val="auto"/>
              </w:rPr>
              <w:t xml:space="preserve">对于化学品的购买、储存、保管、使用等需要按照《危险化学品安全管理条例》的规定管理，化学品出入库，必须进行核查登记，并定期监测库存。做好化学品的存储及使用的安全防范措施，具体如下： </w:t>
            </w:r>
          </w:p>
          <w:p>
            <w:pPr>
              <w:pStyle w:val="101"/>
              <w:ind w:firstLine="480"/>
              <w:rPr>
                <w:color w:val="auto"/>
              </w:rPr>
            </w:pPr>
            <w:r>
              <w:rPr>
                <w:color w:val="auto"/>
              </w:rPr>
              <w:t xml:space="preserve">A、化学品必须储存在专用储存柜内，其储存方式、方法与储存量必须符合国家标准，并由专人管理。 </w:t>
            </w:r>
          </w:p>
          <w:p>
            <w:pPr>
              <w:pStyle w:val="101"/>
              <w:ind w:firstLine="480"/>
              <w:rPr>
                <w:color w:val="auto"/>
              </w:rPr>
            </w:pPr>
            <w:r>
              <w:rPr>
                <w:color w:val="auto"/>
              </w:rPr>
              <w:t>B、化学品设有专用存储柜，应当符合国家标准对安全、消防的要求，设置明显标志。</w:t>
            </w:r>
          </w:p>
          <w:p>
            <w:pPr>
              <w:pStyle w:val="101"/>
              <w:ind w:firstLine="482"/>
              <w:rPr>
                <w:b/>
                <w:bCs/>
                <w:color w:val="auto"/>
              </w:rPr>
            </w:pPr>
            <w:r>
              <w:rPr>
                <w:b/>
                <w:bCs/>
                <w:color w:val="auto"/>
              </w:rPr>
              <w:t xml:space="preserve">③医疗废物储存风险防范措施 </w:t>
            </w:r>
          </w:p>
          <w:p>
            <w:pPr>
              <w:pStyle w:val="101"/>
              <w:ind w:firstLine="480"/>
              <w:rPr>
                <w:color w:val="auto"/>
              </w:rPr>
            </w:pPr>
            <w:r>
              <w:rPr>
                <w:color w:val="auto"/>
              </w:rPr>
              <w:t>A、应当使用防渗漏、房抛洒的专用储存工具，做好医疗废物存储地周围的防渗措施。</w:t>
            </w:r>
          </w:p>
          <w:p>
            <w:pPr>
              <w:pStyle w:val="101"/>
              <w:ind w:firstLine="480"/>
              <w:rPr>
                <w:color w:val="auto"/>
              </w:rPr>
            </w:pPr>
            <w:r>
              <w:rPr>
                <w:color w:val="auto"/>
              </w:rPr>
              <w:t xml:space="preserve">B、医疗废物储存工具应定期进行消毒和清洁。 </w:t>
            </w:r>
          </w:p>
          <w:p>
            <w:pPr>
              <w:pStyle w:val="101"/>
              <w:ind w:firstLine="480"/>
              <w:rPr>
                <w:color w:val="auto"/>
              </w:rPr>
            </w:pPr>
            <w:r>
              <w:rPr>
                <w:color w:val="auto"/>
              </w:rPr>
              <w:t>C、医疗废物应分类收集、贮存，贴上醒目标签，不得与生活垃圾混合堆放；发生危险废物与生活垃圾混合的现象，应将所有被污染的生活垃圾当做危险废物处理。</w:t>
            </w:r>
          </w:p>
          <w:p>
            <w:pPr>
              <w:pStyle w:val="101"/>
              <w:ind w:firstLine="482"/>
              <w:rPr>
                <w:b/>
                <w:bCs/>
                <w:color w:val="auto"/>
              </w:rPr>
            </w:pPr>
            <w:r>
              <w:rPr>
                <w:b/>
                <w:bCs/>
                <w:color w:val="auto"/>
              </w:rPr>
              <w:t>④可能发生的传染病/疫情等对周边人群的风险防范措施</w:t>
            </w:r>
          </w:p>
          <w:p>
            <w:pPr>
              <w:pStyle w:val="104"/>
              <w:ind w:firstLine="480"/>
              <w:rPr>
                <w:color w:val="auto"/>
              </w:rPr>
            </w:pPr>
            <w:r>
              <w:rPr>
                <w:color w:val="auto"/>
              </w:rPr>
              <w:t xml:space="preserve">A、在项目营业过程中，动物病防治服务范围仅针对猫、狗，不准涉及动物传染病，不涉及人畜共生病治疗科目。在检查过程中如发现传染病及人畜共生病，医院要采取隔离措施并立即将患病动物转移至专业的动物传染病防治医院。 </w:t>
            </w:r>
          </w:p>
          <w:p>
            <w:pPr>
              <w:pStyle w:val="104"/>
              <w:ind w:firstLine="480"/>
              <w:rPr>
                <w:color w:val="auto"/>
              </w:rPr>
            </w:pPr>
            <w:r>
              <w:rPr>
                <w:color w:val="auto"/>
              </w:rPr>
              <w:t xml:space="preserve">B、做好医院内部消毒、杀虫、灭鼠工作；严格遵守《中华人民共和国动物防疫法》、《重大动物疫情应急条例》、《动物疫情报告管理办法》等法律法规，一旦发现宠物传染病或疑似宠物疫情的，及时按规定程序上报，不得接受患传染病或疫情的宠物，并制定相应的环境风险事故应急预案。 </w:t>
            </w:r>
          </w:p>
          <w:p>
            <w:pPr>
              <w:pStyle w:val="104"/>
              <w:ind w:firstLine="480"/>
              <w:rPr>
                <w:color w:val="auto"/>
              </w:rPr>
            </w:pPr>
            <w:r>
              <w:rPr>
                <w:color w:val="auto"/>
              </w:rPr>
              <w:t xml:space="preserve">C、项目在营业过程中，要有针对性地开展消毒和污染物清除工作，对宠物的排泄物要严格消毒处理。 </w:t>
            </w:r>
          </w:p>
          <w:p>
            <w:pPr>
              <w:pStyle w:val="104"/>
              <w:ind w:firstLine="480"/>
              <w:rPr>
                <w:color w:val="auto"/>
              </w:rPr>
            </w:pPr>
            <w:r>
              <w:rPr>
                <w:color w:val="auto"/>
              </w:rPr>
              <w:t>D、在营业过程中，加强管理，防止宠物外逃，与人群保持一定的安全距离，严禁出现宠物伤人事件。</w:t>
            </w:r>
          </w:p>
          <w:p>
            <w:pPr>
              <w:pStyle w:val="5"/>
              <w:ind w:firstLine="482"/>
              <w:rPr>
                <w:rFonts w:hint="eastAsia"/>
                <w:color w:val="auto"/>
              </w:rPr>
            </w:pPr>
            <w:r>
              <w:rPr>
                <w:rFonts w:hint="eastAsia"/>
                <w:color w:val="auto"/>
              </w:rPr>
              <w:t>4、环境风险分析结论</w:t>
            </w:r>
          </w:p>
          <w:p>
            <w:pPr>
              <w:pStyle w:val="104"/>
              <w:ind w:firstLine="480"/>
              <w:rPr>
                <w:color w:val="auto"/>
              </w:rPr>
            </w:pPr>
            <w:r>
              <w:rPr>
                <w:rFonts w:hint="eastAsia"/>
                <w:color w:val="auto"/>
              </w:rPr>
              <w:t>项目涉及医用酒精、二氧化氯等危险化学品，具有一定的危险性。本项目运营过程中涉及的危险物质不构成重大危险源，本环评要求建设单位严格落实环评报告中提出的风险防范措施，配备必要的防范设施，加强对设备的管理和维护，使之保持良好状况，尽早制定环境风险应急预案，认真落实，杜绝事故发生的前提下，该项目环境风险处于可接受水平，制定的风险管理措施和应急预案有效可靠，从环境风险角度分析该项目建设可行。</w:t>
            </w:r>
          </w:p>
          <w:p>
            <w:pPr>
              <w:pStyle w:val="4"/>
              <w:spacing w:after="120"/>
              <w:rPr>
                <w:color w:val="auto"/>
              </w:rPr>
            </w:pPr>
            <w:r>
              <w:rPr>
                <w:color w:val="auto"/>
              </w:rPr>
              <w:t>八、环保投资估算</w:t>
            </w:r>
          </w:p>
          <w:p>
            <w:pPr>
              <w:pStyle w:val="101"/>
              <w:ind w:firstLine="480"/>
              <w:rPr>
                <w:color w:val="auto"/>
              </w:rPr>
            </w:pPr>
            <w:r>
              <w:rPr>
                <w:color w:val="auto"/>
              </w:rPr>
              <w:t>本项目总投资</w:t>
            </w:r>
            <w:r>
              <w:rPr>
                <w:rFonts w:hint="eastAsia"/>
                <w:color w:val="auto"/>
              </w:rPr>
              <w:t>17.0</w:t>
            </w:r>
            <w:r>
              <w:rPr>
                <w:color w:val="auto"/>
              </w:rPr>
              <w:t>万元，其中环保投资</w:t>
            </w:r>
            <w:r>
              <w:rPr>
                <w:rFonts w:hint="eastAsia"/>
                <w:color w:val="auto"/>
              </w:rPr>
              <w:t>3.9</w:t>
            </w:r>
            <w:r>
              <w:rPr>
                <w:color w:val="auto"/>
              </w:rPr>
              <w:t>万元，环保投资占总投资的</w:t>
            </w:r>
            <w:r>
              <w:rPr>
                <w:rFonts w:hint="eastAsia"/>
                <w:color w:val="auto"/>
              </w:rPr>
              <w:t>23</w:t>
            </w:r>
            <w:r>
              <w:rPr>
                <w:color w:val="auto"/>
              </w:rPr>
              <w:t>%。项目环保治理措施及投资见表</w:t>
            </w:r>
            <w:r>
              <w:rPr>
                <w:rFonts w:hint="eastAsia"/>
                <w:color w:val="auto"/>
              </w:rPr>
              <w:t>4</w:t>
            </w:r>
            <w:r>
              <w:rPr>
                <w:color w:val="auto"/>
              </w:rPr>
              <w:t>-</w:t>
            </w:r>
            <w:r>
              <w:rPr>
                <w:rFonts w:hint="eastAsia"/>
                <w:color w:val="auto"/>
                <w:lang w:val="en-US" w:eastAsia="zh-CN"/>
              </w:rPr>
              <w:t>10</w:t>
            </w:r>
            <w:r>
              <w:rPr>
                <w:color w:val="auto"/>
              </w:rPr>
              <w:t>：</w:t>
            </w:r>
          </w:p>
          <w:p>
            <w:pPr>
              <w:pStyle w:val="117"/>
              <w:rPr>
                <w:color w:val="auto"/>
              </w:rPr>
            </w:pPr>
            <w:r>
              <w:rPr>
                <w:color w:val="auto"/>
              </w:rPr>
              <w:t>表</w:t>
            </w:r>
            <w:r>
              <w:rPr>
                <w:rFonts w:hint="eastAsia"/>
                <w:color w:val="auto"/>
              </w:rPr>
              <w:t>4</w:t>
            </w:r>
            <w:r>
              <w:rPr>
                <w:color w:val="auto"/>
              </w:rPr>
              <w:t>-</w:t>
            </w:r>
            <w:r>
              <w:rPr>
                <w:rFonts w:hint="eastAsia"/>
                <w:color w:val="auto"/>
                <w:lang w:val="en-US" w:eastAsia="zh-CN"/>
              </w:rPr>
              <w:t>10</w:t>
            </w:r>
            <w:r>
              <w:rPr>
                <w:color w:val="auto"/>
              </w:rPr>
              <w:t xml:space="preserve"> 环保投资一览表</w:t>
            </w:r>
          </w:p>
          <w:tbl>
            <w:tblPr>
              <w:tblStyle w:val="38"/>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1"/>
              <w:gridCol w:w="1668"/>
              <w:gridCol w:w="4000"/>
              <w:gridCol w:w="1338"/>
              <w:gridCol w:w="8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412" w:type="pct"/>
                  <w:noWrap w:val="0"/>
                  <w:vAlign w:val="center"/>
                </w:tcPr>
                <w:p>
                  <w:pPr>
                    <w:pStyle w:val="170"/>
                    <w:rPr>
                      <w:b/>
                      <w:bCs/>
                      <w:color w:val="auto"/>
                    </w:rPr>
                  </w:pPr>
                  <w:r>
                    <w:rPr>
                      <w:b/>
                      <w:bCs/>
                      <w:color w:val="auto"/>
                    </w:rPr>
                    <w:t>类型</w:t>
                  </w:r>
                </w:p>
              </w:tc>
              <w:tc>
                <w:tcPr>
                  <w:tcW w:w="980" w:type="pct"/>
                  <w:noWrap w:val="0"/>
                  <w:vAlign w:val="center"/>
                </w:tcPr>
                <w:p>
                  <w:pPr>
                    <w:pStyle w:val="170"/>
                    <w:rPr>
                      <w:b/>
                      <w:bCs/>
                      <w:color w:val="auto"/>
                    </w:rPr>
                  </w:pPr>
                  <w:r>
                    <w:rPr>
                      <w:b/>
                      <w:bCs/>
                      <w:color w:val="auto"/>
                    </w:rPr>
                    <w:t>污染源</w:t>
                  </w:r>
                </w:p>
              </w:tc>
              <w:tc>
                <w:tcPr>
                  <w:tcW w:w="2350" w:type="pct"/>
                  <w:noWrap w:val="0"/>
                  <w:vAlign w:val="center"/>
                </w:tcPr>
                <w:p>
                  <w:pPr>
                    <w:pStyle w:val="170"/>
                    <w:rPr>
                      <w:b/>
                      <w:bCs/>
                      <w:color w:val="auto"/>
                    </w:rPr>
                  </w:pPr>
                  <w:r>
                    <w:rPr>
                      <w:b/>
                      <w:bCs/>
                      <w:color w:val="auto"/>
                    </w:rPr>
                    <w:t>治理措施</w:t>
                  </w:r>
                </w:p>
              </w:tc>
              <w:tc>
                <w:tcPr>
                  <w:tcW w:w="786" w:type="pct"/>
                  <w:noWrap w:val="0"/>
                  <w:vAlign w:val="center"/>
                </w:tcPr>
                <w:p>
                  <w:pPr>
                    <w:pStyle w:val="170"/>
                    <w:rPr>
                      <w:rFonts w:hint="eastAsia"/>
                      <w:b/>
                      <w:bCs/>
                      <w:color w:val="auto"/>
                    </w:rPr>
                  </w:pPr>
                  <w:r>
                    <w:rPr>
                      <w:b/>
                      <w:bCs/>
                      <w:color w:val="auto"/>
                    </w:rPr>
                    <w:t>投资</w:t>
                  </w:r>
                  <w:r>
                    <w:rPr>
                      <w:rFonts w:hint="eastAsia"/>
                      <w:b/>
                      <w:bCs/>
                      <w:color w:val="auto"/>
                    </w:rPr>
                    <w:t>（</w:t>
                  </w:r>
                  <w:r>
                    <w:rPr>
                      <w:b/>
                      <w:bCs/>
                      <w:color w:val="auto"/>
                    </w:rPr>
                    <w:t>万元</w:t>
                  </w:r>
                  <w:r>
                    <w:rPr>
                      <w:rFonts w:hint="eastAsia"/>
                      <w:b/>
                      <w:bCs/>
                      <w:color w:val="auto"/>
                    </w:rPr>
                    <w:t>）</w:t>
                  </w:r>
                </w:p>
              </w:tc>
              <w:tc>
                <w:tcPr>
                  <w:tcW w:w="469" w:type="pct"/>
                  <w:noWrap w:val="0"/>
                  <w:vAlign w:val="center"/>
                </w:tcPr>
                <w:p>
                  <w:pPr>
                    <w:pStyle w:val="170"/>
                    <w:rPr>
                      <w:b/>
                      <w:bCs/>
                      <w:color w:val="auto"/>
                    </w:rPr>
                  </w:pPr>
                  <w:r>
                    <w:rPr>
                      <w:b/>
                      <w:bCs/>
                      <w:color w:val="auto"/>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77" w:hRule="atLeast"/>
                <w:jc w:val="center"/>
              </w:trPr>
              <w:tc>
                <w:tcPr>
                  <w:tcW w:w="412" w:type="pct"/>
                  <w:vMerge w:val="restart"/>
                  <w:noWrap w:val="0"/>
                  <w:vAlign w:val="center"/>
                </w:tcPr>
                <w:p>
                  <w:pPr>
                    <w:pStyle w:val="170"/>
                    <w:rPr>
                      <w:color w:val="auto"/>
                    </w:rPr>
                  </w:pPr>
                  <w:r>
                    <w:rPr>
                      <w:color w:val="auto"/>
                    </w:rPr>
                    <w:t>废水</w:t>
                  </w:r>
                </w:p>
                <w:p>
                  <w:pPr>
                    <w:pStyle w:val="170"/>
                    <w:rPr>
                      <w:color w:val="auto"/>
                    </w:rPr>
                  </w:pPr>
                  <w:r>
                    <w:rPr>
                      <w:color w:val="auto"/>
                    </w:rPr>
                    <w:t>治理</w:t>
                  </w:r>
                </w:p>
              </w:tc>
              <w:tc>
                <w:tcPr>
                  <w:tcW w:w="980" w:type="pct"/>
                  <w:noWrap w:val="0"/>
                  <w:vAlign w:val="center"/>
                </w:tcPr>
                <w:p>
                  <w:pPr>
                    <w:pStyle w:val="170"/>
                    <w:rPr>
                      <w:rFonts w:hint="eastAsia"/>
                      <w:color w:val="auto"/>
                    </w:rPr>
                  </w:pPr>
                  <w:r>
                    <w:rPr>
                      <w:rFonts w:hint="eastAsia"/>
                      <w:color w:val="auto"/>
                    </w:rPr>
                    <w:t>医疗废水</w:t>
                  </w:r>
                </w:p>
              </w:tc>
              <w:tc>
                <w:tcPr>
                  <w:tcW w:w="2350" w:type="pct"/>
                  <w:noWrap w:val="0"/>
                  <w:vAlign w:val="center"/>
                </w:tcPr>
                <w:p>
                  <w:pPr>
                    <w:pStyle w:val="170"/>
                    <w:rPr>
                      <w:rFonts w:hint="eastAsia"/>
                      <w:color w:val="auto"/>
                    </w:rPr>
                  </w:pPr>
                  <w:r>
                    <w:rPr>
                      <w:rFonts w:hint="eastAsia"/>
                      <w:color w:val="auto"/>
                    </w:rPr>
                    <w:t>卫生间处设置一台一体化污水处理设施，进行</w:t>
                  </w:r>
                  <w:r>
                    <w:rPr>
                      <w:rFonts w:hint="eastAsia"/>
                      <w:color w:val="auto"/>
                      <w:lang w:eastAsia="zh-CN"/>
                    </w:rPr>
                    <w:t>混凝沉淀</w:t>
                  </w:r>
                  <w:r>
                    <w:rPr>
                      <w:rFonts w:hint="eastAsia"/>
                      <w:color w:val="auto"/>
                    </w:rPr>
                    <w:t>+消毒预处理后同生活污水排入嘉州春天小区预处理池</w:t>
                  </w:r>
                </w:p>
              </w:tc>
              <w:tc>
                <w:tcPr>
                  <w:tcW w:w="786" w:type="pct"/>
                  <w:noWrap w:val="0"/>
                  <w:vAlign w:val="center"/>
                </w:tcPr>
                <w:p>
                  <w:pPr>
                    <w:pStyle w:val="170"/>
                    <w:rPr>
                      <w:color w:val="auto"/>
                    </w:rPr>
                  </w:pPr>
                  <w:r>
                    <w:rPr>
                      <w:rFonts w:hint="eastAsia"/>
                      <w:color w:val="auto"/>
                    </w:rPr>
                    <w:t>1.2</w:t>
                  </w:r>
                </w:p>
              </w:tc>
              <w:tc>
                <w:tcPr>
                  <w:tcW w:w="469" w:type="pct"/>
                  <w:noWrap w:val="0"/>
                  <w:vAlign w:val="center"/>
                </w:tcPr>
                <w:p>
                  <w:pPr>
                    <w:pStyle w:val="170"/>
                    <w:rPr>
                      <w:rFonts w:hint="eastAsia"/>
                      <w:color w:val="auto"/>
                    </w:rPr>
                  </w:pPr>
                  <w:r>
                    <w:rPr>
                      <w:rFonts w:hint="eastAsia"/>
                      <w:color w:val="auto"/>
                    </w:rPr>
                    <w:t>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0" w:hRule="atLeast"/>
                <w:jc w:val="center"/>
              </w:trPr>
              <w:tc>
                <w:tcPr>
                  <w:tcW w:w="412" w:type="pct"/>
                  <w:vMerge w:val="continue"/>
                  <w:noWrap w:val="0"/>
                  <w:vAlign w:val="center"/>
                </w:tcPr>
                <w:p>
                  <w:pPr>
                    <w:pStyle w:val="170"/>
                    <w:rPr>
                      <w:color w:val="auto"/>
                    </w:rPr>
                  </w:pPr>
                </w:p>
              </w:tc>
              <w:tc>
                <w:tcPr>
                  <w:tcW w:w="980" w:type="pct"/>
                  <w:noWrap w:val="0"/>
                  <w:vAlign w:val="center"/>
                </w:tcPr>
                <w:p>
                  <w:pPr>
                    <w:pStyle w:val="170"/>
                    <w:rPr>
                      <w:rFonts w:hint="eastAsia"/>
                      <w:color w:val="auto"/>
                    </w:rPr>
                  </w:pPr>
                  <w:r>
                    <w:rPr>
                      <w:rFonts w:hint="eastAsia"/>
                      <w:color w:val="auto"/>
                    </w:rPr>
                    <w:t>职工生活污水</w:t>
                  </w:r>
                </w:p>
              </w:tc>
              <w:tc>
                <w:tcPr>
                  <w:tcW w:w="2350" w:type="pct"/>
                  <w:noWrap w:val="0"/>
                  <w:vAlign w:val="center"/>
                </w:tcPr>
                <w:p>
                  <w:pPr>
                    <w:pStyle w:val="170"/>
                    <w:rPr>
                      <w:rFonts w:hint="eastAsia"/>
                      <w:color w:val="auto"/>
                    </w:rPr>
                  </w:pPr>
                  <w:r>
                    <w:rPr>
                      <w:rFonts w:hint="eastAsia"/>
                      <w:color w:val="auto"/>
                    </w:rPr>
                    <w:t>经管道排入嘉州春天小区预处理池，处理后排入市政污水管网</w:t>
                  </w:r>
                </w:p>
              </w:tc>
              <w:tc>
                <w:tcPr>
                  <w:tcW w:w="786" w:type="pct"/>
                  <w:noWrap w:val="0"/>
                  <w:vAlign w:val="center"/>
                </w:tcPr>
                <w:p>
                  <w:pPr>
                    <w:pStyle w:val="170"/>
                    <w:rPr>
                      <w:rFonts w:hint="eastAsia"/>
                      <w:color w:val="auto"/>
                    </w:rPr>
                  </w:pPr>
                  <w:r>
                    <w:rPr>
                      <w:rFonts w:hint="eastAsia"/>
                      <w:color w:val="auto"/>
                    </w:rPr>
                    <w:t>/</w:t>
                  </w:r>
                </w:p>
              </w:tc>
              <w:tc>
                <w:tcPr>
                  <w:tcW w:w="469" w:type="pct"/>
                  <w:noWrap w:val="0"/>
                  <w:vAlign w:val="center"/>
                </w:tcPr>
                <w:p>
                  <w:pPr>
                    <w:pStyle w:val="170"/>
                    <w:rPr>
                      <w:rFonts w:hint="eastAsia"/>
                      <w:color w:val="auto"/>
                    </w:rPr>
                  </w:pPr>
                  <w:r>
                    <w:rPr>
                      <w:rFonts w:hint="eastAsia"/>
                      <w:color w:val="auto"/>
                    </w:rPr>
                    <w:t>依托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63" w:hRule="atLeast"/>
                <w:jc w:val="center"/>
              </w:trPr>
              <w:tc>
                <w:tcPr>
                  <w:tcW w:w="412" w:type="pct"/>
                  <w:vMerge w:val="restart"/>
                  <w:noWrap w:val="0"/>
                  <w:vAlign w:val="center"/>
                </w:tcPr>
                <w:p>
                  <w:pPr>
                    <w:pStyle w:val="170"/>
                    <w:rPr>
                      <w:color w:val="auto"/>
                    </w:rPr>
                  </w:pPr>
                  <w:r>
                    <w:rPr>
                      <w:color w:val="auto"/>
                    </w:rPr>
                    <w:t>废气</w:t>
                  </w:r>
                </w:p>
                <w:p>
                  <w:pPr>
                    <w:pStyle w:val="170"/>
                    <w:rPr>
                      <w:color w:val="auto"/>
                    </w:rPr>
                  </w:pPr>
                  <w:r>
                    <w:rPr>
                      <w:color w:val="auto"/>
                    </w:rPr>
                    <w:t>治理</w:t>
                  </w:r>
                </w:p>
              </w:tc>
              <w:tc>
                <w:tcPr>
                  <w:tcW w:w="980" w:type="pct"/>
                  <w:noWrap w:val="0"/>
                  <w:vAlign w:val="center"/>
                </w:tcPr>
                <w:p>
                  <w:pPr>
                    <w:pStyle w:val="170"/>
                    <w:rPr>
                      <w:rFonts w:hint="eastAsia"/>
                      <w:color w:val="auto"/>
                    </w:rPr>
                  </w:pPr>
                  <w:r>
                    <w:rPr>
                      <w:rFonts w:hint="eastAsia"/>
                      <w:color w:val="auto"/>
                    </w:rPr>
                    <w:t>医疗废物暂存间异味</w:t>
                  </w:r>
                </w:p>
              </w:tc>
              <w:tc>
                <w:tcPr>
                  <w:tcW w:w="2350" w:type="pct"/>
                  <w:vMerge w:val="restart"/>
                  <w:noWrap w:val="0"/>
                  <w:vAlign w:val="center"/>
                </w:tcPr>
                <w:p>
                  <w:pPr>
                    <w:pStyle w:val="170"/>
                    <w:rPr>
                      <w:rFonts w:hint="eastAsia"/>
                      <w:color w:val="auto"/>
                    </w:rPr>
                  </w:pPr>
                  <w:r>
                    <w:rPr>
                      <w:rFonts w:hint="eastAsia"/>
                      <w:color w:val="auto"/>
                    </w:rPr>
                    <w:t>日常采用移动式紫外线灯及臭氧消毒机加强对院内环境消毒来降低异味对周边环境的影响，定期清洁，定期开窗通风，加强院内空气流通</w:t>
                  </w:r>
                </w:p>
              </w:tc>
              <w:tc>
                <w:tcPr>
                  <w:tcW w:w="786" w:type="pct"/>
                  <w:vMerge w:val="restart"/>
                  <w:noWrap w:val="0"/>
                  <w:vAlign w:val="center"/>
                </w:tcPr>
                <w:p>
                  <w:pPr>
                    <w:pStyle w:val="170"/>
                    <w:rPr>
                      <w:color w:val="auto"/>
                    </w:rPr>
                  </w:pPr>
                  <w:r>
                    <w:rPr>
                      <w:rFonts w:hint="eastAsia"/>
                      <w:color w:val="auto"/>
                    </w:rPr>
                    <w:t>0.6</w:t>
                  </w:r>
                </w:p>
              </w:tc>
              <w:tc>
                <w:tcPr>
                  <w:tcW w:w="469" w:type="pct"/>
                  <w:vMerge w:val="restart"/>
                  <w:noWrap w:val="0"/>
                  <w:vAlign w:val="center"/>
                </w:tcPr>
                <w:p>
                  <w:pPr>
                    <w:pStyle w:val="170"/>
                    <w:rPr>
                      <w:rFonts w:hint="eastAsia"/>
                      <w:color w:val="auto"/>
                    </w:rPr>
                  </w:pPr>
                  <w:r>
                    <w:rPr>
                      <w:rFonts w:hint="eastAsia"/>
                      <w:color w:val="auto"/>
                    </w:rPr>
                    <w:t>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9" w:hRule="atLeast"/>
                <w:jc w:val="center"/>
              </w:trPr>
              <w:tc>
                <w:tcPr>
                  <w:tcW w:w="412" w:type="pct"/>
                  <w:vMerge w:val="continue"/>
                  <w:noWrap w:val="0"/>
                  <w:vAlign w:val="center"/>
                </w:tcPr>
                <w:p>
                  <w:pPr>
                    <w:pStyle w:val="170"/>
                    <w:rPr>
                      <w:color w:val="auto"/>
                    </w:rPr>
                  </w:pPr>
                </w:p>
              </w:tc>
              <w:tc>
                <w:tcPr>
                  <w:tcW w:w="980" w:type="pct"/>
                  <w:noWrap w:val="0"/>
                  <w:vAlign w:val="center"/>
                </w:tcPr>
                <w:p>
                  <w:pPr>
                    <w:pStyle w:val="170"/>
                    <w:rPr>
                      <w:rFonts w:hint="eastAsia"/>
                      <w:color w:val="auto"/>
                    </w:rPr>
                  </w:pPr>
                  <w:r>
                    <w:rPr>
                      <w:rFonts w:hint="eastAsia"/>
                      <w:color w:val="auto"/>
                    </w:rPr>
                    <w:t>就诊区域宠物散发的异味</w:t>
                  </w:r>
                </w:p>
              </w:tc>
              <w:tc>
                <w:tcPr>
                  <w:tcW w:w="2350" w:type="pct"/>
                  <w:vMerge w:val="continue"/>
                  <w:noWrap w:val="0"/>
                  <w:vAlign w:val="center"/>
                </w:tcPr>
                <w:p>
                  <w:pPr>
                    <w:pStyle w:val="170"/>
                    <w:rPr>
                      <w:rFonts w:hint="eastAsia"/>
                      <w:color w:val="auto"/>
                    </w:rPr>
                  </w:pPr>
                </w:p>
              </w:tc>
              <w:tc>
                <w:tcPr>
                  <w:tcW w:w="786" w:type="pct"/>
                  <w:vMerge w:val="continue"/>
                  <w:noWrap w:val="0"/>
                  <w:vAlign w:val="center"/>
                </w:tcPr>
                <w:p>
                  <w:pPr>
                    <w:pStyle w:val="170"/>
                    <w:rPr>
                      <w:color w:val="auto"/>
                    </w:rPr>
                  </w:pPr>
                </w:p>
              </w:tc>
              <w:tc>
                <w:tcPr>
                  <w:tcW w:w="469" w:type="pct"/>
                  <w:vMerge w:val="continue"/>
                  <w:noWrap w:val="0"/>
                  <w:vAlign w:val="center"/>
                </w:tcPr>
                <w:p>
                  <w:pPr>
                    <w:pStyle w:val="170"/>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7" w:hRule="atLeast"/>
                <w:jc w:val="center"/>
              </w:trPr>
              <w:tc>
                <w:tcPr>
                  <w:tcW w:w="412" w:type="pct"/>
                  <w:vMerge w:val="continue"/>
                  <w:noWrap w:val="0"/>
                  <w:vAlign w:val="center"/>
                </w:tcPr>
                <w:p>
                  <w:pPr>
                    <w:pStyle w:val="170"/>
                    <w:rPr>
                      <w:color w:val="auto"/>
                    </w:rPr>
                  </w:pPr>
                </w:p>
              </w:tc>
              <w:tc>
                <w:tcPr>
                  <w:tcW w:w="980" w:type="pct"/>
                  <w:noWrap w:val="0"/>
                  <w:vAlign w:val="center"/>
                </w:tcPr>
                <w:p>
                  <w:pPr>
                    <w:pStyle w:val="170"/>
                    <w:rPr>
                      <w:rFonts w:hint="eastAsia"/>
                      <w:color w:val="auto"/>
                    </w:rPr>
                  </w:pPr>
                  <w:r>
                    <w:rPr>
                      <w:rFonts w:hint="eastAsia"/>
                      <w:color w:val="auto"/>
                    </w:rPr>
                    <w:t>院内带菌空气</w:t>
                  </w:r>
                </w:p>
              </w:tc>
              <w:tc>
                <w:tcPr>
                  <w:tcW w:w="2350" w:type="pct"/>
                  <w:vMerge w:val="continue"/>
                  <w:noWrap w:val="0"/>
                  <w:vAlign w:val="center"/>
                </w:tcPr>
                <w:p>
                  <w:pPr>
                    <w:pStyle w:val="170"/>
                    <w:rPr>
                      <w:rFonts w:hint="eastAsia"/>
                      <w:color w:val="auto"/>
                    </w:rPr>
                  </w:pPr>
                </w:p>
              </w:tc>
              <w:tc>
                <w:tcPr>
                  <w:tcW w:w="786" w:type="pct"/>
                  <w:vMerge w:val="continue"/>
                  <w:noWrap w:val="0"/>
                  <w:vAlign w:val="center"/>
                </w:tcPr>
                <w:p>
                  <w:pPr>
                    <w:pStyle w:val="170"/>
                    <w:rPr>
                      <w:color w:val="auto"/>
                    </w:rPr>
                  </w:pPr>
                </w:p>
              </w:tc>
              <w:tc>
                <w:tcPr>
                  <w:tcW w:w="469" w:type="pct"/>
                  <w:vMerge w:val="continue"/>
                  <w:noWrap w:val="0"/>
                  <w:vAlign w:val="center"/>
                </w:tcPr>
                <w:p>
                  <w:pPr>
                    <w:pStyle w:val="170"/>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 w:hRule="atLeast"/>
                <w:jc w:val="center"/>
              </w:trPr>
              <w:tc>
                <w:tcPr>
                  <w:tcW w:w="412" w:type="pct"/>
                  <w:vMerge w:val="continue"/>
                  <w:noWrap w:val="0"/>
                  <w:vAlign w:val="center"/>
                </w:tcPr>
                <w:p>
                  <w:pPr>
                    <w:pStyle w:val="170"/>
                    <w:rPr>
                      <w:color w:val="auto"/>
                    </w:rPr>
                  </w:pPr>
                </w:p>
              </w:tc>
              <w:tc>
                <w:tcPr>
                  <w:tcW w:w="980" w:type="pct"/>
                  <w:noWrap w:val="0"/>
                  <w:vAlign w:val="center"/>
                </w:tcPr>
                <w:p>
                  <w:pPr>
                    <w:pStyle w:val="170"/>
                    <w:rPr>
                      <w:rFonts w:hint="eastAsia"/>
                      <w:color w:val="auto"/>
                    </w:rPr>
                  </w:pPr>
                  <w:r>
                    <w:rPr>
                      <w:rFonts w:hint="eastAsia"/>
                      <w:color w:val="auto"/>
                    </w:rPr>
                    <w:t>一体化污水处理设施臭气</w:t>
                  </w:r>
                </w:p>
              </w:tc>
              <w:tc>
                <w:tcPr>
                  <w:tcW w:w="2350" w:type="pct"/>
                  <w:vMerge w:val="continue"/>
                  <w:noWrap w:val="0"/>
                  <w:vAlign w:val="center"/>
                </w:tcPr>
                <w:p>
                  <w:pPr>
                    <w:pStyle w:val="170"/>
                    <w:rPr>
                      <w:rFonts w:hint="eastAsia"/>
                      <w:color w:val="auto"/>
                    </w:rPr>
                  </w:pPr>
                </w:p>
              </w:tc>
              <w:tc>
                <w:tcPr>
                  <w:tcW w:w="786" w:type="pct"/>
                  <w:vMerge w:val="continue"/>
                  <w:noWrap w:val="0"/>
                  <w:vAlign w:val="center"/>
                </w:tcPr>
                <w:p>
                  <w:pPr>
                    <w:pStyle w:val="170"/>
                    <w:rPr>
                      <w:color w:val="auto"/>
                    </w:rPr>
                  </w:pPr>
                </w:p>
              </w:tc>
              <w:tc>
                <w:tcPr>
                  <w:tcW w:w="469" w:type="pct"/>
                  <w:vMerge w:val="continue"/>
                  <w:noWrap w:val="0"/>
                  <w:vAlign w:val="center"/>
                </w:tcPr>
                <w:p>
                  <w:pPr>
                    <w:pStyle w:val="170"/>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022" w:hRule="atLeast"/>
                <w:jc w:val="center"/>
              </w:trPr>
              <w:tc>
                <w:tcPr>
                  <w:tcW w:w="412" w:type="pct"/>
                  <w:noWrap w:val="0"/>
                  <w:vAlign w:val="center"/>
                </w:tcPr>
                <w:p>
                  <w:pPr>
                    <w:pStyle w:val="170"/>
                    <w:rPr>
                      <w:color w:val="auto"/>
                    </w:rPr>
                  </w:pPr>
                  <w:r>
                    <w:rPr>
                      <w:color w:val="auto"/>
                    </w:rPr>
                    <w:t>噪声</w:t>
                  </w:r>
                </w:p>
                <w:p>
                  <w:pPr>
                    <w:pStyle w:val="170"/>
                    <w:rPr>
                      <w:color w:val="auto"/>
                    </w:rPr>
                  </w:pPr>
                  <w:r>
                    <w:rPr>
                      <w:color w:val="auto"/>
                    </w:rPr>
                    <w:t>治理</w:t>
                  </w:r>
                </w:p>
              </w:tc>
              <w:tc>
                <w:tcPr>
                  <w:tcW w:w="980" w:type="pct"/>
                  <w:noWrap w:val="0"/>
                  <w:vAlign w:val="center"/>
                </w:tcPr>
                <w:p>
                  <w:pPr>
                    <w:pStyle w:val="170"/>
                    <w:rPr>
                      <w:rFonts w:hint="eastAsia"/>
                      <w:color w:val="auto"/>
                    </w:rPr>
                  </w:pPr>
                  <w:r>
                    <w:rPr>
                      <w:color w:val="auto"/>
                    </w:rPr>
                    <w:t>设备噪声</w:t>
                  </w:r>
                  <w:r>
                    <w:rPr>
                      <w:rFonts w:hint="eastAsia"/>
                      <w:color w:val="auto"/>
                    </w:rPr>
                    <w:t>、宠物叫声</w:t>
                  </w:r>
                </w:p>
              </w:tc>
              <w:tc>
                <w:tcPr>
                  <w:tcW w:w="2350" w:type="pct"/>
                  <w:noWrap w:val="0"/>
                  <w:vAlign w:val="center"/>
                </w:tcPr>
                <w:p>
                  <w:pPr>
                    <w:pStyle w:val="170"/>
                    <w:rPr>
                      <w:rFonts w:hint="eastAsia"/>
                      <w:color w:val="auto"/>
                    </w:rPr>
                  </w:pPr>
                  <w:r>
                    <w:rPr>
                      <w:rFonts w:hint="eastAsia"/>
                      <w:color w:val="auto"/>
                    </w:rPr>
                    <w:t>距离衰减、宠物佩戴口罩和住院室采用隔声处理</w:t>
                  </w:r>
                </w:p>
              </w:tc>
              <w:tc>
                <w:tcPr>
                  <w:tcW w:w="786" w:type="pct"/>
                  <w:noWrap w:val="0"/>
                  <w:vAlign w:val="center"/>
                </w:tcPr>
                <w:p>
                  <w:pPr>
                    <w:pStyle w:val="170"/>
                    <w:rPr>
                      <w:color w:val="auto"/>
                    </w:rPr>
                  </w:pPr>
                  <w:r>
                    <w:rPr>
                      <w:rFonts w:hint="eastAsia"/>
                      <w:color w:val="auto"/>
                    </w:rPr>
                    <w:t>0.1</w:t>
                  </w:r>
                </w:p>
              </w:tc>
              <w:tc>
                <w:tcPr>
                  <w:tcW w:w="469" w:type="pct"/>
                  <w:noWrap w:val="0"/>
                  <w:vAlign w:val="center"/>
                </w:tcPr>
                <w:p>
                  <w:pPr>
                    <w:pStyle w:val="170"/>
                    <w:rPr>
                      <w:rFonts w:hint="eastAsia"/>
                      <w:color w:val="auto"/>
                    </w:rPr>
                  </w:pPr>
                  <w:r>
                    <w:rPr>
                      <w:rFonts w:hint="eastAsia"/>
                      <w:color w:val="auto"/>
                    </w:rPr>
                    <w:t>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7" w:hRule="atLeast"/>
                <w:jc w:val="center"/>
              </w:trPr>
              <w:tc>
                <w:tcPr>
                  <w:tcW w:w="412" w:type="pct"/>
                  <w:vMerge w:val="restart"/>
                  <w:noWrap w:val="0"/>
                  <w:vAlign w:val="center"/>
                </w:tcPr>
                <w:p>
                  <w:pPr>
                    <w:pStyle w:val="170"/>
                    <w:rPr>
                      <w:color w:val="auto"/>
                    </w:rPr>
                  </w:pPr>
                  <w:r>
                    <w:rPr>
                      <w:color w:val="auto"/>
                    </w:rPr>
                    <w:t>固废</w:t>
                  </w:r>
                </w:p>
                <w:p>
                  <w:pPr>
                    <w:pStyle w:val="170"/>
                    <w:rPr>
                      <w:color w:val="auto"/>
                    </w:rPr>
                  </w:pPr>
                  <w:r>
                    <w:rPr>
                      <w:color w:val="auto"/>
                    </w:rPr>
                    <w:t>治理</w:t>
                  </w:r>
                </w:p>
              </w:tc>
              <w:tc>
                <w:tcPr>
                  <w:tcW w:w="980" w:type="pct"/>
                  <w:noWrap w:val="0"/>
                  <w:vAlign w:val="center"/>
                </w:tcPr>
                <w:p>
                  <w:pPr>
                    <w:pStyle w:val="170"/>
                    <w:rPr>
                      <w:rFonts w:hint="eastAsia"/>
                      <w:color w:val="auto"/>
                    </w:rPr>
                  </w:pPr>
                  <w:r>
                    <w:rPr>
                      <w:rFonts w:hint="eastAsia"/>
                      <w:color w:val="auto"/>
                    </w:rPr>
                    <w:t>生活垃圾</w:t>
                  </w:r>
                </w:p>
              </w:tc>
              <w:tc>
                <w:tcPr>
                  <w:tcW w:w="2350" w:type="pct"/>
                  <w:vMerge w:val="restart"/>
                  <w:noWrap w:val="0"/>
                  <w:vAlign w:val="center"/>
                </w:tcPr>
                <w:p>
                  <w:pPr>
                    <w:pStyle w:val="170"/>
                    <w:rPr>
                      <w:rFonts w:hint="eastAsia"/>
                      <w:color w:val="auto"/>
                    </w:rPr>
                  </w:pPr>
                  <w:r>
                    <w:rPr>
                      <w:rFonts w:hint="eastAsia"/>
                      <w:color w:val="auto"/>
                    </w:rPr>
                    <w:t>生活垃圾收集后放置于社区生活垃圾暂存点待环卫部门转运处置；宠物毛发和粪便集中收集，喷洒消毒剂后同生活垃圾交由市环卫部门统一收集清运和处理</w:t>
                  </w:r>
                </w:p>
              </w:tc>
              <w:tc>
                <w:tcPr>
                  <w:tcW w:w="786" w:type="pct"/>
                  <w:vMerge w:val="restart"/>
                  <w:noWrap w:val="0"/>
                  <w:vAlign w:val="center"/>
                </w:tcPr>
                <w:p>
                  <w:pPr>
                    <w:pStyle w:val="170"/>
                    <w:rPr>
                      <w:color w:val="auto"/>
                    </w:rPr>
                  </w:pPr>
                  <w:r>
                    <w:rPr>
                      <w:rFonts w:hint="eastAsia"/>
                      <w:color w:val="auto"/>
                    </w:rPr>
                    <w:t>0.2</w:t>
                  </w:r>
                </w:p>
              </w:tc>
              <w:tc>
                <w:tcPr>
                  <w:tcW w:w="469" w:type="pct"/>
                  <w:vMerge w:val="restart"/>
                  <w:noWrap w:val="0"/>
                  <w:vAlign w:val="center"/>
                </w:tcPr>
                <w:p>
                  <w:pPr>
                    <w:pStyle w:val="170"/>
                    <w:rPr>
                      <w:rFonts w:hint="eastAsia"/>
                      <w:color w:val="auto"/>
                    </w:rPr>
                  </w:pPr>
                  <w:r>
                    <w:rPr>
                      <w:rFonts w:hint="eastAsia"/>
                      <w:color w:val="auto"/>
                    </w:rPr>
                    <w:t>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67" w:hRule="atLeast"/>
                <w:jc w:val="center"/>
              </w:trPr>
              <w:tc>
                <w:tcPr>
                  <w:tcW w:w="412" w:type="pct"/>
                  <w:vMerge w:val="continue"/>
                  <w:noWrap w:val="0"/>
                  <w:vAlign w:val="center"/>
                </w:tcPr>
                <w:p>
                  <w:pPr>
                    <w:pStyle w:val="170"/>
                    <w:rPr>
                      <w:color w:val="auto"/>
                    </w:rPr>
                  </w:pPr>
                </w:p>
              </w:tc>
              <w:tc>
                <w:tcPr>
                  <w:tcW w:w="980" w:type="pct"/>
                  <w:noWrap w:val="0"/>
                  <w:vAlign w:val="center"/>
                </w:tcPr>
                <w:p>
                  <w:pPr>
                    <w:pStyle w:val="170"/>
                    <w:rPr>
                      <w:rFonts w:hint="eastAsia"/>
                      <w:color w:val="auto"/>
                    </w:rPr>
                  </w:pPr>
                  <w:r>
                    <w:rPr>
                      <w:rFonts w:hint="eastAsia"/>
                      <w:color w:val="auto"/>
                    </w:rPr>
                    <w:t>宠物粪便</w:t>
                  </w:r>
                </w:p>
              </w:tc>
              <w:tc>
                <w:tcPr>
                  <w:tcW w:w="2350" w:type="pct"/>
                  <w:vMerge w:val="continue"/>
                  <w:noWrap w:val="0"/>
                  <w:vAlign w:val="center"/>
                </w:tcPr>
                <w:p>
                  <w:pPr>
                    <w:pStyle w:val="170"/>
                    <w:rPr>
                      <w:rFonts w:hint="eastAsia"/>
                      <w:color w:val="auto"/>
                    </w:rPr>
                  </w:pPr>
                </w:p>
              </w:tc>
              <w:tc>
                <w:tcPr>
                  <w:tcW w:w="786" w:type="pct"/>
                  <w:vMerge w:val="continue"/>
                  <w:noWrap w:val="0"/>
                  <w:vAlign w:val="center"/>
                </w:tcPr>
                <w:p>
                  <w:pPr>
                    <w:pStyle w:val="170"/>
                    <w:rPr>
                      <w:rFonts w:hint="eastAsia"/>
                      <w:color w:val="auto"/>
                    </w:rPr>
                  </w:pPr>
                </w:p>
              </w:tc>
              <w:tc>
                <w:tcPr>
                  <w:tcW w:w="469" w:type="pct"/>
                  <w:vMerge w:val="continue"/>
                  <w:noWrap w:val="0"/>
                  <w:vAlign w:val="center"/>
                </w:tcPr>
                <w:p>
                  <w:pPr>
                    <w:pStyle w:val="170"/>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0" w:hRule="atLeast"/>
                <w:jc w:val="center"/>
              </w:trPr>
              <w:tc>
                <w:tcPr>
                  <w:tcW w:w="412" w:type="pct"/>
                  <w:vMerge w:val="continue"/>
                  <w:noWrap w:val="0"/>
                  <w:vAlign w:val="center"/>
                </w:tcPr>
                <w:p>
                  <w:pPr>
                    <w:pStyle w:val="170"/>
                    <w:rPr>
                      <w:color w:val="auto"/>
                    </w:rPr>
                  </w:pPr>
                </w:p>
              </w:tc>
              <w:tc>
                <w:tcPr>
                  <w:tcW w:w="980" w:type="pct"/>
                  <w:noWrap w:val="0"/>
                  <w:vAlign w:val="center"/>
                </w:tcPr>
                <w:p>
                  <w:pPr>
                    <w:pStyle w:val="170"/>
                    <w:rPr>
                      <w:rFonts w:hint="eastAsia"/>
                      <w:color w:val="auto"/>
                    </w:rPr>
                  </w:pPr>
                  <w:r>
                    <w:rPr>
                      <w:rFonts w:hint="eastAsia"/>
                      <w:color w:val="auto"/>
                    </w:rPr>
                    <w:t>宠物毛发</w:t>
                  </w:r>
                </w:p>
              </w:tc>
              <w:tc>
                <w:tcPr>
                  <w:tcW w:w="2350" w:type="pct"/>
                  <w:vMerge w:val="continue"/>
                  <w:noWrap w:val="0"/>
                  <w:vAlign w:val="center"/>
                </w:tcPr>
                <w:p>
                  <w:pPr>
                    <w:pStyle w:val="170"/>
                    <w:rPr>
                      <w:rFonts w:hint="eastAsia"/>
                      <w:color w:val="auto"/>
                    </w:rPr>
                  </w:pPr>
                </w:p>
              </w:tc>
              <w:tc>
                <w:tcPr>
                  <w:tcW w:w="786" w:type="pct"/>
                  <w:vMerge w:val="continue"/>
                  <w:noWrap w:val="0"/>
                  <w:vAlign w:val="center"/>
                </w:tcPr>
                <w:p>
                  <w:pPr>
                    <w:pStyle w:val="170"/>
                    <w:rPr>
                      <w:color w:val="auto"/>
                    </w:rPr>
                  </w:pPr>
                </w:p>
              </w:tc>
              <w:tc>
                <w:tcPr>
                  <w:tcW w:w="469" w:type="pct"/>
                  <w:vMerge w:val="continue"/>
                  <w:noWrap w:val="0"/>
                  <w:vAlign w:val="center"/>
                </w:tcPr>
                <w:p>
                  <w:pPr>
                    <w:pStyle w:val="170"/>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8" w:hRule="atLeast"/>
                <w:jc w:val="center"/>
              </w:trPr>
              <w:tc>
                <w:tcPr>
                  <w:tcW w:w="412" w:type="pct"/>
                  <w:vMerge w:val="continue"/>
                  <w:noWrap w:val="0"/>
                  <w:vAlign w:val="center"/>
                </w:tcPr>
                <w:p>
                  <w:pPr>
                    <w:pStyle w:val="170"/>
                    <w:rPr>
                      <w:color w:val="auto"/>
                    </w:rPr>
                  </w:pPr>
                </w:p>
              </w:tc>
              <w:tc>
                <w:tcPr>
                  <w:tcW w:w="980" w:type="pct"/>
                  <w:noWrap w:val="0"/>
                  <w:vAlign w:val="center"/>
                </w:tcPr>
                <w:p>
                  <w:pPr>
                    <w:pStyle w:val="170"/>
                    <w:rPr>
                      <w:rFonts w:hint="eastAsia"/>
                      <w:color w:val="auto"/>
                    </w:rPr>
                  </w:pPr>
                  <w:r>
                    <w:rPr>
                      <w:rFonts w:hint="eastAsia"/>
                      <w:color w:val="auto"/>
                    </w:rPr>
                    <w:t>宠物尸体</w:t>
                  </w:r>
                </w:p>
              </w:tc>
              <w:tc>
                <w:tcPr>
                  <w:tcW w:w="2350" w:type="pct"/>
                  <w:noWrap w:val="0"/>
                  <w:vAlign w:val="center"/>
                </w:tcPr>
                <w:p>
                  <w:pPr>
                    <w:pStyle w:val="170"/>
                    <w:rPr>
                      <w:rFonts w:hint="eastAsia"/>
                      <w:color w:val="auto"/>
                    </w:rPr>
                  </w:pPr>
                  <w:r>
                    <w:rPr>
                      <w:rFonts w:hint="eastAsia"/>
                      <w:color w:val="auto"/>
                    </w:rPr>
                    <w:t>经消毒后采用密封袋封存，当天通知并交由资质单位处置，不在院内储存</w:t>
                  </w:r>
                </w:p>
              </w:tc>
              <w:tc>
                <w:tcPr>
                  <w:tcW w:w="786" w:type="pct"/>
                  <w:vMerge w:val="restart"/>
                  <w:noWrap w:val="0"/>
                  <w:vAlign w:val="center"/>
                </w:tcPr>
                <w:p>
                  <w:pPr>
                    <w:pStyle w:val="170"/>
                    <w:rPr>
                      <w:rFonts w:hint="eastAsia"/>
                      <w:color w:val="auto"/>
                    </w:rPr>
                  </w:pPr>
                  <w:r>
                    <w:rPr>
                      <w:rFonts w:hint="eastAsia"/>
                      <w:color w:val="auto"/>
                    </w:rPr>
                    <w:t>0.5</w:t>
                  </w:r>
                </w:p>
              </w:tc>
              <w:tc>
                <w:tcPr>
                  <w:tcW w:w="469" w:type="pct"/>
                  <w:noWrap w:val="0"/>
                  <w:vAlign w:val="center"/>
                </w:tcPr>
                <w:p>
                  <w:pPr>
                    <w:pStyle w:val="170"/>
                    <w:rPr>
                      <w:rFonts w:hint="eastAsia"/>
                      <w:color w:val="auto"/>
                    </w:rPr>
                  </w:pPr>
                  <w:r>
                    <w:rPr>
                      <w:rFonts w:hint="eastAsia"/>
                      <w:color w:val="auto"/>
                    </w:rPr>
                    <w:t>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412" w:type="pct"/>
                  <w:vMerge w:val="continue"/>
                  <w:noWrap w:val="0"/>
                  <w:vAlign w:val="center"/>
                </w:tcPr>
                <w:p>
                  <w:pPr>
                    <w:pStyle w:val="170"/>
                    <w:rPr>
                      <w:color w:val="auto"/>
                    </w:rPr>
                  </w:pPr>
                </w:p>
              </w:tc>
              <w:tc>
                <w:tcPr>
                  <w:tcW w:w="980" w:type="pct"/>
                  <w:noWrap w:val="0"/>
                  <w:vAlign w:val="center"/>
                </w:tcPr>
                <w:p>
                  <w:pPr>
                    <w:pStyle w:val="170"/>
                    <w:rPr>
                      <w:rFonts w:hint="eastAsia"/>
                      <w:color w:val="auto"/>
                    </w:rPr>
                  </w:pPr>
                  <w:r>
                    <w:rPr>
                      <w:rFonts w:hint="eastAsia"/>
                      <w:color w:val="auto"/>
                    </w:rPr>
                    <w:t>医疗废物</w:t>
                  </w:r>
                </w:p>
              </w:tc>
              <w:tc>
                <w:tcPr>
                  <w:tcW w:w="2350" w:type="pct"/>
                  <w:noWrap w:val="0"/>
                  <w:vAlign w:val="center"/>
                </w:tcPr>
                <w:p>
                  <w:pPr>
                    <w:pStyle w:val="170"/>
                    <w:rPr>
                      <w:rFonts w:hint="eastAsia"/>
                      <w:color w:val="auto"/>
                    </w:rPr>
                  </w:pPr>
                  <w:r>
                    <w:rPr>
                      <w:rFonts w:hint="eastAsia"/>
                      <w:color w:val="auto"/>
                    </w:rPr>
                    <w:t>分类收集，暂存于医疗废物暂存间，定期交由资质单位处置</w:t>
                  </w:r>
                </w:p>
              </w:tc>
              <w:tc>
                <w:tcPr>
                  <w:tcW w:w="786" w:type="pct"/>
                  <w:vMerge w:val="continue"/>
                  <w:noWrap w:val="0"/>
                  <w:vAlign w:val="center"/>
                </w:tcPr>
                <w:p>
                  <w:pPr>
                    <w:pStyle w:val="170"/>
                    <w:rPr>
                      <w:color w:val="auto"/>
                    </w:rPr>
                  </w:pPr>
                </w:p>
              </w:tc>
              <w:tc>
                <w:tcPr>
                  <w:tcW w:w="469" w:type="pct"/>
                  <w:noWrap w:val="0"/>
                  <w:vAlign w:val="center"/>
                </w:tcPr>
                <w:p>
                  <w:pPr>
                    <w:pStyle w:val="170"/>
                    <w:rPr>
                      <w:rFonts w:hint="eastAsia"/>
                      <w:color w:val="auto"/>
                    </w:rPr>
                  </w:pPr>
                  <w:r>
                    <w:rPr>
                      <w:rFonts w:hint="eastAsia"/>
                      <w:color w:val="auto"/>
                    </w:rPr>
                    <w:t>整改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 w:hRule="atLeast"/>
                <w:jc w:val="center"/>
              </w:trPr>
              <w:tc>
                <w:tcPr>
                  <w:tcW w:w="412" w:type="pct"/>
                  <w:vMerge w:val="continue"/>
                  <w:noWrap w:val="0"/>
                  <w:vAlign w:val="center"/>
                </w:tcPr>
                <w:p>
                  <w:pPr>
                    <w:pStyle w:val="170"/>
                    <w:rPr>
                      <w:color w:val="auto"/>
                    </w:rPr>
                  </w:pPr>
                </w:p>
              </w:tc>
              <w:tc>
                <w:tcPr>
                  <w:tcW w:w="980" w:type="pct"/>
                  <w:noWrap w:val="0"/>
                  <w:vAlign w:val="center"/>
                </w:tcPr>
                <w:p>
                  <w:pPr>
                    <w:pStyle w:val="170"/>
                    <w:rPr>
                      <w:rFonts w:hint="eastAsia"/>
                      <w:color w:val="auto"/>
                    </w:rPr>
                  </w:pPr>
                  <w:r>
                    <w:rPr>
                      <w:rFonts w:hint="eastAsia"/>
                      <w:color w:val="auto"/>
                    </w:rPr>
                    <w:t>废紫外线灯管</w:t>
                  </w:r>
                </w:p>
              </w:tc>
              <w:tc>
                <w:tcPr>
                  <w:tcW w:w="2350" w:type="pct"/>
                  <w:noWrap w:val="0"/>
                  <w:vAlign w:val="center"/>
                </w:tcPr>
                <w:p>
                  <w:pPr>
                    <w:pStyle w:val="170"/>
                    <w:rPr>
                      <w:rFonts w:hint="eastAsia"/>
                      <w:color w:val="auto"/>
                    </w:rPr>
                  </w:pPr>
                  <w:r>
                    <w:rPr>
                      <w:rFonts w:hint="eastAsia"/>
                      <w:color w:val="auto"/>
                    </w:rPr>
                    <w:t>收集后暂存于医疗废物暂存间，定期交由资质单位处置</w:t>
                  </w:r>
                </w:p>
              </w:tc>
              <w:tc>
                <w:tcPr>
                  <w:tcW w:w="786" w:type="pct"/>
                  <w:vMerge w:val="continue"/>
                  <w:noWrap w:val="0"/>
                  <w:vAlign w:val="center"/>
                </w:tcPr>
                <w:p>
                  <w:pPr>
                    <w:pStyle w:val="170"/>
                    <w:rPr>
                      <w:color w:val="auto"/>
                    </w:rPr>
                  </w:pPr>
                </w:p>
              </w:tc>
              <w:tc>
                <w:tcPr>
                  <w:tcW w:w="469" w:type="pct"/>
                  <w:noWrap w:val="0"/>
                  <w:vAlign w:val="center"/>
                </w:tcPr>
                <w:p>
                  <w:pPr>
                    <w:pStyle w:val="170"/>
                    <w:rPr>
                      <w:rFonts w:hint="eastAsia"/>
                      <w:color w:val="auto"/>
                    </w:rPr>
                  </w:pPr>
                  <w:r>
                    <w:rPr>
                      <w:rFonts w:hint="eastAsia"/>
                      <w:color w:val="auto"/>
                    </w:rPr>
                    <w:t>整改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1392" w:type="pct"/>
                  <w:gridSpan w:val="2"/>
                  <w:noWrap w:val="0"/>
                  <w:vAlign w:val="center"/>
                </w:tcPr>
                <w:p>
                  <w:pPr>
                    <w:pStyle w:val="170"/>
                    <w:rPr>
                      <w:rFonts w:hint="eastAsia"/>
                      <w:color w:val="auto"/>
                    </w:rPr>
                  </w:pPr>
                  <w:r>
                    <w:rPr>
                      <w:rFonts w:hint="eastAsia"/>
                      <w:color w:val="auto"/>
                    </w:rPr>
                    <w:t>地下水环境</w:t>
                  </w:r>
                </w:p>
              </w:tc>
              <w:tc>
                <w:tcPr>
                  <w:tcW w:w="2350" w:type="pct"/>
                  <w:noWrap w:val="0"/>
                  <w:vAlign w:val="center"/>
                </w:tcPr>
                <w:p>
                  <w:pPr>
                    <w:pStyle w:val="170"/>
                    <w:rPr>
                      <w:rFonts w:hint="eastAsia"/>
                      <w:color w:val="auto"/>
                    </w:rPr>
                  </w:pPr>
                  <w:r>
                    <w:rPr>
                      <w:rFonts w:hint="eastAsia"/>
                      <w:color w:val="auto"/>
                    </w:rPr>
                    <w:t>分区防渗：一般防渗区利用现有防渗措施；重点防渗区包括医疗废物暂存间、污水处理设施所在位置，医疗废物暂存间：防渗混凝土地面+2mm 厚环氧树脂地坪漆+不锈钢金属托盘；污水处理间利用现有防渗措施</w:t>
                  </w:r>
                </w:p>
              </w:tc>
              <w:tc>
                <w:tcPr>
                  <w:tcW w:w="786" w:type="pct"/>
                  <w:noWrap w:val="0"/>
                  <w:vAlign w:val="center"/>
                </w:tcPr>
                <w:p>
                  <w:pPr>
                    <w:pStyle w:val="170"/>
                    <w:rPr>
                      <w:color w:val="auto"/>
                    </w:rPr>
                  </w:pPr>
                  <w:r>
                    <w:rPr>
                      <w:rFonts w:hint="eastAsia"/>
                      <w:color w:val="auto"/>
                    </w:rPr>
                    <w:t>1.2</w:t>
                  </w:r>
                </w:p>
              </w:tc>
              <w:tc>
                <w:tcPr>
                  <w:tcW w:w="469" w:type="pct"/>
                  <w:noWrap w:val="0"/>
                  <w:vAlign w:val="center"/>
                </w:tcPr>
                <w:p>
                  <w:pPr>
                    <w:pStyle w:val="170"/>
                    <w:rPr>
                      <w:rFonts w:hint="eastAsia"/>
                      <w:color w:val="auto"/>
                    </w:rPr>
                  </w:pPr>
                  <w:r>
                    <w:rPr>
                      <w:rFonts w:hint="eastAsia"/>
                      <w:color w:val="auto"/>
                    </w:rPr>
                    <w:t>整改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1392" w:type="pct"/>
                  <w:gridSpan w:val="2"/>
                  <w:noWrap w:val="0"/>
                  <w:vAlign w:val="center"/>
                </w:tcPr>
                <w:p>
                  <w:pPr>
                    <w:pStyle w:val="170"/>
                    <w:rPr>
                      <w:rFonts w:hint="eastAsia"/>
                      <w:color w:val="auto"/>
                    </w:rPr>
                  </w:pPr>
                  <w:r>
                    <w:rPr>
                      <w:rFonts w:hint="eastAsia"/>
                      <w:color w:val="auto"/>
                    </w:rPr>
                    <w:t>环境风险</w:t>
                  </w:r>
                </w:p>
              </w:tc>
              <w:tc>
                <w:tcPr>
                  <w:tcW w:w="2350" w:type="pct"/>
                  <w:noWrap w:val="0"/>
                  <w:vAlign w:val="center"/>
                </w:tcPr>
                <w:p>
                  <w:pPr>
                    <w:pStyle w:val="170"/>
                    <w:rPr>
                      <w:rFonts w:hint="eastAsia"/>
                      <w:color w:val="auto"/>
                    </w:rPr>
                  </w:pPr>
                  <w:r>
                    <w:rPr>
                      <w:rFonts w:hint="eastAsia"/>
                      <w:color w:val="auto"/>
                    </w:rPr>
                    <w:t>设置事故废水应急收集池（桶）</w:t>
                  </w:r>
                </w:p>
              </w:tc>
              <w:tc>
                <w:tcPr>
                  <w:tcW w:w="786" w:type="pct"/>
                  <w:noWrap w:val="0"/>
                  <w:vAlign w:val="center"/>
                </w:tcPr>
                <w:p>
                  <w:pPr>
                    <w:pStyle w:val="170"/>
                    <w:rPr>
                      <w:color w:val="auto"/>
                    </w:rPr>
                  </w:pPr>
                  <w:r>
                    <w:rPr>
                      <w:rFonts w:hint="eastAsia"/>
                      <w:color w:val="auto"/>
                    </w:rPr>
                    <w:t>0.1</w:t>
                  </w:r>
                </w:p>
              </w:tc>
              <w:tc>
                <w:tcPr>
                  <w:tcW w:w="469" w:type="pct"/>
                  <w:noWrap w:val="0"/>
                  <w:vAlign w:val="center"/>
                </w:tcPr>
                <w:p>
                  <w:pPr>
                    <w:pStyle w:val="170"/>
                    <w:rPr>
                      <w:rFonts w:hint="eastAsia"/>
                      <w:color w:val="auto"/>
                    </w:rPr>
                  </w:pPr>
                  <w:r>
                    <w:rPr>
                      <w:rFonts w:hint="eastAsia"/>
                      <w:color w:val="auto"/>
                    </w:rPr>
                    <w:t>整改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1392" w:type="pct"/>
                  <w:gridSpan w:val="2"/>
                  <w:noWrap w:val="0"/>
                  <w:vAlign w:val="center"/>
                </w:tcPr>
                <w:p>
                  <w:pPr>
                    <w:pStyle w:val="170"/>
                    <w:rPr>
                      <w:color w:val="auto"/>
                    </w:rPr>
                  </w:pPr>
                  <w:r>
                    <w:rPr>
                      <w:color w:val="auto"/>
                    </w:rPr>
                    <w:t>合计</w:t>
                  </w:r>
                </w:p>
              </w:tc>
              <w:tc>
                <w:tcPr>
                  <w:tcW w:w="2350" w:type="pct"/>
                  <w:noWrap w:val="0"/>
                  <w:vAlign w:val="center"/>
                </w:tcPr>
                <w:p>
                  <w:pPr>
                    <w:pStyle w:val="170"/>
                    <w:rPr>
                      <w:color w:val="auto"/>
                    </w:rPr>
                  </w:pPr>
                  <w:r>
                    <w:rPr>
                      <w:color w:val="auto"/>
                    </w:rPr>
                    <w:t>/</w:t>
                  </w:r>
                </w:p>
              </w:tc>
              <w:tc>
                <w:tcPr>
                  <w:tcW w:w="1256" w:type="pct"/>
                  <w:gridSpan w:val="2"/>
                  <w:noWrap w:val="0"/>
                  <w:vAlign w:val="center"/>
                </w:tcPr>
                <w:p>
                  <w:pPr>
                    <w:pStyle w:val="170"/>
                    <w:rPr>
                      <w:rFonts w:hint="eastAsia"/>
                      <w:color w:val="auto"/>
                    </w:rPr>
                  </w:pPr>
                  <w:r>
                    <w:rPr>
                      <w:rFonts w:hint="eastAsia"/>
                      <w:color w:val="auto"/>
                    </w:rPr>
                    <w:t>3.9</w:t>
                  </w:r>
                </w:p>
              </w:tc>
            </w:tr>
          </w:tbl>
          <w:p>
            <w:pPr>
              <w:adjustRightInd w:val="0"/>
              <w:snapToGrid w:val="0"/>
              <w:ind w:firstLine="380"/>
              <w:rPr>
                <w:rFonts w:ascii="宋体" w:hAnsi="宋体" w:cs="宋体"/>
                <w:bCs/>
                <w:color w:val="auto"/>
                <w:spacing w:val="-10"/>
                <w:szCs w:val="21"/>
              </w:rPr>
            </w:pPr>
          </w:p>
        </w:tc>
      </w:tr>
    </w:tbl>
    <w:p>
      <w:pPr>
        <w:adjustRightInd w:val="0"/>
        <w:snapToGrid w:val="0"/>
        <w:spacing w:line="360" w:lineRule="auto"/>
        <w:ind w:firstLine="562"/>
        <w:rPr>
          <w:rFonts w:hint="eastAsia" w:ascii="宋体" w:cs="宋体"/>
          <w:b/>
          <w:color w:val="auto"/>
          <w:kern w:val="0"/>
          <w:sz w:val="28"/>
          <w:szCs w:val="28"/>
        </w:rPr>
        <w:sectPr>
          <w:pgSz w:w="11907" w:h="16840"/>
          <w:pgMar w:top="1701" w:right="1531" w:bottom="2127" w:left="1531" w:header="851" w:footer="851" w:gutter="0"/>
          <w:cols w:space="720" w:num="1"/>
          <w:docGrid w:linePitch="312" w:charSpace="0"/>
        </w:sectPr>
      </w:pPr>
    </w:p>
    <w:p>
      <w:pPr>
        <w:pStyle w:val="3"/>
        <w:ind w:firstLine="602"/>
        <w:rPr>
          <w:rFonts w:hint="eastAsia"/>
          <w:color w:val="auto"/>
        </w:rPr>
      </w:pPr>
      <w:bookmarkStart w:id="38" w:name="_Toc20378"/>
      <w:r>
        <w:rPr>
          <w:rFonts w:hint="eastAsia"/>
          <w:color w:val="auto"/>
        </w:rPr>
        <w:t>五、环境保护措施监督检查清单</w:t>
      </w:r>
      <w:bookmarkEnd w:id="38"/>
    </w:p>
    <w:tbl>
      <w:tblPr>
        <w:tblStyle w:val="3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089"/>
        <w:gridCol w:w="1534"/>
        <w:gridCol w:w="1620"/>
        <w:gridCol w:w="2475"/>
        <w:gridCol w:w="2082"/>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089" w:type="dxa"/>
            <w:tcBorders>
              <w:tl2br w:val="single" w:color="auto" w:sz="4" w:space="0"/>
            </w:tcBorders>
            <w:noWrap w:val="0"/>
            <w:vAlign w:val="center"/>
          </w:tcPr>
          <w:p>
            <w:pPr>
              <w:pStyle w:val="105"/>
              <w:rPr>
                <w:rFonts w:hint="eastAsia"/>
                <w:color w:val="auto"/>
              </w:rPr>
            </w:pPr>
            <w:r>
              <w:rPr>
                <w:rFonts w:hint="eastAsia"/>
                <w:color w:val="auto"/>
              </w:rPr>
              <w:t>内容</w:t>
            </w:r>
          </w:p>
          <w:p>
            <w:pPr>
              <w:pStyle w:val="105"/>
              <w:rPr>
                <w:rFonts w:hint="eastAsia"/>
                <w:color w:val="auto"/>
              </w:rPr>
            </w:pPr>
            <w:r>
              <w:rPr>
                <w:rFonts w:hint="eastAsia"/>
                <w:color w:val="auto"/>
              </w:rPr>
              <w:t>要素</w:t>
            </w:r>
          </w:p>
        </w:tc>
        <w:tc>
          <w:tcPr>
            <w:tcW w:w="1534" w:type="dxa"/>
            <w:noWrap w:val="0"/>
            <w:vAlign w:val="center"/>
          </w:tcPr>
          <w:p>
            <w:pPr>
              <w:pStyle w:val="105"/>
              <w:rPr>
                <w:rFonts w:hint="eastAsia"/>
                <w:color w:val="auto"/>
              </w:rPr>
            </w:pPr>
            <w:r>
              <w:rPr>
                <w:rFonts w:hint="eastAsia"/>
                <w:color w:val="auto"/>
              </w:rPr>
              <w:t>排放口(编号、</w:t>
            </w:r>
          </w:p>
          <w:p>
            <w:pPr>
              <w:pStyle w:val="105"/>
              <w:rPr>
                <w:rFonts w:hint="eastAsia"/>
                <w:color w:val="auto"/>
              </w:rPr>
            </w:pPr>
            <w:r>
              <w:rPr>
                <w:rFonts w:hint="eastAsia"/>
                <w:color w:val="auto"/>
              </w:rPr>
              <w:t>名称)/污染源</w:t>
            </w:r>
          </w:p>
        </w:tc>
        <w:tc>
          <w:tcPr>
            <w:tcW w:w="1620" w:type="dxa"/>
            <w:noWrap w:val="0"/>
            <w:vAlign w:val="center"/>
          </w:tcPr>
          <w:p>
            <w:pPr>
              <w:pStyle w:val="105"/>
              <w:rPr>
                <w:rFonts w:hint="eastAsia"/>
                <w:color w:val="auto"/>
              </w:rPr>
            </w:pPr>
            <w:r>
              <w:rPr>
                <w:rFonts w:hint="eastAsia"/>
                <w:color w:val="auto"/>
              </w:rPr>
              <w:t>污染物项目</w:t>
            </w:r>
          </w:p>
        </w:tc>
        <w:tc>
          <w:tcPr>
            <w:tcW w:w="2475" w:type="dxa"/>
            <w:noWrap w:val="0"/>
            <w:vAlign w:val="center"/>
          </w:tcPr>
          <w:p>
            <w:pPr>
              <w:pStyle w:val="105"/>
              <w:rPr>
                <w:rFonts w:hint="eastAsia"/>
                <w:color w:val="auto"/>
              </w:rPr>
            </w:pPr>
            <w:r>
              <w:rPr>
                <w:rFonts w:hint="eastAsia"/>
                <w:color w:val="auto"/>
              </w:rPr>
              <w:t>环境保护措施</w:t>
            </w:r>
          </w:p>
        </w:tc>
        <w:tc>
          <w:tcPr>
            <w:tcW w:w="2082" w:type="dxa"/>
            <w:noWrap w:val="0"/>
            <w:vAlign w:val="center"/>
          </w:tcPr>
          <w:p>
            <w:pPr>
              <w:pStyle w:val="105"/>
              <w:rPr>
                <w:rFonts w:hint="eastAsia"/>
                <w:color w:val="auto"/>
              </w:rPr>
            </w:pPr>
            <w:r>
              <w:rPr>
                <w:rFonts w:hint="eastAsia"/>
                <w:color w:val="auto"/>
              </w:rPr>
              <w:t>执行标准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89" w:type="dxa"/>
            <w:vMerge w:val="restart"/>
            <w:noWrap w:val="0"/>
            <w:vAlign w:val="center"/>
          </w:tcPr>
          <w:p>
            <w:pPr>
              <w:pStyle w:val="105"/>
              <w:rPr>
                <w:rFonts w:hint="eastAsia"/>
                <w:color w:val="auto"/>
              </w:rPr>
            </w:pPr>
            <w:r>
              <w:rPr>
                <w:rFonts w:hint="eastAsia"/>
                <w:color w:val="auto"/>
              </w:rPr>
              <w:t>大气环境</w:t>
            </w:r>
          </w:p>
        </w:tc>
        <w:tc>
          <w:tcPr>
            <w:tcW w:w="1534" w:type="dxa"/>
            <w:noWrap w:val="0"/>
            <w:vAlign w:val="center"/>
          </w:tcPr>
          <w:p>
            <w:pPr>
              <w:pStyle w:val="170"/>
              <w:rPr>
                <w:color w:val="auto"/>
              </w:rPr>
            </w:pPr>
            <w:r>
              <w:rPr>
                <w:rFonts w:hint="eastAsia"/>
                <w:color w:val="auto"/>
              </w:rPr>
              <w:t>医疗废物暂存</w:t>
            </w:r>
          </w:p>
        </w:tc>
        <w:tc>
          <w:tcPr>
            <w:tcW w:w="1620" w:type="dxa"/>
            <w:noWrap w:val="0"/>
            <w:vAlign w:val="center"/>
          </w:tcPr>
          <w:p>
            <w:pPr>
              <w:pStyle w:val="105"/>
              <w:rPr>
                <w:rFonts w:hint="eastAsia"/>
                <w:color w:val="auto"/>
              </w:rPr>
            </w:pPr>
            <w:r>
              <w:rPr>
                <w:rFonts w:hint="eastAsia"/>
                <w:color w:val="auto"/>
              </w:rPr>
              <w:t>异味</w:t>
            </w:r>
          </w:p>
        </w:tc>
        <w:tc>
          <w:tcPr>
            <w:tcW w:w="2475" w:type="dxa"/>
            <w:vMerge w:val="restart"/>
            <w:noWrap w:val="0"/>
            <w:vAlign w:val="center"/>
          </w:tcPr>
          <w:p>
            <w:pPr>
              <w:pStyle w:val="170"/>
              <w:rPr>
                <w:rFonts w:hint="eastAsia"/>
                <w:color w:val="auto"/>
              </w:rPr>
            </w:pPr>
            <w:r>
              <w:rPr>
                <w:rFonts w:hint="eastAsia"/>
                <w:color w:val="auto"/>
              </w:rPr>
              <w:t>日常采用移动式紫外线灯及臭氧消毒机加强对院内环境消毒来降低异味对周边环境的影响，定期清洁，定期开窗通风，加强院内空气流通</w:t>
            </w:r>
          </w:p>
        </w:tc>
        <w:tc>
          <w:tcPr>
            <w:tcW w:w="2082" w:type="dxa"/>
            <w:vMerge w:val="restart"/>
            <w:noWrap w:val="0"/>
            <w:vAlign w:val="center"/>
          </w:tcPr>
          <w:p>
            <w:pPr>
              <w:pStyle w:val="105"/>
              <w:rPr>
                <w:rFonts w:hint="eastAsia"/>
                <w:color w:val="auto"/>
              </w:rPr>
            </w:pPr>
            <w:r>
              <w:rPr>
                <w:rFonts w:hint="eastAsia"/>
                <w:color w:val="auto"/>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089" w:type="dxa"/>
            <w:vMerge w:val="continue"/>
            <w:noWrap w:val="0"/>
            <w:vAlign w:val="center"/>
          </w:tcPr>
          <w:p>
            <w:pPr>
              <w:pStyle w:val="105"/>
              <w:rPr>
                <w:rFonts w:hint="eastAsia"/>
                <w:color w:val="auto"/>
              </w:rPr>
            </w:pPr>
          </w:p>
        </w:tc>
        <w:tc>
          <w:tcPr>
            <w:tcW w:w="1534" w:type="dxa"/>
            <w:vMerge w:val="restart"/>
            <w:noWrap w:val="0"/>
            <w:vAlign w:val="center"/>
          </w:tcPr>
          <w:p>
            <w:pPr>
              <w:pStyle w:val="170"/>
              <w:rPr>
                <w:color w:val="auto"/>
              </w:rPr>
            </w:pPr>
            <w:r>
              <w:rPr>
                <w:rFonts w:hint="eastAsia"/>
                <w:color w:val="auto"/>
              </w:rPr>
              <w:t>就诊区域</w:t>
            </w:r>
          </w:p>
        </w:tc>
        <w:tc>
          <w:tcPr>
            <w:tcW w:w="1620" w:type="dxa"/>
            <w:noWrap w:val="0"/>
            <w:vAlign w:val="center"/>
          </w:tcPr>
          <w:p>
            <w:pPr>
              <w:pStyle w:val="105"/>
              <w:rPr>
                <w:rFonts w:hint="eastAsia"/>
                <w:color w:val="auto"/>
              </w:rPr>
            </w:pPr>
            <w:r>
              <w:rPr>
                <w:rFonts w:hint="eastAsia"/>
                <w:color w:val="auto"/>
              </w:rPr>
              <w:t>宠物散发的异味</w:t>
            </w:r>
          </w:p>
        </w:tc>
        <w:tc>
          <w:tcPr>
            <w:tcW w:w="2475" w:type="dxa"/>
            <w:vMerge w:val="continue"/>
            <w:noWrap w:val="0"/>
            <w:vAlign w:val="center"/>
          </w:tcPr>
          <w:p>
            <w:pPr>
              <w:pStyle w:val="170"/>
              <w:rPr>
                <w:rFonts w:hint="eastAsia"/>
                <w:color w:val="auto"/>
              </w:rPr>
            </w:pPr>
          </w:p>
        </w:tc>
        <w:tc>
          <w:tcPr>
            <w:tcW w:w="2082" w:type="dxa"/>
            <w:vMerge w:val="continue"/>
            <w:noWrap w:val="0"/>
            <w:vAlign w:val="center"/>
          </w:tcPr>
          <w:p>
            <w:pPr>
              <w:pStyle w:val="105"/>
              <w:rPr>
                <w:rFonts w:hint="eastAsia"/>
                <w:color w:val="auto"/>
                <w:lang w:val="zh-CN"/>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29" w:hRule="atLeast"/>
          <w:jc w:val="center"/>
        </w:trPr>
        <w:tc>
          <w:tcPr>
            <w:tcW w:w="1089" w:type="dxa"/>
            <w:vMerge w:val="continue"/>
            <w:noWrap w:val="0"/>
            <w:vAlign w:val="center"/>
          </w:tcPr>
          <w:p>
            <w:pPr>
              <w:pStyle w:val="105"/>
              <w:rPr>
                <w:rFonts w:hint="eastAsia"/>
                <w:color w:val="auto"/>
              </w:rPr>
            </w:pPr>
          </w:p>
        </w:tc>
        <w:tc>
          <w:tcPr>
            <w:tcW w:w="1534" w:type="dxa"/>
            <w:vMerge w:val="continue"/>
            <w:noWrap w:val="0"/>
            <w:vAlign w:val="center"/>
          </w:tcPr>
          <w:p>
            <w:pPr>
              <w:pStyle w:val="170"/>
              <w:rPr>
                <w:color w:val="auto"/>
              </w:rPr>
            </w:pPr>
          </w:p>
        </w:tc>
        <w:tc>
          <w:tcPr>
            <w:tcW w:w="1620" w:type="dxa"/>
            <w:noWrap w:val="0"/>
            <w:vAlign w:val="center"/>
          </w:tcPr>
          <w:p>
            <w:pPr>
              <w:pStyle w:val="105"/>
              <w:rPr>
                <w:rFonts w:hint="eastAsia"/>
                <w:color w:val="auto"/>
              </w:rPr>
            </w:pPr>
            <w:r>
              <w:rPr>
                <w:rFonts w:hint="eastAsia"/>
                <w:color w:val="auto"/>
              </w:rPr>
              <w:t>带菌空气</w:t>
            </w:r>
          </w:p>
        </w:tc>
        <w:tc>
          <w:tcPr>
            <w:tcW w:w="2475" w:type="dxa"/>
            <w:vMerge w:val="continue"/>
            <w:noWrap w:val="0"/>
            <w:vAlign w:val="center"/>
          </w:tcPr>
          <w:p>
            <w:pPr>
              <w:pStyle w:val="170"/>
              <w:rPr>
                <w:rFonts w:hint="eastAsia"/>
                <w:color w:val="auto"/>
              </w:rPr>
            </w:pPr>
          </w:p>
        </w:tc>
        <w:tc>
          <w:tcPr>
            <w:tcW w:w="2082" w:type="dxa"/>
            <w:vMerge w:val="continue"/>
            <w:noWrap w:val="0"/>
            <w:vAlign w:val="center"/>
          </w:tcPr>
          <w:p>
            <w:pPr>
              <w:pStyle w:val="105"/>
              <w:rPr>
                <w:color w:val="auto"/>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22" w:hRule="atLeast"/>
          <w:jc w:val="center"/>
        </w:trPr>
        <w:tc>
          <w:tcPr>
            <w:tcW w:w="1089" w:type="dxa"/>
            <w:vMerge w:val="continue"/>
            <w:noWrap w:val="0"/>
            <w:vAlign w:val="center"/>
          </w:tcPr>
          <w:p>
            <w:pPr>
              <w:pStyle w:val="105"/>
              <w:rPr>
                <w:rFonts w:hint="eastAsia"/>
                <w:color w:val="auto"/>
              </w:rPr>
            </w:pPr>
          </w:p>
        </w:tc>
        <w:tc>
          <w:tcPr>
            <w:tcW w:w="1534" w:type="dxa"/>
            <w:noWrap w:val="0"/>
            <w:vAlign w:val="center"/>
          </w:tcPr>
          <w:p>
            <w:pPr>
              <w:pStyle w:val="170"/>
              <w:rPr>
                <w:rFonts w:hint="eastAsia"/>
                <w:color w:val="auto"/>
              </w:rPr>
            </w:pPr>
            <w:r>
              <w:rPr>
                <w:rFonts w:hint="eastAsia"/>
                <w:color w:val="auto"/>
              </w:rPr>
              <w:t>一体化污水处理设施</w:t>
            </w:r>
          </w:p>
        </w:tc>
        <w:tc>
          <w:tcPr>
            <w:tcW w:w="1620" w:type="dxa"/>
            <w:noWrap w:val="0"/>
            <w:vAlign w:val="center"/>
          </w:tcPr>
          <w:p>
            <w:pPr>
              <w:pStyle w:val="105"/>
              <w:rPr>
                <w:rFonts w:hint="eastAsia"/>
                <w:color w:val="auto"/>
              </w:rPr>
            </w:pPr>
            <w:r>
              <w:rPr>
                <w:rFonts w:hint="eastAsia"/>
                <w:color w:val="auto"/>
              </w:rPr>
              <w:t>臭气</w:t>
            </w:r>
          </w:p>
        </w:tc>
        <w:tc>
          <w:tcPr>
            <w:tcW w:w="2475" w:type="dxa"/>
            <w:vMerge w:val="continue"/>
            <w:noWrap w:val="0"/>
            <w:vAlign w:val="center"/>
          </w:tcPr>
          <w:p>
            <w:pPr>
              <w:pStyle w:val="170"/>
              <w:rPr>
                <w:rFonts w:hint="eastAsia"/>
                <w:color w:val="auto"/>
              </w:rPr>
            </w:pPr>
          </w:p>
        </w:tc>
        <w:tc>
          <w:tcPr>
            <w:tcW w:w="2082" w:type="dxa"/>
            <w:vMerge w:val="continue"/>
            <w:noWrap w:val="0"/>
            <w:vAlign w:val="center"/>
          </w:tcPr>
          <w:p>
            <w:pPr>
              <w:pStyle w:val="105"/>
              <w:rPr>
                <w:color w:val="auto"/>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72" w:hRule="atLeast"/>
          <w:jc w:val="center"/>
        </w:trPr>
        <w:tc>
          <w:tcPr>
            <w:tcW w:w="1089" w:type="dxa"/>
            <w:vMerge w:val="restart"/>
            <w:noWrap w:val="0"/>
            <w:vAlign w:val="center"/>
          </w:tcPr>
          <w:p>
            <w:pPr>
              <w:pStyle w:val="105"/>
              <w:rPr>
                <w:rFonts w:hint="eastAsia"/>
                <w:color w:val="auto"/>
              </w:rPr>
            </w:pPr>
            <w:r>
              <w:rPr>
                <w:rFonts w:hint="eastAsia"/>
                <w:color w:val="auto"/>
              </w:rPr>
              <w:t>地表水环境</w:t>
            </w:r>
          </w:p>
        </w:tc>
        <w:tc>
          <w:tcPr>
            <w:tcW w:w="1534" w:type="dxa"/>
            <w:vMerge w:val="restart"/>
            <w:noWrap w:val="0"/>
            <w:vAlign w:val="center"/>
          </w:tcPr>
          <w:p>
            <w:pPr>
              <w:pStyle w:val="105"/>
              <w:rPr>
                <w:rFonts w:hint="eastAsia"/>
                <w:color w:val="auto"/>
              </w:rPr>
            </w:pPr>
            <w:r>
              <w:rPr>
                <w:rFonts w:hint="eastAsia"/>
                <w:color w:val="auto"/>
              </w:rPr>
              <w:t>医院排放口</w:t>
            </w:r>
          </w:p>
        </w:tc>
        <w:tc>
          <w:tcPr>
            <w:tcW w:w="1620" w:type="dxa"/>
            <w:vMerge w:val="restart"/>
            <w:noWrap w:val="0"/>
            <w:vAlign w:val="center"/>
          </w:tcPr>
          <w:p>
            <w:pPr>
              <w:pStyle w:val="105"/>
              <w:rPr>
                <w:rFonts w:hint="eastAsia"/>
                <w:color w:val="auto"/>
              </w:rPr>
            </w:pPr>
            <w:r>
              <w:rPr>
                <w:rFonts w:hint="eastAsia"/>
                <w:color w:val="auto"/>
              </w:rPr>
              <w:t>pH、COD、氨氮、SS、BOD</w:t>
            </w:r>
            <w:r>
              <w:rPr>
                <w:rFonts w:hint="eastAsia"/>
                <w:color w:val="auto"/>
                <w:vertAlign w:val="subscript"/>
              </w:rPr>
              <w:t>5</w:t>
            </w:r>
          </w:p>
        </w:tc>
        <w:tc>
          <w:tcPr>
            <w:tcW w:w="2475" w:type="dxa"/>
            <w:noWrap w:val="0"/>
            <w:vAlign w:val="center"/>
          </w:tcPr>
          <w:p>
            <w:pPr>
              <w:pStyle w:val="170"/>
              <w:rPr>
                <w:rFonts w:hint="eastAsia"/>
                <w:color w:val="auto"/>
              </w:rPr>
            </w:pPr>
            <w:r>
              <w:rPr>
                <w:rFonts w:hint="eastAsia"/>
                <w:color w:val="auto"/>
              </w:rPr>
              <w:t>卫生间处设置一台一体化污水处理设施，进行</w:t>
            </w:r>
            <w:r>
              <w:rPr>
                <w:rFonts w:hint="eastAsia"/>
                <w:color w:val="auto"/>
                <w:lang w:eastAsia="zh-CN"/>
              </w:rPr>
              <w:t>混凝沉淀</w:t>
            </w:r>
            <w:r>
              <w:rPr>
                <w:rFonts w:hint="eastAsia"/>
                <w:color w:val="auto"/>
              </w:rPr>
              <w:t>+消毒预处理后同生活污水排入嘉州春天小区预处理池</w:t>
            </w:r>
          </w:p>
        </w:tc>
        <w:tc>
          <w:tcPr>
            <w:tcW w:w="2082" w:type="dxa"/>
            <w:noWrap w:val="0"/>
            <w:vAlign w:val="center"/>
          </w:tcPr>
          <w:p>
            <w:pPr>
              <w:pStyle w:val="170"/>
              <w:rPr>
                <w:rFonts w:hint="eastAsia"/>
                <w:color w:val="auto"/>
              </w:rPr>
            </w:pPr>
            <w:r>
              <w:rPr>
                <w:rFonts w:hint="eastAsia"/>
                <w:color w:val="auto"/>
              </w:rPr>
              <w:t>《医疗机构水污染物排放标准》(GB18466－2005)</w:t>
            </w:r>
          </w:p>
          <w:p>
            <w:pPr>
              <w:ind w:firstLine="420"/>
              <w:rPr>
                <w:rFonts w:hint="eastAsia"/>
                <w:color w:val="auto"/>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118" w:hRule="atLeast"/>
          <w:jc w:val="center"/>
        </w:trPr>
        <w:tc>
          <w:tcPr>
            <w:tcW w:w="1089" w:type="dxa"/>
            <w:vMerge w:val="continue"/>
            <w:noWrap w:val="0"/>
            <w:vAlign w:val="center"/>
          </w:tcPr>
          <w:p>
            <w:pPr>
              <w:pStyle w:val="105"/>
              <w:rPr>
                <w:rFonts w:hint="eastAsia"/>
                <w:color w:val="auto"/>
              </w:rPr>
            </w:pPr>
          </w:p>
        </w:tc>
        <w:tc>
          <w:tcPr>
            <w:tcW w:w="1534" w:type="dxa"/>
            <w:vMerge w:val="continue"/>
            <w:noWrap w:val="0"/>
            <w:vAlign w:val="center"/>
          </w:tcPr>
          <w:p>
            <w:pPr>
              <w:pStyle w:val="105"/>
              <w:rPr>
                <w:rFonts w:hint="eastAsia"/>
                <w:color w:val="auto"/>
              </w:rPr>
            </w:pPr>
          </w:p>
        </w:tc>
        <w:tc>
          <w:tcPr>
            <w:tcW w:w="1620" w:type="dxa"/>
            <w:vMerge w:val="continue"/>
            <w:noWrap w:val="0"/>
            <w:vAlign w:val="center"/>
          </w:tcPr>
          <w:p>
            <w:pPr>
              <w:pStyle w:val="105"/>
              <w:rPr>
                <w:rFonts w:hint="eastAsia"/>
                <w:color w:val="auto"/>
              </w:rPr>
            </w:pPr>
          </w:p>
        </w:tc>
        <w:tc>
          <w:tcPr>
            <w:tcW w:w="2475" w:type="dxa"/>
            <w:noWrap w:val="0"/>
            <w:vAlign w:val="center"/>
          </w:tcPr>
          <w:p>
            <w:pPr>
              <w:pStyle w:val="170"/>
              <w:rPr>
                <w:rFonts w:hint="eastAsia"/>
                <w:color w:val="auto"/>
              </w:rPr>
            </w:pPr>
            <w:r>
              <w:rPr>
                <w:rFonts w:hint="eastAsia"/>
                <w:color w:val="auto"/>
              </w:rPr>
              <w:t>经管道排入嘉州春天小区预处理池，处理后排入市政污水管网</w:t>
            </w:r>
          </w:p>
        </w:tc>
        <w:tc>
          <w:tcPr>
            <w:tcW w:w="2082" w:type="dxa"/>
            <w:noWrap w:val="0"/>
            <w:vAlign w:val="center"/>
          </w:tcPr>
          <w:p>
            <w:pPr>
              <w:pStyle w:val="105"/>
              <w:rPr>
                <w:rFonts w:hint="eastAsia"/>
                <w:color w:val="auto"/>
              </w:rPr>
            </w:pPr>
            <w:r>
              <w:rPr>
                <w:rFonts w:hint="eastAsia"/>
                <w:color w:val="auto"/>
              </w:rPr>
              <w:t>《污水综合排放标准》（GB8978- 1998）三级标准</w:t>
            </w:r>
          </w:p>
          <w:p>
            <w:pPr>
              <w:pStyle w:val="105"/>
              <w:rPr>
                <w:rFonts w:hint="eastAsia"/>
                <w:color w:val="auto"/>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05" w:hRule="atLeast"/>
          <w:jc w:val="center"/>
        </w:trPr>
        <w:tc>
          <w:tcPr>
            <w:tcW w:w="1089" w:type="dxa"/>
            <w:noWrap w:val="0"/>
            <w:vAlign w:val="center"/>
          </w:tcPr>
          <w:p>
            <w:pPr>
              <w:pStyle w:val="105"/>
              <w:rPr>
                <w:rFonts w:hint="eastAsia"/>
                <w:color w:val="auto"/>
              </w:rPr>
            </w:pPr>
            <w:r>
              <w:rPr>
                <w:rFonts w:hint="eastAsia"/>
                <w:color w:val="auto"/>
              </w:rPr>
              <w:t>声环境</w:t>
            </w:r>
          </w:p>
        </w:tc>
        <w:tc>
          <w:tcPr>
            <w:tcW w:w="1534" w:type="dxa"/>
            <w:noWrap w:val="0"/>
            <w:vAlign w:val="center"/>
          </w:tcPr>
          <w:p>
            <w:pPr>
              <w:pStyle w:val="105"/>
              <w:rPr>
                <w:rFonts w:hint="eastAsia"/>
                <w:color w:val="auto"/>
              </w:rPr>
            </w:pPr>
            <w:r>
              <w:rPr>
                <w:rFonts w:hint="eastAsia"/>
                <w:color w:val="auto"/>
              </w:rPr>
              <w:t>设备、宠物</w:t>
            </w:r>
          </w:p>
        </w:tc>
        <w:tc>
          <w:tcPr>
            <w:tcW w:w="1620" w:type="dxa"/>
            <w:noWrap w:val="0"/>
            <w:vAlign w:val="center"/>
          </w:tcPr>
          <w:p>
            <w:pPr>
              <w:pStyle w:val="105"/>
              <w:rPr>
                <w:rFonts w:hint="eastAsia"/>
                <w:color w:val="auto"/>
              </w:rPr>
            </w:pPr>
            <w:r>
              <w:rPr>
                <w:rFonts w:hint="eastAsia"/>
                <w:color w:val="auto"/>
              </w:rPr>
              <w:t>噪声</w:t>
            </w:r>
          </w:p>
        </w:tc>
        <w:tc>
          <w:tcPr>
            <w:tcW w:w="2475" w:type="dxa"/>
            <w:noWrap w:val="0"/>
            <w:vAlign w:val="center"/>
          </w:tcPr>
          <w:p>
            <w:pPr>
              <w:pStyle w:val="105"/>
              <w:rPr>
                <w:rFonts w:hint="eastAsia"/>
                <w:color w:val="auto"/>
              </w:rPr>
            </w:pPr>
            <w:r>
              <w:rPr>
                <w:rFonts w:hint="eastAsia"/>
                <w:color w:val="auto"/>
              </w:rPr>
              <w:t>距离衰减、宠物佩戴口罩和住院室采用隔声处理</w:t>
            </w:r>
          </w:p>
        </w:tc>
        <w:tc>
          <w:tcPr>
            <w:tcW w:w="2082" w:type="dxa"/>
            <w:noWrap w:val="0"/>
            <w:vAlign w:val="center"/>
          </w:tcPr>
          <w:p>
            <w:pPr>
              <w:pStyle w:val="105"/>
              <w:rPr>
                <w:rFonts w:hint="eastAsia"/>
                <w:color w:val="auto"/>
              </w:rPr>
            </w:pPr>
            <w:r>
              <w:rPr>
                <w:rFonts w:hint="eastAsia"/>
                <w:color w:val="auto"/>
              </w:rPr>
              <w:t>《工业企业厂界环境噪声排放标准》中2类</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08" w:hRule="atLeast"/>
          <w:jc w:val="center"/>
        </w:trPr>
        <w:tc>
          <w:tcPr>
            <w:tcW w:w="1089" w:type="dxa"/>
            <w:vMerge w:val="restart"/>
            <w:noWrap w:val="0"/>
            <w:vAlign w:val="center"/>
          </w:tcPr>
          <w:p>
            <w:pPr>
              <w:pStyle w:val="105"/>
              <w:rPr>
                <w:rFonts w:hint="eastAsia"/>
                <w:color w:val="auto"/>
              </w:rPr>
            </w:pPr>
            <w:r>
              <w:rPr>
                <w:rFonts w:hint="eastAsia"/>
                <w:color w:val="auto"/>
              </w:rPr>
              <w:t>固体废物</w:t>
            </w:r>
          </w:p>
        </w:tc>
        <w:tc>
          <w:tcPr>
            <w:tcW w:w="1534" w:type="dxa"/>
            <w:vMerge w:val="restart"/>
            <w:noWrap w:val="0"/>
            <w:vAlign w:val="center"/>
          </w:tcPr>
          <w:p>
            <w:pPr>
              <w:pStyle w:val="105"/>
              <w:rPr>
                <w:rFonts w:hint="eastAsia"/>
                <w:color w:val="auto"/>
              </w:rPr>
            </w:pPr>
            <w:r>
              <w:rPr>
                <w:rFonts w:hint="eastAsia"/>
                <w:color w:val="auto"/>
              </w:rPr>
              <w:t>一般固废</w:t>
            </w:r>
          </w:p>
        </w:tc>
        <w:tc>
          <w:tcPr>
            <w:tcW w:w="1620" w:type="dxa"/>
            <w:noWrap w:val="0"/>
            <w:vAlign w:val="center"/>
          </w:tcPr>
          <w:p>
            <w:pPr>
              <w:pStyle w:val="170"/>
              <w:rPr>
                <w:rFonts w:hint="eastAsia"/>
                <w:color w:val="auto"/>
              </w:rPr>
            </w:pPr>
            <w:r>
              <w:rPr>
                <w:rFonts w:hint="eastAsia"/>
                <w:color w:val="auto"/>
              </w:rPr>
              <w:t>生活垃圾</w:t>
            </w:r>
          </w:p>
        </w:tc>
        <w:tc>
          <w:tcPr>
            <w:tcW w:w="2475" w:type="dxa"/>
            <w:vMerge w:val="restart"/>
            <w:noWrap w:val="0"/>
            <w:vAlign w:val="center"/>
          </w:tcPr>
          <w:p>
            <w:pPr>
              <w:pStyle w:val="170"/>
              <w:rPr>
                <w:rFonts w:hint="eastAsia"/>
                <w:color w:val="auto"/>
              </w:rPr>
            </w:pPr>
            <w:r>
              <w:rPr>
                <w:rFonts w:hint="eastAsia"/>
                <w:color w:val="auto"/>
              </w:rPr>
              <w:t>生活垃圾收集后放置于社区生活垃圾暂存点待环卫部门转运处置；</w:t>
            </w:r>
          </w:p>
          <w:p>
            <w:pPr>
              <w:pStyle w:val="170"/>
              <w:rPr>
                <w:rFonts w:hint="eastAsia"/>
                <w:color w:val="auto"/>
              </w:rPr>
            </w:pPr>
            <w:r>
              <w:rPr>
                <w:rFonts w:hint="eastAsia"/>
                <w:color w:val="auto"/>
              </w:rPr>
              <w:t>宠物毛发和粪便集中收集，喷洒消毒剂后同生活垃圾交由市环卫部门统一收集清运和处理</w:t>
            </w:r>
          </w:p>
        </w:tc>
        <w:tc>
          <w:tcPr>
            <w:tcW w:w="2082" w:type="dxa"/>
            <w:vMerge w:val="restart"/>
            <w:noWrap w:val="0"/>
            <w:vAlign w:val="center"/>
          </w:tcPr>
          <w:p>
            <w:pPr>
              <w:pStyle w:val="105"/>
              <w:rPr>
                <w:rFonts w:hint="eastAsia"/>
                <w:color w:val="auto"/>
              </w:rPr>
            </w:pPr>
            <w:r>
              <w:rPr>
                <w:rFonts w:hint="eastAsia"/>
                <w:color w:val="auto"/>
              </w:rPr>
              <w:t>《一般工业固体废物贮存和填埋污染控制标准》（GB18599-2020）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60" w:hRule="atLeast"/>
          <w:jc w:val="center"/>
        </w:trPr>
        <w:tc>
          <w:tcPr>
            <w:tcW w:w="1089" w:type="dxa"/>
            <w:vMerge w:val="continue"/>
            <w:noWrap w:val="0"/>
            <w:vAlign w:val="center"/>
          </w:tcPr>
          <w:p>
            <w:pPr>
              <w:pStyle w:val="105"/>
              <w:rPr>
                <w:rFonts w:hint="eastAsia"/>
                <w:color w:val="auto"/>
              </w:rPr>
            </w:pPr>
          </w:p>
        </w:tc>
        <w:tc>
          <w:tcPr>
            <w:tcW w:w="1534" w:type="dxa"/>
            <w:vMerge w:val="continue"/>
            <w:noWrap w:val="0"/>
            <w:vAlign w:val="center"/>
          </w:tcPr>
          <w:p>
            <w:pPr>
              <w:pStyle w:val="105"/>
              <w:rPr>
                <w:rFonts w:hint="eastAsia"/>
                <w:color w:val="auto"/>
              </w:rPr>
            </w:pPr>
          </w:p>
        </w:tc>
        <w:tc>
          <w:tcPr>
            <w:tcW w:w="1620" w:type="dxa"/>
            <w:noWrap w:val="0"/>
            <w:vAlign w:val="center"/>
          </w:tcPr>
          <w:p>
            <w:pPr>
              <w:pStyle w:val="170"/>
              <w:rPr>
                <w:rFonts w:hint="eastAsia"/>
                <w:color w:val="auto"/>
              </w:rPr>
            </w:pPr>
            <w:r>
              <w:rPr>
                <w:rFonts w:hint="eastAsia"/>
                <w:color w:val="auto"/>
              </w:rPr>
              <w:t>宠物粪便</w:t>
            </w:r>
          </w:p>
        </w:tc>
        <w:tc>
          <w:tcPr>
            <w:tcW w:w="2475" w:type="dxa"/>
            <w:vMerge w:val="continue"/>
            <w:noWrap w:val="0"/>
            <w:vAlign w:val="center"/>
          </w:tcPr>
          <w:p>
            <w:pPr>
              <w:pStyle w:val="170"/>
              <w:rPr>
                <w:rFonts w:hint="eastAsia"/>
                <w:color w:val="auto"/>
              </w:rPr>
            </w:pPr>
          </w:p>
        </w:tc>
        <w:tc>
          <w:tcPr>
            <w:tcW w:w="2082" w:type="dxa"/>
            <w:vMerge w:val="continue"/>
            <w:noWrap w:val="0"/>
            <w:vAlign w:val="center"/>
          </w:tcPr>
          <w:p>
            <w:pPr>
              <w:pStyle w:val="105"/>
              <w:rPr>
                <w:rFonts w:hint="eastAsia"/>
                <w:color w:val="auto"/>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78" w:hRule="atLeast"/>
          <w:jc w:val="center"/>
        </w:trPr>
        <w:tc>
          <w:tcPr>
            <w:tcW w:w="1089" w:type="dxa"/>
            <w:vMerge w:val="continue"/>
            <w:noWrap w:val="0"/>
            <w:vAlign w:val="center"/>
          </w:tcPr>
          <w:p>
            <w:pPr>
              <w:pStyle w:val="105"/>
              <w:rPr>
                <w:rFonts w:hint="eastAsia"/>
                <w:color w:val="auto"/>
              </w:rPr>
            </w:pPr>
          </w:p>
        </w:tc>
        <w:tc>
          <w:tcPr>
            <w:tcW w:w="1534" w:type="dxa"/>
            <w:vMerge w:val="continue"/>
            <w:noWrap w:val="0"/>
            <w:vAlign w:val="center"/>
          </w:tcPr>
          <w:p>
            <w:pPr>
              <w:pStyle w:val="105"/>
              <w:rPr>
                <w:rFonts w:hint="eastAsia"/>
                <w:color w:val="auto"/>
              </w:rPr>
            </w:pPr>
          </w:p>
        </w:tc>
        <w:tc>
          <w:tcPr>
            <w:tcW w:w="1620" w:type="dxa"/>
            <w:noWrap w:val="0"/>
            <w:vAlign w:val="center"/>
          </w:tcPr>
          <w:p>
            <w:pPr>
              <w:pStyle w:val="170"/>
              <w:rPr>
                <w:rFonts w:hint="eastAsia"/>
                <w:color w:val="auto"/>
              </w:rPr>
            </w:pPr>
            <w:r>
              <w:rPr>
                <w:rFonts w:hint="eastAsia"/>
                <w:color w:val="auto"/>
              </w:rPr>
              <w:t>宠物毛发</w:t>
            </w:r>
          </w:p>
        </w:tc>
        <w:tc>
          <w:tcPr>
            <w:tcW w:w="2475" w:type="dxa"/>
            <w:vMerge w:val="continue"/>
            <w:noWrap w:val="0"/>
            <w:vAlign w:val="center"/>
          </w:tcPr>
          <w:p>
            <w:pPr>
              <w:pStyle w:val="170"/>
              <w:rPr>
                <w:rFonts w:hint="eastAsia"/>
                <w:color w:val="auto"/>
              </w:rPr>
            </w:pPr>
          </w:p>
        </w:tc>
        <w:tc>
          <w:tcPr>
            <w:tcW w:w="2082" w:type="dxa"/>
            <w:vMerge w:val="continue"/>
            <w:noWrap w:val="0"/>
            <w:vAlign w:val="center"/>
          </w:tcPr>
          <w:p>
            <w:pPr>
              <w:pStyle w:val="105"/>
              <w:rPr>
                <w:rFonts w:hint="eastAsia"/>
                <w:color w:val="auto"/>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71" w:hRule="atLeast"/>
          <w:jc w:val="center"/>
        </w:trPr>
        <w:tc>
          <w:tcPr>
            <w:tcW w:w="1089" w:type="dxa"/>
            <w:vMerge w:val="continue"/>
            <w:noWrap w:val="0"/>
            <w:vAlign w:val="center"/>
          </w:tcPr>
          <w:p>
            <w:pPr>
              <w:pStyle w:val="105"/>
              <w:rPr>
                <w:rFonts w:hint="eastAsia"/>
                <w:color w:val="auto"/>
              </w:rPr>
            </w:pPr>
          </w:p>
        </w:tc>
        <w:tc>
          <w:tcPr>
            <w:tcW w:w="1534" w:type="dxa"/>
            <w:vMerge w:val="restart"/>
            <w:noWrap w:val="0"/>
            <w:vAlign w:val="center"/>
          </w:tcPr>
          <w:p>
            <w:pPr>
              <w:pStyle w:val="105"/>
              <w:rPr>
                <w:rFonts w:hint="eastAsia"/>
                <w:color w:val="auto"/>
              </w:rPr>
            </w:pPr>
            <w:r>
              <w:rPr>
                <w:rFonts w:hint="eastAsia"/>
                <w:color w:val="auto"/>
              </w:rPr>
              <w:t>危险废物</w:t>
            </w:r>
          </w:p>
        </w:tc>
        <w:tc>
          <w:tcPr>
            <w:tcW w:w="1620" w:type="dxa"/>
            <w:noWrap w:val="0"/>
            <w:vAlign w:val="center"/>
          </w:tcPr>
          <w:p>
            <w:pPr>
              <w:pStyle w:val="170"/>
              <w:rPr>
                <w:rFonts w:hint="eastAsia"/>
                <w:color w:val="auto"/>
              </w:rPr>
            </w:pPr>
            <w:r>
              <w:rPr>
                <w:rFonts w:hint="eastAsia"/>
                <w:color w:val="auto"/>
              </w:rPr>
              <w:t>宠物尸体</w:t>
            </w:r>
          </w:p>
        </w:tc>
        <w:tc>
          <w:tcPr>
            <w:tcW w:w="2475" w:type="dxa"/>
            <w:noWrap w:val="0"/>
            <w:vAlign w:val="center"/>
          </w:tcPr>
          <w:p>
            <w:pPr>
              <w:pStyle w:val="170"/>
              <w:rPr>
                <w:rFonts w:hint="eastAsia"/>
                <w:color w:val="auto"/>
              </w:rPr>
            </w:pPr>
            <w:r>
              <w:rPr>
                <w:rFonts w:hint="eastAsia"/>
                <w:color w:val="auto"/>
              </w:rPr>
              <w:t>经消毒后采用密封袋封存，当天通知并交由资质单位收运处置，不在院内储存。</w:t>
            </w:r>
          </w:p>
        </w:tc>
        <w:tc>
          <w:tcPr>
            <w:tcW w:w="2082" w:type="dxa"/>
            <w:vMerge w:val="restart"/>
            <w:noWrap w:val="0"/>
            <w:vAlign w:val="center"/>
          </w:tcPr>
          <w:p>
            <w:pPr>
              <w:pStyle w:val="105"/>
              <w:rPr>
                <w:rStyle w:val="45"/>
                <w:color w:val="auto"/>
                <w:kern w:val="0"/>
              </w:rPr>
            </w:pPr>
            <w:r>
              <w:rPr>
                <w:rFonts w:hint="eastAsia"/>
                <w:color w:val="auto"/>
              </w:rPr>
              <w:t>《危险废物贮存污染物控制标准》</w:t>
            </w:r>
            <w:r>
              <w:rPr>
                <w:color w:val="auto"/>
              </w:rPr>
              <w:t>（GB18597-2001）</w:t>
            </w:r>
            <w:r>
              <w:rPr>
                <w:rStyle w:val="45"/>
                <w:rFonts w:hint="eastAsia"/>
                <w:color w:val="auto"/>
                <w:kern w:val="0"/>
              </w:rPr>
              <w:t>及其修改单。</w:t>
            </w:r>
          </w:p>
          <w:p>
            <w:pPr>
              <w:pStyle w:val="105"/>
              <w:rPr>
                <w:rFonts w:hint="eastAsia"/>
                <w:b/>
                <w:bCs/>
                <w:color w:val="auto"/>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497" w:hRule="atLeast"/>
          <w:jc w:val="center"/>
        </w:trPr>
        <w:tc>
          <w:tcPr>
            <w:tcW w:w="1089" w:type="dxa"/>
            <w:vMerge w:val="continue"/>
            <w:noWrap w:val="0"/>
            <w:vAlign w:val="center"/>
          </w:tcPr>
          <w:p>
            <w:pPr>
              <w:pStyle w:val="105"/>
              <w:rPr>
                <w:rFonts w:hint="eastAsia"/>
                <w:color w:val="auto"/>
              </w:rPr>
            </w:pPr>
          </w:p>
        </w:tc>
        <w:tc>
          <w:tcPr>
            <w:tcW w:w="1534" w:type="dxa"/>
            <w:vMerge w:val="continue"/>
            <w:noWrap w:val="0"/>
            <w:vAlign w:val="center"/>
          </w:tcPr>
          <w:p>
            <w:pPr>
              <w:pStyle w:val="105"/>
              <w:rPr>
                <w:rFonts w:hint="eastAsia"/>
                <w:color w:val="auto"/>
              </w:rPr>
            </w:pPr>
          </w:p>
        </w:tc>
        <w:tc>
          <w:tcPr>
            <w:tcW w:w="1620" w:type="dxa"/>
            <w:noWrap w:val="0"/>
            <w:vAlign w:val="center"/>
          </w:tcPr>
          <w:p>
            <w:pPr>
              <w:pStyle w:val="170"/>
              <w:rPr>
                <w:rFonts w:hint="eastAsia"/>
                <w:color w:val="auto"/>
              </w:rPr>
            </w:pPr>
            <w:r>
              <w:rPr>
                <w:rFonts w:hint="eastAsia"/>
                <w:color w:val="auto"/>
              </w:rPr>
              <w:t>医疗废物</w:t>
            </w:r>
          </w:p>
        </w:tc>
        <w:tc>
          <w:tcPr>
            <w:tcW w:w="2475" w:type="dxa"/>
            <w:noWrap w:val="0"/>
            <w:vAlign w:val="center"/>
          </w:tcPr>
          <w:p>
            <w:pPr>
              <w:pStyle w:val="170"/>
              <w:rPr>
                <w:rFonts w:hint="eastAsia"/>
                <w:color w:val="auto"/>
              </w:rPr>
            </w:pPr>
            <w:r>
              <w:rPr>
                <w:rFonts w:hint="eastAsia"/>
                <w:color w:val="auto"/>
              </w:rPr>
              <w:t>分类收集，暂存于医疗废物暂存间，定期交由资质单位处置</w:t>
            </w:r>
          </w:p>
        </w:tc>
        <w:tc>
          <w:tcPr>
            <w:tcW w:w="2082" w:type="dxa"/>
            <w:vMerge w:val="continue"/>
            <w:noWrap w:val="0"/>
            <w:vAlign w:val="center"/>
          </w:tcPr>
          <w:p>
            <w:pPr>
              <w:pStyle w:val="105"/>
              <w:rPr>
                <w:rFonts w:hint="eastAsia"/>
                <w:color w:val="auto"/>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30" w:hRule="atLeast"/>
          <w:jc w:val="center"/>
        </w:trPr>
        <w:tc>
          <w:tcPr>
            <w:tcW w:w="1089" w:type="dxa"/>
            <w:vMerge w:val="continue"/>
            <w:noWrap w:val="0"/>
            <w:vAlign w:val="center"/>
          </w:tcPr>
          <w:p>
            <w:pPr>
              <w:pStyle w:val="105"/>
              <w:rPr>
                <w:rFonts w:hint="eastAsia"/>
                <w:color w:val="auto"/>
              </w:rPr>
            </w:pPr>
          </w:p>
        </w:tc>
        <w:tc>
          <w:tcPr>
            <w:tcW w:w="1534" w:type="dxa"/>
            <w:vMerge w:val="continue"/>
            <w:noWrap w:val="0"/>
            <w:vAlign w:val="center"/>
          </w:tcPr>
          <w:p>
            <w:pPr>
              <w:pStyle w:val="105"/>
              <w:rPr>
                <w:rFonts w:hint="eastAsia"/>
                <w:color w:val="auto"/>
              </w:rPr>
            </w:pPr>
          </w:p>
        </w:tc>
        <w:tc>
          <w:tcPr>
            <w:tcW w:w="1620" w:type="dxa"/>
            <w:noWrap w:val="0"/>
            <w:vAlign w:val="center"/>
          </w:tcPr>
          <w:p>
            <w:pPr>
              <w:pStyle w:val="170"/>
              <w:rPr>
                <w:rFonts w:hint="eastAsia"/>
                <w:color w:val="auto"/>
              </w:rPr>
            </w:pPr>
            <w:r>
              <w:rPr>
                <w:rFonts w:hint="eastAsia"/>
                <w:color w:val="auto"/>
              </w:rPr>
              <w:t>废紫外线灯管</w:t>
            </w:r>
          </w:p>
        </w:tc>
        <w:tc>
          <w:tcPr>
            <w:tcW w:w="2475" w:type="dxa"/>
            <w:noWrap w:val="0"/>
            <w:vAlign w:val="center"/>
          </w:tcPr>
          <w:p>
            <w:pPr>
              <w:pStyle w:val="170"/>
              <w:rPr>
                <w:rFonts w:hint="eastAsia"/>
                <w:color w:val="auto"/>
              </w:rPr>
            </w:pPr>
            <w:r>
              <w:rPr>
                <w:rFonts w:hint="eastAsia"/>
                <w:color w:val="auto"/>
              </w:rPr>
              <w:t>收集后暂存于医疗废物暂存间，定期交由资质单位处置</w:t>
            </w:r>
          </w:p>
        </w:tc>
        <w:tc>
          <w:tcPr>
            <w:tcW w:w="2082" w:type="dxa"/>
            <w:vMerge w:val="continue"/>
            <w:noWrap w:val="0"/>
            <w:vAlign w:val="center"/>
          </w:tcPr>
          <w:p>
            <w:pPr>
              <w:pStyle w:val="105"/>
              <w:rPr>
                <w:rFonts w:hint="eastAsia"/>
                <w:color w:val="auto"/>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36" w:hRule="atLeast"/>
          <w:jc w:val="center"/>
        </w:trPr>
        <w:tc>
          <w:tcPr>
            <w:tcW w:w="1089" w:type="dxa"/>
            <w:noWrap w:val="0"/>
            <w:vAlign w:val="center"/>
          </w:tcPr>
          <w:p>
            <w:pPr>
              <w:pStyle w:val="105"/>
              <w:rPr>
                <w:rFonts w:hint="eastAsia"/>
                <w:color w:val="auto"/>
              </w:rPr>
            </w:pPr>
            <w:r>
              <w:rPr>
                <w:rFonts w:hint="eastAsia"/>
                <w:color w:val="auto"/>
              </w:rPr>
              <w:t>土壤及地下水污染防治措施</w:t>
            </w:r>
          </w:p>
        </w:tc>
        <w:tc>
          <w:tcPr>
            <w:tcW w:w="7711" w:type="dxa"/>
            <w:gridSpan w:val="4"/>
            <w:noWrap w:val="0"/>
            <w:vAlign w:val="center"/>
          </w:tcPr>
          <w:p>
            <w:pPr>
              <w:ind w:firstLine="0" w:firstLineChars="0"/>
              <w:rPr>
                <w:rFonts w:hint="eastAsia"/>
                <w:color w:val="auto"/>
              </w:rPr>
            </w:pPr>
            <w:r>
              <w:rPr>
                <w:rFonts w:hint="eastAsia"/>
                <w:color w:val="auto"/>
              </w:rPr>
              <w:t>分区防渗：</w:t>
            </w:r>
            <w:r>
              <w:rPr>
                <w:rFonts w:hint="eastAsia"/>
                <w:b/>
                <w:bCs/>
                <w:color w:val="auto"/>
              </w:rPr>
              <w:t>一般防渗区</w:t>
            </w:r>
            <w:r>
              <w:rPr>
                <w:rFonts w:hint="eastAsia"/>
                <w:color w:val="auto"/>
              </w:rPr>
              <w:t>利用现有防渗措施；</w:t>
            </w:r>
            <w:r>
              <w:rPr>
                <w:rFonts w:hint="eastAsia"/>
                <w:b/>
                <w:bCs/>
                <w:color w:val="auto"/>
              </w:rPr>
              <w:t>重点防渗区</w:t>
            </w:r>
            <w:r>
              <w:rPr>
                <w:rFonts w:hint="eastAsia"/>
                <w:color w:val="auto"/>
              </w:rPr>
              <w:t>包括医疗废物暂存间、污水处理设施所在位置，医疗废物暂存间：防渗混凝土地面+2mm 厚环氧树脂地坪漆+不锈钢金属托盘；污水处理器所在区域：利用现有防渗措施</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31" w:hRule="atLeast"/>
          <w:jc w:val="center"/>
        </w:trPr>
        <w:tc>
          <w:tcPr>
            <w:tcW w:w="1089" w:type="dxa"/>
            <w:noWrap w:val="0"/>
            <w:vAlign w:val="center"/>
          </w:tcPr>
          <w:p>
            <w:pPr>
              <w:pStyle w:val="105"/>
              <w:rPr>
                <w:rFonts w:hint="eastAsia"/>
                <w:color w:val="auto"/>
              </w:rPr>
            </w:pPr>
            <w:r>
              <w:rPr>
                <w:rFonts w:hint="eastAsia"/>
                <w:color w:val="auto"/>
              </w:rPr>
              <w:t>生态保护措施</w:t>
            </w:r>
          </w:p>
        </w:tc>
        <w:tc>
          <w:tcPr>
            <w:tcW w:w="7711" w:type="dxa"/>
            <w:gridSpan w:val="4"/>
            <w:noWrap w:val="0"/>
            <w:vAlign w:val="center"/>
          </w:tcPr>
          <w:p>
            <w:pPr>
              <w:pStyle w:val="118"/>
              <w:jc w:val="left"/>
              <w:rPr>
                <w:rFonts w:hint="eastAsia"/>
                <w:color w:val="auto"/>
              </w:rPr>
            </w:pPr>
            <w:r>
              <w:rPr>
                <w:rFonts w:hint="eastAsia"/>
                <w:color w:val="auto"/>
              </w:rPr>
              <w:t>项目所在地为城市环境，生态环境受人类活动影响显著，无珍稀动植物，区域内无自然保护区、风景名胜区等生态敏感区分布。项目各类污染物在采取有效的环保措施后均能做到达标排放。因此，不会对区域生态环境产生不良影响，无须特殊的生态保护措施。</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59" w:hRule="atLeast"/>
          <w:jc w:val="center"/>
        </w:trPr>
        <w:tc>
          <w:tcPr>
            <w:tcW w:w="1089" w:type="dxa"/>
            <w:noWrap w:val="0"/>
            <w:vAlign w:val="center"/>
          </w:tcPr>
          <w:p>
            <w:pPr>
              <w:pStyle w:val="105"/>
              <w:rPr>
                <w:color w:val="auto"/>
              </w:rPr>
            </w:pPr>
            <w:r>
              <w:rPr>
                <w:rFonts w:hint="eastAsia"/>
                <w:color w:val="auto"/>
              </w:rPr>
              <w:t>环境风险</w:t>
            </w:r>
          </w:p>
          <w:p>
            <w:pPr>
              <w:pStyle w:val="105"/>
              <w:rPr>
                <w:rFonts w:hint="eastAsia"/>
                <w:color w:val="auto"/>
              </w:rPr>
            </w:pPr>
            <w:r>
              <w:rPr>
                <w:rFonts w:hint="eastAsia"/>
                <w:color w:val="auto"/>
              </w:rPr>
              <w:t>防范措施</w:t>
            </w:r>
          </w:p>
        </w:tc>
        <w:tc>
          <w:tcPr>
            <w:tcW w:w="7711" w:type="dxa"/>
            <w:gridSpan w:val="4"/>
            <w:noWrap w:val="0"/>
            <w:vAlign w:val="center"/>
          </w:tcPr>
          <w:p>
            <w:pPr>
              <w:pStyle w:val="170"/>
              <w:jc w:val="left"/>
              <w:rPr>
                <w:rFonts w:hint="eastAsia"/>
                <w:color w:val="auto"/>
              </w:rPr>
            </w:pPr>
            <w:r>
              <w:rPr>
                <w:rFonts w:hint="eastAsia"/>
                <w:b/>
                <w:bCs/>
                <w:color w:val="auto"/>
              </w:rPr>
              <w:t>加强对化学品管理：</w:t>
            </w:r>
            <w:r>
              <w:rPr>
                <w:rFonts w:hint="eastAsia"/>
                <w:color w:val="auto"/>
              </w:rPr>
              <w:t xml:space="preserve"> </w:t>
            </w:r>
          </w:p>
          <w:p>
            <w:pPr>
              <w:pStyle w:val="170"/>
              <w:jc w:val="left"/>
              <w:rPr>
                <w:rFonts w:hint="eastAsia"/>
                <w:color w:val="auto"/>
              </w:rPr>
            </w:pPr>
            <w:r>
              <w:rPr>
                <w:rFonts w:hint="eastAsia"/>
                <w:color w:val="auto"/>
              </w:rPr>
              <w:t xml:space="preserve">对于化学品的购买、储存、保管、使用等需要按照《危险化学品安全管理条例》的规定管理，化学品出入库，必须进行核查登记，并定期监测库存。做好化学品的存储及使用的安全防范措施，具体如下： </w:t>
            </w:r>
          </w:p>
          <w:p>
            <w:pPr>
              <w:pStyle w:val="170"/>
              <w:jc w:val="left"/>
              <w:rPr>
                <w:rFonts w:hint="eastAsia"/>
                <w:color w:val="auto"/>
              </w:rPr>
            </w:pPr>
            <w:r>
              <w:rPr>
                <w:rFonts w:hint="eastAsia"/>
                <w:color w:val="auto"/>
              </w:rPr>
              <w:t xml:space="preserve">A、化学品必须储存在专用储存柜内，其储存方式、方法与储存量必须符合国家标准，并由专人管理。 </w:t>
            </w:r>
          </w:p>
          <w:p>
            <w:pPr>
              <w:pStyle w:val="170"/>
              <w:jc w:val="left"/>
              <w:rPr>
                <w:rFonts w:hint="eastAsia"/>
                <w:color w:val="auto"/>
              </w:rPr>
            </w:pPr>
            <w:r>
              <w:rPr>
                <w:rFonts w:hint="eastAsia"/>
                <w:color w:val="auto"/>
              </w:rPr>
              <w:t xml:space="preserve">B、化学品设有专用存储柜，应当符合国家标准对安全、消防的要求，设置明显标志。 </w:t>
            </w:r>
          </w:p>
          <w:p>
            <w:pPr>
              <w:pStyle w:val="170"/>
              <w:jc w:val="left"/>
              <w:rPr>
                <w:rFonts w:hint="eastAsia"/>
                <w:b/>
                <w:bCs/>
                <w:color w:val="auto"/>
              </w:rPr>
            </w:pPr>
            <w:r>
              <w:rPr>
                <w:rFonts w:hint="eastAsia"/>
                <w:b/>
                <w:bCs/>
                <w:color w:val="auto"/>
              </w:rPr>
              <w:t>医疗废物储存风险防范措施：</w:t>
            </w:r>
          </w:p>
          <w:p>
            <w:pPr>
              <w:pStyle w:val="170"/>
              <w:jc w:val="left"/>
              <w:rPr>
                <w:rFonts w:hint="eastAsia"/>
                <w:color w:val="auto"/>
              </w:rPr>
            </w:pPr>
            <w:r>
              <w:rPr>
                <w:rFonts w:hint="eastAsia"/>
                <w:color w:val="auto"/>
              </w:rPr>
              <w:t xml:space="preserve">A、应当使用防渗漏、防抛洒的专用储存工具，做好医疗废物存储地周围的防渗措施。 </w:t>
            </w:r>
          </w:p>
          <w:p>
            <w:pPr>
              <w:pStyle w:val="170"/>
              <w:jc w:val="left"/>
              <w:rPr>
                <w:rFonts w:hint="eastAsia"/>
                <w:color w:val="auto"/>
              </w:rPr>
            </w:pPr>
            <w:r>
              <w:rPr>
                <w:rFonts w:hint="eastAsia"/>
                <w:color w:val="auto"/>
              </w:rPr>
              <w:t xml:space="preserve">B、医疗废物储存工具应定期进行消毒和清洁。 </w:t>
            </w:r>
          </w:p>
          <w:p>
            <w:pPr>
              <w:pStyle w:val="170"/>
              <w:jc w:val="left"/>
              <w:rPr>
                <w:rFonts w:hint="eastAsia"/>
                <w:color w:val="auto"/>
              </w:rPr>
            </w:pPr>
            <w:r>
              <w:rPr>
                <w:rFonts w:hint="eastAsia"/>
                <w:color w:val="auto"/>
              </w:rPr>
              <w:t>C、医疗废物应分类收集、贮存，贴上醒目标签，不得与生活垃圾混合堆放；发生危险废物与生活垃圾混合的现象，应将所有被污染的生活垃圾当做危险废物处理。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47" w:hRule="atLeast"/>
          <w:jc w:val="center"/>
        </w:trPr>
        <w:tc>
          <w:tcPr>
            <w:tcW w:w="1089" w:type="dxa"/>
            <w:noWrap w:val="0"/>
            <w:vAlign w:val="center"/>
          </w:tcPr>
          <w:p>
            <w:pPr>
              <w:pStyle w:val="105"/>
              <w:rPr>
                <w:color w:val="auto"/>
              </w:rPr>
            </w:pPr>
            <w:r>
              <w:rPr>
                <w:rFonts w:hint="eastAsia"/>
                <w:color w:val="auto"/>
              </w:rPr>
              <w:t>其他环境</w:t>
            </w:r>
          </w:p>
          <w:p>
            <w:pPr>
              <w:pStyle w:val="105"/>
              <w:rPr>
                <w:rFonts w:hint="eastAsia"/>
                <w:color w:val="auto"/>
              </w:rPr>
            </w:pPr>
            <w:r>
              <w:rPr>
                <w:rFonts w:hint="eastAsia"/>
                <w:color w:val="auto"/>
              </w:rPr>
              <w:t>管理要求</w:t>
            </w:r>
          </w:p>
        </w:tc>
        <w:tc>
          <w:tcPr>
            <w:tcW w:w="7711" w:type="dxa"/>
            <w:gridSpan w:val="4"/>
            <w:noWrap w:val="0"/>
            <w:vAlign w:val="center"/>
          </w:tcPr>
          <w:p>
            <w:pPr>
              <w:pStyle w:val="170"/>
              <w:jc w:val="left"/>
              <w:rPr>
                <w:rFonts w:hint="eastAsia"/>
                <w:b/>
                <w:bCs/>
                <w:color w:val="auto"/>
              </w:rPr>
            </w:pPr>
            <w:r>
              <w:rPr>
                <w:rFonts w:hint="eastAsia"/>
                <w:b/>
                <w:bCs/>
                <w:color w:val="auto"/>
              </w:rPr>
              <w:t>环境及医疗器械卫生消毒制度：</w:t>
            </w:r>
          </w:p>
          <w:p>
            <w:pPr>
              <w:pStyle w:val="170"/>
              <w:jc w:val="left"/>
              <w:rPr>
                <w:rFonts w:hint="eastAsia"/>
                <w:color w:val="auto"/>
              </w:rPr>
            </w:pPr>
            <w:r>
              <w:rPr>
                <w:rFonts w:hint="eastAsia"/>
                <w:color w:val="auto"/>
              </w:rPr>
              <w:t xml:space="preserve">①保持室内清洁，每天工作结束后应进行彻底消毒处理； </w:t>
            </w:r>
          </w:p>
          <w:p>
            <w:pPr>
              <w:pStyle w:val="170"/>
              <w:jc w:val="left"/>
              <w:rPr>
                <w:rFonts w:hint="eastAsia"/>
                <w:color w:val="auto"/>
              </w:rPr>
            </w:pPr>
            <w:r>
              <w:rPr>
                <w:rFonts w:hint="eastAsia"/>
                <w:color w:val="auto"/>
              </w:rPr>
              <w:t>②工作人员必须穿工作服、带工作帽、戴口罩、手套。使用合格的一次性检验用品；</w:t>
            </w:r>
          </w:p>
          <w:p>
            <w:pPr>
              <w:pStyle w:val="170"/>
              <w:jc w:val="left"/>
              <w:rPr>
                <w:rFonts w:hint="eastAsia"/>
                <w:color w:val="auto"/>
              </w:rPr>
            </w:pPr>
            <w:r>
              <w:rPr>
                <w:rFonts w:hint="eastAsia"/>
                <w:color w:val="auto"/>
              </w:rPr>
              <w:t xml:space="preserve">③无菌物品如：棉签、棉球、纱布等应在有效期内使用，开封后使用时间不得超过24小时； </w:t>
            </w:r>
          </w:p>
          <w:p>
            <w:pPr>
              <w:pStyle w:val="170"/>
              <w:jc w:val="left"/>
              <w:rPr>
                <w:rFonts w:hint="eastAsia"/>
                <w:color w:val="auto"/>
              </w:rPr>
            </w:pPr>
            <w:r>
              <w:rPr>
                <w:rFonts w:hint="eastAsia"/>
                <w:color w:val="auto"/>
              </w:rPr>
              <w:t>④各种医疗器械应及时消毒、清洗；各种废弃标本分类处理。进行治疗时，必须先洗手或消毒。结束操作后也应及时洗手，毛巾专用，并每天消毒。</w:t>
            </w:r>
          </w:p>
          <w:p>
            <w:pPr>
              <w:pStyle w:val="170"/>
              <w:jc w:val="left"/>
              <w:rPr>
                <w:rFonts w:hint="eastAsia"/>
                <w:b/>
                <w:bCs/>
                <w:color w:val="auto"/>
              </w:rPr>
            </w:pPr>
            <w:r>
              <w:rPr>
                <w:rFonts w:hint="eastAsia"/>
                <w:b/>
                <w:bCs/>
                <w:color w:val="auto"/>
              </w:rPr>
              <w:t>危险废物处置和管理</w:t>
            </w:r>
          </w:p>
          <w:p>
            <w:pPr>
              <w:pStyle w:val="170"/>
              <w:jc w:val="left"/>
              <w:rPr>
                <w:rFonts w:hint="eastAsia"/>
                <w:color w:val="auto"/>
              </w:rPr>
            </w:pPr>
            <w:r>
              <w:rPr>
                <w:rFonts w:hint="eastAsia"/>
                <w:color w:val="auto"/>
              </w:rPr>
              <w:t>对诊疗过程中产生的医疗废物要求及时交予资质单位处置，并做好医疗废弃物的转运台账。</w:t>
            </w:r>
          </w:p>
        </w:tc>
      </w:tr>
    </w:tbl>
    <w:p>
      <w:pPr>
        <w:pStyle w:val="3"/>
        <w:ind w:firstLine="602"/>
        <w:rPr>
          <w:rFonts w:ascii="黑体" w:hAnsi="黑体" w:eastAsia="黑体"/>
          <w:snapToGrid w:val="0"/>
          <w:color w:val="auto"/>
        </w:rPr>
      </w:pPr>
      <w:r>
        <w:rPr>
          <w:snapToGrid w:val="0"/>
          <w:color w:val="auto"/>
        </w:rPr>
        <w:br w:type="page"/>
      </w:r>
      <w:bookmarkStart w:id="39" w:name="_Toc15574"/>
      <w:r>
        <w:rPr>
          <w:rFonts w:hint="eastAsia" w:cs="宋体"/>
          <w:snapToGrid w:val="0"/>
          <w:color w:val="auto"/>
        </w:rPr>
        <w:t>六、结论</w:t>
      </w:r>
      <w:bookmarkEnd w:id="39"/>
    </w:p>
    <w:tbl>
      <w:tblPr>
        <w:tblStyle w:val="3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865"/>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257" w:hRule="atLeast"/>
          <w:jc w:val="center"/>
        </w:trPr>
        <w:tc>
          <w:tcPr>
            <w:tcW w:w="8865" w:type="dxa"/>
            <w:noWrap w:val="0"/>
            <w:vAlign w:val="top"/>
          </w:tcPr>
          <w:p>
            <w:pPr>
              <w:pStyle w:val="104"/>
              <w:ind w:firstLine="480"/>
              <w:rPr>
                <w:rFonts w:hint="eastAsia"/>
                <w:color w:val="auto"/>
              </w:rPr>
            </w:pPr>
            <w:r>
              <w:rPr>
                <w:rFonts w:hint="eastAsia"/>
                <w:color w:val="auto"/>
              </w:rPr>
              <w:t>综上所述，本项目符合国家产业政策，选址符合功能定位和发展规划要求。拟采取的污染防治措施可使污染物达标排放；项目总图布置基本合理。项目所在区域内无重大环境制约要素，环境质量现状较好。因此，本项目只要全面严格落实环境影响报告表和工程设计提出的环保对策及措施，严格执行“三同时”制度，确保项目产生的污染物达标排放。则本项目的建设从环保角度上是可行的。</w:t>
            </w:r>
          </w:p>
          <w:p>
            <w:pPr>
              <w:pStyle w:val="104"/>
              <w:ind w:firstLine="480"/>
              <w:rPr>
                <w:rFonts w:hint="eastAsia"/>
                <w:color w:val="auto"/>
              </w:rPr>
            </w:pPr>
          </w:p>
        </w:tc>
      </w:tr>
    </w:tbl>
    <w:p>
      <w:pPr>
        <w:pStyle w:val="2"/>
        <w:ind w:left="840" w:hanging="420"/>
        <w:rPr>
          <w:color w:val="auto"/>
        </w:rPr>
        <w:sectPr>
          <w:pgSz w:w="11906" w:h="16838"/>
          <w:pgMar w:top="1701" w:right="1531" w:bottom="1701" w:left="1531" w:header="851" w:footer="851" w:gutter="0"/>
          <w:cols w:space="720" w:num="1"/>
          <w:docGrid w:linePitch="312" w:charSpace="0"/>
        </w:sectPr>
      </w:pPr>
    </w:p>
    <w:p>
      <w:pPr>
        <w:pStyle w:val="104"/>
        <w:ind w:firstLine="643"/>
        <w:rPr>
          <w:rFonts w:hint="eastAsia"/>
          <w:b/>
          <w:bCs/>
          <w:color w:val="auto"/>
          <w:sz w:val="32"/>
          <w:szCs w:val="32"/>
        </w:rPr>
        <w:sectPr>
          <w:footerReference r:id="rId17" w:type="default"/>
          <w:type w:val="continuous"/>
          <w:pgSz w:w="11906" w:h="16838"/>
          <w:pgMar w:top="1701" w:right="1531" w:bottom="1701" w:left="1531" w:header="851" w:footer="851" w:gutter="0"/>
          <w:cols w:space="720" w:num="1"/>
          <w:docGrid w:linePitch="312" w:charSpace="0"/>
        </w:sectPr>
      </w:pPr>
    </w:p>
    <w:p>
      <w:pPr>
        <w:pStyle w:val="104"/>
        <w:ind w:firstLine="643"/>
        <w:rPr>
          <w:b/>
          <w:bCs/>
          <w:color w:val="auto"/>
          <w:sz w:val="32"/>
          <w:szCs w:val="32"/>
        </w:rPr>
      </w:pPr>
      <w:r>
        <w:rPr>
          <w:rFonts w:hint="eastAsia"/>
          <w:b/>
          <w:bCs/>
          <w:color w:val="auto"/>
          <w:sz w:val="32"/>
          <w:szCs w:val="32"/>
        </w:rPr>
        <w:t>附表</w:t>
      </w:r>
    </w:p>
    <w:p>
      <w:pPr>
        <w:pStyle w:val="3"/>
        <w:ind w:firstLine="602"/>
        <w:rPr>
          <w:rFonts w:hint="eastAsia"/>
          <w:color w:val="auto"/>
        </w:rPr>
      </w:pPr>
      <w:bookmarkStart w:id="40" w:name="_Toc15947"/>
      <w:r>
        <w:rPr>
          <w:rFonts w:hint="eastAsia"/>
          <w:color w:val="auto"/>
        </w:rPr>
        <w:t>建设项目污染物排放量汇总表</w:t>
      </w:r>
      <w:bookmarkEnd w:id="40"/>
    </w:p>
    <w:tbl>
      <w:tblPr>
        <w:tblStyle w:val="38"/>
        <w:tblW w:w="4998" w:type="pct"/>
        <w:tblInd w:w="-8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936"/>
        <w:gridCol w:w="1259"/>
        <w:gridCol w:w="1087"/>
        <w:gridCol w:w="778"/>
        <w:gridCol w:w="1088"/>
        <w:gridCol w:w="1356"/>
        <w:gridCol w:w="1016"/>
        <w:gridCol w:w="1376"/>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94" w:hRule="atLeast"/>
        </w:trPr>
        <w:tc>
          <w:tcPr>
            <w:tcW w:w="434" w:type="pct"/>
            <w:tcBorders>
              <w:tl2br w:val="single" w:color="auto" w:sz="4" w:space="0"/>
            </w:tcBorders>
            <w:noWrap w:val="0"/>
            <w:tcMar>
              <w:left w:w="28" w:type="dxa"/>
              <w:right w:w="28" w:type="dxa"/>
            </w:tcMar>
            <w:vAlign w:val="center"/>
          </w:tcPr>
          <w:p>
            <w:pPr>
              <w:pStyle w:val="105"/>
              <w:rPr>
                <w:rFonts w:hint="eastAsia"/>
                <w:color w:val="auto"/>
              </w:rPr>
            </w:pPr>
            <w:r>
              <w:rPr>
                <w:rFonts w:hint="eastAsia"/>
                <w:color w:val="auto"/>
              </w:rPr>
              <w:t>项目</w:t>
            </w:r>
          </w:p>
          <w:p>
            <w:pPr>
              <w:pStyle w:val="105"/>
              <w:rPr>
                <w:rFonts w:hint="eastAsia"/>
                <w:color w:val="auto"/>
              </w:rPr>
            </w:pPr>
            <w:r>
              <w:rPr>
                <w:rFonts w:hint="eastAsia"/>
                <w:color w:val="auto"/>
              </w:rPr>
              <w:t>分类</w:t>
            </w:r>
          </w:p>
        </w:tc>
        <w:tc>
          <w:tcPr>
            <w:tcW w:w="792" w:type="pct"/>
            <w:noWrap w:val="0"/>
            <w:tcMar>
              <w:left w:w="28" w:type="dxa"/>
              <w:right w:w="28" w:type="dxa"/>
            </w:tcMar>
            <w:vAlign w:val="center"/>
          </w:tcPr>
          <w:p>
            <w:pPr>
              <w:pStyle w:val="105"/>
              <w:rPr>
                <w:rFonts w:hint="eastAsia"/>
                <w:color w:val="auto"/>
              </w:rPr>
            </w:pPr>
            <w:r>
              <w:rPr>
                <w:rFonts w:hint="eastAsia"/>
                <w:color w:val="auto"/>
              </w:rPr>
              <w:t>污染物名称</w:t>
            </w:r>
          </w:p>
        </w:tc>
        <w:tc>
          <w:tcPr>
            <w:tcW w:w="695" w:type="pct"/>
            <w:noWrap w:val="0"/>
            <w:tcMar>
              <w:left w:w="28" w:type="dxa"/>
              <w:right w:w="28" w:type="dxa"/>
            </w:tcMar>
            <w:vAlign w:val="center"/>
          </w:tcPr>
          <w:p>
            <w:pPr>
              <w:pStyle w:val="105"/>
              <w:rPr>
                <w:rFonts w:hint="eastAsia"/>
                <w:color w:val="auto"/>
              </w:rPr>
            </w:pPr>
            <w:r>
              <w:rPr>
                <w:color w:val="auto"/>
              </w:rPr>
              <w:t>现有工程</w:t>
            </w:r>
          </w:p>
          <w:p>
            <w:pPr>
              <w:pStyle w:val="105"/>
              <w:rPr>
                <w:color w:val="auto"/>
              </w:rPr>
            </w:pPr>
            <w:r>
              <w:rPr>
                <w:color w:val="auto"/>
              </w:rPr>
              <w:t>排放量（固</w:t>
            </w:r>
            <w:r>
              <w:rPr>
                <w:rFonts w:hint="eastAsia"/>
                <w:color w:val="auto"/>
              </w:rPr>
              <w:t>体</w:t>
            </w:r>
            <w:r>
              <w:rPr>
                <w:color w:val="auto"/>
              </w:rPr>
              <w:t>废</w:t>
            </w:r>
            <w:r>
              <w:rPr>
                <w:rFonts w:hint="eastAsia"/>
                <w:color w:val="auto"/>
              </w:rPr>
              <w:t>物</w:t>
            </w:r>
            <w:r>
              <w:rPr>
                <w:color w:val="auto"/>
              </w:rPr>
              <w:t>产生量）</w:t>
            </w:r>
            <w:r>
              <w:rPr>
                <w:color w:val="auto"/>
              </w:rPr>
              <w:fldChar w:fldCharType="begin"/>
            </w:r>
            <w:r>
              <w:rPr>
                <w:color w:val="auto"/>
              </w:rPr>
              <w:instrText xml:space="preserve"> = 1 \* GB3 \* MERGEFORMAT </w:instrText>
            </w:r>
            <w:r>
              <w:rPr>
                <w:color w:val="auto"/>
              </w:rPr>
              <w:fldChar w:fldCharType="separate"/>
            </w:r>
            <w:r>
              <w:rPr>
                <w:rFonts w:hint="eastAsia"/>
                <w:color w:val="auto"/>
              </w:rPr>
              <w:t>①</w:t>
            </w:r>
            <w:r>
              <w:rPr>
                <w:color w:val="auto"/>
              </w:rPr>
              <w:fldChar w:fldCharType="end"/>
            </w:r>
          </w:p>
        </w:tc>
        <w:tc>
          <w:tcPr>
            <w:tcW w:w="521" w:type="pct"/>
            <w:noWrap w:val="0"/>
            <w:tcMar>
              <w:left w:w="28" w:type="dxa"/>
              <w:right w:w="28" w:type="dxa"/>
            </w:tcMar>
            <w:vAlign w:val="center"/>
          </w:tcPr>
          <w:p>
            <w:pPr>
              <w:pStyle w:val="105"/>
              <w:rPr>
                <w:color w:val="auto"/>
              </w:rPr>
            </w:pPr>
            <w:r>
              <w:rPr>
                <w:color w:val="auto"/>
              </w:rPr>
              <w:t>现有工程</w:t>
            </w:r>
          </w:p>
          <w:p>
            <w:pPr>
              <w:pStyle w:val="105"/>
              <w:rPr>
                <w:color w:val="auto"/>
              </w:rPr>
            </w:pPr>
            <w:r>
              <w:rPr>
                <w:color w:val="auto"/>
              </w:rPr>
              <w:t>许可排放量</w:t>
            </w:r>
          </w:p>
          <w:p>
            <w:pPr>
              <w:pStyle w:val="105"/>
              <w:rPr>
                <w:color w:val="auto"/>
              </w:rPr>
            </w:pPr>
            <w:r>
              <w:rPr>
                <w:color w:val="auto"/>
              </w:rPr>
              <w:fldChar w:fldCharType="begin"/>
            </w:r>
            <w:r>
              <w:rPr>
                <w:color w:val="auto"/>
              </w:rPr>
              <w:instrText xml:space="preserve"> = 2 \* GB3 \* MERGEFORMAT </w:instrText>
            </w:r>
            <w:r>
              <w:rPr>
                <w:color w:val="auto"/>
              </w:rPr>
              <w:fldChar w:fldCharType="separate"/>
            </w:r>
            <w:r>
              <w:rPr>
                <w:rFonts w:hint="eastAsia"/>
                <w:color w:val="auto"/>
              </w:rPr>
              <w:t>②</w:t>
            </w:r>
            <w:r>
              <w:rPr>
                <w:color w:val="auto"/>
              </w:rPr>
              <w:fldChar w:fldCharType="end"/>
            </w:r>
          </w:p>
        </w:tc>
        <w:tc>
          <w:tcPr>
            <w:tcW w:w="695" w:type="pct"/>
            <w:noWrap w:val="0"/>
            <w:tcMar>
              <w:left w:w="28" w:type="dxa"/>
              <w:right w:w="28" w:type="dxa"/>
            </w:tcMar>
            <w:vAlign w:val="center"/>
          </w:tcPr>
          <w:p>
            <w:pPr>
              <w:pStyle w:val="105"/>
              <w:rPr>
                <w:rFonts w:hint="eastAsia"/>
                <w:color w:val="auto"/>
              </w:rPr>
            </w:pPr>
            <w:r>
              <w:rPr>
                <w:color w:val="auto"/>
              </w:rPr>
              <w:t>在建工程</w:t>
            </w:r>
          </w:p>
          <w:p>
            <w:pPr>
              <w:pStyle w:val="105"/>
              <w:rPr>
                <w:color w:val="auto"/>
              </w:rPr>
            </w:pPr>
            <w:r>
              <w:rPr>
                <w:color w:val="auto"/>
              </w:rPr>
              <w:t>排放量（固</w:t>
            </w:r>
            <w:r>
              <w:rPr>
                <w:rFonts w:hint="eastAsia"/>
                <w:color w:val="auto"/>
              </w:rPr>
              <w:t>体</w:t>
            </w:r>
            <w:r>
              <w:rPr>
                <w:color w:val="auto"/>
              </w:rPr>
              <w:t>废</w:t>
            </w:r>
            <w:r>
              <w:rPr>
                <w:rFonts w:hint="eastAsia"/>
                <w:color w:val="auto"/>
              </w:rPr>
              <w:t>物</w:t>
            </w:r>
            <w:r>
              <w:rPr>
                <w:color w:val="auto"/>
              </w:rPr>
              <w:t>产生量）</w:t>
            </w:r>
            <w:r>
              <w:rPr>
                <w:color w:val="auto"/>
              </w:rPr>
              <w:fldChar w:fldCharType="begin"/>
            </w:r>
            <w:r>
              <w:rPr>
                <w:color w:val="auto"/>
              </w:rPr>
              <w:instrText xml:space="preserve"> = 3 \* GB3 \* MERGEFORMAT </w:instrText>
            </w:r>
            <w:r>
              <w:rPr>
                <w:color w:val="auto"/>
              </w:rPr>
              <w:fldChar w:fldCharType="separate"/>
            </w:r>
            <w:r>
              <w:rPr>
                <w:rFonts w:hint="eastAsia"/>
                <w:color w:val="auto"/>
              </w:rPr>
              <w:t>③</w:t>
            </w:r>
            <w:r>
              <w:rPr>
                <w:color w:val="auto"/>
              </w:rPr>
              <w:fldChar w:fldCharType="end"/>
            </w:r>
          </w:p>
        </w:tc>
        <w:tc>
          <w:tcPr>
            <w:tcW w:w="637" w:type="pct"/>
            <w:noWrap w:val="0"/>
            <w:tcMar>
              <w:left w:w="28" w:type="dxa"/>
              <w:right w:w="28" w:type="dxa"/>
            </w:tcMar>
            <w:vAlign w:val="center"/>
          </w:tcPr>
          <w:p>
            <w:pPr>
              <w:pStyle w:val="105"/>
              <w:rPr>
                <w:rFonts w:hint="eastAsia"/>
                <w:color w:val="auto"/>
              </w:rPr>
            </w:pPr>
            <w:r>
              <w:rPr>
                <w:color w:val="auto"/>
              </w:rPr>
              <w:t>本项目</w:t>
            </w:r>
          </w:p>
          <w:p>
            <w:pPr>
              <w:pStyle w:val="105"/>
              <w:rPr>
                <w:color w:val="auto"/>
              </w:rPr>
            </w:pPr>
            <w:r>
              <w:rPr>
                <w:color w:val="auto"/>
              </w:rPr>
              <w:t>排放量（固</w:t>
            </w:r>
            <w:r>
              <w:rPr>
                <w:rFonts w:hint="eastAsia"/>
                <w:color w:val="auto"/>
              </w:rPr>
              <w:t>体</w:t>
            </w:r>
            <w:r>
              <w:rPr>
                <w:color w:val="auto"/>
              </w:rPr>
              <w:t>废</w:t>
            </w:r>
            <w:r>
              <w:rPr>
                <w:rFonts w:hint="eastAsia"/>
                <w:color w:val="auto"/>
              </w:rPr>
              <w:t>物</w:t>
            </w:r>
            <w:r>
              <w:rPr>
                <w:color w:val="auto"/>
              </w:rPr>
              <w:t>产生量）</w:t>
            </w:r>
            <w:r>
              <w:rPr>
                <w:color w:val="auto"/>
              </w:rPr>
              <w:fldChar w:fldCharType="begin"/>
            </w:r>
            <w:r>
              <w:rPr>
                <w:color w:val="auto"/>
              </w:rPr>
              <w:instrText xml:space="preserve"> = 4 \* GB3 \* MERGEFORMAT </w:instrText>
            </w:r>
            <w:r>
              <w:rPr>
                <w:color w:val="auto"/>
              </w:rPr>
              <w:fldChar w:fldCharType="separate"/>
            </w:r>
            <w:r>
              <w:rPr>
                <w:rFonts w:hint="eastAsia"/>
                <w:color w:val="auto"/>
              </w:rPr>
              <w:t>④</w:t>
            </w:r>
            <w:r>
              <w:rPr>
                <w:color w:val="auto"/>
              </w:rPr>
              <w:fldChar w:fldCharType="end"/>
            </w:r>
          </w:p>
        </w:tc>
        <w:tc>
          <w:tcPr>
            <w:tcW w:w="493" w:type="pct"/>
            <w:noWrap w:val="0"/>
            <w:tcMar>
              <w:left w:w="28" w:type="dxa"/>
              <w:right w:w="28" w:type="dxa"/>
            </w:tcMar>
            <w:vAlign w:val="center"/>
          </w:tcPr>
          <w:p>
            <w:pPr>
              <w:pStyle w:val="105"/>
              <w:rPr>
                <w:color w:val="auto"/>
              </w:rPr>
            </w:pPr>
            <w:r>
              <w:rPr>
                <w:color w:val="auto"/>
              </w:rPr>
              <w:t>以新带老削减量（新建项目不填）</w:t>
            </w:r>
            <w:r>
              <w:rPr>
                <w:color w:val="auto"/>
              </w:rPr>
              <w:fldChar w:fldCharType="begin"/>
            </w:r>
            <w:r>
              <w:rPr>
                <w:color w:val="auto"/>
              </w:rPr>
              <w:instrText xml:space="preserve"> = 5 \* GB3 \* MERGEFORMAT </w:instrText>
            </w:r>
            <w:r>
              <w:rPr>
                <w:color w:val="auto"/>
              </w:rPr>
              <w:fldChar w:fldCharType="separate"/>
            </w:r>
            <w:r>
              <w:rPr>
                <w:rFonts w:hint="eastAsia"/>
                <w:color w:val="auto"/>
              </w:rPr>
              <w:t>⑤</w:t>
            </w:r>
            <w:r>
              <w:rPr>
                <w:color w:val="auto"/>
              </w:rPr>
              <w:fldChar w:fldCharType="end"/>
            </w:r>
          </w:p>
        </w:tc>
        <w:tc>
          <w:tcPr>
            <w:tcW w:w="729" w:type="pct"/>
            <w:noWrap w:val="0"/>
            <w:tcMar>
              <w:left w:w="28" w:type="dxa"/>
              <w:right w:w="28" w:type="dxa"/>
            </w:tcMar>
            <w:vAlign w:val="center"/>
          </w:tcPr>
          <w:p>
            <w:pPr>
              <w:pStyle w:val="105"/>
              <w:rPr>
                <w:rFonts w:hint="eastAsia"/>
                <w:color w:val="auto"/>
              </w:rPr>
            </w:pPr>
            <w:r>
              <w:rPr>
                <w:color w:val="auto"/>
              </w:rPr>
              <w:t>本项目建成后</w:t>
            </w:r>
          </w:p>
          <w:p>
            <w:pPr>
              <w:pStyle w:val="105"/>
              <w:rPr>
                <w:color w:val="auto"/>
              </w:rPr>
            </w:pPr>
            <w:r>
              <w:rPr>
                <w:rFonts w:hint="eastAsia"/>
                <w:color w:val="auto"/>
              </w:rPr>
              <w:t>全厂</w:t>
            </w:r>
            <w:r>
              <w:rPr>
                <w:color w:val="auto"/>
              </w:rPr>
              <w:t>排放量（固</w:t>
            </w:r>
            <w:r>
              <w:rPr>
                <w:rFonts w:hint="eastAsia"/>
                <w:color w:val="auto"/>
              </w:rPr>
              <w:t>体</w:t>
            </w:r>
            <w:r>
              <w:rPr>
                <w:color w:val="auto"/>
              </w:rPr>
              <w:t>废</w:t>
            </w:r>
            <w:r>
              <w:rPr>
                <w:rFonts w:hint="eastAsia"/>
                <w:color w:val="auto"/>
              </w:rPr>
              <w:t>物</w:t>
            </w:r>
            <w:r>
              <w:rPr>
                <w:color w:val="auto"/>
              </w:rPr>
              <w:t>产生量）</w:t>
            </w:r>
            <w:r>
              <w:rPr>
                <w:color w:val="auto"/>
              </w:rPr>
              <w:fldChar w:fldCharType="begin"/>
            </w:r>
            <w:r>
              <w:rPr>
                <w:color w:val="auto"/>
              </w:rPr>
              <w:instrText xml:space="preserve"> = 6 \* GB3 \* MERGEFORMAT </w:instrText>
            </w:r>
            <w:r>
              <w:rPr>
                <w:color w:val="auto"/>
              </w:rPr>
              <w:fldChar w:fldCharType="separate"/>
            </w:r>
            <w:r>
              <w:rPr>
                <w:rFonts w:hint="eastAsia"/>
                <w:color w:val="auto"/>
              </w:rPr>
              <w:t>⑥</w:t>
            </w:r>
            <w:r>
              <w:rPr>
                <w:color w:val="auto"/>
              </w:rPr>
              <w:fldChar w:fldCharType="end"/>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55" w:hRule="atLeast"/>
        </w:trPr>
        <w:tc>
          <w:tcPr>
            <w:tcW w:w="434" w:type="pct"/>
            <w:vMerge w:val="restart"/>
            <w:noWrap w:val="0"/>
            <w:vAlign w:val="center"/>
          </w:tcPr>
          <w:p>
            <w:pPr>
              <w:pStyle w:val="105"/>
              <w:rPr>
                <w:rFonts w:hint="eastAsia"/>
                <w:color w:val="auto"/>
              </w:rPr>
            </w:pPr>
            <w:r>
              <w:rPr>
                <w:rFonts w:hint="eastAsia"/>
                <w:color w:val="auto"/>
              </w:rPr>
              <w:t>废气</w:t>
            </w:r>
          </w:p>
        </w:tc>
        <w:tc>
          <w:tcPr>
            <w:tcW w:w="792" w:type="pct"/>
            <w:noWrap w:val="0"/>
            <w:vAlign w:val="center"/>
          </w:tcPr>
          <w:p>
            <w:pPr>
              <w:pStyle w:val="170"/>
              <w:rPr>
                <w:color w:val="auto"/>
              </w:rPr>
            </w:pPr>
            <w:r>
              <w:rPr>
                <w:rFonts w:hint="eastAsia"/>
                <w:color w:val="auto"/>
              </w:rPr>
              <w:t>医疗废物暂存间异味</w:t>
            </w:r>
          </w:p>
        </w:tc>
        <w:tc>
          <w:tcPr>
            <w:tcW w:w="695" w:type="pct"/>
            <w:noWrap w:val="0"/>
            <w:vAlign w:val="center"/>
          </w:tcPr>
          <w:p>
            <w:pPr>
              <w:pStyle w:val="105"/>
              <w:rPr>
                <w:rFonts w:hint="eastAsia"/>
                <w:color w:val="auto"/>
              </w:rPr>
            </w:pPr>
            <w:r>
              <w:rPr>
                <w:rFonts w:hint="eastAsia"/>
                <w:color w:val="auto"/>
              </w:rPr>
              <w:t>-</w:t>
            </w:r>
          </w:p>
        </w:tc>
        <w:tc>
          <w:tcPr>
            <w:tcW w:w="1406" w:type="dxa"/>
            <w:noWrap w:val="0"/>
            <w:vAlign w:val="center"/>
          </w:tcPr>
          <w:p>
            <w:pPr>
              <w:pStyle w:val="105"/>
              <w:rPr>
                <w:rFonts w:hint="eastAsia"/>
                <w:color w:val="auto"/>
              </w:rPr>
            </w:pPr>
            <w:r>
              <w:rPr>
                <w:rFonts w:hint="eastAsia"/>
                <w:color w:val="auto"/>
              </w:rPr>
              <w:t>-</w:t>
            </w:r>
          </w:p>
        </w:tc>
        <w:tc>
          <w:tcPr>
            <w:tcW w:w="1876" w:type="dxa"/>
            <w:noWrap w:val="0"/>
            <w:vAlign w:val="center"/>
          </w:tcPr>
          <w:p>
            <w:pPr>
              <w:pStyle w:val="105"/>
              <w:rPr>
                <w:rFonts w:hint="eastAsia"/>
                <w:color w:val="auto"/>
              </w:rPr>
            </w:pPr>
            <w:r>
              <w:rPr>
                <w:rFonts w:hint="eastAsia"/>
                <w:color w:val="auto"/>
              </w:rPr>
              <w:t>-</w:t>
            </w:r>
          </w:p>
        </w:tc>
        <w:tc>
          <w:tcPr>
            <w:tcW w:w="637" w:type="pct"/>
            <w:noWrap w:val="0"/>
            <w:vAlign w:val="center"/>
          </w:tcPr>
          <w:p>
            <w:pPr>
              <w:pStyle w:val="105"/>
              <w:rPr>
                <w:rFonts w:hint="eastAsia"/>
                <w:color w:val="auto"/>
              </w:rPr>
            </w:pPr>
            <w:r>
              <w:rPr>
                <w:rFonts w:hint="eastAsia"/>
                <w:color w:val="auto"/>
              </w:rPr>
              <w:t>少量</w:t>
            </w:r>
          </w:p>
        </w:tc>
        <w:tc>
          <w:tcPr>
            <w:tcW w:w="1331" w:type="dxa"/>
            <w:noWrap w:val="0"/>
            <w:vAlign w:val="center"/>
          </w:tcPr>
          <w:p>
            <w:pPr>
              <w:pStyle w:val="105"/>
              <w:rPr>
                <w:rFonts w:hint="eastAsia"/>
                <w:color w:val="auto"/>
              </w:rPr>
            </w:pPr>
            <w:r>
              <w:rPr>
                <w:rFonts w:hint="eastAsia"/>
                <w:color w:val="auto"/>
              </w:rPr>
              <w:t>-</w:t>
            </w:r>
          </w:p>
        </w:tc>
        <w:tc>
          <w:tcPr>
            <w:tcW w:w="1968" w:type="dxa"/>
            <w:noWrap w:val="0"/>
            <w:vAlign w:val="center"/>
          </w:tcPr>
          <w:p>
            <w:pPr>
              <w:pStyle w:val="105"/>
              <w:rPr>
                <w:color w:val="auto"/>
              </w:rPr>
            </w:pPr>
            <w:r>
              <w:rPr>
                <w:rFonts w:hint="eastAsia"/>
                <w:color w:val="auto"/>
              </w:rPr>
              <w:t>少量</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trHeight w:val="140" w:hRule="atLeast"/>
        </w:trPr>
        <w:tc>
          <w:tcPr>
            <w:tcW w:w="434" w:type="pct"/>
            <w:vMerge w:val="continue"/>
            <w:noWrap w:val="0"/>
            <w:vAlign w:val="center"/>
          </w:tcPr>
          <w:p>
            <w:pPr>
              <w:pStyle w:val="105"/>
              <w:rPr>
                <w:rFonts w:hint="eastAsia"/>
                <w:color w:val="auto"/>
              </w:rPr>
            </w:pPr>
          </w:p>
        </w:tc>
        <w:tc>
          <w:tcPr>
            <w:tcW w:w="792" w:type="pct"/>
            <w:noWrap w:val="0"/>
            <w:vAlign w:val="center"/>
          </w:tcPr>
          <w:p>
            <w:pPr>
              <w:pStyle w:val="170"/>
              <w:rPr>
                <w:color w:val="auto"/>
              </w:rPr>
            </w:pPr>
            <w:r>
              <w:rPr>
                <w:rFonts w:hint="eastAsia"/>
                <w:color w:val="auto"/>
              </w:rPr>
              <w:t>就诊区域宠物散发的异味</w:t>
            </w:r>
          </w:p>
        </w:tc>
        <w:tc>
          <w:tcPr>
            <w:tcW w:w="695" w:type="pct"/>
            <w:noWrap w:val="0"/>
            <w:vAlign w:val="center"/>
          </w:tcPr>
          <w:p>
            <w:pPr>
              <w:pStyle w:val="105"/>
              <w:rPr>
                <w:rFonts w:hint="eastAsia"/>
                <w:color w:val="auto"/>
              </w:rPr>
            </w:pPr>
            <w:r>
              <w:rPr>
                <w:rFonts w:hint="eastAsia"/>
                <w:color w:val="auto"/>
              </w:rPr>
              <w:t>-</w:t>
            </w:r>
          </w:p>
        </w:tc>
        <w:tc>
          <w:tcPr>
            <w:tcW w:w="1406" w:type="dxa"/>
            <w:noWrap w:val="0"/>
            <w:vAlign w:val="center"/>
          </w:tcPr>
          <w:p>
            <w:pPr>
              <w:pStyle w:val="105"/>
              <w:rPr>
                <w:rFonts w:hint="eastAsia"/>
                <w:color w:val="auto"/>
              </w:rPr>
            </w:pPr>
            <w:r>
              <w:rPr>
                <w:rFonts w:hint="eastAsia"/>
                <w:color w:val="auto"/>
              </w:rPr>
              <w:t>-</w:t>
            </w:r>
          </w:p>
        </w:tc>
        <w:tc>
          <w:tcPr>
            <w:tcW w:w="1876" w:type="dxa"/>
            <w:noWrap w:val="0"/>
            <w:vAlign w:val="center"/>
          </w:tcPr>
          <w:p>
            <w:pPr>
              <w:pStyle w:val="105"/>
              <w:rPr>
                <w:rFonts w:hint="eastAsia"/>
                <w:color w:val="auto"/>
              </w:rPr>
            </w:pPr>
            <w:r>
              <w:rPr>
                <w:rFonts w:hint="eastAsia"/>
                <w:color w:val="auto"/>
              </w:rPr>
              <w:t>-</w:t>
            </w:r>
          </w:p>
        </w:tc>
        <w:tc>
          <w:tcPr>
            <w:tcW w:w="637" w:type="pct"/>
            <w:noWrap w:val="0"/>
            <w:vAlign w:val="center"/>
          </w:tcPr>
          <w:p>
            <w:pPr>
              <w:pStyle w:val="105"/>
              <w:rPr>
                <w:rFonts w:hint="eastAsia"/>
                <w:color w:val="auto"/>
              </w:rPr>
            </w:pPr>
            <w:r>
              <w:rPr>
                <w:rFonts w:hint="eastAsia"/>
                <w:color w:val="auto"/>
              </w:rPr>
              <w:t>少量</w:t>
            </w:r>
          </w:p>
        </w:tc>
        <w:tc>
          <w:tcPr>
            <w:tcW w:w="1331" w:type="dxa"/>
            <w:noWrap w:val="0"/>
            <w:vAlign w:val="center"/>
          </w:tcPr>
          <w:p>
            <w:pPr>
              <w:pStyle w:val="105"/>
              <w:rPr>
                <w:rFonts w:hint="eastAsia"/>
                <w:color w:val="auto"/>
              </w:rPr>
            </w:pPr>
            <w:r>
              <w:rPr>
                <w:rFonts w:hint="eastAsia"/>
                <w:color w:val="auto"/>
              </w:rPr>
              <w:t>-</w:t>
            </w:r>
          </w:p>
        </w:tc>
        <w:tc>
          <w:tcPr>
            <w:tcW w:w="1968" w:type="dxa"/>
            <w:noWrap w:val="0"/>
            <w:vAlign w:val="center"/>
          </w:tcPr>
          <w:p>
            <w:pPr>
              <w:pStyle w:val="105"/>
              <w:rPr>
                <w:color w:val="auto"/>
              </w:rPr>
            </w:pPr>
            <w:r>
              <w:rPr>
                <w:rFonts w:hint="eastAsia"/>
                <w:color w:val="auto"/>
              </w:rPr>
              <w:t>少量</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434" w:type="pct"/>
            <w:vMerge w:val="continue"/>
            <w:noWrap w:val="0"/>
            <w:vAlign w:val="center"/>
          </w:tcPr>
          <w:p>
            <w:pPr>
              <w:pStyle w:val="105"/>
              <w:rPr>
                <w:rFonts w:hint="eastAsia"/>
                <w:color w:val="auto"/>
              </w:rPr>
            </w:pPr>
          </w:p>
        </w:tc>
        <w:tc>
          <w:tcPr>
            <w:tcW w:w="792" w:type="pct"/>
            <w:noWrap w:val="0"/>
            <w:vAlign w:val="center"/>
          </w:tcPr>
          <w:p>
            <w:pPr>
              <w:pStyle w:val="170"/>
              <w:rPr>
                <w:color w:val="auto"/>
              </w:rPr>
            </w:pPr>
            <w:r>
              <w:rPr>
                <w:rFonts w:hint="eastAsia"/>
                <w:color w:val="auto"/>
              </w:rPr>
              <w:t>院内带菌空气</w:t>
            </w:r>
          </w:p>
        </w:tc>
        <w:tc>
          <w:tcPr>
            <w:tcW w:w="695" w:type="pct"/>
            <w:noWrap w:val="0"/>
            <w:vAlign w:val="center"/>
          </w:tcPr>
          <w:p>
            <w:pPr>
              <w:pStyle w:val="105"/>
              <w:rPr>
                <w:rFonts w:hint="eastAsia"/>
                <w:color w:val="auto"/>
              </w:rPr>
            </w:pPr>
            <w:r>
              <w:rPr>
                <w:rFonts w:hint="eastAsia"/>
                <w:color w:val="auto"/>
              </w:rPr>
              <w:t>-</w:t>
            </w:r>
          </w:p>
        </w:tc>
        <w:tc>
          <w:tcPr>
            <w:tcW w:w="1406" w:type="dxa"/>
            <w:noWrap w:val="0"/>
            <w:vAlign w:val="center"/>
          </w:tcPr>
          <w:p>
            <w:pPr>
              <w:pStyle w:val="105"/>
              <w:rPr>
                <w:rFonts w:hint="eastAsia"/>
                <w:color w:val="auto"/>
              </w:rPr>
            </w:pPr>
            <w:r>
              <w:rPr>
                <w:rFonts w:hint="eastAsia"/>
                <w:color w:val="auto"/>
              </w:rPr>
              <w:t>-</w:t>
            </w:r>
          </w:p>
        </w:tc>
        <w:tc>
          <w:tcPr>
            <w:tcW w:w="1876" w:type="dxa"/>
            <w:noWrap w:val="0"/>
            <w:vAlign w:val="center"/>
          </w:tcPr>
          <w:p>
            <w:pPr>
              <w:pStyle w:val="105"/>
              <w:rPr>
                <w:rFonts w:hint="eastAsia"/>
                <w:color w:val="auto"/>
              </w:rPr>
            </w:pPr>
            <w:r>
              <w:rPr>
                <w:rFonts w:hint="eastAsia"/>
                <w:color w:val="auto"/>
              </w:rPr>
              <w:t>-</w:t>
            </w:r>
          </w:p>
        </w:tc>
        <w:tc>
          <w:tcPr>
            <w:tcW w:w="637" w:type="pct"/>
            <w:noWrap w:val="0"/>
            <w:vAlign w:val="center"/>
          </w:tcPr>
          <w:p>
            <w:pPr>
              <w:pStyle w:val="105"/>
              <w:rPr>
                <w:rFonts w:hint="eastAsia"/>
                <w:color w:val="auto"/>
              </w:rPr>
            </w:pPr>
            <w:r>
              <w:rPr>
                <w:rFonts w:hint="eastAsia"/>
                <w:color w:val="auto"/>
              </w:rPr>
              <w:t>少量</w:t>
            </w:r>
          </w:p>
        </w:tc>
        <w:tc>
          <w:tcPr>
            <w:tcW w:w="1331" w:type="dxa"/>
            <w:noWrap w:val="0"/>
            <w:vAlign w:val="center"/>
          </w:tcPr>
          <w:p>
            <w:pPr>
              <w:pStyle w:val="105"/>
              <w:rPr>
                <w:rFonts w:hint="eastAsia"/>
                <w:color w:val="auto"/>
              </w:rPr>
            </w:pPr>
            <w:r>
              <w:rPr>
                <w:rFonts w:hint="eastAsia"/>
                <w:color w:val="auto"/>
              </w:rPr>
              <w:t>-</w:t>
            </w:r>
          </w:p>
        </w:tc>
        <w:tc>
          <w:tcPr>
            <w:tcW w:w="1968" w:type="dxa"/>
            <w:noWrap w:val="0"/>
            <w:vAlign w:val="center"/>
          </w:tcPr>
          <w:p>
            <w:pPr>
              <w:pStyle w:val="105"/>
              <w:rPr>
                <w:color w:val="auto"/>
              </w:rPr>
            </w:pPr>
            <w:r>
              <w:rPr>
                <w:rFonts w:hint="eastAsia"/>
                <w:color w:val="auto"/>
              </w:rPr>
              <w:t>少量</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32" w:hRule="atLeast"/>
        </w:trPr>
        <w:tc>
          <w:tcPr>
            <w:tcW w:w="434" w:type="pct"/>
            <w:vMerge w:val="continue"/>
            <w:noWrap w:val="0"/>
            <w:vAlign w:val="center"/>
          </w:tcPr>
          <w:p>
            <w:pPr>
              <w:pStyle w:val="105"/>
              <w:rPr>
                <w:rFonts w:hint="eastAsia"/>
                <w:color w:val="auto"/>
              </w:rPr>
            </w:pPr>
          </w:p>
        </w:tc>
        <w:tc>
          <w:tcPr>
            <w:tcW w:w="792" w:type="pct"/>
            <w:noWrap w:val="0"/>
            <w:vAlign w:val="center"/>
          </w:tcPr>
          <w:p>
            <w:pPr>
              <w:pStyle w:val="170"/>
              <w:rPr>
                <w:rFonts w:hint="eastAsia"/>
                <w:color w:val="auto"/>
              </w:rPr>
            </w:pPr>
            <w:r>
              <w:rPr>
                <w:rFonts w:hint="eastAsia"/>
                <w:color w:val="auto"/>
              </w:rPr>
              <w:t>一体化污水处理设施臭气</w:t>
            </w:r>
          </w:p>
        </w:tc>
        <w:tc>
          <w:tcPr>
            <w:tcW w:w="1876" w:type="dxa"/>
            <w:noWrap w:val="0"/>
            <w:vAlign w:val="center"/>
          </w:tcPr>
          <w:p>
            <w:pPr>
              <w:pStyle w:val="105"/>
              <w:rPr>
                <w:rFonts w:hint="eastAsia"/>
                <w:color w:val="auto"/>
              </w:rPr>
            </w:pPr>
            <w:r>
              <w:rPr>
                <w:rFonts w:hint="eastAsia"/>
                <w:color w:val="auto"/>
              </w:rPr>
              <w:t>-</w:t>
            </w:r>
          </w:p>
        </w:tc>
        <w:tc>
          <w:tcPr>
            <w:tcW w:w="1406" w:type="dxa"/>
            <w:noWrap w:val="0"/>
            <w:vAlign w:val="center"/>
          </w:tcPr>
          <w:p>
            <w:pPr>
              <w:pStyle w:val="105"/>
              <w:rPr>
                <w:rFonts w:hint="eastAsia"/>
                <w:color w:val="auto"/>
              </w:rPr>
            </w:pPr>
            <w:r>
              <w:rPr>
                <w:rFonts w:hint="eastAsia"/>
                <w:color w:val="auto"/>
              </w:rPr>
              <w:t>-</w:t>
            </w:r>
          </w:p>
        </w:tc>
        <w:tc>
          <w:tcPr>
            <w:tcW w:w="1876" w:type="dxa"/>
            <w:noWrap w:val="0"/>
            <w:vAlign w:val="center"/>
          </w:tcPr>
          <w:p>
            <w:pPr>
              <w:pStyle w:val="105"/>
              <w:rPr>
                <w:rFonts w:hint="eastAsia"/>
                <w:color w:val="auto"/>
              </w:rPr>
            </w:pPr>
            <w:r>
              <w:rPr>
                <w:rFonts w:hint="eastAsia"/>
                <w:color w:val="auto"/>
              </w:rPr>
              <w:t>-</w:t>
            </w:r>
          </w:p>
        </w:tc>
        <w:tc>
          <w:tcPr>
            <w:tcW w:w="1720" w:type="dxa"/>
            <w:noWrap w:val="0"/>
            <w:vAlign w:val="center"/>
          </w:tcPr>
          <w:p>
            <w:pPr>
              <w:pStyle w:val="105"/>
              <w:rPr>
                <w:rFonts w:hint="eastAsia"/>
                <w:color w:val="auto"/>
              </w:rPr>
            </w:pPr>
            <w:r>
              <w:rPr>
                <w:rFonts w:hint="eastAsia"/>
                <w:color w:val="auto"/>
              </w:rPr>
              <w:t>少量</w:t>
            </w:r>
          </w:p>
        </w:tc>
        <w:tc>
          <w:tcPr>
            <w:tcW w:w="1331" w:type="dxa"/>
            <w:noWrap w:val="0"/>
            <w:vAlign w:val="center"/>
          </w:tcPr>
          <w:p>
            <w:pPr>
              <w:pStyle w:val="105"/>
              <w:rPr>
                <w:rFonts w:hint="eastAsia"/>
                <w:color w:val="auto"/>
              </w:rPr>
            </w:pPr>
            <w:r>
              <w:rPr>
                <w:rFonts w:hint="eastAsia"/>
                <w:color w:val="auto"/>
              </w:rPr>
              <w:t>-</w:t>
            </w:r>
          </w:p>
        </w:tc>
        <w:tc>
          <w:tcPr>
            <w:tcW w:w="1968" w:type="dxa"/>
            <w:noWrap w:val="0"/>
            <w:vAlign w:val="center"/>
          </w:tcPr>
          <w:p>
            <w:pPr>
              <w:pStyle w:val="105"/>
              <w:rPr>
                <w:rFonts w:hint="eastAsia"/>
                <w:color w:val="auto"/>
              </w:rPr>
            </w:pPr>
            <w:r>
              <w:rPr>
                <w:rFonts w:hint="eastAsia"/>
                <w:color w:val="auto"/>
              </w:rPr>
              <w:t>少量</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34" w:type="pct"/>
            <w:vMerge w:val="restart"/>
            <w:noWrap w:val="0"/>
            <w:vAlign w:val="center"/>
          </w:tcPr>
          <w:p>
            <w:pPr>
              <w:pStyle w:val="105"/>
              <w:rPr>
                <w:rFonts w:hint="eastAsia"/>
                <w:color w:val="auto"/>
              </w:rPr>
            </w:pPr>
            <w:r>
              <w:rPr>
                <w:rFonts w:hint="eastAsia"/>
                <w:color w:val="auto"/>
              </w:rPr>
              <w:t>废水</w:t>
            </w:r>
          </w:p>
        </w:tc>
        <w:tc>
          <w:tcPr>
            <w:tcW w:w="792" w:type="pct"/>
            <w:noWrap w:val="0"/>
            <w:vAlign w:val="center"/>
          </w:tcPr>
          <w:p>
            <w:pPr>
              <w:pStyle w:val="105"/>
              <w:rPr>
                <w:rFonts w:hint="eastAsia"/>
                <w:color w:val="auto"/>
              </w:rPr>
            </w:pPr>
            <w:r>
              <w:rPr>
                <w:color w:val="auto"/>
              </w:rPr>
              <w:t>废水量</w:t>
            </w:r>
            <w:r>
              <w:rPr>
                <w:rFonts w:hint="eastAsia"/>
                <w:color w:val="auto"/>
              </w:rPr>
              <w:t>（进入市政污水管网的总量）</w:t>
            </w:r>
          </w:p>
        </w:tc>
        <w:tc>
          <w:tcPr>
            <w:tcW w:w="695" w:type="pct"/>
            <w:noWrap w:val="0"/>
            <w:vAlign w:val="center"/>
          </w:tcPr>
          <w:p>
            <w:pPr>
              <w:pStyle w:val="105"/>
              <w:rPr>
                <w:rFonts w:hint="eastAsia"/>
                <w:color w:val="auto"/>
              </w:rPr>
            </w:pPr>
            <w:r>
              <w:rPr>
                <w:rFonts w:hint="eastAsia"/>
                <w:color w:val="auto"/>
              </w:rPr>
              <w:t>-</w:t>
            </w:r>
          </w:p>
        </w:tc>
        <w:tc>
          <w:tcPr>
            <w:tcW w:w="1406" w:type="dxa"/>
            <w:noWrap w:val="0"/>
            <w:vAlign w:val="center"/>
          </w:tcPr>
          <w:p>
            <w:pPr>
              <w:pStyle w:val="105"/>
              <w:rPr>
                <w:rFonts w:hint="eastAsia"/>
                <w:color w:val="auto"/>
              </w:rPr>
            </w:pPr>
            <w:r>
              <w:rPr>
                <w:rFonts w:hint="eastAsia"/>
                <w:color w:val="auto"/>
              </w:rPr>
              <w:t>-</w:t>
            </w:r>
          </w:p>
        </w:tc>
        <w:tc>
          <w:tcPr>
            <w:tcW w:w="1876" w:type="dxa"/>
            <w:noWrap w:val="0"/>
            <w:vAlign w:val="center"/>
          </w:tcPr>
          <w:p>
            <w:pPr>
              <w:pStyle w:val="105"/>
              <w:rPr>
                <w:rFonts w:hint="eastAsia"/>
                <w:color w:val="auto"/>
              </w:rPr>
            </w:pPr>
            <w:r>
              <w:rPr>
                <w:rFonts w:hint="eastAsia"/>
                <w:color w:val="auto"/>
              </w:rPr>
              <w:t>-</w:t>
            </w:r>
          </w:p>
        </w:tc>
        <w:tc>
          <w:tcPr>
            <w:tcW w:w="637" w:type="pct"/>
            <w:noWrap w:val="0"/>
            <w:vAlign w:val="center"/>
          </w:tcPr>
          <w:p>
            <w:pPr>
              <w:pStyle w:val="105"/>
              <w:rPr>
                <w:color w:val="auto"/>
              </w:rPr>
            </w:pPr>
            <w:r>
              <w:rPr>
                <w:rFonts w:hint="eastAsia"/>
                <w:color w:val="auto"/>
              </w:rPr>
              <w:t>408.8/m</w:t>
            </w:r>
            <w:r>
              <w:rPr>
                <w:rFonts w:hint="eastAsia"/>
                <w:color w:val="auto"/>
                <w:vertAlign w:val="superscript"/>
              </w:rPr>
              <w:t>3</w:t>
            </w:r>
            <w:r>
              <w:rPr>
                <w:rFonts w:hint="eastAsia"/>
                <w:color w:val="auto"/>
              </w:rPr>
              <w:t>/a</w:t>
            </w:r>
          </w:p>
        </w:tc>
        <w:tc>
          <w:tcPr>
            <w:tcW w:w="1331" w:type="dxa"/>
            <w:noWrap w:val="0"/>
            <w:vAlign w:val="center"/>
          </w:tcPr>
          <w:p>
            <w:pPr>
              <w:pStyle w:val="105"/>
              <w:rPr>
                <w:rFonts w:hint="eastAsia"/>
                <w:color w:val="auto"/>
              </w:rPr>
            </w:pPr>
            <w:r>
              <w:rPr>
                <w:rFonts w:hint="eastAsia"/>
                <w:color w:val="auto"/>
              </w:rPr>
              <w:t>-</w:t>
            </w:r>
          </w:p>
        </w:tc>
        <w:tc>
          <w:tcPr>
            <w:tcW w:w="1968" w:type="dxa"/>
            <w:noWrap w:val="0"/>
            <w:vAlign w:val="center"/>
          </w:tcPr>
          <w:p>
            <w:pPr>
              <w:pStyle w:val="105"/>
              <w:rPr>
                <w:color w:val="auto"/>
              </w:rPr>
            </w:pPr>
            <w:r>
              <w:rPr>
                <w:rFonts w:hint="eastAsia"/>
                <w:color w:val="auto"/>
              </w:rPr>
              <w:t>408.8m</w:t>
            </w:r>
            <w:r>
              <w:rPr>
                <w:rFonts w:hint="eastAsia"/>
                <w:color w:val="auto"/>
                <w:vertAlign w:val="superscript"/>
              </w:rPr>
              <w:t>3</w:t>
            </w:r>
            <w:r>
              <w:rPr>
                <w:rFonts w:hint="eastAsia"/>
                <w:color w:val="auto"/>
              </w:rPr>
              <w:t>/a</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55" w:hRule="atLeast"/>
        </w:trPr>
        <w:tc>
          <w:tcPr>
            <w:tcW w:w="434" w:type="pct"/>
            <w:vMerge w:val="continue"/>
            <w:noWrap w:val="0"/>
            <w:vAlign w:val="center"/>
          </w:tcPr>
          <w:p>
            <w:pPr>
              <w:pStyle w:val="105"/>
              <w:rPr>
                <w:rFonts w:hint="eastAsia"/>
                <w:color w:val="auto"/>
              </w:rPr>
            </w:pPr>
          </w:p>
        </w:tc>
        <w:tc>
          <w:tcPr>
            <w:tcW w:w="792" w:type="pct"/>
            <w:noWrap w:val="0"/>
            <w:vAlign w:val="center"/>
          </w:tcPr>
          <w:p>
            <w:pPr>
              <w:pStyle w:val="170"/>
              <w:rPr>
                <w:color w:val="auto"/>
              </w:rPr>
            </w:pPr>
            <w:r>
              <w:rPr>
                <w:color w:val="auto"/>
              </w:rPr>
              <w:t>COD</w:t>
            </w:r>
          </w:p>
        </w:tc>
        <w:tc>
          <w:tcPr>
            <w:tcW w:w="695" w:type="pct"/>
            <w:noWrap w:val="0"/>
            <w:vAlign w:val="center"/>
          </w:tcPr>
          <w:p>
            <w:pPr>
              <w:pStyle w:val="105"/>
              <w:rPr>
                <w:rFonts w:hint="eastAsia"/>
                <w:color w:val="auto"/>
              </w:rPr>
            </w:pPr>
            <w:r>
              <w:rPr>
                <w:rFonts w:hint="eastAsia"/>
                <w:color w:val="auto"/>
              </w:rPr>
              <w:t>-</w:t>
            </w:r>
          </w:p>
        </w:tc>
        <w:tc>
          <w:tcPr>
            <w:tcW w:w="1406" w:type="dxa"/>
            <w:noWrap w:val="0"/>
            <w:vAlign w:val="center"/>
          </w:tcPr>
          <w:p>
            <w:pPr>
              <w:pStyle w:val="105"/>
              <w:rPr>
                <w:rFonts w:hint="eastAsia"/>
                <w:color w:val="auto"/>
              </w:rPr>
            </w:pPr>
            <w:r>
              <w:rPr>
                <w:rFonts w:hint="eastAsia"/>
                <w:color w:val="auto"/>
              </w:rPr>
              <w:t>-</w:t>
            </w:r>
          </w:p>
        </w:tc>
        <w:tc>
          <w:tcPr>
            <w:tcW w:w="1876" w:type="dxa"/>
            <w:noWrap w:val="0"/>
            <w:vAlign w:val="center"/>
          </w:tcPr>
          <w:p>
            <w:pPr>
              <w:pStyle w:val="105"/>
              <w:rPr>
                <w:rFonts w:hint="eastAsia"/>
                <w:color w:val="auto"/>
              </w:rPr>
            </w:pPr>
            <w:r>
              <w:rPr>
                <w:rFonts w:hint="eastAsia"/>
                <w:color w:val="auto"/>
              </w:rPr>
              <w:t>-</w:t>
            </w:r>
          </w:p>
        </w:tc>
        <w:tc>
          <w:tcPr>
            <w:tcW w:w="637" w:type="pct"/>
            <w:noWrap w:val="0"/>
            <w:vAlign w:val="center"/>
          </w:tcPr>
          <w:p>
            <w:pPr>
              <w:pStyle w:val="105"/>
              <w:rPr>
                <w:color w:val="auto"/>
              </w:rPr>
            </w:pPr>
            <w:r>
              <w:rPr>
                <w:rFonts w:hint="eastAsia"/>
                <w:color w:val="auto"/>
              </w:rPr>
              <w:t>0.</w:t>
            </w:r>
            <w:r>
              <w:rPr>
                <w:rFonts w:hint="eastAsia"/>
                <w:color w:val="auto"/>
                <w:lang w:val="en-US" w:eastAsia="zh-CN"/>
              </w:rPr>
              <w:t>204</w:t>
            </w:r>
            <w:r>
              <w:rPr>
                <w:rFonts w:hint="eastAsia"/>
                <w:color w:val="auto"/>
              </w:rPr>
              <w:t>t/a</w:t>
            </w:r>
          </w:p>
        </w:tc>
        <w:tc>
          <w:tcPr>
            <w:tcW w:w="1331" w:type="dxa"/>
            <w:noWrap w:val="0"/>
            <w:vAlign w:val="center"/>
          </w:tcPr>
          <w:p>
            <w:pPr>
              <w:pStyle w:val="105"/>
              <w:rPr>
                <w:rFonts w:hint="eastAsia"/>
                <w:color w:val="auto"/>
              </w:rPr>
            </w:pPr>
            <w:r>
              <w:rPr>
                <w:rFonts w:hint="eastAsia"/>
                <w:color w:val="auto"/>
              </w:rPr>
              <w:t>-</w:t>
            </w:r>
          </w:p>
        </w:tc>
        <w:tc>
          <w:tcPr>
            <w:tcW w:w="1968" w:type="dxa"/>
            <w:noWrap w:val="0"/>
            <w:vAlign w:val="center"/>
          </w:tcPr>
          <w:p>
            <w:pPr>
              <w:pStyle w:val="105"/>
              <w:ind w:firstLine="0" w:firstLineChars="0"/>
              <w:rPr>
                <w:rFonts w:hint="eastAsia"/>
                <w:color w:val="auto"/>
              </w:rPr>
            </w:pPr>
            <w:r>
              <w:rPr>
                <w:rFonts w:hint="eastAsia"/>
                <w:color w:val="auto"/>
              </w:rPr>
              <w:t>0.</w:t>
            </w:r>
            <w:r>
              <w:rPr>
                <w:rFonts w:hint="eastAsia"/>
                <w:color w:val="auto"/>
                <w:lang w:val="en-US" w:eastAsia="zh-CN"/>
              </w:rPr>
              <w:t>204</w:t>
            </w:r>
            <w:r>
              <w:rPr>
                <w:rFonts w:hint="eastAsia"/>
                <w:color w:val="auto"/>
              </w:rPr>
              <w:t>t/a</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00" w:hRule="atLeast"/>
        </w:trPr>
        <w:tc>
          <w:tcPr>
            <w:tcW w:w="434" w:type="pct"/>
            <w:vMerge w:val="continue"/>
            <w:noWrap w:val="0"/>
            <w:vAlign w:val="center"/>
          </w:tcPr>
          <w:p>
            <w:pPr>
              <w:pStyle w:val="105"/>
              <w:rPr>
                <w:rFonts w:hint="eastAsia"/>
                <w:color w:val="auto"/>
              </w:rPr>
            </w:pPr>
          </w:p>
        </w:tc>
        <w:tc>
          <w:tcPr>
            <w:tcW w:w="792" w:type="pct"/>
            <w:noWrap w:val="0"/>
            <w:vAlign w:val="center"/>
          </w:tcPr>
          <w:p>
            <w:pPr>
              <w:pStyle w:val="170"/>
              <w:rPr>
                <w:color w:val="auto"/>
              </w:rPr>
            </w:pPr>
            <w:r>
              <w:rPr>
                <w:rFonts w:hint="eastAsia"/>
                <w:color w:val="auto"/>
              </w:rPr>
              <w:t>NH</w:t>
            </w:r>
            <w:r>
              <w:rPr>
                <w:rFonts w:hint="eastAsia"/>
                <w:color w:val="auto"/>
                <w:vertAlign w:val="subscript"/>
              </w:rPr>
              <w:t>3</w:t>
            </w:r>
            <w:r>
              <w:rPr>
                <w:rFonts w:hint="eastAsia"/>
                <w:color w:val="auto"/>
              </w:rPr>
              <w:t>-N</w:t>
            </w:r>
          </w:p>
        </w:tc>
        <w:tc>
          <w:tcPr>
            <w:tcW w:w="695" w:type="pct"/>
            <w:noWrap w:val="0"/>
            <w:vAlign w:val="center"/>
          </w:tcPr>
          <w:p>
            <w:pPr>
              <w:pStyle w:val="105"/>
              <w:rPr>
                <w:rFonts w:hint="eastAsia"/>
                <w:color w:val="auto"/>
              </w:rPr>
            </w:pPr>
            <w:r>
              <w:rPr>
                <w:rFonts w:hint="eastAsia"/>
                <w:color w:val="auto"/>
              </w:rPr>
              <w:t>-</w:t>
            </w:r>
          </w:p>
        </w:tc>
        <w:tc>
          <w:tcPr>
            <w:tcW w:w="1406" w:type="dxa"/>
            <w:noWrap w:val="0"/>
            <w:vAlign w:val="center"/>
          </w:tcPr>
          <w:p>
            <w:pPr>
              <w:pStyle w:val="105"/>
              <w:rPr>
                <w:rFonts w:hint="eastAsia"/>
                <w:color w:val="auto"/>
              </w:rPr>
            </w:pPr>
            <w:r>
              <w:rPr>
                <w:rFonts w:hint="eastAsia"/>
                <w:color w:val="auto"/>
              </w:rPr>
              <w:t>-</w:t>
            </w:r>
          </w:p>
        </w:tc>
        <w:tc>
          <w:tcPr>
            <w:tcW w:w="1876" w:type="dxa"/>
            <w:noWrap w:val="0"/>
            <w:vAlign w:val="center"/>
          </w:tcPr>
          <w:p>
            <w:pPr>
              <w:pStyle w:val="105"/>
              <w:rPr>
                <w:rFonts w:hint="eastAsia"/>
                <w:color w:val="auto"/>
              </w:rPr>
            </w:pPr>
            <w:r>
              <w:rPr>
                <w:rFonts w:hint="eastAsia"/>
                <w:color w:val="auto"/>
              </w:rPr>
              <w:t>-</w:t>
            </w:r>
          </w:p>
        </w:tc>
        <w:tc>
          <w:tcPr>
            <w:tcW w:w="637" w:type="pct"/>
            <w:noWrap w:val="0"/>
            <w:vAlign w:val="center"/>
          </w:tcPr>
          <w:p>
            <w:pPr>
              <w:pStyle w:val="105"/>
              <w:rPr>
                <w:color w:val="auto"/>
              </w:rPr>
            </w:pPr>
            <w:r>
              <w:rPr>
                <w:rFonts w:hint="eastAsia"/>
                <w:color w:val="auto"/>
              </w:rPr>
              <w:t>0.0</w:t>
            </w:r>
            <w:r>
              <w:rPr>
                <w:rFonts w:hint="eastAsia"/>
                <w:color w:val="auto"/>
                <w:lang w:val="en-US" w:eastAsia="zh-CN"/>
              </w:rPr>
              <w:t>18</w:t>
            </w:r>
            <w:r>
              <w:rPr>
                <w:rFonts w:hint="eastAsia"/>
                <w:color w:val="auto"/>
              </w:rPr>
              <w:t>t/a</w:t>
            </w:r>
          </w:p>
        </w:tc>
        <w:tc>
          <w:tcPr>
            <w:tcW w:w="1331" w:type="dxa"/>
            <w:noWrap w:val="0"/>
            <w:vAlign w:val="center"/>
          </w:tcPr>
          <w:p>
            <w:pPr>
              <w:pStyle w:val="105"/>
              <w:rPr>
                <w:rFonts w:hint="eastAsia"/>
                <w:color w:val="auto"/>
              </w:rPr>
            </w:pPr>
            <w:r>
              <w:rPr>
                <w:rFonts w:hint="eastAsia"/>
                <w:color w:val="auto"/>
              </w:rPr>
              <w:t>-</w:t>
            </w:r>
          </w:p>
        </w:tc>
        <w:tc>
          <w:tcPr>
            <w:tcW w:w="1968" w:type="dxa"/>
            <w:noWrap w:val="0"/>
            <w:vAlign w:val="center"/>
          </w:tcPr>
          <w:p>
            <w:pPr>
              <w:pStyle w:val="105"/>
              <w:ind w:firstLine="0" w:firstLineChars="0"/>
              <w:rPr>
                <w:rFonts w:hint="eastAsia"/>
                <w:color w:val="auto"/>
              </w:rPr>
            </w:pPr>
            <w:r>
              <w:rPr>
                <w:rFonts w:hint="eastAsia"/>
                <w:color w:val="auto"/>
              </w:rPr>
              <w:t>0.0</w:t>
            </w:r>
            <w:r>
              <w:rPr>
                <w:rFonts w:hint="eastAsia"/>
                <w:color w:val="auto"/>
                <w:lang w:val="en-US" w:eastAsia="zh-CN"/>
              </w:rPr>
              <w:t>18</w:t>
            </w:r>
            <w:r>
              <w:rPr>
                <w:rFonts w:hint="eastAsia"/>
                <w:color w:val="auto"/>
              </w:rPr>
              <w:t>t/a</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434" w:type="pct"/>
            <w:vMerge w:val="continue"/>
            <w:noWrap w:val="0"/>
            <w:vAlign w:val="center"/>
          </w:tcPr>
          <w:p>
            <w:pPr>
              <w:pStyle w:val="105"/>
              <w:rPr>
                <w:rFonts w:hint="eastAsia"/>
                <w:color w:val="auto"/>
              </w:rPr>
            </w:pPr>
          </w:p>
        </w:tc>
        <w:tc>
          <w:tcPr>
            <w:tcW w:w="792" w:type="pct"/>
            <w:noWrap w:val="0"/>
            <w:vAlign w:val="center"/>
          </w:tcPr>
          <w:p>
            <w:pPr>
              <w:pStyle w:val="170"/>
              <w:rPr>
                <w:color w:val="auto"/>
              </w:rPr>
            </w:pPr>
            <w:r>
              <w:rPr>
                <w:rFonts w:hint="eastAsia"/>
                <w:color w:val="auto"/>
              </w:rPr>
              <w:t>TP</w:t>
            </w:r>
          </w:p>
        </w:tc>
        <w:tc>
          <w:tcPr>
            <w:tcW w:w="695" w:type="pct"/>
            <w:noWrap w:val="0"/>
            <w:vAlign w:val="center"/>
          </w:tcPr>
          <w:p>
            <w:pPr>
              <w:pStyle w:val="105"/>
              <w:rPr>
                <w:rFonts w:hint="eastAsia"/>
                <w:color w:val="auto"/>
              </w:rPr>
            </w:pPr>
            <w:r>
              <w:rPr>
                <w:rFonts w:hint="eastAsia"/>
                <w:color w:val="auto"/>
              </w:rPr>
              <w:t>-</w:t>
            </w:r>
          </w:p>
        </w:tc>
        <w:tc>
          <w:tcPr>
            <w:tcW w:w="1406" w:type="dxa"/>
            <w:noWrap w:val="0"/>
            <w:vAlign w:val="center"/>
          </w:tcPr>
          <w:p>
            <w:pPr>
              <w:pStyle w:val="105"/>
              <w:rPr>
                <w:rFonts w:hint="eastAsia"/>
                <w:color w:val="auto"/>
              </w:rPr>
            </w:pPr>
            <w:r>
              <w:rPr>
                <w:rFonts w:hint="eastAsia"/>
                <w:color w:val="auto"/>
              </w:rPr>
              <w:t>-</w:t>
            </w:r>
          </w:p>
        </w:tc>
        <w:tc>
          <w:tcPr>
            <w:tcW w:w="1876" w:type="dxa"/>
            <w:noWrap w:val="0"/>
            <w:vAlign w:val="center"/>
          </w:tcPr>
          <w:p>
            <w:pPr>
              <w:pStyle w:val="105"/>
              <w:rPr>
                <w:rFonts w:hint="eastAsia"/>
                <w:color w:val="auto"/>
              </w:rPr>
            </w:pPr>
            <w:r>
              <w:rPr>
                <w:rFonts w:hint="eastAsia"/>
                <w:color w:val="auto"/>
              </w:rPr>
              <w:t>-</w:t>
            </w:r>
          </w:p>
        </w:tc>
        <w:tc>
          <w:tcPr>
            <w:tcW w:w="637" w:type="pct"/>
            <w:noWrap w:val="0"/>
            <w:vAlign w:val="center"/>
          </w:tcPr>
          <w:p>
            <w:pPr>
              <w:pStyle w:val="105"/>
              <w:rPr>
                <w:color w:val="auto"/>
              </w:rPr>
            </w:pPr>
            <w:r>
              <w:rPr>
                <w:rFonts w:hint="eastAsia"/>
                <w:color w:val="auto"/>
              </w:rPr>
              <w:t>0.003t/a</w:t>
            </w:r>
          </w:p>
        </w:tc>
        <w:tc>
          <w:tcPr>
            <w:tcW w:w="1331" w:type="dxa"/>
            <w:noWrap w:val="0"/>
            <w:vAlign w:val="center"/>
          </w:tcPr>
          <w:p>
            <w:pPr>
              <w:pStyle w:val="105"/>
              <w:rPr>
                <w:rFonts w:hint="eastAsia"/>
                <w:color w:val="auto"/>
              </w:rPr>
            </w:pPr>
            <w:r>
              <w:rPr>
                <w:rFonts w:hint="eastAsia"/>
                <w:color w:val="auto"/>
              </w:rPr>
              <w:t>-</w:t>
            </w:r>
          </w:p>
        </w:tc>
        <w:tc>
          <w:tcPr>
            <w:tcW w:w="1968" w:type="dxa"/>
            <w:noWrap w:val="0"/>
            <w:vAlign w:val="center"/>
          </w:tcPr>
          <w:p>
            <w:pPr>
              <w:pStyle w:val="105"/>
              <w:ind w:firstLine="0" w:firstLineChars="0"/>
              <w:rPr>
                <w:rFonts w:hint="eastAsia"/>
                <w:color w:val="auto"/>
              </w:rPr>
            </w:pPr>
            <w:r>
              <w:rPr>
                <w:rFonts w:hint="eastAsia"/>
                <w:color w:val="auto"/>
              </w:rPr>
              <w:t>0.003t/a</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trHeight w:val="23" w:hRule="atLeast"/>
        </w:trPr>
        <w:tc>
          <w:tcPr>
            <w:tcW w:w="434" w:type="pct"/>
            <w:vMerge w:val="restart"/>
            <w:noWrap w:val="0"/>
            <w:vAlign w:val="center"/>
          </w:tcPr>
          <w:p>
            <w:pPr>
              <w:pStyle w:val="105"/>
              <w:rPr>
                <w:color w:val="auto"/>
              </w:rPr>
            </w:pPr>
            <w:r>
              <w:rPr>
                <w:rFonts w:hint="eastAsia"/>
                <w:color w:val="auto"/>
              </w:rPr>
              <w:t>一般工业</w:t>
            </w:r>
          </w:p>
          <w:p>
            <w:pPr>
              <w:pStyle w:val="105"/>
              <w:rPr>
                <w:rFonts w:hint="eastAsia"/>
                <w:color w:val="auto"/>
              </w:rPr>
            </w:pPr>
            <w:r>
              <w:rPr>
                <w:rFonts w:hint="eastAsia"/>
                <w:color w:val="auto"/>
              </w:rPr>
              <w:t>固体废物</w:t>
            </w:r>
          </w:p>
        </w:tc>
        <w:tc>
          <w:tcPr>
            <w:tcW w:w="2138" w:type="dxa"/>
            <w:noWrap w:val="0"/>
            <w:vAlign w:val="center"/>
          </w:tcPr>
          <w:p>
            <w:pPr>
              <w:pStyle w:val="170"/>
              <w:rPr>
                <w:color w:val="auto"/>
              </w:rPr>
            </w:pPr>
            <w:r>
              <w:rPr>
                <w:rFonts w:hint="eastAsia"/>
                <w:color w:val="auto"/>
              </w:rPr>
              <w:t>生活垃圾</w:t>
            </w:r>
          </w:p>
        </w:tc>
        <w:tc>
          <w:tcPr>
            <w:tcW w:w="1876" w:type="dxa"/>
            <w:noWrap w:val="0"/>
            <w:vAlign w:val="center"/>
          </w:tcPr>
          <w:p>
            <w:pPr>
              <w:pStyle w:val="105"/>
              <w:rPr>
                <w:rFonts w:hint="eastAsia"/>
                <w:color w:val="auto"/>
              </w:rPr>
            </w:pPr>
            <w:r>
              <w:rPr>
                <w:rFonts w:hint="eastAsia"/>
                <w:color w:val="auto"/>
              </w:rPr>
              <w:t>-</w:t>
            </w:r>
          </w:p>
        </w:tc>
        <w:tc>
          <w:tcPr>
            <w:tcW w:w="1406" w:type="dxa"/>
            <w:noWrap w:val="0"/>
            <w:vAlign w:val="center"/>
          </w:tcPr>
          <w:p>
            <w:pPr>
              <w:pStyle w:val="105"/>
              <w:rPr>
                <w:rFonts w:hint="eastAsia"/>
                <w:color w:val="auto"/>
              </w:rPr>
            </w:pPr>
            <w:r>
              <w:rPr>
                <w:rFonts w:hint="eastAsia"/>
                <w:color w:val="auto"/>
              </w:rPr>
              <w:t>-</w:t>
            </w:r>
          </w:p>
        </w:tc>
        <w:tc>
          <w:tcPr>
            <w:tcW w:w="1876" w:type="dxa"/>
            <w:noWrap w:val="0"/>
            <w:vAlign w:val="center"/>
          </w:tcPr>
          <w:p>
            <w:pPr>
              <w:pStyle w:val="105"/>
              <w:rPr>
                <w:rFonts w:hint="eastAsia"/>
                <w:color w:val="auto"/>
              </w:rPr>
            </w:pPr>
            <w:r>
              <w:rPr>
                <w:rFonts w:hint="eastAsia"/>
                <w:color w:val="auto"/>
              </w:rPr>
              <w:t>-</w:t>
            </w:r>
          </w:p>
        </w:tc>
        <w:tc>
          <w:tcPr>
            <w:tcW w:w="637" w:type="pct"/>
            <w:noWrap w:val="0"/>
            <w:vAlign w:val="center"/>
          </w:tcPr>
          <w:p>
            <w:pPr>
              <w:pStyle w:val="105"/>
              <w:rPr>
                <w:color w:val="auto"/>
              </w:rPr>
            </w:pPr>
            <w:r>
              <w:rPr>
                <w:rFonts w:hint="eastAsia"/>
                <w:color w:val="auto"/>
              </w:rPr>
              <w:t>1.27t/a</w:t>
            </w:r>
          </w:p>
        </w:tc>
        <w:tc>
          <w:tcPr>
            <w:tcW w:w="1331" w:type="dxa"/>
            <w:noWrap w:val="0"/>
            <w:vAlign w:val="center"/>
          </w:tcPr>
          <w:p>
            <w:pPr>
              <w:pStyle w:val="105"/>
              <w:rPr>
                <w:rFonts w:hint="eastAsia"/>
                <w:color w:val="auto"/>
              </w:rPr>
            </w:pPr>
            <w:r>
              <w:rPr>
                <w:rFonts w:hint="eastAsia"/>
                <w:color w:val="auto"/>
              </w:rPr>
              <w:t>-</w:t>
            </w:r>
          </w:p>
        </w:tc>
        <w:tc>
          <w:tcPr>
            <w:tcW w:w="1968" w:type="dxa"/>
            <w:noWrap w:val="0"/>
            <w:vAlign w:val="center"/>
          </w:tcPr>
          <w:p>
            <w:pPr>
              <w:pStyle w:val="105"/>
              <w:rPr>
                <w:color w:val="auto"/>
              </w:rPr>
            </w:pPr>
            <w:r>
              <w:rPr>
                <w:rFonts w:hint="eastAsia"/>
                <w:color w:val="auto"/>
              </w:rPr>
              <w:t>1.27t/a</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34" w:type="pct"/>
            <w:vMerge w:val="continue"/>
            <w:noWrap w:val="0"/>
            <w:vAlign w:val="center"/>
          </w:tcPr>
          <w:p>
            <w:pPr>
              <w:pStyle w:val="105"/>
              <w:rPr>
                <w:color w:val="auto"/>
              </w:rPr>
            </w:pPr>
          </w:p>
        </w:tc>
        <w:tc>
          <w:tcPr>
            <w:tcW w:w="2138" w:type="dxa"/>
            <w:noWrap w:val="0"/>
            <w:vAlign w:val="center"/>
          </w:tcPr>
          <w:p>
            <w:pPr>
              <w:pStyle w:val="170"/>
              <w:rPr>
                <w:color w:val="auto"/>
              </w:rPr>
            </w:pPr>
            <w:r>
              <w:rPr>
                <w:rFonts w:hint="eastAsia"/>
                <w:color w:val="auto"/>
              </w:rPr>
              <w:t>宠物粪便</w:t>
            </w:r>
          </w:p>
        </w:tc>
        <w:tc>
          <w:tcPr>
            <w:tcW w:w="1876" w:type="dxa"/>
            <w:noWrap w:val="0"/>
            <w:vAlign w:val="center"/>
          </w:tcPr>
          <w:p>
            <w:pPr>
              <w:pStyle w:val="105"/>
              <w:rPr>
                <w:rFonts w:hint="eastAsia"/>
                <w:color w:val="auto"/>
              </w:rPr>
            </w:pPr>
            <w:r>
              <w:rPr>
                <w:rFonts w:hint="eastAsia"/>
                <w:color w:val="auto"/>
              </w:rPr>
              <w:t>-</w:t>
            </w:r>
          </w:p>
        </w:tc>
        <w:tc>
          <w:tcPr>
            <w:tcW w:w="1406" w:type="dxa"/>
            <w:noWrap w:val="0"/>
            <w:vAlign w:val="center"/>
          </w:tcPr>
          <w:p>
            <w:pPr>
              <w:pStyle w:val="105"/>
              <w:rPr>
                <w:rFonts w:hint="eastAsia"/>
                <w:color w:val="auto"/>
              </w:rPr>
            </w:pPr>
            <w:r>
              <w:rPr>
                <w:rFonts w:hint="eastAsia"/>
                <w:color w:val="auto"/>
              </w:rPr>
              <w:t>-</w:t>
            </w:r>
          </w:p>
        </w:tc>
        <w:tc>
          <w:tcPr>
            <w:tcW w:w="1876" w:type="dxa"/>
            <w:noWrap w:val="0"/>
            <w:vAlign w:val="center"/>
          </w:tcPr>
          <w:p>
            <w:pPr>
              <w:pStyle w:val="105"/>
              <w:rPr>
                <w:rFonts w:hint="eastAsia"/>
                <w:color w:val="auto"/>
              </w:rPr>
            </w:pPr>
            <w:r>
              <w:rPr>
                <w:rFonts w:hint="eastAsia"/>
                <w:color w:val="auto"/>
              </w:rPr>
              <w:t>-</w:t>
            </w:r>
          </w:p>
        </w:tc>
        <w:tc>
          <w:tcPr>
            <w:tcW w:w="637" w:type="pct"/>
            <w:noWrap w:val="0"/>
            <w:vAlign w:val="center"/>
          </w:tcPr>
          <w:p>
            <w:pPr>
              <w:pStyle w:val="105"/>
              <w:rPr>
                <w:color w:val="auto"/>
              </w:rPr>
            </w:pPr>
            <w:r>
              <w:rPr>
                <w:rFonts w:hint="eastAsia"/>
                <w:color w:val="auto"/>
              </w:rPr>
              <w:t>0.365t/a</w:t>
            </w:r>
          </w:p>
        </w:tc>
        <w:tc>
          <w:tcPr>
            <w:tcW w:w="1331" w:type="dxa"/>
            <w:noWrap w:val="0"/>
            <w:vAlign w:val="center"/>
          </w:tcPr>
          <w:p>
            <w:pPr>
              <w:pStyle w:val="105"/>
              <w:rPr>
                <w:rFonts w:hint="eastAsia"/>
                <w:color w:val="auto"/>
              </w:rPr>
            </w:pPr>
            <w:r>
              <w:rPr>
                <w:rFonts w:hint="eastAsia"/>
                <w:color w:val="auto"/>
              </w:rPr>
              <w:t>-</w:t>
            </w:r>
          </w:p>
        </w:tc>
        <w:tc>
          <w:tcPr>
            <w:tcW w:w="1968" w:type="dxa"/>
            <w:noWrap w:val="0"/>
            <w:vAlign w:val="center"/>
          </w:tcPr>
          <w:p>
            <w:pPr>
              <w:pStyle w:val="105"/>
              <w:rPr>
                <w:color w:val="auto"/>
              </w:rPr>
            </w:pPr>
            <w:r>
              <w:rPr>
                <w:rFonts w:hint="eastAsia"/>
                <w:color w:val="auto"/>
              </w:rPr>
              <w:t>0.365t/a</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34" w:type="pct"/>
            <w:vMerge w:val="continue"/>
            <w:noWrap w:val="0"/>
            <w:vAlign w:val="center"/>
          </w:tcPr>
          <w:p>
            <w:pPr>
              <w:pStyle w:val="105"/>
              <w:rPr>
                <w:color w:val="auto"/>
              </w:rPr>
            </w:pPr>
          </w:p>
        </w:tc>
        <w:tc>
          <w:tcPr>
            <w:tcW w:w="2138" w:type="dxa"/>
            <w:noWrap w:val="0"/>
            <w:vAlign w:val="center"/>
          </w:tcPr>
          <w:p>
            <w:pPr>
              <w:pStyle w:val="170"/>
              <w:rPr>
                <w:rFonts w:hint="eastAsia"/>
                <w:color w:val="auto"/>
              </w:rPr>
            </w:pPr>
            <w:r>
              <w:rPr>
                <w:rFonts w:hint="eastAsia"/>
                <w:color w:val="auto"/>
              </w:rPr>
              <w:t>宠物毛发</w:t>
            </w:r>
          </w:p>
        </w:tc>
        <w:tc>
          <w:tcPr>
            <w:tcW w:w="1876" w:type="dxa"/>
            <w:noWrap w:val="0"/>
            <w:vAlign w:val="center"/>
          </w:tcPr>
          <w:p>
            <w:pPr>
              <w:pStyle w:val="105"/>
              <w:rPr>
                <w:rFonts w:hint="eastAsia"/>
                <w:color w:val="auto"/>
              </w:rPr>
            </w:pPr>
            <w:r>
              <w:rPr>
                <w:rFonts w:hint="eastAsia"/>
                <w:color w:val="auto"/>
              </w:rPr>
              <w:t>-</w:t>
            </w:r>
          </w:p>
        </w:tc>
        <w:tc>
          <w:tcPr>
            <w:tcW w:w="1406" w:type="dxa"/>
            <w:noWrap w:val="0"/>
            <w:vAlign w:val="center"/>
          </w:tcPr>
          <w:p>
            <w:pPr>
              <w:pStyle w:val="105"/>
              <w:rPr>
                <w:rFonts w:hint="eastAsia"/>
                <w:color w:val="auto"/>
              </w:rPr>
            </w:pPr>
            <w:r>
              <w:rPr>
                <w:rFonts w:hint="eastAsia"/>
                <w:color w:val="auto"/>
              </w:rPr>
              <w:t>-</w:t>
            </w:r>
          </w:p>
        </w:tc>
        <w:tc>
          <w:tcPr>
            <w:tcW w:w="1876" w:type="dxa"/>
            <w:noWrap w:val="0"/>
            <w:vAlign w:val="center"/>
          </w:tcPr>
          <w:p>
            <w:pPr>
              <w:pStyle w:val="105"/>
              <w:rPr>
                <w:rFonts w:hint="eastAsia"/>
                <w:color w:val="auto"/>
              </w:rPr>
            </w:pPr>
            <w:r>
              <w:rPr>
                <w:rFonts w:hint="eastAsia"/>
                <w:color w:val="auto"/>
              </w:rPr>
              <w:t>-</w:t>
            </w:r>
          </w:p>
        </w:tc>
        <w:tc>
          <w:tcPr>
            <w:tcW w:w="637" w:type="pct"/>
            <w:noWrap w:val="0"/>
            <w:vAlign w:val="center"/>
          </w:tcPr>
          <w:p>
            <w:pPr>
              <w:pStyle w:val="105"/>
              <w:rPr>
                <w:color w:val="auto"/>
              </w:rPr>
            </w:pPr>
            <w:r>
              <w:rPr>
                <w:rFonts w:hint="eastAsia"/>
                <w:color w:val="auto"/>
              </w:rPr>
              <w:t>0.04t/a</w:t>
            </w:r>
          </w:p>
        </w:tc>
        <w:tc>
          <w:tcPr>
            <w:tcW w:w="1331" w:type="dxa"/>
            <w:noWrap w:val="0"/>
            <w:vAlign w:val="center"/>
          </w:tcPr>
          <w:p>
            <w:pPr>
              <w:pStyle w:val="105"/>
              <w:rPr>
                <w:rFonts w:hint="eastAsia"/>
                <w:color w:val="auto"/>
              </w:rPr>
            </w:pPr>
            <w:r>
              <w:rPr>
                <w:rFonts w:hint="eastAsia"/>
                <w:color w:val="auto"/>
              </w:rPr>
              <w:t>-</w:t>
            </w:r>
          </w:p>
        </w:tc>
        <w:tc>
          <w:tcPr>
            <w:tcW w:w="1968" w:type="dxa"/>
            <w:noWrap w:val="0"/>
            <w:vAlign w:val="center"/>
          </w:tcPr>
          <w:p>
            <w:pPr>
              <w:pStyle w:val="105"/>
              <w:rPr>
                <w:rFonts w:hint="eastAsia"/>
                <w:color w:val="auto"/>
              </w:rPr>
            </w:pPr>
            <w:r>
              <w:rPr>
                <w:rFonts w:hint="eastAsia"/>
                <w:color w:val="auto"/>
              </w:rPr>
              <w:t>0.04t/a</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434" w:type="pct"/>
            <w:vMerge w:val="restart"/>
            <w:noWrap w:val="0"/>
            <w:vAlign w:val="center"/>
          </w:tcPr>
          <w:p>
            <w:pPr>
              <w:pStyle w:val="105"/>
              <w:rPr>
                <w:rFonts w:hint="eastAsia"/>
                <w:color w:val="auto"/>
              </w:rPr>
            </w:pPr>
            <w:r>
              <w:rPr>
                <w:rFonts w:hint="eastAsia"/>
                <w:color w:val="auto"/>
              </w:rPr>
              <w:t>危险废物</w:t>
            </w:r>
          </w:p>
        </w:tc>
        <w:tc>
          <w:tcPr>
            <w:tcW w:w="2138" w:type="dxa"/>
            <w:noWrap w:val="0"/>
            <w:vAlign w:val="center"/>
          </w:tcPr>
          <w:p>
            <w:pPr>
              <w:pStyle w:val="170"/>
              <w:rPr>
                <w:rFonts w:hint="eastAsia"/>
                <w:color w:val="auto"/>
              </w:rPr>
            </w:pPr>
            <w:r>
              <w:rPr>
                <w:rFonts w:hint="eastAsia"/>
                <w:color w:val="auto"/>
              </w:rPr>
              <w:t>宠物尸体</w:t>
            </w:r>
          </w:p>
        </w:tc>
        <w:tc>
          <w:tcPr>
            <w:tcW w:w="1876" w:type="dxa"/>
            <w:noWrap w:val="0"/>
            <w:vAlign w:val="center"/>
          </w:tcPr>
          <w:p>
            <w:pPr>
              <w:pStyle w:val="105"/>
              <w:rPr>
                <w:rFonts w:hint="eastAsia"/>
                <w:color w:val="auto"/>
              </w:rPr>
            </w:pPr>
            <w:r>
              <w:rPr>
                <w:rFonts w:hint="eastAsia"/>
                <w:color w:val="auto"/>
              </w:rPr>
              <w:t>-</w:t>
            </w:r>
          </w:p>
        </w:tc>
        <w:tc>
          <w:tcPr>
            <w:tcW w:w="1406" w:type="dxa"/>
            <w:noWrap w:val="0"/>
            <w:vAlign w:val="center"/>
          </w:tcPr>
          <w:p>
            <w:pPr>
              <w:pStyle w:val="105"/>
              <w:rPr>
                <w:rFonts w:hint="eastAsia"/>
                <w:color w:val="auto"/>
              </w:rPr>
            </w:pPr>
            <w:r>
              <w:rPr>
                <w:rFonts w:hint="eastAsia"/>
                <w:color w:val="auto"/>
              </w:rPr>
              <w:t>-</w:t>
            </w:r>
          </w:p>
        </w:tc>
        <w:tc>
          <w:tcPr>
            <w:tcW w:w="1876" w:type="dxa"/>
            <w:noWrap w:val="0"/>
            <w:vAlign w:val="center"/>
          </w:tcPr>
          <w:p>
            <w:pPr>
              <w:pStyle w:val="105"/>
              <w:rPr>
                <w:rFonts w:hint="eastAsia"/>
                <w:color w:val="auto"/>
              </w:rPr>
            </w:pPr>
            <w:r>
              <w:rPr>
                <w:rFonts w:hint="eastAsia"/>
                <w:color w:val="auto"/>
              </w:rPr>
              <w:t>-</w:t>
            </w:r>
          </w:p>
        </w:tc>
        <w:tc>
          <w:tcPr>
            <w:tcW w:w="637" w:type="pct"/>
            <w:noWrap w:val="0"/>
            <w:vAlign w:val="center"/>
          </w:tcPr>
          <w:p>
            <w:pPr>
              <w:pStyle w:val="105"/>
              <w:rPr>
                <w:color w:val="auto"/>
              </w:rPr>
            </w:pPr>
            <w:r>
              <w:rPr>
                <w:rFonts w:hint="eastAsia"/>
                <w:color w:val="auto"/>
              </w:rPr>
              <w:t>0.05t/a</w:t>
            </w:r>
          </w:p>
        </w:tc>
        <w:tc>
          <w:tcPr>
            <w:tcW w:w="1331" w:type="dxa"/>
            <w:noWrap w:val="0"/>
            <w:vAlign w:val="center"/>
          </w:tcPr>
          <w:p>
            <w:pPr>
              <w:pStyle w:val="105"/>
              <w:rPr>
                <w:rFonts w:hint="eastAsia"/>
                <w:color w:val="auto"/>
              </w:rPr>
            </w:pPr>
            <w:r>
              <w:rPr>
                <w:rFonts w:hint="eastAsia"/>
                <w:color w:val="auto"/>
              </w:rPr>
              <w:t>-</w:t>
            </w:r>
          </w:p>
        </w:tc>
        <w:tc>
          <w:tcPr>
            <w:tcW w:w="1968" w:type="dxa"/>
            <w:noWrap w:val="0"/>
            <w:vAlign w:val="center"/>
          </w:tcPr>
          <w:p>
            <w:pPr>
              <w:pStyle w:val="105"/>
              <w:rPr>
                <w:color w:val="auto"/>
              </w:rPr>
            </w:pPr>
            <w:r>
              <w:rPr>
                <w:rFonts w:hint="eastAsia"/>
                <w:color w:val="auto"/>
              </w:rPr>
              <w:t>0.05t/a</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80" w:hRule="atLeast"/>
        </w:trPr>
        <w:tc>
          <w:tcPr>
            <w:tcW w:w="434" w:type="pct"/>
            <w:vMerge w:val="continue"/>
            <w:noWrap w:val="0"/>
            <w:vAlign w:val="center"/>
          </w:tcPr>
          <w:p>
            <w:pPr>
              <w:pStyle w:val="105"/>
              <w:rPr>
                <w:color w:val="auto"/>
              </w:rPr>
            </w:pPr>
          </w:p>
        </w:tc>
        <w:tc>
          <w:tcPr>
            <w:tcW w:w="2138" w:type="dxa"/>
            <w:noWrap w:val="0"/>
            <w:vAlign w:val="center"/>
          </w:tcPr>
          <w:p>
            <w:pPr>
              <w:pStyle w:val="170"/>
              <w:rPr>
                <w:rFonts w:hint="eastAsia"/>
                <w:color w:val="auto"/>
              </w:rPr>
            </w:pPr>
            <w:r>
              <w:rPr>
                <w:rFonts w:hint="eastAsia"/>
                <w:color w:val="auto"/>
              </w:rPr>
              <w:t>医疗废物</w:t>
            </w:r>
          </w:p>
        </w:tc>
        <w:tc>
          <w:tcPr>
            <w:tcW w:w="1876" w:type="dxa"/>
            <w:noWrap w:val="0"/>
            <w:vAlign w:val="center"/>
          </w:tcPr>
          <w:p>
            <w:pPr>
              <w:pStyle w:val="105"/>
              <w:rPr>
                <w:rFonts w:hint="eastAsia"/>
                <w:color w:val="auto"/>
              </w:rPr>
            </w:pPr>
            <w:r>
              <w:rPr>
                <w:rFonts w:hint="eastAsia"/>
                <w:color w:val="auto"/>
              </w:rPr>
              <w:t>-</w:t>
            </w:r>
          </w:p>
        </w:tc>
        <w:tc>
          <w:tcPr>
            <w:tcW w:w="1406" w:type="dxa"/>
            <w:noWrap w:val="0"/>
            <w:vAlign w:val="center"/>
          </w:tcPr>
          <w:p>
            <w:pPr>
              <w:pStyle w:val="105"/>
              <w:rPr>
                <w:rFonts w:hint="eastAsia"/>
                <w:color w:val="auto"/>
              </w:rPr>
            </w:pPr>
            <w:r>
              <w:rPr>
                <w:rFonts w:hint="eastAsia"/>
                <w:color w:val="auto"/>
              </w:rPr>
              <w:t>-</w:t>
            </w:r>
          </w:p>
        </w:tc>
        <w:tc>
          <w:tcPr>
            <w:tcW w:w="1876" w:type="dxa"/>
            <w:noWrap w:val="0"/>
            <w:vAlign w:val="center"/>
          </w:tcPr>
          <w:p>
            <w:pPr>
              <w:pStyle w:val="105"/>
              <w:rPr>
                <w:rFonts w:hint="eastAsia"/>
                <w:color w:val="auto"/>
              </w:rPr>
            </w:pPr>
            <w:r>
              <w:rPr>
                <w:rFonts w:hint="eastAsia"/>
                <w:color w:val="auto"/>
              </w:rPr>
              <w:t>-</w:t>
            </w:r>
          </w:p>
        </w:tc>
        <w:tc>
          <w:tcPr>
            <w:tcW w:w="637" w:type="pct"/>
            <w:noWrap w:val="0"/>
            <w:vAlign w:val="center"/>
          </w:tcPr>
          <w:p>
            <w:pPr>
              <w:pStyle w:val="105"/>
              <w:rPr>
                <w:color w:val="auto"/>
              </w:rPr>
            </w:pPr>
            <w:r>
              <w:rPr>
                <w:rFonts w:hint="eastAsia"/>
                <w:color w:val="auto"/>
              </w:rPr>
              <w:t>1.46t/a</w:t>
            </w:r>
          </w:p>
        </w:tc>
        <w:tc>
          <w:tcPr>
            <w:tcW w:w="1331" w:type="dxa"/>
            <w:noWrap w:val="0"/>
            <w:vAlign w:val="center"/>
          </w:tcPr>
          <w:p>
            <w:pPr>
              <w:pStyle w:val="105"/>
              <w:rPr>
                <w:rFonts w:hint="eastAsia"/>
                <w:color w:val="auto"/>
              </w:rPr>
            </w:pPr>
            <w:r>
              <w:rPr>
                <w:rFonts w:hint="eastAsia"/>
                <w:color w:val="auto"/>
              </w:rPr>
              <w:t>-</w:t>
            </w:r>
          </w:p>
        </w:tc>
        <w:tc>
          <w:tcPr>
            <w:tcW w:w="1968" w:type="dxa"/>
            <w:noWrap w:val="0"/>
            <w:vAlign w:val="center"/>
          </w:tcPr>
          <w:p>
            <w:pPr>
              <w:pStyle w:val="105"/>
              <w:rPr>
                <w:color w:val="auto"/>
              </w:rPr>
            </w:pPr>
            <w:r>
              <w:rPr>
                <w:rFonts w:hint="eastAsia"/>
                <w:color w:val="auto"/>
              </w:rPr>
              <w:t>1.46t/a</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2" w:hRule="atLeast"/>
        </w:trPr>
        <w:tc>
          <w:tcPr>
            <w:tcW w:w="434" w:type="pct"/>
            <w:vMerge w:val="continue"/>
            <w:noWrap w:val="0"/>
            <w:vAlign w:val="center"/>
          </w:tcPr>
          <w:p>
            <w:pPr>
              <w:pStyle w:val="105"/>
              <w:rPr>
                <w:color w:val="auto"/>
              </w:rPr>
            </w:pPr>
          </w:p>
        </w:tc>
        <w:tc>
          <w:tcPr>
            <w:tcW w:w="2138" w:type="dxa"/>
            <w:noWrap w:val="0"/>
            <w:vAlign w:val="center"/>
          </w:tcPr>
          <w:p>
            <w:pPr>
              <w:pStyle w:val="170"/>
              <w:rPr>
                <w:rFonts w:hint="eastAsia"/>
                <w:color w:val="auto"/>
              </w:rPr>
            </w:pPr>
            <w:r>
              <w:rPr>
                <w:rFonts w:hint="eastAsia"/>
                <w:color w:val="auto"/>
              </w:rPr>
              <w:t>废紫外线灯管</w:t>
            </w:r>
          </w:p>
        </w:tc>
        <w:tc>
          <w:tcPr>
            <w:tcW w:w="1876" w:type="dxa"/>
            <w:noWrap w:val="0"/>
            <w:vAlign w:val="center"/>
          </w:tcPr>
          <w:p>
            <w:pPr>
              <w:pStyle w:val="105"/>
              <w:rPr>
                <w:rFonts w:hint="eastAsia"/>
                <w:color w:val="auto"/>
              </w:rPr>
            </w:pPr>
            <w:r>
              <w:rPr>
                <w:rFonts w:hint="eastAsia"/>
                <w:color w:val="auto"/>
              </w:rPr>
              <w:t>-</w:t>
            </w:r>
          </w:p>
        </w:tc>
        <w:tc>
          <w:tcPr>
            <w:tcW w:w="1406" w:type="dxa"/>
            <w:noWrap w:val="0"/>
            <w:vAlign w:val="center"/>
          </w:tcPr>
          <w:p>
            <w:pPr>
              <w:pStyle w:val="105"/>
              <w:rPr>
                <w:rFonts w:hint="eastAsia"/>
                <w:color w:val="auto"/>
              </w:rPr>
            </w:pPr>
            <w:r>
              <w:rPr>
                <w:rFonts w:hint="eastAsia"/>
                <w:color w:val="auto"/>
              </w:rPr>
              <w:t>-</w:t>
            </w:r>
          </w:p>
        </w:tc>
        <w:tc>
          <w:tcPr>
            <w:tcW w:w="1876" w:type="dxa"/>
            <w:noWrap w:val="0"/>
            <w:vAlign w:val="center"/>
          </w:tcPr>
          <w:p>
            <w:pPr>
              <w:pStyle w:val="105"/>
              <w:rPr>
                <w:rFonts w:hint="eastAsia"/>
                <w:color w:val="auto"/>
              </w:rPr>
            </w:pPr>
            <w:r>
              <w:rPr>
                <w:rFonts w:hint="eastAsia"/>
                <w:color w:val="auto"/>
              </w:rPr>
              <w:t>-</w:t>
            </w:r>
          </w:p>
        </w:tc>
        <w:tc>
          <w:tcPr>
            <w:tcW w:w="637" w:type="pct"/>
            <w:noWrap w:val="0"/>
            <w:vAlign w:val="center"/>
          </w:tcPr>
          <w:p>
            <w:pPr>
              <w:pStyle w:val="105"/>
              <w:rPr>
                <w:color w:val="auto"/>
              </w:rPr>
            </w:pPr>
            <w:r>
              <w:rPr>
                <w:rFonts w:hint="eastAsia"/>
                <w:color w:val="auto"/>
              </w:rPr>
              <w:t>0.0</w:t>
            </w:r>
            <w:r>
              <w:rPr>
                <w:rFonts w:hint="eastAsia"/>
                <w:color w:val="auto"/>
                <w:lang w:val="en-US" w:eastAsia="zh-CN"/>
              </w:rPr>
              <w:t>03</w:t>
            </w:r>
            <w:r>
              <w:rPr>
                <w:rFonts w:hint="eastAsia"/>
                <w:color w:val="auto"/>
              </w:rPr>
              <w:t>t/a</w:t>
            </w:r>
          </w:p>
        </w:tc>
        <w:tc>
          <w:tcPr>
            <w:tcW w:w="1331" w:type="dxa"/>
            <w:noWrap w:val="0"/>
            <w:vAlign w:val="center"/>
          </w:tcPr>
          <w:p>
            <w:pPr>
              <w:pStyle w:val="105"/>
              <w:rPr>
                <w:rFonts w:hint="eastAsia"/>
                <w:color w:val="auto"/>
              </w:rPr>
            </w:pPr>
            <w:r>
              <w:rPr>
                <w:rFonts w:hint="eastAsia"/>
                <w:color w:val="auto"/>
              </w:rPr>
              <w:t>-</w:t>
            </w:r>
          </w:p>
        </w:tc>
        <w:tc>
          <w:tcPr>
            <w:tcW w:w="1968" w:type="dxa"/>
            <w:noWrap w:val="0"/>
            <w:vAlign w:val="center"/>
          </w:tcPr>
          <w:p>
            <w:pPr>
              <w:pStyle w:val="105"/>
              <w:rPr>
                <w:rFonts w:hint="eastAsia"/>
                <w:color w:val="auto"/>
              </w:rPr>
            </w:pPr>
            <w:r>
              <w:rPr>
                <w:rFonts w:hint="eastAsia"/>
                <w:color w:val="auto"/>
              </w:rPr>
              <w:t>0.0</w:t>
            </w:r>
            <w:r>
              <w:rPr>
                <w:rFonts w:hint="eastAsia"/>
                <w:color w:val="auto"/>
                <w:lang w:val="en-US" w:eastAsia="zh-CN"/>
              </w:rPr>
              <w:t>03</w:t>
            </w:r>
            <w:r>
              <w:rPr>
                <w:rFonts w:hint="eastAsia"/>
                <w:color w:val="auto"/>
              </w:rPr>
              <w:t>t/a</w:t>
            </w:r>
          </w:p>
        </w:tc>
      </w:tr>
    </w:tbl>
    <w:p>
      <w:pPr>
        <w:pStyle w:val="103"/>
        <w:spacing w:before="192" w:beforeLines="80" w:after="24"/>
        <w:jc w:val="left"/>
        <w:rPr>
          <w:rFonts w:hint="eastAsia" w:hAnsi="宋体"/>
          <w:snapToGrid w:val="0"/>
          <w:color w:val="auto"/>
          <w:spacing w:val="-6"/>
          <w:kern w:val="21"/>
          <w:szCs w:val="21"/>
        </w:rPr>
      </w:pPr>
      <w:r>
        <w:rPr>
          <w:rFonts w:hAnsi="宋体"/>
          <w:snapToGrid w:val="0"/>
          <w:color w:val="auto"/>
          <w:kern w:val="21"/>
          <w:szCs w:val="21"/>
        </w:rPr>
        <w:t>注：</w:t>
      </w:r>
      <w:r>
        <w:rPr>
          <w:rFonts w:hAnsi="宋体"/>
          <w:snapToGrid w:val="0"/>
          <w:color w:val="auto"/>
          <w:spacing w:val="-16"/>
          <w:kern w:val="21"/>
          <w:szCs w:val="21"/>
        </w:rPr>
        <w:fldChar w:fldCharType="begin"/>
      </w:r>
      <w:r>
        <w:rPr>
          <w:rFonts w:hAnsi="宋体"/>
          <w:snapToGrid w:val="0"/>
          <w:color w:val="auto"/>
          <w:spacing w:val="-16"/>
          <w:kern w:val="21"/>
          <w:szCs w:val="21"/>
        </w:rPr>
        <w:instrText xml:space="preserve"> = 6 \* GB3 \* MERGEFORMAT </w:instrText>
      </w:r>
      <w:r>
        <w:rPr>
          <w:rFonts w:hAnsi="宋体"/>
          <w:snapToGrid w:val="0"/>
          <w:color w:val="auto"/>
          <w:spacing w:val="-16"/>
          <w:kern w:val="21"/>
          <w:szCs w:val="21"/>
        </w:rPr>
        <w:fldChar w:fldCharType="separate"/>
      </w:r>
      <w:r>
        <w:rPr>
          <w:rFonts w:hint="eastAsia" w:hAnsi="宋体"/>
          <w:color w:val="auto"/>
          <w:szCs w:val="21"/>
        </w:rPr>
        <w:t>⑥</w:t>
      </w:r>
      <w:r>
        <w:rPr>
          <w:rFonts w:hAnsi="宋体"/>
          <w:snapToGrid w:val="0"/>
          <w:color w:val="auto"/>
          <w:spacing w:val="-16"/>
          <w:kern w:val="21"/>
          <w:szCs w:val="21"/>
        </w:rPr>
        <w:fldChar w:fldCharType="end"/>
      </w:r>
      <w:r>
        <w:rPr>
          <w:rFonts w:hAnsi="宋体"/>
          <w:snapToGrid w:val="0"/>
          <w:color w:val="auto"/>
          <w:spacing w:val="-16"/>
          <w:kern w:val="21"/>
          <w:szCs w:val="21"/>
        </w:rPr>
        <w:t>=</w:t>
      </w:r>
      <w:r>
        <w:rPr>
          <w:rFonts w:hAnsi="宋体"/>
          <w:snapToGrid w:val="0"/>
          <w:color w:val="auto"/>
          <w:spacing w:val="-6"/>
          <w:kern w:val="21"/>
          <w:szCs w:val="21"/>
        </w:rPr>
        <w:fldChar w:fldCharType="begin"/>
      </w:r>
      <w:r>
        <w:rPr>
          <w:rFonts w:hAnsi="宋体"/>
          <w:snapToGrid w:val="0"/>
          <w:color w:val="auto"/>
          <w:spacing w:val="-6"/>
          <w:kern w:val="21"/>
          <w:szCs w:val="21"/>
        </w:rPr>
        <w:instrText xml:space="preserve"> = 1 \* GB3 \* MERGEFORMAT </w:instrText>
      </w:r>
      <w:r>
        <w:rPr>
          <w:rFonts w:hAnsi="宋体"/>
          <w:snapToGrid w:val="0"/>
          <w:color w:val="auto"/>
          <w:spacing w:val="-6"/>
          <w:kern w:val="21"/>
          <w:szCs w:val="21"/>
        </w:rPr>
        <w:fldChar w:fldCharType="separate"/>
      </w:r>
      <w:r>
        <w:rPr>
          <w:rFonts w:hint="eastAsia" w:hAnsi="宋体"/>
          <w:color w:val="auto"/>
          <w:szCs w:val="21"/>
        </w:rPr>
        <w:t>①</w:t>
      </w:r>
      <w:r>
        <w:rPr>
          <w:rFonts w:hAnsi="宋体"/>
          <w:snapToGrid w:val="0"/>
          <w:color w:val="auto"/>
          <w:spacing w:val="-6"/>
          <w:kern w:val="21"/>
          <w:szCs w:val="21"/>
        </w:rPr>
        <w:fldChar w:fldCharType="end"/>
      </w:r>
      <w:r>
        <w:rPr>
          <w:rFonts w:hAnsi="宋体"/>
          <w:snapToGrid w:val="0"/>
          <w:color w:val="auto"/>
          <w:spacing w:val="-6"/>
          <w:kern w:val="21"/>
          <w:szCs w:val="21"/>
        </w:rPr>
        <w:t>+</w:t>
      </w:r>
      <w:r>
        <w:rPr>
          <w:rFonts w:hAnsi="宋体"/>
          <w:snapToGrid w:val="0"/>
          <w:color w:val="auto"/>
          <w:spacing w:val="-6"/>
          <w:kern w:val="21"/>
          <w:szCs w:val="21"/>
        </w:rPr>
        <w:fldChar w:fldCharType="begin"/>
      </w:r>
      <w:r>
        <w:rPr>
          <w:rFonts w:hAnsi="宋体"/>
          <w:snapToGrid w:val="0"/>
          <w:color w:val="auto"/>
          <w:spacing w:val="-6"/>
          <w:kern w:val="21"/>
          <w:szCs w:val="21"/>
        </w:rPr>
        <w:instrText xml:space="preserve"> = 3 \* GB3 \* MERGEFORMAT </w:instrText>
      </w:r>
      <w:r>
        <w:rPr>
          <w:rFonts w:hAnsi="宋体"/>
          <w:snapToGrid w:val="0"/>
          <w:color w:val="auto"/>
          <w:spacing w:val="-6"/>
          <w:kern w:val="21"/>
          <w:szCs w:val="21"/>
        </w:rPr>
        <w:fldChar w:fldCharType="separate"/>
      </w:r>
      <w:r>
        <w:rPr>
          <w:rFonts w:hint="eastAsia" w:hAnsi="宋体"/>
          <w:color w:val="auto"/>
          <w:szCs w:val="21"/>
        </w:rPr>
        <w:t>③</w:t>
      </w:r>
      <w:r>
        <w:rPr>
          <w:rFonts w:hAnsi="宋体"/>
          <w:snapToGrid w:val="0"/>
          <w:color w:val="auto"/>
          <w:spacing w:val="-6"/>
          <w:kern w:val="21"/>
          <w:szCs w:val="21"/>
        </w:rPr>
        <w:fldChar w:fldCharType="end"/>
      </w:r>
      <w:r>
        <w:rPr>
          <w:rFonts w:hAnsi="宋体"/>
          <w:snapToGrid w:val="0"/>
          <w:color w:val="auto"/>
          <w:spacing w:val="-6"/>
          <w:kern w:val="21"/>
          <w:szCs w:val="21"/>
        </w:rPr>
        <w:t>+</w:t>
      </w:r>
      <w:r>
        <w:rPr>
          <w:rFonts w:hAnsi="宋体"/>
          <w:snapToGrid w:val="0"/>
          <w:color w:val="auto"/>
          <w:spacing w:val="-6"/>
          <w:kern w:val="21"/>
          <w:szCs w:val="21"/>
        </w:rPr>
        <w:fldChar w:fldCharType="begin"/>
      </w:r>
      <w:r>
        <w:rPr>
          <w:rFonts w:hAnsi="宋体"/>
          <w:snapToGrid w:val="0"/>
          <w:color w:val="auto"/>
          <w:spacing w:val="-6"/>
          <w:kern w:val="21"/>
          <w:szCs w:val="21"/>
        </w:rPr>
        <w:instrText xml:space="preserve"> = 4 \* GB3 \* MERGEFORMAT </w:instrText>
      </w:r>
      <w:r>
        <w:rPr>
          <w:rFonts w:hAnsi="宋体"/>
          <w:snapToGrid w:val="0"/>
          <w:color w:val="auto"/>
          <w:spacing w:val="-6"/>
          <w:kern w:val="21"/>
          <w:szCs w:val="21"/>
        </w:rPr>
        <w:fldChar w:fldCharType="separate"/>
      </w:r>
      <w:r>
        <w:rPr>
          <w:rFonts w:hint="eastAsia" w:hAnsi="宋体"/>
          <w:color w:val="auto"/>
          <w:szCs w:val="21"/>
        </w:rPr>
        <w:t>④</w:t>
      </w:r>
      <w:r>
        <w:rPr>
          <w:rFonts w:hAnsi="宋体"/>
          <w:snapToGrid w:val="0"/>
          <w:color w:val="auto"/>
          <w:spacing w:val="-6"/>
          <w:kern w:val="21"/>
          <w:szCs w:val="21"/>
        </w:rPr>
        <w:fldChar w:fldCharType="end"/>
      </w:r>
      <w:r>
        <w:rPr>
          <w:rFonts w:hAnsi="宋体"/>
          <w:snapToGrid w:val="0"/>
          <w:color w:val="auto"/>
          <w:spacing w:val="-6"/>
          <w:kern w:val="21"/>
          <w:szCs w:val="21"/>
        </w:rPr>
        <w:t>-</w:t>
      </w:r>
      <w:r>
        <w:rPr>
          <w:rFonts w:hAnsi="宋体"/>
          <w:snapToGrid w:val="0"/>
          <w:color w:val="auto"/>
          <w:spacing w:val="-16"/>
          <w:kern w:val="21"/>
          <w:szCs w:val="21"/>
        </w:rPr>
        <w:fldChar w:fldCharType="begin"/>
      </w:r>
      <w:r>
        <w:rPr>
          <w:rFonts w:hAnsi="宋体"/>
          <w:snapToGrid w:val="0"/>
          <w:color w:val="auto"/>
          <w:spacing w:val="-16"/>
          <w:kern w:val="21"/>
          <w:szCs w:val="21"/>
        </w:rPr>
        <w:instrText xml:space="preserve"> = 5 \* GB3 \* MERGEFORMAT </w:instrText>
      </w:r>
      <w:r>
        <w:rPr>
          <w:rFonts w:hAnsi="宋体"/>
          <w:snapToGrid w:val="0"/>
          <w:color w:val="auto"/>
          <w:spacing w:val="-16"/>
          <w:kern w:val="21"/>
          <w:szCs w:val="21"/>
        </w:rPr>
        <w:fldChar w:fldCharType="separate"/>
      </w:r>
      <w:r>
        <w:rPr>
          <w:rFonts w:hint="eastAsia" w:hAnsi="宋体"/>
          <w:color w:val="auto"/>
          <w:szCs w:val="21"/>
        </w:rPr>
        <w:t>⑤</w:t>
      </w:r>
      <w:r>
        <w:rPr>
          <w:rFonts w:hAnsi="宋体"/>
          <w:snapToGrid w:val="0"/>
          <w:color w:val="auto"/>
          <w:spacing w:val="-16"/>
          <w:kern w:val="21"/>
          <w:szCs w:val="21"/>
        </w:rPr>
        <w:fldChar w:fldCharType="end"/>
      </w:r>
      <w:r>
        <w:rPr>
          <w:rFonts w:hAnsi="宋体"/>
          <w:snapToGrid w:val="0"/>
          <w:color w:val="auto"/>
          <w:spacing w:val="-16"/>
          <w:kern w:val="21"/>
          <w:szCs w:val="21"/>
        </w:rPr>
        <w:t>；</w:t>
      </w:r>
      <w:r>
        <w:rPr>
          <w:rFonts w:hAnsi="宋体"/>
          <w:snapToGrid w:val="0"/>
          <w:color w:val="auto"/>
          <w:spacing w:val="-6"/>
          <w:kern w:val="21"/>
          <w:szCs w:val="21"/>
        </w:rPr>
        <w:fldChar w:fldCharType="begin"/>
      </w:r>
      <w:r>
        <w:rPr>
          <w:rFonts w:hAnsi="宋体"/>
          <w:snapToGrid w:val="0"/>
          <w:color w:val="auto"/>
          <w:spacing w:val="-6"/>
          <w:kern w:val="21"/>
          <w:szCs w:val="21"/>
        </w:rPr>
        <w:instrText xml:space="preserve"> = 7 \* GB3 \* MERGEFORMAT </w:instrText>
      </w:r>
      <w:r>
        <w:rPr>
          <w:rFonts w:hAnsi="宋体"/>
          <w:snapToGrid w:val="0"/>
          <w:color w:val="auto"/>
          <w:spacing w:val="-6"/>
          <w:kern w:val="21"/>
          <w:szCs w:val="21"/>
        </w:rPr>
        <w:fldChar w:fldCharType="separate"/>
      </w:r>
      <w:r>
        <w:rPr>
          <w:rFonts w:hint="eastAsia" w:hAnsi="宋体"/>
          <w:color w:val="auto"/>
          <w:szCs w:val="21"/>
        </w:rPr>
        <w:t>⑦</w:t>
      </w:r>
      <w:r>
        <w:rPr>
          <w:rFonts w:hAnsi="宋体"/>
          <w:snapToGrid w:val="0"/>
          <w:color w:val="auto"/>
          <w:spacing w:val="-6"/>
          <w:kern w:val="21"/>
          <w:szCs w:val="21"/>
        </w:rPr>
        <w:fldChar w:fldCharType="end"/>
      </w:r>
      <w:r>
        <w:rPr>
          <w:rFonts w:hAnsi="宋体"/>
          <w:snapToGrid w:val="0"/>
          <w:color w:val="auto"/>
          <w:spacing w:val="-6"/>
          <w:kern w:val="21"/>
          <w:szCs w:val="21"/>
        </w:rPr>
        <w:t>=</w:t>
      </w:r>
      <w:r>
        <w:rPr>
          <w:rFonts w:hAnsi="宋体"/>
          <w:snapToGrid w:val="0"/>
          <w:color w:val="auto"/>
          <w:spacing w:val="-16"/>
          <w:kern w:val="21"/>
          <w:szCs w:val="21"/>
        </w:rPr>
        <w:fldChar w:fldCharType="begin"/>
      </w:r>
      <w:r>
        <w:rPr>
          <w:rFonts w:hAnsi="宋体"/>
          <w:snapToGrid w:val="0"/>
          <w:color w:val="auto"/>
          <w:spacing w:val="-16"/>
          <w:kern w:val="21"/>
          <w:szCs w:val="21"/>
        </w:rPr>
        <w:instrText xml:space="preserve"> = 6 \* GB3 \* MERGEFORMAT </w:instrText>
      </w:r>
      <w:r>
        <w:rPr>
          <w:rFonts w:hAnsi="宋体"/>
          <w:snapToGrid w:val="0"/>
          <w:color w:val="auto"/>
          <w:spacing w:val="-16"/>
          <w:kern w:val="21"/>
          <w:szCs w:val="21"/>
        </w:rPr>
        <w:fldChar w:fldCharType="separate"/>
      </w:r>
      <w:r>
        <w:rPr>
          <w:rFonts w:hint="eastAsia" w:hAnsi="宋体"/>
          <w:color w:val="auto"/>
          <w:szCs w:val="21"/>
        </w:rPr>
        <w:t>⑥</w:t>
      </w:r>
      <w:r>
        <w:rPr>
          <w:rFonts w:hAnsi="宋体"/>
          <w:snapToGrid w:val="0"/>
          <w:color w:val="auto"/>
          <w:spacing w:val="-16"/>
          <w:kern w:val="21"/>
          <w:szCs w:val="21"/>
        </w:rPr>
        <w:fldChar w:fldCharType="end"/>
      </w:r>
      <w:r>
        <w:rPr>
          <w:rFonts w:hAnsi="宋体"/>
          <w:snapToGrid w:val="0"/>
          <w:color w:val="auto"/>
          <w:spacing w:val="-16"/>
          <w:kern w:val="21"/>
          <w:szCs w:val="21"/>
        </w:rPr>
        <w:t>-</w:t>
      </w:r>
      <w:r>
        <w:rPr>
          <w:rFonts w:hAnsi="宋体"/>
          <w:snapToGrid w:val="0"/>
          <w:color w:val="auto"/>
          <w:spacing w:val="-6"/>
          <w:kern w:val="21"/>
          <w:szCs w:val="21"/>
        </w:rPr>
        <w:fldChar w:fldCharType="begin"/>
      </w:r>
      <w:r>
        <w:rPr>
          <w:rFonts w:hAnsi="宋体"/>
          <w:snapToGrid w:val="0"/>
          <w:color w:val="auto"/>
          <w:spacing w:val="-6"/>
          <w:kern w:val="21"/>
          <w:szCs w:val="21"/>
        </w:rPr>
        <w:instrText xml:space="preserve"> = 1 \* GB3 \* MERGEFORMAT </w:instrText>
      </w:r>
      <w:r>
        <w:rPr>
          <w:rFonts w:hAnsi="宋体"/>
          <w:snapToGrid w:val="0"/>
          <w:color w:val="auto"/>
          <w:spacing w:val="-6"/>
          <w:kern w:val="21"/>
          <w:szCs w:val="21"/>
        </w:rPr>
        <w:fldChar w:fldCharType="separate"/>
      </w:r>
      <w:r>
        <w:rPr>
          <w:rFonts w:hint="eastAsia" w:hAnsi="宋体"/>
          <w:color w:val="auto"/>
          <w:szCs w:val="21"/>
        </w:rPr>
        <w:t>①</w:t>
      </w:r>
      <w:r>
        <w:rPr>
          <w:rFonts w:hAnsi="宋体"/>
          <w:snapToGrid w:val="0"/>
          <w:color w:val="auto"/>
          <w:spacing w:val="-6"/>
          <w:kern w:val="21"/>
          <w:szCs w:val="21"/>
        </w:rPr>
        <w:fldChar w:fldCharType="end"/>
      </w:r>
    </w:p>
    <w:p>
      <w:pPr>
        <w:ind w:firstLine="0" w:firstLineChars="0"/>
        <w:rPr>
          <w:rFonts w:ascii="宋体" w:hAnsi="宋体" w:eastAsia="黑体"/>
          <w:color w:val="auto"/>
        </w:rPr>
      </w:pPr>
    </w:p>
    <w:p>
      <w:pPr>
        <w:pStyle w:val="22"/>
      </w:pPr>
    </w:p>
    <w:p/>
    <w:p>
      <w:pPr>
        <w:pStyle w:val="2"/>
      </w:pPr>
    </w:p>
    <w:p/>
    <w:p>
      <w:pPr>
        <w:pStyle w:val="2"/>
      </w:pPr>
    </w:p>
    <w:p/>
    <w:p>
      <w:pPr>
        <w:rPr>
          <w:rFonts w:ascii="仿宋_GB2312" w:hAnsi="仿宋_GB2312" w:eastAsia="仿宋_GB2312" w:cs="仿宋_GB2312"/>
          <w:color w:val="auto"/>
          <w:sz w:val="36"/>
          <w:szCs w:val="36"/>
        </w:rPr>
      </w:pPr>
    </w:p>
    <w:p>
      <w:pPr>
        <w:rPr>
          <w:rFonts w:ascii="仿宋_GB2312" w:hAnsi="仿宋_GB2312" w:eastAsia="仿宋_GB2312" w:cs="仿宋_GB2312"/>
          <w:color w:val="auto"/>
          <w:sz w:val="36"/>
          <w:szCs w:val="36"/>
        </w:rPr>
      </w:pPr>
    </w:p>
    <w:p>
      <w:pPr>
        <w:rPr>
          <w:rFonts w:ascii="仿宋_GB2312" w:hAnsi="仿宋_GB2312" w:eastAsia="仿宋_GB2312" w:cs="仿宋_GB2312"/>
          <w:color w:val="auto"/>
          <w:sz w:val="36"/>
          <w:szCs w:val="36"/>
        </w:rPr>
      </w:pPr>
    </w:p>
    <w:p>
      <w:pPr>
        <w:rPr>
          <w:rFonts w:ascii="仿宋_GB2312" w:hAnsi="仿宋_GB2312" w:eastAsia="仿宋_GB2312" w:cs="仿宋_GB2312"/>
          <w:color w:val="auto"/>
          <w:sz w:val="36"/>
          <w:szCs w:val="36"/>
        </w:rPr>
      </w:pPr>
    </w:p>
    <w:p>
      <w:pPr>
        <w:adjustRightInd w:val="0"/>
        <w:snapToGrid w:val="0"/>
        <w:spacing w:line="240" w:lineRule="auto"/>
        <w:ind w:firstLine="0" w:firstLineChars="0"/>
        <w:jc w:val="center"/>
        <w:rPr>
          <w:rFonts w:hint="eastAsia" w:ascii="方正小标宋_GBK" w:eastAsia="方正小标宋_GBK"/>
          <w:bCs/>
          <w:color w:val="auto"/>
          <w:sz w:val="72"/>
          <w:szCs w:val="72"/>
        </w:rPr>
      </w:pPr>
      <w:bookmarkStart w:id="41" w:name="_Toc26719"/>
      <w:r>
        <w:rPr>
          <w:rFonts w:hint="eastAsia" w:ascii="方正小标宋_GBK" w:eastAsia="方正小标宋_GBK"/>
          <w:bCs/>
          <w:color w:val="auto"/>
          <w:sz w:val="72"/>
          <w:szCs w:val="72"/>
        </w:rPr>
        <w:t>建设项目环境影响报告表</w:t>
      </w:r>
      <w:bookmarkEnd w:id="41"/>
    </w:p>
    <w:p>
      <w:pPr>
        <w:spacing w:before="192" w:beforeLines="80" w:line="240" w:lineRule="auto"/>
        <w:ind w:firstLine="0" w:firstLineChars="0"/>
        <w:jc w:val="center"/>
        <w:rPr>
          <w:rFonts w:hint="eastAsia" w:ascii="楷体_GB2312" w:eastAsia="楷体_GB2312"/>
          <w:bCs/>
          <w:color w:val="auto"/>
          <w:sz w:val="48"/>
          <w:szCs w:val="48"/>
        </w:rPr>
      </w:pPr>
      <w:r>
        <w:rPr>
          <w:rFonts w:hint="eastAsia" w:ascii="楷体_GB2312" w:eastAsia="楷体_GB2312"/>
          <w:bCs/>
          <w:color w:val="auto"/>
          <w:sz w:val="48"/>
          <w:szCs w:val="48"/>
        </w:rPr>
        <w:t>（污染影响类）</w:t>
      </w:r>
    </w:p>
    <w:p>
      <w:pPr>
        <w:spacing w:before="192" w:beforeLines="80" w:line="240" w:lineRule="auto"/>
        <w:ind w:firstLine="0" w:firstLineChars="0"/>
        <w:jc w:val="center"/>
        <w:rPr>
          <w:rFonts w:hint="eastAsia"/>
          <w:color w:val="auto"/>
        </w:rPr>
      </w:pPr>
      <w:r>
        <w:rPr>
          <w:rFonts w:hint="eastAsia" w:ascii="楷体_GB2312" w:eastAsia="楷体_GB2312"/>
          <w:bCs/>
          <w:color w:val="auto"/>
          <w:sz w:val="48"/>
          <w:szCs w:val="48"/>
        </w:rPr>
        <w:t>（送审稿）</w:t>
      </w:r>
    </w:p>
    <w:p>
      <w:pPr>
        <w:adjustRightInd w:val="0"/>
        <w:snapToGrid w:val="0"/>
        <w:spacing w:line="288" w:lineRule="auto"/>
        <w:ind w:firstLine="880"/>
        <w:jc w:val="center"/>
        <w:rPr>
          <w:rFonts w:ascii="华文仿宋" w:hAnsi="华文仿宋" w:eastAsia="华文仿宋" w:cs="华文仿宋"/>
          <w:color w:val="auto"/>
          <w:kern w:val="44"/>
          <w:sz w:val="44"/>
          <w:szCs w:val="44"/>
        </w:rPr>
      </w:pPr>
    </w:p>
    <w:p>
      <w:pPr>
        <w:ind w:firstLine="1040"/>
        <w:jc w:val="center"/>
        <w:rPr>
          <w:rFonts w:eastAsia="仿宋"/>
          <w:color w:val="auto"/>
          <w:sz w:val="52"/>
          <w:szCs w:val="52"/>
        </w:rPr>
      </w:pPr>
    </w:p>
    <w:p>
      <w:pPr>
        <w:ind w:firstLine="880"/>
        <w:rPr>
          <w:rFonts w:eastAsia="仿宋"/>
          <w:color w:val="auto"/>
          <w:sz w:val="44"/>
          <w:szCs w:val="44"/>
        </w:rPr>
      </w:pPr>
    </w:p>
    <w:p>
      <w:pPr>
        <w:ind w:firstLine="880"/>
        <w:rPr>
          <w:rFonts w:eastAsia="仿宋"/>
          <w:color w:val="auto"/>
          <w:sz w:val="44"/>
          <w:szCs w:val="44"/>
        </w:rPr>
      </w:pPr>
    </w:p>
    <w:p>
      <w:pPr>
        <w:ind w:firstLine="880"/>
        <w:rPr>
          <w:rFonts w:eastAsia="仿宋"/>
          <w:color w:val="auto"/>
          <w:sz w:val="44"/>
          <w:szCs w:val="44"/>
          <w:u w:val="single"/>
        </w:rPr>
      </w:pPr>
    </w:p>
    <w:p>
      <w:pPr>
        <w:ind w:firstLine="880"/>
        <w:rPr>
          <w:rFonts w:eastAsia="仿宋"/>
          <w:color w:val="auto"/>
          <w:sz w:val="44"/>
          <w:szCs w:val="44"/>
        </w:rPr>
      </w:pPr>
    </w:p>
    <w:p>
      <w:pPr>
        <w:widowControl/>
        <w:ind w:firstLine="1080" w:firstLineChars="300"/>
        <w:rPr>
          <w:rFonts w:ascii="仿宋_GB2312" w:eastAsia="仿宋_GB2312"/>
          <w:color w:val="auto"/>
          <w:sz w:val="36"/>
          <w:szCs w:val="36"/>
          <w:u w:val="single"/>
        </w:rPr>
      </w:pPr>
      <w:r>
        <w:rPr>
          <w:rFonts w:hint="eastAsia" w:ascii="仿宋_GB2312" w:eastAsia="仿宋_GB2312"/>
          <w:color w:val="auto"/>
          <w:sz w:val="36"/>
          <w:szCs w:val="36"/>
        </w:rPr>
        <w:t>项目名称：</w:t>
      </w:r>
      <w:r>
        <w:rPr>
          <w:rFonts w:hint="eastAsia" w:ascii="仿宋_GB2312" w:eastAsia="仿宋_GB2312"/>
          <w:color w:val="auto"/>
          <w:sz w:val="36"/>
          <w:szCs w:val="36"/>
          <w:u w:val="single"/>
        </w:rPr>
        <w:t xml:space="preserve">      </w:t>
      </w:r>
      <w:r>
        <w:rPr>
          <w:rFonts w:hint="eastAsia" w:ascii="仿宋_GB2312" w:eastAsia="仿宋_GB2312"/>
          <w:color w:val="auto"/>
          <w:sz w:val="36"/>
          <w:szCs w:val="36"/>
          <w:u w:val="single"/>
          <w:lang w:eastAsia="zh-CN"/>
        </w:rPr>
        <w:t>乐山宠爱宠物医院</w:t>
      </w:r>
      <w:r>
        <w:rPr>
          <w:rFonts w:hint="eastAsia" w:ascii="仿宋_GB2312" w:eastAsia="仿宋_GB2312"/>
          <w:color w:val="auto"/>
          <w:sz w:val="36"/>
          <w:szCs w:val="36"/>
          <w:u w:val="single"/>
        </w:rPr>
        <w:t xml:space="preserve">      </w:t>
      </w:r>
    </w:p>
    <w:p>
      <w:pPr>
        <w:adjustRightInd w:val="0"/>
        <w:snapToGrid w:val="0"/>
        <w:spacing w:line="288" w:lineRule="auto"/>
        <w:ind w:firstLine="1080" w:firstLineChars="300"/>
        <w:rPr>
          <w:rFonts w:ascii="仿宋_GB2312" w:eastAsia="仿宋_GB2312"/>
          <w:color w:val="auto"/>
          <w:sz w:val="36"/>
          <w:szCs w:val="36"/>
          <w:u w:val="single"/>
        </w:rPr>
      </w:pPr>
      <w:r>
        <w:rPr>
          <w:rFonts w:hint="eastAsia" w:ascii="仿宋_GB2312" w:eastAsia="仿宋_GB2312"/>
          <w:color w:val="auto"/>
          <w:sz w:val="36"/>
          <w:szCs w:val="36"/>
        </w:rPr>
        <w:t>建设单位（盖章）：</w:t>
      </w:r>
      <w:r>
        <w:rPr>
          <w:rFonts w:hint="eastAsia" w:ascii="仿宋_GB2312" w:eastAsia="仿宋_GB2312"/>
          <w:color w:val="auto"/>
          <w:sz w:val="36"/>
          <w:szCs w:val="36"/>
          <w:u w:val="single"/>
        </w:rPr>
        <w:t xml:space="preserve">  乐山宠爱宠物医院  </w:t>
      </w:r>
    </w:p>
    <w:p>
      <w:pPr>
        <w:adjustRightInd w:val="0"/>
        <w:snapToGrid w:val="0"/>
        <w:spacing w:line="288" w:lineRule="auto"/>
        <w:ind w:firstLine="1080" w:firstLineChars="300"/>
        <w:rPr>
          <w:rFonts w:hint="eastAsia" w:ascii="仿宋_GB2312" w:eastAsia="仿宋_GB2312"/>
          <w:color w:val="auto"/>
          <w:sz w:val="36"/>
          <w:szCs w:val="36"/>
          <w:u w:val="single"/>
        </w:rPr>
      </w:pPr>
      <w:r>
        <w:rPr>
          <w:rFonts w:hint="eastAsia" w:ascii="仿宋_GB2312" w:eastAsia="仿宋_GB2312"/>
          <w:color w:val="auto"/>
          <w:sz w:val="36"/>
          <w:szCs w:val="36"/>
        </w:rPr>
        <w:t>编制日期：</w:t>
      </w:r>
      <w:r>
        <w:rPr>
          <w:rFonts w:hint="eastAsia" w:ascii="仿宋_GB2312" w:eastAsia="仿宋_GB2312"/>
          <w:color w:val="auto"/>
          <w:sz w:val="36"/>
          <w:szCs w:val="36"/>
          <w:u w:val="single"/>
        </w:rPr>
        <w:t xml:space="preserve">      2022 年6月           </w:t>
      </w:r>
    </w:p>
    <w:p>
      <w:pPr>
        <w:adjustRightInd w:val="0"/>
        <w:snapToGrid w:val="0"/>
        <w:spacing w:line="288" w:lineRule="auto"/>
        <w:rPr>
          <w:rFonts w:ascii="仿宋_GB2312" w:eastAsia="仿宋_GB2312"/>
          <w:color w:val="auto"/>
          <w:sz w:val="36"/>
          <w:szCs w:val="36"/>
          <w:u w:val="single"/>
        </w:rPr>
      </w:pPr>
    </w:p>
    <w:p>
      <w:pPr>
        <w:adjustRightInd w:val="0"/>
        <w:snapToGrid w:val="0"/>
        <w:spacing w:line="288" w:lineRule="auto"/>
        <w:rPr>
          <w:rFonts w:ascii="仿宋_GB2312" w:eastAsia="仿宋_GB2312"/>
          <w:color w:val="auto"/>
          <w:sz w:val="36"/>
          <w:szCs w:val="36"/>
        </w:rPr>
      </w:pPr>
    </w:p>
    <w:p>
      <w:pPr>
        <w:adjustRightInd w:val="0"/>
        <w:snapToGrid w:val="0"/>
        <w:spacing w:line="288" w:lineRule="auto"/>
        <w:rPr>
          <w:rFonts w:ascii="仿宋_GB2312" w:eastAsia="仿宋_GB2312"/>
          <w:color w:val="auto"/>
          <w:sz w:val="36"/>
          <w:szCs w:val="36"/>
        </w:rPr>
      </w:pPr>
    </w:p>
    <w:p>
      <w:pPr>
        <w:adjustRightInd w:val="0"/>
        <w:snapToGrid w:val="0"/>
        <w:spacing w:line="288" w:lineRule="auto"/>
        <w:rPr>
          <w:rFonts w:hint="eastAsia" w:ascii="仿宋_GB2312" w:eastAsia="仿宋_GB2312"/>
          <w:color w:val="auto"/>
          <w:sz w:val="36"/>
          <w:szCs w:val="36"/>
        </w:rPr>
      </w:pPr>
    </w:p>
    <w:p>
      <w:pPr>
        <w:adjustRightInd w:val="0"/>
        <w:snapToGrid w:val="0"/>
        <w:spacing w:line="288" w:lineRule="auto"/>
        <w:rPr>
          <w:rFonts w:hint="eastAsia" w:ascii="仿宋_GB2312" w:eastAsia="仿宋_GB2312"/>
          <w:color w:val="auto"/>
          <w:sz w:val="36"/>
          <w:szCs w:val="36"/>
        </w:rPr>
      </w:pPr>
    </w:p>
    <w:p>
      <w:pPr>
        <w:adjustRightInd w:val="0"/>
        <w:snapToGrid w:val="0"/>
        <w:spacing w:line="288" w:lineRule="auto"/>
        <w:ind w:firstLine="0" w:firstLineChars="0"/>
        <w:jc w:val="center"/>
        <w:rPr>
          <w:rFonts w:hint="eastAsia" w:ascii="楷体_GB2312" w:eastAsia="楷体_GB2312"/>
          <w:color w:val="auto"/>
          <w:sz w:val="36"/>
          <w:szCs w:val="36"/>
        </w:rPr>
      </w:pPr>
      <w:r>
        <w:rPr>
          <w:rFonts w:hint="eastAsia" w:ascii="楷体_GB2312" w:eastAsia="楷体_GB2312"/>
          <w:color w:val="auto"/>
          <w:sz w:val="36"/>
          <w:szCs w:val="36"/>
        </w:rPr>
        <w:t>中华人民共和国生态环境部制</w:t>
      </w:r>
    </w:p>
    <w:p>
      <w:pPr>
        <w:adjustRightInd w:val="0"/>
        <w:snapToGrid w:val="0"/>
        <w:spacing w:line="288" w:lineRule="auto"/>
        <w:rPr>
          <w:rFonts w:ascii="仿宋_GB2312" w:eastAsia="仿宋_GB2312"/>
          <w:color w:val="auto"/>
          <w:sz w:val="36"/>
          <w:szCs w:val="36"/>
        </w:rPr>
        <w:sectPr>
          <w:headerReference r:id="rId20" w:type="first"/>
          <w:footerReference r:id="rId23" w:type="first"/>
          <w:headerReference r:id="rId18" w:type="default"/>
          <w:footerReference r:id="rId21" w:type="default"/>
          <w:headerReference r:id="rId19" w:type="even"/>
          <w:footerReference r:id="rId22" w:type="even"/>
          <w:pgSz w:w="11906" w:h="16838"/>
          <w:pgMar w:top="1701" w:right="1531" w:bottom="1701" w:left="1531" w:header="851" w:footer="1077" w:gutter="0"/>
          <w:pgNumType w:start="3"/>
          <w:cols w:space="720" w:num="1"/>
          <w:docGrid w:linePitch="312" w:charSpace="0"/>
        </w:sectPr>
      </w:pPr>
    </w:p>
    <w:p>
      <w:pPr>
        <w:adjustRightInd w:val="0"/>
        <w:snapToGrid w:val="0"/>
        <w:spacing w:line="288" w:lineRule="auto"/>
        <w:ind w:firstLine="723"/>
        <w:jc w:val="center"/>
        <w:rPr>
          <w:b/>
          <w:bCs/>
          <w:color w:val="auto"/>
          <w:sz w:val="36"/>
          <w:szCs w:val="44"/>
        </w:rPr>
      </w:pPr>
      <w:bookmarkStart w:id="42" w:name="_Toc461"/>
      <w:r>
        <w:rPr>
          <w:rFonts w:ascii="宋体" w:hAnsi="宋体"/>
          <w:b/>
          <w:bCs/>
          <w:color w:val="auto"/>
          <w:sz w:val="36"/>
          <w:szCs w:val="44"/>
        </w:rPr>
        <w:t>目录</w:t>
      </w:r>
    </w:p>
    <w:p>
      <w:pPr>
        <w:pStyle w:val="25"/>
        <w:tabs>
          <w:tab w:val="right" w:leader="middleDot" w:pos="8844"/>
        </w:tabs>
        <w:rPr>
          <w:b w:val="0"/>
          <w:color w:val="auto"/>
        </w:rPr>
      </w:pPr>
      <w:r>
        <w:rPr>
          <w:rFonts w:hint="eastAsia" w:cs="宋体"/>
          <w:b w:val="0"/>
          <w:bCs/>
          <w:color w:val="auto"/>
          <w:sz w:val="32"/>
          <w:szCs w:val="32"/>
        </w:rPr>
        <w:fldChar w:fldCharType="begin"/>
      </w:r>
      <w:r>
        <w:rPr>
          <w:rFonts w:hint="eastAsia" w:cs="宋体"/>
          <w:b w:val="0"/>
          <w:bCs/>
          <w:color w:val="auto"/>
          <w:sz w:val="32"/>
          <w:szCs w:val="32"/>
        </w:rPr>
        <w:instrText xml:space="preserve">TOC \o "1-1" \h \u </w:instrText>
      </w:r>
      <w:r>
        <w:rPr>
          <w:rFonts w:hint="eastAsia" w:cs="宋体"/>
          <w:b w:val="0"/>
          <w:bCs/>
          <w:color w:val="auto"/>
          <w:sz w:val="32"/>
          <w:szCs w:val="32"/>
        </w:rPr>
        <w:fldChar w:fldCharType="separate"/>
      </w:r>
      <w:r>
        <w:rPr>
          <w:rFonts w:hint="eastAsia" w:cs="宋体"/>
          <w:b w:val="0"/>
          <w:bCs/>
          <w:color w:val="auto"/>
          <w:szCs w:val="32"/>
        </w:rPr>
        <w:fldChar w:fldCharType="begin"/>
      </w:r>
      <w:r>
        <w:rPr>
          <w:rFonts w:hint="eastAsia" w:cs="宋体"/>
          <w:b w:val="0"/>
          <w:bCs/>
          <w:color w:val="auto"/>
          <w:szCs w:val="32"/>
        </w:rPr>
        <w:instrText xml:space="preserve"> HYPERLINK \l _Toc27719 </w:instrText>
      </w:r>
      <w:r>
        <w:rPr>
          <w:rFonts w:hint="eastAsia" w:cs="宋体"/>
          <w:b w:val="0"/>
          <w:bCs/>
          <w:color w:val="auto"/>
          <w:szCs w:val="32"/>
        </w:rPr>
        <w:fldChar w:fldCharType="separate"/>
      </w:r>
      <w:r>
        <w:rPr>
          <w:rFonts w:hint="eastAsia"/>
          <w:b w:val="0"/>
          <w:snapToGrid w:val="0"/>
          <w:color w:val="auto"/>
          <w:szCs w:val="30"/>
        </w:rPr>
        <w:t>一、建设项目基本情况</w:t>
      </w:r>
      <w:r>
        <w:rPr>
          <w:b w:val="0"/>
          <w:color w:val="auto"/>
        </w:rPr>
        <w:tab/>
      </w:r>
      <w:r>
        <w:rPr>
          <w:b w:val="0"/>
          <w:color w:val="auto"/>
        </w:rPr>
        <w:fldChar w:fldCharType="begin"/>
      </w:r>
      <w:r>
        <w:rPr>
          <w:b w:val="0"/>
          <w:color w:val="auto"/>
        </w:rPr>
        <w:instrText xml:space="preserve"> PAGEREF _Toc27719 \h </w:instrText>
      </w:r>
      <w:r>
        <w:rPr>
          <w:b w:val="0"/>
          <w:color w:val="auto"/>
        </w:rPr>
        <w:fldChar w:fldCharType="separate"/>
      </w:r>
      <w:r>
        <w:rPr>
          <w:b w:val="0"/>
          <w:color w:val="auto"/>
        </w:rPr>
        <w:t>1</w:t>
      </w:r>
      <w:r>
        <w:rPr>
          <w:b w:val="0"/>
          <w:color w:val="auto"/>
        </w:rPr>
        <w:fldChar w:fldCharType="end"/>
      </w:r>
      <w:r>
        <w:rPr>
          <w:rFonts w:hint="eastAsia" w:cs="宋体"/>
          <w:b w:val="0"/>
          <w:bCs/>
          <w:color w:val="auto"/>
          <w:szCs w:val="32"/>
        </w:rPr>
        <w:fldChar w:fldCharType="end"/>
      </w:r>
    </w:p>
    <w:p>
      <w:pPr>
        <w:pStyle w:val="25"/>
        <w:tabs>
          <w:tab w:val="right" w:leader="middleDot" w:pos="8844"/>
        </w:tabs>
        <w:rPr>
          <w:b w:val="0"/>
          <w:color w:val="auto"/>
        </w:rPr>
      </w:pPr>
      <w:r>
        <w:rPr>
          <w:rFonts w:hint="eastAsia" w:cs="宋体"/>
          <w:b w:val="0"/>
          <w:bCs/>
          <w:color w:val="auto"/>
          <w:szCs w:val="32"/>
        </w:rPr>
        <w:fldChar w:fldCharType="begin"/>
      </w:r>
      <w:r>
        <w:rPr>
          <w:rFonts w:hint="eastAsia" w:cs="宋体"/>
          <w:b w:val="0"/>
          <w:bCs/>
          <w:color w:val="auto"/>
          <w:szCs w:val="32"/>
        </w:rPr>
        <w:instrText xml:space="preserve"> HYPERLINK \l _Toc3202 </w:instrText>
      </w:r>
      <w:r>
        <w:rPr>
          <w:rFonts w:hint="eastAsia" w:cs="宋体"/>
          <w:b w:val="0"/>
          <w:bCs/>
          <w:color w:val="auto"/>
          <w:szCs w:val="32"/>
        </w:rPr>
        <w:fldChar w:fldCharType="separate"/>
      </w:r>
      <w:r>
        <w:rPr>
          <w:rFonts w:hint="eastAsia"/>
          <w:b w:val="0"/>
          <w:color w:val="auto"/>
        </w:rPr>
        <w:t>二、建设项目工程分析</w:t>
      </w:r>
      <w:r>
        <w:rPr>
          <w:b w:val="0"/>
          <w:color w:val="auto"/>
        </w:rPr>
        <w:tab/>
      </w:r>
      <w:r>
        <w:rPr>
          <w:b w:val="0"/>
          <w:color w:val="auto"/>
        </w:rPr>
        <w:fldChar w:fldCharType="begin"/>
      </w:r>
      <w:r>
        <w:rPr>
          <w:b w:val="0"/>
          <w:color w:val="auto"/>
        </w:rPr>
        <w:instrText xml:space="preserve"> PAGEREF _Toc3202 \h </w:instrText>
      </w:r>
      <w:r>
        <w:rPr>
          <w:b w:val="0"/>
          <w:color w:val="auto"/>
        </w:rPr>
        <w:fldChar w:fldCharType="separate"/>
      </w:r>
      <w:r>
        <w:rPr>
          <w:b w:val="0"/>
          <w:color w:val="auto"/>
        </w:rPr>
        <w:t>13</w:t>
      </w:r>
      <w:r>
        <w:rPr>
          <w:b w:val="0"/>
          <w:color w:val="auto"/>
        </w:rPr>
        <w:fldChar w:fldCharType="end"/>
      </w:r>
      <w:r>
        <w:rPr>
          <w:rFonts w:hint="eastAsia" w:cs="宋体"/>
          <w:b w:val="0"/>
          <w:bCs/>
          <w:color w:val="auto"/>
          <w:szCs w:val="32"/>
        </w:rPr>
        <w:fldChar w:fldCharType="end"/>
      </w:r>
    </w:p>
    <w:p>
      <w:pPr>
        <w:pStyle w:val="25"/>
        <w:tabs>
          <w:tab w:val="right" w:leader="middleDot" w:pos="8844"/>
        </w:tabs>
        <w:rPr>
          <w:b w:val="0"/>
          <w:color w:val="auto"/>
        </w:rPr>
      </w:pPr>
      <w:r>
        <w:rPr>
          <w:rFonts w:hint="eastAsia" w:cs="宋体"/>
          <w:b w:val="0"/>
          <w:bCs/>
          <w:color w:val="auto"/>
          <w:szCs w:val="32"/>
        </w:rPr>
        <w:fldChar w:fldCharType="begin"/>
      </w:r>
      <w:r>
        <w:rPr>
          <w:rFonts w:hint="eastAsia" w:cs="宋体"/>
          <w:b w:val="0"/>
          <w:bCs/>
          <w:color w:val="auto"/>
          <w:szCs w:val="32"/>
        </w:rPr>
        <w:instrText xml:space="preserve"> HYPERLINK \l _Toc8477 </w:instrText>
      </w:r>
      <w:r>
        <w:rPr>
          <w:rFonts w:hint="eastAsia" w:cs="宋体"/>
          <w:b w:val="0"/>
          <w:bCs/>
          <w:color w:val="auto"/>
          <w:szCs w:val="32"/>
        </w:rPr>
        <w:fldChar w:fldCharType="separate"/>
      </w:r>
      <w:r>
        <w:rPr>
          <w:rFonts w:hint="eastAsia"/>
          <w:b w:val="0"/>
          <w:color w:val="auto"/>
        </w:rPr>
        <w:t>三、区域环境质量现状、环境保护目标及评价标准</w:t>
      </w:r>
      <w:r>
        <w:rPr>
          <w:b w:val="0"/>
          <w:color w:val="auto"/>
        </w:rPr>
        <w:tab/>
      </w:r>
      <w:r>
        <w:rPr>
          <w:b w:val="0"/>
          <w:color w:val="auto"/>
        </w:rPr>
        <w:fldChar w:fldCharType="begin"/>
      </w:r>
      <w:r>
        <w:rPr>
          <w:b w:val="0"/>
          <w:color w:val="auto"/>
        </w:rPr>
        <w:instrText xml:space="preserve"> PAGEREF _Toc8477 \h </w:instrText>
      </w:r>
      <w:r>
        <w:rPr>
          <w:b w:val="0"/>
          <w:color w:val="auto"/>
        </w:rPr>
        <w:fldChar w:fldCharType="separate"/>
      </w:r>
      <w:r>
        <w:rPr>
          <w:b w:val="0"/>
          <w:color w:val="auto"/>
        </w:rPr>
        <w:t>21</w:t>
      </w:r>
      <w:r>
        <w:rPr>
          <w:b w:val="0"/>
          <w:color w:val="auto"/>
        </w:rPr>
        <w:fldChar w:fldCharType="end"/>
      </w:r>
      <w:r>
        <w:rPr>
          <w:rFonts w:hint="eastAsia" w:cs="宋体"/>
          <w:b w:val="0"/>
          <w:bCs/>
          <w:color w:val="auto"/>
          <w:szCs w:val="32"/>
        </w:rPr>
        <w:fldChar w:fldCharType="end"/>
      </w:r>
    </w:p>
    <w:p>
      <w:pPr>
        <w:pStyle w:val="25"/>
        <w:tabs>
          <w:tab w:val="right" w:leader="middleDot" w:pos="8844"/>
        </w:tabs>
        <w:rPr>
          <w:b w:val="0"/>
          <w:color w:val="auto"/>
        </w:rPr>
      </w:pPr>
      <w:r>
        <w:rPr>
          <w:rFonts w:hint="eastAsia" w:cs="宋体"/>
          <w:b w:val="0"/>
          <w:bCs/>
          <w:color w:val="auto"/>
          <w:szCs w:val="32"/>
        </w:rPr>
        <w:fldChar w:fldCharType="begin"/>
      </w:r>
      <w:r>
        <w:rPr>
          <w:rFonts w:hint="eastAsia" w:cs="宋体"/>
          <w:b w:val="0"/>
          <w:bCs/>
          <w:color w:val="auto"/>
          <w:szCs w:val="32"/>
        </w:rPr>
        <w:instrText xml:space="preserve"> HYPERLINK \l _Toc32538 </w:instrText>
      </w:r>
      <w:r>
        <w:rPr>
          <w:rFonts w:hint="eastAsia" w:cs="宋体"/>
          <w:b w:val="0"/>
          <w:bCs/>
          <w:color w:val="auto"/>
          <w:szCs w:val="32"/>
        </w:rPr>
        <w:fldChar w:fldCharType="separate"/>
      </w:r>
      <w:r>
        <w:rPr>
          <w:rFonts w:hint="eastAsia"/>
          <w:b w:val="0"/>
          <w:snapToGrid w:val="0"/>
          <w:color w:val="auto"/>
          <w:szCs w:val="30"/>
        </w:rPr>
        <w:t>四、主要环境影响和保护措施</w:t>
      </w:r>
      <w:r>
        <w:rPr>
          <w:b w:val="0"/>
          <w:color w:val="auto"/>
        </w:rPr>
        <w:tab/>
      </w:r>
      <w:r>
        <w:rPr>
          <w:b w:val="0"/>
          <w:color w:val="auto"/>
        </w:rPr>
        <w:fldChar w:fldCharType="begin"/>
      </w:r>
      <w:r>
        <w:rPr>
          <w:b w:val="0"/>
          <w:color w:val="auto"/>
        </w:rPr>
        <w:instrText xml:space="preserve"> PAGEREF _Toc32538 \h </w:instrText>
      </w:r>
      <w:r>
        <w:rPr>
          <w:b w:val="0"/>
          <w:color w:val="auto"/>
        </w:rPr>
        <w:fldChar w:fldCharType="separate"/>
      </w:r>
      <w:r>
        <w:rPr>
          <w:b w:val="0"/>
          <w:color w:val="auto"/>
        </w:rPr>
        <w:t>27</w:t>
      </w:r>
      <w:r>
        <w:rPr>
          <w:b w:val="0"/>
          <w:color w:val="auto"/>
        </w:rPr>
        <w:fldChar w:fldCharType="end"/>
      </w:r>
      <w:r>
        <w:rPr>
          <w:rFonts w:hint="eastAsia" w:cs="宋体"/>
          <w:b w:val="0"/>
          <w:bCs/>
          <w:color w:val="auto"/>
          <w:szCs w:val="32"/>
        </w:rPr>
        <w:fldChar w:fldCharType="end"/>
      </w:r>
    </w:p>
    <w:p>
      <w:pPr>
        <w:pStyle w:val="25"/>
        <w:tabs>
          <w:tab w:val="right" w:leader="middleDot" w:pos="8844"/>
        </w:tabs>
        <w:rPr>
          <w:b w:val="0"/>
          <w:color w:val="auto"/>
        </w:rPr>
      </w:pPr>
      <w:r>
        <w:rPr>
          <w:rFonts w:hint="eastAsia" w:cs="宋体"/>
          <w:b w:val="0"/>
          <w:bCs/>
          <w:color w:val="auto"/>
          <w:szCs w:val="32"/>
        </w:rPr>
        <w:fldChar w:fldCharType="begin"/>
      </w:r>
      <w:r>
        <w:rPr>
          <w:rFonts w:hint="eastAsia" w:cs="宋体"/>
          <w:b w:val="0"/>
          <w:bCs/>
          <w:color w:val="auto"/>
          <w:szCs w:val="32"/>
        </w:rPr>
        <w:instrText xml:space="preserve"> HYPERLINK \l _Toc24232 </w:instrText>
      </w:r>
      <w:r>
        <w:rPr>
          <w:rFonts w:hint="eastAsia" w:cs="宋体"/>
          <w:b w:val="0"/>
          <w:bCs/>
          <w:color w:val="auto"/>
          <w:szCs w:val="32"/>
        </w:rPr>
        <w:fldChar w:fldCharType="separate"/>
      </w:r>
      <w:r>
        <w:rPr>
          <w:rFonts w:hint="eastAsia"/>
          <w:b w:val="0"/>
          <w:color w:val="auto"/>
        </w:rPr>
        <w:t>五、环境保护措施监督检查清单</w:t>
      </w:r>
      <w:r>
        <w:rPr>
          <w:b w:val="0"/>
          <w:color w:val="auto"/>
        </w:rPr>
        <w:tab/>
      </w:r>
      <w:r>
        <w:rPr>
          <w:b w:val="0"/>
          <w:color w:val="auto"/>
        </w:rPr>
        <w:fldChar w:fldCharType="begin"/>
      </w:r>
      <w:r>
        <w:rPr>
          <w:b w:val="0"/>
          <w:color w:val="auto"/>
        </w:rPr>
        <w:instrText xml:space="preserve"> PAGEREF _Toc24232 \h </w:instrText>
      </w:r>
      <w:r>
        <w:rPr>
          <w:b w:val="0"/>
          <w:color w:val="auto"/>
        </w:rPr>
        <w:fldChar w:fldCharType="separate"/>
      </w:r>
      <w:r>
        <w:rPr>
          <w:b w:val="0"/>
          <w:color w:val="auto"/>
        </w:rPr>
        <w:t>41</w:t>
      </w:r>
      <w:r>
        <w:rPr>
          <w:b w:val="0"/>
          <w:color w:val="auto"/>
        </w:rPr>
        <w:fldChar w:fldCharType="end"/>
      </w:r>
      <w:r>
        <w:rPr>
          <w:rFonts w:hint="eastAsia" w:cs="宋体"/>
          <w:b w:val="0"/>
          <w:bCs/>
          <w:color w:val="auto"/>
          <w:szCs w:val="32"/>
        </w:rPr>
        <w:fldChar w:fldCharType="end"/>
      </w:r>
    </w:p>
    <w:p>
      <w:pPr>
        <w:pStyle w:val="25"/>
        <w:tabs>
          <w:tab w:val="right" w:leader="middleDot" w:pos="8844"/>
        </w:tabs>
        <w:rPr>
          <w:b w:val="0"/>
          <w:color w:val="auto"/>
        </w:rPr>
      </w:pPr>
      <w:r>
        <w:rPr>
          <w:rFonts w:hint="eastAsia" w:cs="宋体"/>
          <w:b w:val="0"/>
          <w:bCs/>
          <w:color w:val="auto"/>
          <w:szCs w:val="32"/>
        </w:rPr>
        <w:fldChar w:fldCharType="begin"/>
      </w:r>
      <w:r>
        <w:rPr>
          <w:rFonts w:hint="eastAsia" w:cs="宋体"/>
          <w:b w:val="0"/>
          <w:bCs/>
          <w:color w:val="auto"/>
          <w:szCs w:val="32"/>
        </w:rPr>
        <w:instrText xml:space="preserve"> HYPERLINK \l _Toc11423 </w:instrText>
      </w:r>
      <w:r>
        <w:rPr>
          <w:rFonts w:hint="eastAsia" w:cs="宋体"/>
          <w:b w:val="0"/>
          <w:bCs/>
          <w:color w:val="auto"/>
          <w:szCs w:val="32"/>
        </w:rPr>
        <w:fldChar w:fldCharType="separate"/>
      </w:r>
      <w:r>
        <w:rPr>
          <w:rFonts w:hint="eastAsia"/>
          <w:b w:val="0"/>
          <w:snapToGrid w:val="0"/>
          <w:color w:val="auto"/>
          <w:szCs w:val="30"/>
        </w:rPr>
        <w:t>六、结论</w:t>
      </w:r>
      <w:r>
        <w:rPr>
          <w:b w:val="0"/>
          <w:color w:val="auto"/>
        </w:rPr>
        <w:tab/>
      </w:r>
      <w:r>
        <w:rPr>
          <w:b w:val="0"/>
          <w:color w:val="auto"/>
        </w:rPr>
        <w:fldChar w:fldCharType="begin"/>
      </w:r>
      <w:r>
        <w:rPr>
          <w:b w:val="0"/>
          <w:color w:val="auto"/>
        </w:rPr>
        <w:instrText xml:space="preserve"> PAGEREF _Toc11423 \h </w:instrText>
      </w:r>
      <w:r>
        <w:rPr>
          <w:b w:val="0"/>
          <w:color w:val="auto"/>
        </w:rPr>
        <w:fldChar w:fldCharType="separate"/>
      </w:r>
      <w:r>
        <w:rPr>
          <w:b w:val="0"/>
          <w:color w:val="auto"/>
        </w:rPr>
        <w:t>43</w:t>
      </w:r>
      <w:r>
        <w:rPr>
          <w:b w:val="0"/>
          <w:color w:val="auto"/>
        </w:rPr>
        <w:fldChar w:fldCharType="end"/>
      </w:r>
      <w:r>
        <w:rPr>
          <w:rFonts w:hint="eastAsia" w:cs="宋体"/>
          <w:b w:val="0"/>
          <w:bCs/>
          <w:color w:val="auto"/>
          <w:szCs w:val="32"/>
        </w:rPr>
        <w:fldChar w:fldCharType="end"/>
      </w:r>
    </w:p>
    <w:p>
      <w:pPr>
        <w:pStyle w:val="25"/>
        <w:tabs>
          <w:tab w:val="right" w:leader="middleDot" w:pos="8844"/>
        </w:tabs>
        <w:rPr>
          <w:b w:val="0"/>
          <w:color w:val="auto"/>
        </w:rPr>
      </w:pPr>
      <w:r>
        <w:rPr>
          <w:rFonts w:hint="eastAsia" w:cs="宋体"/>
          <w:b w:val="0"/>
          <w:bCs/>
          <w:color w:val="auto"/>
          <w:szCs w:val="32"/>
        </w:rPr>
        <w:fldChar w:fldCharType="begin"/>
      </w:r>
      <w:r>
        <w:rPr>
          <w:rFonts w:hint="eastAsia" w:cs="宋体"/>
          <w:b w:val="0"/>
          <w:bCs/>
          <w:color w:val="auto"/>
          <w:szCs w:val="32"/>
        </w:rPr>
        <w:instrText xml:space="preserve"> HYPERLINK \l _Toc12613 </w:instrText>
      </w:r>
      <w:r>
        <w:rPr>
          <w:rFonts w:hint="eastAsia" w:cs="宋体"/>
          <w:b w:val="0"/>
          <w:bCs/>
          <w:color w:val="auto"/>
          <w:szCs w:val="32"/>
        </w:rPr>
        <w:fldChar w:fldCharType="separate"/>
      </w:r>
      <w:r>
        <w:rPr>
          <w:rFonts w:hint="eastAsia"/>
          <w:b w:val="0"/>
          <w:snapToGrid w:val="0"/>
          <w:color w:val="auto"/>
          <w:szCs w:val="32"/>
        </w:rPr>
        <w:t>附表</w:t>
      </w:r>
      <w:r>
        <w:rPr>
          <w:b w:val="0"/>
          <w:color w:val="auto"/>
        </w:rPr>
        <w:tab/>
      </w:r>
      <w:r>
        <w:rPr>
          <w:b w:val="0"/>
          <w:color w:val="auto"/>
        </w:rPr>
        <w:fldChar w:fldCharType="begin"/>
      </w:r>
      <w:r>
        <w:rPr>
          <w:b w:val="0"/>
          <w:color w:val="auto"/>
        </w:rPr>
        <w:instrText xml:space="preserve"> PAGEREF _Toc12613 \h </w:instrText>
      </w:r>
      <w:r>
        <w:rPr>
          <w:b w:val="0"/>
          <w:color w:val="auto"/>
        </w:rPr>
        <w:fldChar w:fldCharType="separate"/>
      </w:r>
      <w:r>
        <w:rPr>
          <w:b w:val="0"/>
          <w:color w:val="auto"/>
        </w:rPr>
        <w:t>44</w:t>
      </w:r>
      <w:r>
        <w:rPr>
          <w:b w:val="0"/>
          <w:color w:val="auto"/>
        </w:rPr>
        <w:fldChar w:fldCharType="end"/>
      </w:r>
      <w:r>
        <w:rPr>
          <w:rFonts w:hint="eastAsia" w:cs="宋体"/>
          <w:b w:val="0"/>
          <w:bCs/>
          <w:color w:val="auto"/>
          <w:szCs w:val="32"/>
        </w:rPr>
        <w:fldChar w:fldCharType="end"/>
      </w:r>
    </w:p>
    <w:p>
      <w:pPr>
        <w:pStyle w:val="25"/>
        <w:tabs>
          <w:tab w:val="right" w:leader="middleDot" w:pos="8844"/>
        </w:tabs>
        <w:rPr>
          <w:b w:val="0"/>
          <w:color w:val="auto"/>
        </w:rPr>
      </w:pPr>
      <w:r>
        <w:rPr>
          <w:rFonts w:hint="eastAsia" w:cs="宋体"/>
          <w:b w:val="0"/>
          <w:bCs/>
          <w:color w:val="auto"/>
          <w:szCs w:val="32"/>
        </w:rPr>
        <w:fldChar w:fldCharType="begin"/>
      </w:r>
      <w:r>
        <w:rPr>
          <w:rFonts w:hint="eastAsia" w:cs="宋体"/>
          <w:b w:val="0"/>
          <w:bCs/>
          <w:color w:val="auto"/>
          <w:szCs w:val="32"/>
        </w:rPr>
        <w:instrText xml:space="preserve"> HYPERLINK \l _Toc31336 </w:instrText>
      </w:r>
      <w:r>
        <w:rPr>
          <w:rFonts w:hint="eastAsia" w:cs="宋体"/>
          <w:b w:val="0"/>
          <w:bCs/>
          <w:color w:val="auto"/>
          <w:szCs w:val="32"/>
        </w:rPr>
        <w:fldChar w:fldCharType="separate"/>
      </w:r>
      <w:r>
        <w:rPr>
          <w:rFonts w:hint="eastAsia"/>
          <w:b w:val="0"/>
          <w:color w:val="auto"/>
        </w:rPr>
        <w:t>建设项目污染物排放量汇总表</w:t>
      </w:r>
      <w:r>
        <w:rPr>
          <w:b w:val="0"/>
          <w:color w:val="auto"/>
        </w:rPr>
        <w:tab/>
      </w:r>
      <w:r>
        <w:rPr>
          <w:b w:val="0"/>
          <w:color w:val="auto"/>
        </w:rPr>
        <w:fldChar w:fldCharType="begin"/>
      </w:r>
      <w:r>
        <w:rPr>
          <w:b w:val="0"/>
          <w:color w:val="auto"/>
        </w:rPr>
        <w:instrText xml:space="preserve"> PAGEREF _Toc31336 \h </w:instrText>
      </w:r>
      <w:r>
        <w:rPr>
          <w:b w:val="0"/>
          <w:color w:val="auto"/>
        </w:rPr>
        <w:fldChar w:fldCharType="separate"/>
      </w:r>
      <w:r>
        <w:rPr>
          <w:b w:val="0"/>
          <w:color w:val="auto"/>
        </w:rPr>
        <w:t>44</w:t>
      </w:r>
      <w:r>
        <w:rPr>
          <w:b w:val="0"/>
          <w:color w:val="auto"/>
        </w:rPr>
        <w:fldChar w:fldCharType="end"/>
      </w:r>
      <w:r>
        <w:rPr>
          <w:rFonts w:hint="eastAsia" w:cs="宋体"/>
          <w:b w:val="0"/>
          <w:bCs/>
          <w:color w:val="auto"/>
          <w:szCs w:val="32"/>
        </w:rPr>
        <w:fldChar w:fldCharType="end"/>
      </w:r>
    </w:p>
    <w:p>
      <w:pPr>
        <w:pStyle w:val="104"/>
        <w:spacing w:line="240" w:lineRule="auto"/>
        <w:ind w:firstLine="0" w:firstLineChars="0"/>
        <w:rPr>
          <w:rFonts w:hint="eastAsia" w:ascii="宋体" w:hAnsi="宋体" w:cs="宋体"/>
          <w:b/>
          <w:bCs/>
          <w:color w:val="auto"/>
          <w:sz w:val="32"/>
          <w:szCs w:val="32"/>
        </w:rPr>
      </w:pPr>
      <w:r>
        <w:rPr>
          <w:rFonts w:hint="eastAsia" w:cs="宋体"/>
          <w:bCs/>
          <w:color w:val="auto"/>
          <w:szCs w:val="32"/>
        </w:rPr>
        <w:fldChar w:fldCharType="end"/>
      </w:r>
    </w:p>
    <w:p>
      <w:pPr>
        <w:pStyle w:val="104"/>
        <w:spacing w:line="240" w:lineRule="auto"/>
        <w:ind w:firstLine="0" w:firstLineChars="0"/>
        <w:rPr>
          <w:rFonts w:hint="eastAsia"/>
          <w:color w:val="auto"/>
        </w:rPr>
      </w:pPr>
      <w:r>
        <w:rPr>
          <w:rFonts w:hint="eastAsia"/>
          <w:color w:val="auto"/>
        </w:rPr>
        <w:br w:type="page"/>
      </w:r>
    </w:p>
    <w:p>
      <w:pPr>
        <w:pStyle w:val="104"/>
        <w:spacing w:line="240" w:lineRule="auto"/>
        <w:ind w:firstLine="0" w:firstLineChars="0"/>
        <w:rPr>
          <w:rFonts w:hint="eastAsia"/>
          <w:b/>
          <w:bCs/>
          <w:color w:val="auto"/>
          <w:sz w:val="28"/>
          <w:szCs w:val="28"/>
        </w:rPr>
      </w:pPr>
      <w:r>
        <w:rPr>
          <w:rFonts w:hint="eastAsia"/>
          <w:b/>
          <w:bCs/>
          <w:color w:val="auto"/>
          <w:sz w:val="28"/>
          <w:szCs w:val="28"/>
        </w:rPr>
        <w:t>附图：</w:t>
      </w:r>
    </w:p>
    <w:p>
      <w:pPr>
        <w:pStyle w:val="104"/>
        <w:numPr>
          <w:ilvl w:val="0"/>
          <w:numId w:val="5"/>
        </w:numPr>
        <w:ind w:firstLine="480"/>
        <w:rPr>
          <w:rFonts w:hint="eastAsia"/>
          <w:color w:val="auto"/>
        </w:rPr>
      </w:pPr>
      <w:r>
        <w:rPr>
          <w:rFonts w:hint="eastAsia"/>
          <w:color w:val="auto"/>
        </w:rPr>
        <w:t>项目地理位置图</w:t>
      </w:r>
    </w:p>
    <w:p>
      <w:pPr>
        <w:pStyle w:val="104"/>
        <w:numPr>
          <w:ilvl w:val="0"/>
          <w:numId w:val="5"/>
        </w:numPr>
        <w:ind w:firstLine="480"/>
        <w:rPr>
          <w:color w:val="auto"/>
        </w:rPr>
      </w:pPr>
      <w:r>
        <w:rPr>
          <w:rFonts w:hint="eastAsia"/>
          <w:color w:val="auto"/>
        </w:rPr>
        <w:t>乐山市城市总体规划图</w:t>
      </w:r>
    </w:p>
    <w:p>
      <w:pPr>
        <w:pStyle w:val="104"/>
        <w:numPr>
          <w:ilvl w:val="0"/>
          <w:numId w:val="5"/>
        </w:numPr>
        <w:ind w:firstLine="480"/>
        <w:rPr>
          <w:color w:val="auto"/>
        </w:rPr>
      </w:pPr>
      <w:r>
        <w:rPr>
          <w:rFonts w:hint="eastAsia"/>
          <w:color w:val="auto"/>
        </w:rPr>
        <w:t>项目外环境关系示意图</w:t>
      </w:r>
    </w:p>
    <w:p>
      <w:pPr>
        <w:pStyle w:val="104"/>
        <w:ind w:firstLine="480"/>
        <w:rPr>
          <w:rFonts w:hint="eastAsia"/>
          <w:color w:val="auto"/>
        </w:rPr>
      </w:pPr>
      <w:r>
        <w:rPr>
          <w:rFonts w:hint="eastAsia"/>
          <w:color w:val="auto"/>
        </w:rPr>
        <w:t>4-1、项目一层平面布置示意图</w:t>
      </w:r>
    </w:p>
    <w:p>
      <w:pPr>
        <w:pStyle w:val="104"/>
        <w:ind w:firstLine="480"/>
        <w:rPr>
          <w:rFonts w:hint="eastAsia"/>
          <w:color w:val="auto"/>
        </w:rPr>
      </w:pPr>
      <w:r>
        <w:rPr>
          <w:rFonts w:hint="eastAsia"/>
          <w:color w:val="auto"/>
        </w:rPr>
        <w:t>4-2、项目二层平面布置示意图</w:t>
      </w:r>
    </w:p>
    <w:p>
      <w:pPr>
        <w:pStyle w:val="104"/>
        <w:ind w:firstLine="480"/>
        <w:rPr>
          <w:rFonts w:hint="eastAsia"/>
          <w:color w:val="auto"/>
        </w:rPr>
      </w:pPr>
      <w:r>
        <w:rPr>
          <w:rFonts w:hint="eastAsia"/>
          <w:color w:val="auto"/>
        </w:rPr>
        <w:t>5、项目与所在区域环境管控单元的位置关系图</w:t>
      </w:r>
    </w:p>
    <w:p>
      <w:pPr>
        <w:pStyle w:val="104"/>
        <w:ind w:firstLine="480"/>
        <w:rPr>
          <w:color w:val="auto"/>
        </w:rPr>
      </w:pPr>
      <w:r>
        <w:rPr>
          <w:rFonts w:hint="eastAsia"/>
          <w:color w:val="auto"/>
        </w:rPr>
        <w:t>6、本项目所在生态保护红线位置示意图</w:t>
      </w:r>
    </w:p>
    <w:p>
      <w:pPr>
        <w:pStyle w:val="104"/>
        <w:ind w:firstLine="480"/>
        <w:rPr>
          <w:rFonts w:hint="eastAsia"/>
          <w:color w:val="auto"/>
        </w:rPr>
      </w:pPr>
      <w:r>
        <w:rPr>
          <w:rFonts w:hint="eastAsia"/>
          <w:color w:val="auto"/>
        </w:rPr>
        <w:t>7、</w:t>
      </w:r>
      <w:r>
        <w:rPr>
          <w:color w:val="auto"/>
        </w:rPr>
        <w:t>区域污水</w:t>
      </w:r>
      <w:r>
        <w:rPr>
          <w:rFonts w:hint="eastAsia"/>
          <w:color w:val="auto"/>
        </w:rPr>
        <w:t>管网</w:t>
      </w:r>
      <w:r>
        <w:rPr>
          <w:color w:val="auto"/>
        </w:rPr>
        <w:t>分布图</w:t>
      </w:r>
    </w:p>
    <w:p>
      <w:pPr>
        <w:pStyle w:val="104"/>
        <w:ind w:firstLine="480"/>
        <w:rPr>
          <w:rFonts w:hint="eastAsia"/>
          <w:color w:val="auto"/>
        </w:rPr>
      </w:pPr>
      <w:r>
        <w:rPr>
          <w:color w:val="auto"/>
        </w:rPr>
        <w:t>8</w:t>
      </w:r>
      <w:r>
        <w:rPr>
          <w:rFonts w:hint="eastAsia"/>
          <w:color w:val="auto"/>
        </w:rPr>
        <w:t>、现场照片</w:t>
      </w:r>
    </w:p>
    <w:p>
      <w:pPr>
        <w:pStyle w:val="104"/>
        <w:spacing w:line="240" w:lineRule="auto"/>
        <w:ind w:firstLine="0" w:firstLineChars="0"/>
        <w:rPr>
          <w:rFonts w:hint="eastAsia"/>
          <w:b/>
          <w:bCs/>
          <w:color w:val="auto"/>
          <w:sz w:val="28"/>
          <w:szCs w:val="28"/>
        </w:rPr>
      </w:pPr>
      <w:r>
        <w:rPr>
          <w:rFonts w:hint="eastAsia"/>
          <w:b/>
          <w:bCs/>
          <w:color w:val="auto"/>
          <w:sz w:val="28"/>
          <w:szCs w:val="28"/>
        </w:rPr>
        <w:t>附件：</w:t>
      </w:r>
    </w:p>
    <w:p>
      <w:pPr>
        <w:pStyle w:val="104"/>
        <w:numPr>
          <w:ilvl w:val="0"/>
          <w:numId w:val="6"/>
        </w:numPr>
        <w:ind w:firstLine="480"/>
        <w:rPr>
          <w:rFonts w:hint="eastAsia"/>
          <w:color w:val="auto"/>
        </w:rPr>
      </w:pPr>
      <w:r>
        <w:rPr>
          <w:rFonts w:hint="eastAsia"/>
          <w:color w:val="auto"/>
        </w:rPr>
        <w:t>项目委托书</w:t>
      </w:r>
    </w:p>
    <w:p>
      <w:pPr>
        <w:pStyle w:val="104"/>
        <w:numPr>
          <w:ilvl w:val="0"/>
          <w:numId w:val="6"/>
        </w:numPr>
        <w:ind w:firstLine="480"/>
        <w:rPr>
          <w:color w:val="auto"/>
        </w:rPr>
      </w:pPr>
      <w:r>
        <w:rPr>
          <w:rFonts w:hint="eastAsia"/>
          <w:color w:val="auto"/>
        </w:rPr>
        <w:t>动物诊疗许可证</w:t>
      </w:r>
    </w:p>
    <w:p>
      <w:pPr>
        <w:pStyle w:val="104"/>
        <w:numPr>
          <w:ilvl w:val="0"/>
          <w:numId w:val="6"/>
        </w:numPr>
        <w:ind w:firstLine="480"/>
        <w:rPr>
          <w:color w:val="auto"/>
        </w:rPr>
      </w:pPr>
      <w:r>
        <w:rPr>
          <w:rFonts w:hint="eastAsia"/>
          <w:color w:val="auto"/>
        </w:rPr>
        <w:t>行政处罚事先告知书</w:t>
      </w:r>
    </w:p>
    <w:p>
      <w:pPr>
        <w:pStyle w:val="104"/>
        <w:numPr>
          <w:ilvl w:val="0"/>
          <w:numId w:val="6"/>
        </w:numPr>
        <w:ind w:firstLine="480"/>
        <w:rPr>
          <w:color w:val="auto"/>
        </w:rPr>
      </w:pPr>
      <w:r>
        <w:rPr>
          <w:rFonts w:hint="eastAsia"/>
          <w:color w:val="auto"/>
        </w:rPr>
        <w:t>行政处罚决定书</w:t>
      </w:r>
    </w:p>
    <w:p>
      <w:pPr>
        <w:pStyle w:val="104"/>
        <w:numPr>
          <w:ilvl w:val="0"/>
          <w:numId w:val="6"/>
        </w:numPr>
        <w:ind w:firstLine="480"/>
        <w:rPr>
          <w:color w:val="auto"/>
        </w:rPr>
      </w:pPr>
      <w:r>
        <w:rPr>
          <w:rFonts w:hint="eastAsia"/>
          <w:color w:val="auto"/>
        </w:rPr>
        <w:t>缴纳罚款电子受理单</w:t>
      </w:r>
    </w:p>
    <w:p>
      <w:pPr>
        <w:pStyle w:val="104"/>
        <w:numPr>
          <w:ilvl w:val="0"/>
          <w:numId w:val="6"/>
        </w:numPr>
        <w:ind w:firstLine="480"/>
        <w:rPr>
          <w:color w:val="auto"/>
        </w:rPr>
      </w:pPr>
      <w:r>
        <w:rPr>
          <w:rFonts w:hint="eastAsia"/>
          <w:color w:val="auto"/>
        </w:rPr>
        <w:t>房屋租赁协议</w:t>
      </w:r>
    </w:p>
    <w:p>
      <w:pPr>
        <w:pStyle w:val="104"/>
        <w:numPr>
          <w:ilvl w:val="0"/>
          <w:numId w:val="6"/>
        </w:numPr>
        <w:ind w:firstLine="480"/>
        <w:rPr>
          <w:color w:val="auto"/>
        </w:rPr>
      </w:pPr>
      <w:r>
        <w:rPr>
          <w:rFonts w:hint="eastAsia"/>
          <w:color w:val="auto"/>
        </w:rPr>
        <w:t>房产证</w:t>
      </w:r>
    </w:p>
    <w:p>
      <w:pPr>
        <w:pStyle w:val="104"/>
        <w:numPr>
          <w:ilvl w:val="0"/>
          <w:numId w:val="6"/>
        </w:numPr>
        <w:ind w:firstLine="480"/>
        <w:rPr>
          <w:color w:val="auto"/>
        </w:rPr>
      </w:pPr>
      <w:r>
        <w:rPr>
          <w:rFonts w:hint="eastAsia"/>
          <w:color w:val="auto"/>
        </w:rPr>
        <w:t>兽医资格证</w:t>
      </w:r>
    </w:p>
    <w:p>
      <w:pPr>
        <w:pStyle w:val="104"/>
        <w:numPr>
          <w:ilvl w:val="0"/>
          <w:numId w:val="6"/>
        </w:numPr>
        <w:ind w:firstLine="480"/>
        <w:rPr>
          <w:color w:val="auto"/>
        </w:rPr>
      </w:pPr>
      <w:r>
        <w:rPr>
          <w:rFonts w:hint="eastAsia"/>
          <w:color w:val="auto"/>
        </w:rPr>
        <w:t>乐山市宠爱宠物医院用Ⅲ类射线装置应用项目环境影响登记表</w:t>
      </w:r>
    </w:p>
    <w:p>
      <w:pPr>
        <w:pStyle w:val="104"/>
        <w:numPr>
          <w:ilvl w:val="0"/>
          <w:numId w:val="6"/>
        </w:numPr>
        <w:ind w:firstLine="480"/>
        <w:rPr>
          <w:color w:val="auto"/>
        </w:rPr>
      </w:pPr>
      <w:r>
        <w:rPr>
          <w:rFonts w:hint="eastAsia"/>
          <w:color w:val="auto"/>
        </w:rPr>
        <w:t>清蓝（环）检220221乐山宠爱宠物医院 “乐山宠爱宠物医院”建设项目声环境质量现状监测</w:t>
      </w:r>
    </w:p>
    <w:p>
      <w:pPr>
        <w:pStyle w:val="104"/>
        <w:numPr>
          <w:ilvl w:val="0"/>
          <w:numId w:val="6"/>
        </w:numPr>
        <w:ind w:firstLine="480"/>
        <w:rPr>
          <w:color w:val="auto"/>
        </w:rPr>
      </w:pPr>
      <w:r>
        <w:rPr>
          <w:rFonts w:hint="eastAsia"/>
          <w:color w:val="auto"/>
        </w:rPr>
        <w:t>营业执照</w:t>
      </w:r>
    </w:p>
    <w:p>
      <w:pPr>
        <w:pStyle w:val="104"/>
        <w:numPr>
          <w:ilvl w:val="0"/>
          <w:numId w:val="6"/>
        </w:numPr>
        <w:ind w:firstLine="480"/>
        <w:rPr>
          <w:color w:val="auto"/>
        </w:rPr>
      </w:pPr>
      <w:r>
        <w:rPr>
          <w:rFonts w:hint="eastAsia"/>
          <w:color w:val="auto"/>
        </w:rPr>
        <w:t>法人身份证</w:t>
      </w:r>
    </w:p>
    <w:p>
      <w:pPr>
        <w:pStyle w:val="104"/>
        <w:numPr>
          <w:ilvl w:val="0"/>
          <w:numId w:val="6"/>
        </w:numPr>
        <w:ind w:firstLine="480"/>
        <w:rPr>
          <w:color w:val="auto"/>
        </w:rPr>
      </w:pPr>
      <w:r>
        <w:rPr>
          <w:rFonts w:hint="eastAsia"/>
          <w:color w:val="auto"/>
        </w:rPr>
        <w:t>无害化处置协议</w:t>
      </w:r>
    </w:p>
    <w:p>
      <w:pPr>
        <w:pStyle w:val="3"/>
        <w:rPr>
          <w:rFonts w:hint="eastAsia" w:ascii="黑体" w:hAnsi="黑体"/>
          <w:snapToGrid w:val="0"/>
          <w:color w:val="auto"/>
        </w:rPr>
      </w:pPr>
    </w:p>
    <w:p>
      <w:pPr>
        <w:ind w:firstLine="480"/>
        <w:rPr>
          <w:rFonts w:hint="eastAsia"/>
          <w:color w:val="auto"/>
        </w:rPr>
        <w:sectPr>
          <w:headerReference r:id="rId24" w:type="default"/>
          <w:footerReference r:id="rId25" w:type="default"/>
          <w:pgSz w:w="11906" w:h="16838"/>
          <w:pgMar w:top="1701" w:right="1531" w:bottom="1701" w:left="1531" w:header="851" w:footer="1077" w:gutter="0"/>
          <w:cols w:space="720" w:num="1"/>
          <w:docGrid w:linePitch="312" w:charSpace="0"/>
        </w:sectPr>
      </w:pPr>
    </w:p>
    <w:p>
      <w:pPr>
        <w:pStyle w:val="3"/>
        <w:rPr>
          <w:rFonts w:hint="eastAsia" w:ascii="黑体" w:hAnsi="黑体"/>
          <w:snapToGrid w:val="0"/>
          <w:color w:val="auto"/>
        </w:rPr>
      </w:pPr>
      <w:bookmarkStart w:id="43" w:name="_Toc19236"/>
      <w:bookmarkStart w:id="44" w:name="_Toc27719"/>
      <w:bookmarkStart w:id="45" w:name="_Toc9447"/>
      <w:r>
        <w:rPr>
          <w:rFonts w:hint="eastAsia" w:ascii="黑体" w:hAnsi="黑体"/>
          <w:snapToGrid w:val="0"/>
          <w:color w:val="auto"/>
        </w:rPr>
        <w:t>一、建设项目基本情况</w:t>
      </w:r>
      <w:bookmarkEnd w:id="42"/>
      <w:bookmarkEnd w:id="43"/>
      <w:bookmarkEnd w:id="44"/>
      <w:bookmarkEnd w:id="45"/>
    </w:p>
    <w:tbl>
      <w:tblPr>
        <w:tblStyle w:val="3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563"/>
        <w:gridCol w:w="1096"/>
        <w:gridCol w:w="1882"/>
        <w:gridCol w:w="1814"/>
        <w:gridCol w:w="3515"/>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16" w:hRule="atLeast"/>
          <w:jc w:val="center"/>
        </w:trPr>
        <w:tc>
          <w:tcPr>
            <w:tcW w:w="1659" w:type="dxa"/>
            <w:gridSpan w:val="2"/>
            <w:noWrap w:val="0"/>
            <w:tcMar>
              <w:top w:w="16" w:type="dxa"/>
              <w:left w:w="16" w:type="dxa"/>
              <w:right w:w="16" w:type="dxa"/>
            </w:tcMar>
            <w:vAlign w:val="center"/>
          </w:tcPr>
          <w:p>
            <w:pPr>
              <w:pStyle w:val="118"/>
              <w:rPr>
                <w:rFonts w:hint="eastAsia" w:ascii="宋体" w:hAnsi="宋体" w:cs="宋体"/>
                <w:color w:val="auto"/>
                <w:sz w:val="24"/>
              </w:rPr>
            </w:pPr>
            <w:r>
              <w:rPr>
                <w:rFonts w:hint="eastAsia" w:ascii="宋体" w:hAnsi="宋体" w:cs="宋体"/>
                <w:color w:val="auto"/>
                <w:sz w:val="24"/>
              </w:rPr>
              <w:t>建设项目名称</w:t>
            </w:r>
          </w:p>
        </w:tc>
        <w:tc>
          <w:tcPr>
            <w:tcW w:w="7211" w:type="dxa"/>
            <w:gridSpan w:val="3"/>
            <w:noWrap w:val="0"/>
            <w:vAlign w:val="center"/>
          </w:tcPr>
          <w:p>
            <w:pPr>
              <w:pStyle w:val="118"/>
              <w:rPr>
                <w:rFonts w:hint="eastAsia" w:ascii="宋体" w:hAnsi="宋体" w:eastAsia="宋体" w:cs="宋体"/>
                <w:color w:val="auto"/>
                <w:sz w:val="24"/>
                <w:lang w:eastAsia="zh-CN"/>
              </w:rPr>
            </w:pPr>
            <w:r>
              <w:rPr>
                <w:rFonts w:hint="eastAsia" w:ascii="宋体" w:hAnsi="宋体" w:cs="宋体"/>
                <w:color w:val="auto"/>
                <w:sz w:val="24"/>
                <w:lang w:eastAsia="zh-CN"/>
              </w:rPr>
              <w:t>乐山宠爱宠物医院</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659" w:type="dxa"/>
            <w:gridSpan w:val="2"/>
            <w:noWrap w:val="0"/>
            <w:tcMar>
              <w:top w:w="16" w:type="dxa"/>
              <w:left w:w="16" w:type="dxa"/>
              <w:right w:w="16" w:type="dxa"/>
            </w:tcMar>
            <w:vAlign w:val="center"/>
          </w:tcPr>
          <w:p>
            <w:pPr>
              <w:pStyle w:val="118"/>
              <w:rPr>
                <w:rFonts w:hint="eastAsia" w:ascii="宋体" w:hAnsi="宋体" w:cs="宋体"/>
                <w:color w:val="auto"/>
                <w:sz w:val="24"/>
              </w:rPr>
            </w:pPr>
            <w:r>
              <w:rPr>
                <w:rFonts w:hint="eastAsia" w:ascii="宋体" w:hAnsi="宋体" w:cs="宋体"/>
                <w:color w:val="auto"/>
                <w:sz w:val="24"/>
              </w:rPr>
              <w:t>项目代码</w:t>
            </w:r>
          </w:p>
        </w:tc>
        <w:tc>
          <w:tcPr>
            <w:tcW w:w="7211" w:type="dxa"/>
            <w:gridSpan w:val="3"/>
            <w:noWrap w:val="0"/>
            <w:vAlign w:val="center"/>
          </w:tcPr>
          <w:p>
            <w:pPr>
              <w:pStyle w:val="118"/>
              <w:rPr>
                <w:rFonts w:hint="eastAsia" w:ascii="宋体" w:hAnsi="宋体" w:cs="宋体"/>
                <w:color w:val="auto"/>
                <w:sz w:val="24"/>
              </w:rPr>
            </w:pPr>
            <w:r>
              <w:rPr>
                <w:rFonts w:hint="eastAsia" w:ascii="宋体" w:hAnsi="宋体" w:cs="宋体"/>
                <w:color w:val="auto"/>
                <w:sz w:val="24"/>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659" w:type="dxa"/>
            <w:gridSpan w:val="2"/>
            <w:noWrap w:val="0"/>
            <w:tcMar>
              <w:top w:w="16" w:type="dxa"/>
              <w:left w:w="16" w:type="dxa"/>
              <w:right w:w="16" w:type="dxa"/>
            </w:tcMar>
            <w:vAlign w:val="center"/>
          </w:tcPr>
          <w:p>
            <w:pPr>
              <w:pStyle w:val="118"/>
              <w:rPr>
                <w:rFonts w:hint="eastAsia" w:ascii="宋体" w:hAnsi="宋体" w:cs="宋体"/>
                <w:color w:val="auto"/>
                <w:sz w:val="24"/>
              </w:rPr>
            </w:pPr>
            <w:r>
              <w:rPr>
                <w:rFonts w:hint="eastAsia" w:ascii="宋体" w:hAnsi="宋体" w:cs="宋体"/>
                <w:color w:val="auto"/>
                <w:sz w:val="24"/>
              </w:rPr>
              <w:t>建设单位联系人</w:t>
            </w:r>
          </w:p>
        </w:tc>
        <w:tc>
          <w:tcPr>
            <w:tcW w:w="1882" w:type="dxa"/>
            <w:noWrap w:val="0"/>
            <w:vAlign w:val="center"/>
          </w:tcPr>
          <w:p>
            <w:pPr>
              <w:pStyle w:val="118"/>
              <w:rPr>
                <w:rFonts w:hint="eastAsia" w:ascii="宋体" w:hAnsi="宋体" w:cs="宋体"/>
                <w:color w:val="auto"/>
                <w:sz w:val="24"/>
              </w:rPr>
            </w:pPr>
            <w:r>
              <w:rPr>
                <w:rFonts w:hint="eastAsia" w:ascii="宋体" w:hAnsi="宋体" w:cs="宋体"/>
                <w:color w:val="auto"/>
                <w:sz w:val="24"/>
              </w:rPr>
              <w:t>练懿</w:t>
            </w:r>
          </w:p>
        </w:tc>
        <w:tc>
          <w:tcPr>
            <w:tcW w:w="1814" w:type="dxa"/>
            <w:noWrap w:val="0"/>
            <w:vAlign w:val="center"/>
          </w:tcPr>
          <w:p>
            <w:pPr>
              <w:pStyle w:val="118"/>
              <w:rPr>
                <w:rFonts w:hint="eastAsia" w:ascii="宋体" w:hAnsi="宋体" w:cs="宋体"/>
                <w:color w:val="auto"/>
                <w:sz w:val="24"/>
              </w:rPr>
            </w:pPr>
            <w:r>
              <w:rPr>
                <w:rFonts w:hint="eastAsia" w:ascii="宋体" w:hAnsi="宋体" w:cs="宋体"/>
                <w:color w:val="auto"/>
                <w:sz w:val="24"/>
              </w:rPr>
              <w:t>联系方式</w:t>
            </w:r>
          </w:p>
        </w:tc>
        <w:tc>
          <w:tcPr>
            <w:tcW w:w="3515" w:type="dxa"/>
            <w:noWrap w:val="0"/>
            <w:vAlign w:val="center"/>
          </w:tcPr>
          <w:p>
            <w:pPr>
              <w:pStyle w:val="118"/>
              <w:rPr>
                <w:rFonts w:hint="eastAsia" w:ascii="宋体" w:hAnsi="宋体" w:cs="宋体"/>
                <w:color w:val="auto"/>
                <w:sz w:val="24"/>
              </w:rPr>
            </w:pPr>
            <w:r>
              <w:rPr>
                <w:rFonts w:hint="eastAsia" w:ascii="宋体" w:hAnsi="宋体" w:cs="宋体"/>
                <w:color w:val="auto"/>
                <w:sz w:val="24"/>
              </w:rPr>
              <w:t>13990676916</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659" w:type="dxa"/>
            <w:gridSpan w:val="2"/>
            <w:noWrap w:val="0"/>
            <w:tcMar>
              <w:top w:w="16" w:type="dxa"/>
              <w:left w:w="16" w:type="dxa"/>
              <w:right w:w="16" w:type="dxa"/>
            </w:tcMar>
            <w:vAlign w:val="center"/>
          </w:tcPr>
          <w:p>
            <w:pPr>
              <w:pStyle w:val="118"/>
              <w:rPr>
                <w:rFonts w:hint="eastAsia" w:ascii="宋体" w:hAnsi="宋体" w:cs="宋体"/>
                <w:color w:val="auto"/>
                <w:sz w:val="24"/>
              </w:rPr>
            </w:pPr>
            <w:r>
              <w:rPr>
                <w:rFonts w:hint="eastAsia" w:ascii="宋体" w:hAnsi="宋体" w:cs="宋体"/>
                <w:color w:val="auto"/>
                <w:sz w:val="24"/>
              </w:rPr>
              <w:t>建设地点</w:t>
            </w:r>
          </w:p>
        </w:tc>
        <w:tc>
          <w:tcPr>
            <w:tcW w:w="7211" w:type="dxa"/>
            <w:gridSpan w:val="3"/>
            <w:noWrap w:val="0"/>
            <w:vAlign w:val="center"/>
          </w:tcPr>
          <w:p>
            <w:pPr>
              <w:pStyle w:val="118"/>
              <w:rPr>
                <w:rFonts w:hint="eastAsia" w:ascii="宋体" w:hAnsi="宋体" w:cs="宋体"/>
                <w:color w:val="auto"/>
                <w:sz w:val="24"/>
              </w:rPr>
            </w:pPr>
            <w:r>
              <w:rPr>
                <w:rFonts w:hint="eastAsia" w:ascii="宋体" w:hAnsi="宋体" w:cs="宋体"/>
                <w:color w:val="auto"/>
                <w:sz w:val="24"/>
              </w:rPr>
              <w:t>四川省乐山市市中区春华路中段656号</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659" w:type="dxa"/>
            <w:gridSpan w:val="2"/>
            <w:noWrap w:val="0"/>
            <w:tcMar>
              <w:top w:w="16" w:type="dxa"/>
              <w:left w:w="16" w:type="dxa"/>
              <w:right w:w="16" w:type="dxa"/>
            </w:tcMar>
            <w:vAlign w:val="center"/>
          </w:tcPr>
          <w:p>
            <w:pPr>
              <w:pStyle w:val="118"/>
              <w:rPr>
                <w:rFonts w:hint="eastAsia" w:ascii="宋体" w:hAnsi="宋体" w:cs="宋体"/>
                <w:color w:val="auto"/>
                <w:sz w:val="24"/>
              </w:rPr>
            </w:pPr>
            <w:r>
              <w:rPr>
                <w:rFonts w:hint="eastAsia" w:ascii="宋体" w:hAnsi="宋体" w:cs="宋体"/>
                <w:color w:val="auto"/>
                <w:sz w:val="24"/>
              </w:rPr>
              <w:t>地理坐标</w:t>
            </w:r>
          </w:p>
        </w:tc>
        <w:tc>
          <w:tcPr>
            <w:tcW w:w="7211" w:type="dxa"/>
            <w:gridSpan w:val="3"/>
            <w:noWrap w:val="0"/>
            <w:vAlign w:val="center"/>
          </w:tcPr>
          <w:p>
            <w:pPr>
              <w:pStyle w:val="118"/>
              <w:rPr>
                <w:rFonts w:hint="eastAsia" w:ascii="宋体" w:hAnsi="宋体" w:cs="宋体"/>
                <w:color w:val="auto"/>
                <w:sz w:val="24"/>
              </w:rPr>
            </w:pPr>
            <w:r>
              <w:rPr>
                <w:rFonts w:hint="eastAsia" w:ascii="宋体" w:hAnsi="宋体" w:cs="宋体"/>
                <w:color w:val="auto"/>
                <w:sz w:val="24"/>
              </w:rPr>
              <w:t>（103度44分35.635秒，29度36分4.649秒）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61" w:hRule="atLeast"/>
          <w:jc w:val="center"/>
        </w:trPr>
        <w:tc>
          <w:tcPr>
            <w:tcW w:w="1659" w:type="dxa"/>
            <w:gridSpan w:val="2"/>
            <w:noWrap w:val="0"/>
            <w:tcMar>
              <w:top w:w="16" w:type="dxa"/>
              <w:left w:w="16" w:type="dxa"/>
              <w:right w:w="16" w:type="dxa"/>
            </w:tcMar>
            <w:vAlign w:val="center"/>
          </w:tcPr>
          <w:p>
            <w:pPr>
              <w:pStyle w:val="118"/>
              <w:rPr>
                <w:rFonts w:hint="eastAsia" w:ascii="宋体" w:hAnsi="宋体" w:cs="宋体"/>
                <w:color w:val="auto"/>
                <w:sz w:val="24"/>
              </w:rPr>
            </w:pPr>
            <w:r>
              <w:rPr>
                <w:rFonts w:hint="eastAsia" w:ascii="宋体" w:hAnsi="宋体" w:cs="宋体"/>
                <w:color w:val="auto"/>
                <w:sz w:val="24"/>
              </w:rPr>
              <w:t>国民经济</w:t>
            </w:r>
          </w:p>
          <w:p>
            <w:pPr>
              <w:pStyle w:val="118"/>
              <w:rPr>
                <w:rFonts w:hint="eastAsia" w:ascii="宋体" w:hAnsi="宋体" w:cs="宋体"/>
                <w:color w:val="auto"/>
                <w:sz w:val="24"/>
              </w:rPr>
            </w:pPr>
            <w:r>
              <w:rPr>
                <w:rFonts w:hint="eastAsia" w:ascii="宋体" w:hAnsi="宋体" w:cs="宋体"/>
                <w:color w:val="auto"/>
                <w:sz w:val="24"/>
              </w:rPr>
              <w:t>行业类别</w:t>
            </w:r>
          </w:p>
        </w:tc>
        <w:tc>
          <w:tcPr>
            <w:tcW w:w="1882" w:type="dxa"/>
            <w:noWrap w:val="0"/>
            <w:vAlign w:val="center"/>
          </w:tcPr>
          <w:p>
            <w:pPr>
              <w:pStyle w:val="118"/>
              <w:rPr>
                <w:rFonts w:hint="eastAsia" w:ascii="宋体" w:hAnsi="宋体" w:cs="宋体"/>
                <w:color w:val="auto"/>
                <w:sz w:val="24"/>
              </w:rPr>
            </w:pPr>
            <w:r>
              <w:rPr>
                <w:rFonts w:hint="eastAsia" w:ascii="宋体" w:hAnsi="宋体" w:cs="宋体"/>
                <w:color w:val="auto"/>
                <w:sz w:val="24"/>
              </w:rPr>
              <w:t>P8222宠物医院</w:t>
            </w:r>
          </w:p>
        </w:tc>
        <w:tc>
          <w:tcPr>
            <w:tcW w:w="1814" w:type="dxa"/>
            <w:noWrap w:val="0"/>
            <w:vAlign w:val="center"/>
          </w:tcPr>
          <w:p>
            <w:pPr>
              <w:pStyle w:val="118"/>
              <w:rPr>
                <w:rFonts w:hint="eastAsia" w:ascii="宋体" w:hAnsi="宋体" w:cs="宋体"/>
                <w:color w:val="auto"/>
                <w:sz w:val="24"/>
              </w:rPr>
            </w:pPr>
            <w:r>
              <w:rPr>
                <w:rFonts w:hint="eastAsia" w:ascii="宋体" w:hAnsi="宋体" w:cs="宋体"/>
                <w:color w:val="auto"/>
                <w:sz w:val="24"/>
              </w:rPr>
              <w:t>建设项目</w:t>
            </w:r>
          </w:p>
          <w:p>
            <w:pPr>
              <w:pStyle w:val="118"/>
              <w:rPr>
                <w:rFonts w:hint="eastAsia" w:ascii="宋体" w:hAnsi="宋体" w:cs="宋体"/>
                <w:color w:val="auto"/>
                <w:sz w:val="24"/>
              </w:rPr>
            </w:pPr>
            <w:r>
              <w:rPr>
                <w:rFonts w:hint="eastAsia" w:ascii="宋体" w:hAnsi="宋体" w:cs="宋体"/>
                <w:color w:val="auto"/>
                <w:sz w:val="24"/>
              </w:rPr>
              <w:t>行业类别</w:t>
            </w:r>
          </w:p>
        </w:tc>
        <w:tc>
          <w:tcPr>
            <w:tcW w:w="3515" w:type="dxa"/>
            <w:noWrap w:val="0"/>
            <w:vAlign w:val="center"/>
          </w:tcPr>
          <w:p>
            <w:pPr>
              <w:pStyle w:val="118"/>
              <w:rPr>
                <w:rFonts w:hint="eastAsia" w:ascii="宋体" w:hAnsi="宋体" w:cs="宋体"/>
                <w:color w:val="auto"/>
                <w:sz w:val="24"/>
              </w:rPr>
            </w:pPr>
            <w:r>
              <w:rPr>
                <w:rFonts w:hint="eastAsia" w:ascii="宋体" w:hAnsi="宋体" w:cs="宋体"/>
                <w:color w:val="auto"/>
                <w:sz w:val="24"/>
              </w:rPr>
              <w:t>五十、社会事业与服务业123动物医院</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219" w:hRule="atLeast"/>
          <w:jc w:val="center"/>
        </w:trPr>
        <w:tc>
          <w:tcPr>
            <w:tcW w:w="1659" w:type="dxa"/>
            <w:gridSpan w:val="2"/>
            <w:noWrap w:val="0"/>
            <w:tcMar>
              <w:top w:w="16" w:type="dxa"/>
              <w:left w:w="16" w:type="dxa"/>
              <w:right w:w="16" w:type="dxa"/>
            </w:tcMar>
            <w:vAlign w:val="center"/>
          </w:tcPr>
          <w:p>
            <w:pPr>
              <w:pStyle w:val="118"/>
              <w:rPr>
                <w:rFonts w:hint="eastAsia" w:ascii="宋体" w:hAnsi="宋体" w:cs="宋体"/>
                <w:color w:val="auto"/>
                <w:sz w:val="24"/>
              </w:rPr>
            </w:pPr>
            <w:r>
              <w:rPr>
                <w:rFonts w:hint="eastAsia" w:ascii="宋体" w:hAnsi="宋体" w:cs="宋体"/>
                <w:color w:val="auto"/>
                <w:sz w:val="24"/>
              </w:rPr>
              <w:t>建设性质</w:t>
            </w:r>
          </w:p>
        </w:tc>
        <w:tc>
          <w:tcPr>
            <w:tcW w:w="1882" w:type="dxa"/>
            <w:noWrap w:val="0"/>
            <w:vAlign w:val="center"/>
          </w:tcPr>
          <w:p>
            <w:pPr>
              <w:pStyle w:val="118"/>
              <w:jc w:val="left"/>
              <w:rPr>
                <w:rFonts w:hint="eastAsia" w:ascii="宋体" w:hAnsi="宋体" w:cs="宋体"/>
                <w:color w:val="auto"/>
                <w:sz w:val="24"/>
              </w:rPr>
            </w:pPr>
            <w:r>
              <w:rPr>
                <w:rFonts w:hint="eastAsia" w:ascii="宋体" w:hAnsi="宋体" w:cs="宋体"/>
                <w:color w:val="auto"/>
                <w:sz w:val="24"/>
              </w:rPr>
              <w:sym w:font="Wingdings 2" w:char="0052"/>
            </w:r>
            <w:r>
              <w:rPr>
                <w:rFonts w:hint="eastAsia" w:ascii="宋体" w:hAnsi="宋体" w:cs="宋体"/>
                <w:color w:val="auto"/>
                <w:sz w:val="24"/>
              </w:rPr>
              <w:t>新建（迁建）</w:t>
            </w:r>
          </w:p>
          <w:p>
            <w:pPr>
              <w:pStyle w:val="118"/>
              <w:jc w:val="left"/>
              <w:rPr>
                <w:rFonts w:hint="eastAsia" w:ascii="宋体" w:hAnsi="宋体" w:cs="宋体"/>
                <w:color w:val="auto"/>
                <w:sz w:val="24"/>
              </w:rPr>
            </w:pPr>
            <w:r>
              <w:rPr>
                <w:rFonts w:hint="eastAsia" w:ascii="宋体" w:hAnsi="宋体" w:cs="宋体"/>
                <w:color w:val="auto"/>
                <w:sz w:val="24"/>
              </w:rPr>
              <w:t>□改建</w:t>
            </w:r>
          </w:p>
          <w:p>
            <w:pPr>
              <w:pStyle w:val="118"/>
              <w:jc w:val="left"/>
              <w:rPr>
                <w:rFonts w:hint="eastAsia" w:ascii="宋体" w:hAnsi="宋体" w:cs="宋体"/>
                <w:color w:val="auto"/>
                <w:sz w:val="24"/>
              </w:rPr>
            </w:pPr>
            <w:r>
              <w:rPr>
                <w:rFonts w:hint="eastAsia" w:ascii="宋体" w:hAnsi="宋体" w:cs="宋体"/>
                <w:color w:val="auto"/>
                <w:sz w:val="24"/>
              </w:rPr>
              <w:t>□扩建</w:t>
            </w:r>
          </w:p>
          <w:p>
            <w:pPr>
              <w:pStyle w:val="118"/>
              <w:jc w:val="left"/>
              <w:rPr>
                <w:rFonts w:hint="eastAsia" w:ascii="宋体" w:hAnsi="宋体" w:cs="宋体"/>
                <w:color w:val="auto"/>
                <w:sz w:val="24"/>
              </w:rPr>
            </w:pPr>
            <w:r>
              <w:rPr>
                <w:rFonts w:hint="eastAsia" w:ascii="宋体" w:hAnsi="宋体" w:cs="宋体"/>
                <w:color w:val="auto"/>
                <w:sz w:val="24"/>
              </w:rPr>
              <w:t>□技术改造</w:t>
            </w:r>
          </w:p>
        </w:tc>
        <w:tc>
          <w:tcPr>
            <w:tcW w:w="1814" w:type="dxa"/>
            <w:noWrap w:val="0"/>
            <w:vAlign w:val="center"/>
          </w:tcPr>
          <w:p>
            <w:pPr>
              <w:pStyle w:val="118"/>
              <w:rPr>
                <w:rFonts w:hint="eastAsia" w:ascii="宋体" w:hAnsi="宋体" w:cs="宋体"/>
                <w:color w:val="auto"/>
                <w:sz w:val="24"/>
              </w:rPr>
            </w:pPr>
            <w:r>
              <w:rPr>
                <w:rFonts w:hint="eastAsia" w:ascii="宋体" w:hAnsi="宋体" w:cs="宋体"/>
                <w:color w:val="auto"/>
                <w:sz w:val="24"/>
              </w:rPr>
              <w:t>建设项目</w:t>
            </w:r>
          </w:p>
          <w:p>
            <w:pPr>
              <w:pStyle w:val="118"/>
              <w:rPr>
                <w:rFonts w:hint="eastAsia" w:ascii="宋体" w:hAnsi="宋体" w:cs="宋体"/>
                <w:color w:val="auto"/>
                <w:sz w:val="24"/>
              </w:rPr>
            </w:pPr>
            <w:r>
              <w:rPr>
                <w:rFonts w:hint="eastAsia" w:ascii="宋体" w:hAnsi="宋体" w:cs="宋体"/>
                <w:color w:val="auto"/>
                <w:sz w:val="24"/>
              </w:rPr>
              <w:t>申报情形</w:t>
            </w:r>
          </w:p>
        </w:tc>
        <w:tc>
          <w:tcPr>
            <w:tcW w:w="3515" w:type="dxa"/>
            <w:noWrap w:val="0"/>
            <w:vAlign w:val="center"/>
          </w:tcPr>
          <w:p>
            <w:pPr>
              <w:pStyle w:val="118"/>
              <w:jc w:val="left"/>
              <w:rPr>
                <w:rFonts w:hint="eastAsia" w:ascii="宋体" w:hAnsi="宋体" w:cs="宋体"/>
                <w:color w:val="auto"/>
                <w:sz w:val="24"/>
              </w:rPr>
            </w:pPr>
            <w:r>
              <w:rPr>
                <w:rFonts w:hint="eastAsia" w:ascii="宋体" w:hAnsi="宋体" w:cs="宋体"/>
                <w:color w:val="auto"/>
                <w:sz w:val="24"/>
              </w:rPr>
              <w:sym w:font="Wingdings 2" w:char="0052"/>
            </w:r>
            <w:r>
              <w:rPr>
                <w:rFonts w:hint="eastAsia" w:ascii="宋体" w:hAnsi="宋体" w:cs="宋体"/>
                <w:color w:val="auto"/>
                <w:sz w:val="24"/>
              </w:rPr>
              <w:t xml:space="preserve">首次申报项目             </w:t>
            </w:r>
          </w:p>
          <w:p>
            <w:pPr>
              <w:pStyle w:val="118"/>
              <w:jc w:val="left"/>
              <w:rPr>
                <w:rFonts w:hint="eastAsia" w:ascii="宋体" w:hAnsi="宋体" w:cs="宋体"/>
                <w:color w:val="auto"/>
                <w:sz w:val="24"/>
              </w:rPr>
            </w:pPr>
            <w:r>
              <w:rPr>
                <w:rFonts w:hint="eastAsia" w:ascii="宋体" w:hAnsi="宋体" w:cs="宋体"/>
                <w:color w:val="auto"/>
                <w:sz w:val="24"/>
              </w:rPr>
              <w:t>□不予批准后再次申报项目</w:t>
            </w:r>
          </w:p>
          <w:p>
            <w:pPr>
              <w:pStyle w:val="118"/>
              <w:jc w:val="left"/>
              <w:rPr>
                <w:rFonts w:hint="eastAsia" w:ascii="宋体" w:hAnsi="宋体" w:cs="宋体"/>
                <w:color w:val="auto"/>
                <w:sz w:val="24"/>
              </w:rPr>
            </w:pPr>
            <w:r>
              <w:rPr>
                <w:rFonts w:hint="eastAsia" w:ascii="宋体" w:hAnsi="宋体" w:cs="宋体"/>
                <w:color w:val="auto"/>
                <w:sz w:val="24"/>
              </w:rPr>
              <w:sym w:font="Wingdings 2" w:char="00A3"/>
            </w:r>
            <w:r>
              <w:rPr>
                <w:rFonts w:hint="eastAsia" w:ascii="宋体" w:hAnsi="宋体" w:cs="宋体"/>
                <w:color w:val="auto"/>
                <w:sz w:val="24"/>
              </w:rPr>
              <w:t xml:space="preserve">超五年重新审核项目     </w:t>
            </w:r>
          </w:p>
          <w:p>
            <w:pPr>
              <w:pStyle w:val="118"/>
              <w:jc w:val="left"/>
              <w:rPr>
                <w:rFonts w:hint="eastAsia" w:ascii="宋体" w:hAnsi="宋体" w:cs="宋体"/>
                <w:color w:val="auto"/>
                <w:sz w:val="24"/>
              </w:rPr>
            </w:pPr>
            <w:r>
              <w:rPr>
                <w:rFonts w:hint="eastAsia" w:ascii="宋体" w:hAnsi="宋体" w:cs="宋体"/>
                <w:color w:val="auto"/>
                <w:sz w:val="24"/>
              </w:rPr>
              <w:t>□重大变动重新报批项目</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1659" w:type="dxa"/>
            <w:gridSpan w:val="2"/>
            <w:noWrap w:val="0"/>
            <w:tcMar>
              <w:top w:w="16" w:type="dxa"/>
              <w:left w:w="16" w:type="dxa"/>
              <w:right w:w="16" w:type="dxa"/>
            </w:tcMar>
            <w:vAlign w:val="center"/>
          </w:tcPr>
          <w:p>
            <w:pPr>
              <w:pStyle w:val="118"/>
              <w:rPr>
                <w:rFonts w:hint="eastAsia" w:ascii="宋体" w:hAnsi="宋体" w:cs="宋体"/>
                <w:color w:val="auto"/>
                <w:sz w:val="24"/>
              </w:rPr>
            </w:pPr>
            <w:r>
              <w:rPr>
                <w:rFonts w:hint="eastAsia" w:ascii="宋体" w:hAnsi="宋体" w:cs="宋体"/>
                <w:color w:val="auto"/>
                <w:sz w:val="24"/>
              </w:rPr>
              <w:t>项目审批（核准/备案）部门（选填）</w:t>
            </w:r>
          </w:p>
        </w:tc>
        <w:tc>
          <w:tcPr>
            <w:tcW w:w="1882" w:type="dxa"/>
            <w:noWrap w:val="0"/>
            <w:vAlign w:val="center"/>
          </w:tcPr>
          <w:p>
            <w:pPr>
              <w:pStyle w:val="118"/>
              <w:rPr>
                <w:rFonts w:hint="eastAsia" w:ascii="宋体" w:hAnsi="宋体" w:cs="宋体"/>
                <w:color w:val="auto"/>
                <w:sz w:val="24"/>
              </w:rPr>
            </w:pPr>
            <w:r>
              <w:rPr>
                <w:rFonts w:hint="eastAsia" w:ascii="宋体" w:hAnsi="宋体" w:cs="宋体"/>
                <w:color w:val="auto"/>
                <w:sz w:val="24"/>
              </w:rPr>
              <w:t>/</w:t>
            </w:r>
          </w:p>
        </w:tc>
        <w:tc>
          <w:tcPr>
            <w:tcW w:w="1814" w:type="dxa"/>
            <w:noWrap w:val="0"/>
            <w:vAlign w:val="center"/>
          </w:tcPr>
          <w:p>
            <w:pPr>
              <w:pStyle w:val="118"/>
              <w:rPr>
                <w:rFonts w:hint="eastAsia" w:ascii="宋体" w:hAnsi="宋体" w:cs="宋体"/>
                <w:color w:val="auto"/>
                <w:sz w:val="24"/>
              </w:rPr>
            </w:pPr>
            <w:r>
              <w:rPr>
                <w:rFonts w:hint="eastAsia" w:ascii="宋体" w:hAnsi="宋体" w:cs="宋体"/>
                <w:color w:val="auto"/>
                <w:sz w:val="24"/>
              </w:rPr>
              <w:t>项目审批（核准/</w:t>
            </w:r>
          </w:p>
          <w:p>
            <w:pPr>
              <w:pStyle w:val="118"/>
              <w:rPr>
                <w:rFonts w:hint="eastAsia" w:ascii="宋体" w:hAnsi="宋体" w:cs="宋体"/>
                <w:color w:val="auto"/>
                <w:sz w:val="24"/>
              </w:rPr>
            </w:pPr>
            <w:r>
              <w:rPr>
                <w:rFonts w:hint="eastAsia" w:ascii="宋体" w:hAnsi="宋体" w:cs="宋体"/>
                <w:color w:val="auto"/>
                <w:sz w:val="24"/>
              </w:rPr>
              <w:t>备案）文号（选填）</w:t>
            </w:r>
          </w:p>
        </w:tc>
        <w:tc>
          <w:tcPr>
            <w:tcW w:w="3515" w:type="dxa"/>
            <w:noWrap w:val="0"/>
            <w:vAlign w:val="center"/>
          </w:tcPr>
          <w:p>
            <w:pPr>
              <w:pStyle w:val="118"/>
              <w:rPr>
                <w:rFonts w:hint="eastAsia" w:ascii="宋体" w:hAnsi="宋体" w:cs="宋体"/>
                <w:color w:val="auto"/>
                <w:sz w:val="24"/>
              </w:rPr>
            </w:pPr>
            <w:r>
              <w:rPr>
                <w:rFonts w:hint="eastAsia" w:ascii="宋体" w:hAnsi="宋体" w:cs="宋体"/>
                <w:color w:val="auto"/>
                <w:sz w:val="24"/>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659" w:type="dxa"/>
            <w:gridSpan w:val="2"/>
            <w:noWrap w:val="0"/>
            <w:tcMar>
              <w:top w:w="16" w:type="dxa"/>
              <w:left w:w="16" w:type="dxa"/>
              <w:right w:w="16" w:type="dxa"/>
            </w:tcMar>
            <w:vAlign w:val="center"/>
          </w:tcPr>
          <w:p>
            <w:pPr>
              <w:pStyle w:val="118"/>
              <w:rPr>
                <w:rFonts w:hint="eastAsia" w:ascii="宋体" w:hAnsi="宋体" w:cs="宋体"/>
                <w:color w:val="auto"/>
                <w:sz w:val="24"/>
              </w:rPr>
            </w:pPr>
            <w:r>
              <w:rPr>
                <w:rFonts w:hint="eastAsia" w:ascii="宋体" w:hAnsi="宋体" w:cs="宋体"/>
                <w:color w:val="auto"/>
                <w:sz w:val="24"/>
              </w:rPr>
              <w:t>总投资（万元）</w:t>
            </w:r>
          </w:p>
        </w:tc>
        <w:tc>
          <w:tcPr>
            <w:tcW w:w="1882" w:type="dxa"/>
            <w:noWrap w:val="0"/>
            <w:vAlign w:val="center"/>
          </w:tcPr>
          <w:p>
            <w:pPr>
              <w:pStyle w:val="118"/>
              <w:rPr>
                <w:rFonts w:hint="eastAsia" w:ascii="宋体" w:hAnsi="宋体" w:cs="宋体"/>
                <w:color w:val="auto"/>
                <w:sz w:val="24"/>
              </w:rPr>
            </w:pPr>
            <w:r>
              <w:rPr>
                <w:rFonts w:hint="eastAsia" w:ascii="宋体" w:hAnsi="宋体" w:cs="宋体"/>
                <w:color w:val="auto"/>
                <w:sz w:val="24"/>
              </w:rPr>
              <w:t>15</w:t>
            </w:r>
          </w:p>
        </w:tc>
        <w:tc>
          <w:tcPr>
            <w:tcW w:w="1814" w:type="dxa"/>
            <w:noWrap w:val="0"/>
            <w:tcMar>
              <w:top w:w="16" w:type="dxa"/>
              <w:left w:w="16" w:type="dxa"/>
              <w:right w:w="16" w:type="dxa"/>
            </w:tcMar>
            <w:vAlign w:val="center"/>
          </w:tcPr>
          <w:p>
            <w:pPr>
              <w:pStyle w:val="118"/>
              <w:rPr>
                <w:rFonts w:hint="eastAsia" w:ascii="宋体" w:hAnsi="宋体" w:cs="宋体"/>
                <w:color w:val="auto"/>
                <w:sz w:val="24"/>
              </w:rPr>
            </w:pPr>
            <w:r>
              <w:rPr>
                <w:rFonts w:hint="eastAsia" w:ascii="宋体" w:hAnsi="宋体" w:cs="宋体"/>
                <w:color w:val="auto"/>
                <w:sz w:val="24"/>
              </w:rPr>
              <w:t>环保投资（万元）</w:t>
            </w:r>
          </w:p>
        </w:tc>
        <w:tc>
          <w:tcPr>
            <w:tcW w:w="3515" w:type="dxa"/>
            <w:noWrap w:val="0"/>
            <w:vAlign w:val="center"/>
          </w:tcPr>
          <w:p>
            <w:pPr>
              <w:pStyle w:val="118"/>
              <w:rPr>
                <w:rFonts w:hint="eastAsia" w:ascii="宋体" w:hAnsi="宋体" w:cs="宋体"/>
                <w:color w:val="auto"/>
                <w:sz w:val="24"/>
              </w:rPr>
            </w:pPr>
            <w:r>
              <w:rPr>
                <w:rFonts w:hint="eastAsia" w:ascii="宋体" w:hAnsi="宋体" w:cs="宋体"/>
                <w:color w:val="auto"/>
                <w:sz w:val="24"/>
              </w:rPr>
              <w:t>3.5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659" w:type="dxa"/>
            <w:gridSpan w:val="2"/>
            <w:noWrap w:val="0"/>
            <w:tcMar>
              <w:top w:w="16" w:type="dxa"/>
              <w:left w:w="16" w:type="dxa"/>
              <w:right w:w="16" w:type="dxa"/>
            </w:tcMar>
            <w:vAlign w:val="center"/>
          </w:tcPr>
          <w:p>
            <w:pPr>
              <w:pStyle w:val="118"/>
              <w:rPr>
                <w:rFonts w:hint="eastAsia" w:ascii="宋体" w:hAnsi="宋体" w:cs="宋体"/>
                <w:color w:val="auto"/>
                <w:sz w:val="24"/>
              </w:rPr>
            </w:pPr>
            <w:r>
              <w:rPr>
                <w:rFonts w:hint="eastAsia" w:ascii="宋体" w:hAnsi="宋体" w:cs="宋体"/>
                <w:color w:val="auto"/>
                <w:sz w:val="24"/>
              </w:rPr>
              <w:t>环保投资占比（%）</w:t>
            </w:r>
          </w:p>
        </w:tc>
        <w:tc>
          <w:tcPr>
            <w:tcW w:w="1882" w:type="dxa"/>
            <w:noWrap w:val="0"/>
            <w:vAlign w:val="center"/>
          </w:tcPr>
          <w:p>
            <w:pPr>
              <w:pStyle w:val="118"/>
              <w:rPr>
                <w:rFonts w:hint="eastAsia" w:ascii="宋体" w:hAnsi="宋体" w:cs="宋体"/>
                <w:color w:val="auto"/>
                <w:sz w:val="24"/>
              </w:rPr>
            </w:pPr>
            <w:r>
              <w:rPr>
                <w:rFonts w:hint="eastAsia" w:ascii="宋体" w:hAnsi="宋体" w:cs="宋体"/>
                <w:color w:val="auto"/>
                <w:sz w:val="24"/>
              </w:rPr>
              <w:t>23.3</w:t>
            </w:r>
          </w:p>
        </w:tc>
        <w:tc>
          <w:tcPr>
            <w:tcW w:w="1814" w:type="dxa"/>
            <w:noWrap w:val="0"/>
            <w:tcMar>
              <w:top w:w="16" w:type="dxa"/>
              <w:left w:w="16" w:type="dxa"/>
              <w:right w:w="16" w:type="dxa"/>
            </w:tcMar>
            <w:vAlign w:val="center"/>
          </w:tcPr>
          <w:p>
            <w:pPr>
              <w:pStyle w:val="118"/>
              <w:rPr>
                <w:rFonts w:hint="eastAsia" w:ascii="宋体" w:hAnsi="宋体" w:cs="宋体"/>
                <w:color w:val="auto"/>
                <w:sz w:val="24"/>
              </w:rPr>
            </w:pPr>
            <w:r>
              <w:rPr>
                <w:rFonts w:hint="eastAsia" w:ascii="宋体" w:hAnsi="宋体" w:cs="宋体"/>
                <w:color w:val="auto"/>
                <w:sz w:val="24"/>
              </w:rPr>
              <w:t>施工工期</w:t>
            </w:r>
          </w:p>
        </w:tc>
        <w:tc>
          <w:tcPr>
            <w:tcW w:w="3515" w:type="dxa"/>
            <w:noWrap w:val="0"/>
            <w:vAlign w:val="center"/>
          </w:tcPr>
          <w:p>
            <w:pPr>
              <w:pStyle w:val="118"/>
              <w:rPr>
                <w:rFonts w:hint="eastAsia" w:ascii="宋体" w:hAnsi="宋体" w:cs="宋体"/>
                <w:color w:val="auto"/>
                <w:sz w:val="24"/>
              </w:rPr>
            </w:pPr>
            <w:r>
              <w:rPr>
                <w:rFonts w:hint="eastAsia" w:ascii="宋体" w:hAnsi="宋体" w:cs="宋体"/>
                <w:color w:val="auto"/>
                <w:sz w:val="24"/>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659" w:type="dxa"/>
            <w:gridSpan w:val="2"/>
            <w:noWrap w:val="0"/>
            <w:tcMar>
              <w:top w:w="16" w:type="dxa"/>
              <w:left w:w="16" w:type="dxa"/>
              <w:right w:w="16" w:type="dxa"/>
            </w:tcMar>
            <w:vAlign w:val="center"/>
          </w:tcPr>
          <w:p>
            <w:pPr>
              <w:pStyle w:val="118"/>
              <w:rPr>
                <w:rFonts w:hint="eastAsia" w:ascii="宋体" w:hAnsi="宋体" w:cs="宋体"/>
                <w:color w:val="auto"/>
                <w:sz w:val="24"/>
              </w:rPr>
            </w:pPr>
            <w:r>
              <w:rPr>
                <w:rFonts w:hint="eastAsia" w:ascii="宋体" w:hAnsi="宋体" w:cs="宋体"/>
                <w:color w:val="auto"/>
                <w:sz w:val="24"/>
              </w:rPr>
              <w:t>是否开工建设</w:t>
            </w:r>
          </w:p>
        </w:tc>
        <w:tc>
          <w:tcPr>
            <w:tcW w:w="1882" w:type="dxa"/>
            <w:noWrap w:val="0"/>
            <w:vAlign w:val="center"/>
          </w:tcPr>
          <w:p>
            <w:pPr>
              <w:pStyle w:val="118"/>
              <w:jc w:val="left"/>
              <w:rPr>
                <w:rFonts w:hint="eastAsia" w:ascii="宋体" w:hAnsi="宋体" w:cs="宋体"/>
                <w:color w:val="auto"/>
                <w:sz w:val="24"/>
              </w:rPr>
            </w:pPr>
            <w:r>
              <w:rPr>
                <w:rFonts w:hint="eastAsia" w:ascii="宋体" w:hAnsi="宋体" w:cs="宋体"/>
                <w:color w:val="auto"/>
                <w:sz w:val="24"/>
              </w:rPr>
              <w:sym w:font="Wingdings 2" w:char="00A3"/>
            </w:r>
            <w:r>
              <w:rPr>
                <w:rFonts w:hint="eastAsia" w:ascii="宋体" w:hAnsi="宋体" w:cs="宋体"/>
                <w:color w:val="auto"/>
                <w:sz w:val="24"/>
              </w:rPr>
              <w:t>否</w:t>
            </w:r>
          </w:p>
          <w:p>
            <w:pPr>
              <w:pStyle w:val="118"/>
              <w:jc w:val="left"/>
              <w:rPr>
                <w:rFonts w:hint="eastAsia" w:ascii="宋体" w:hAnsi="宋体" w:cs="宋体"/>
                <w:color w:val="auto"/>
                <w:sz w:val="24"/>
              </w:rPr>
            </w:pPr>
            <w:r>
              <w:rPr>
                <w:rFonts w:hint="eastAsia" w:ascii="宋体" w:hAnsi="宋体" w:cs="宋体"/>
                <w:color w:val="auto"/>
                <w:sz w:val="24"/>
              </w:rPr>
              <w:sym w:font="Wingdings 2" w:char="0052"/>
            </w:r>
            <w:r>
              <w:rPr>
                <w:rFonts w:hint="eastAsia" w:ascii="宋体" w:hAnsi="宋体" w:cs="宋体"/>
                <w:color w:val="auto"/>
                <w:sz w:val="24"/>
              </w:rPr>
              <w:t>是：</w:t>
            </w:r>
            <w:r>
              <w:rPr>
                <w:rFonts w:hint="eastAsia" w:ascii="宋体" w:hAnsi="宋体" w:cs="宋体"/>
                <w:color w:val="auto"/>
                <w:sz w:val="24"/>
                <w:lang w:eastAsia="zh-CN"/>
              </w:rPr>
              <w:t>乐山宠爱宠物医院于</w:t>
            </w:r>
            <w:r>
              <w:rPr>
                <w:rFonts w:hint="eastAsia" w:ascii="宋体" w:hAnsi="宋体" w:cs="宋体"/>
                <w:color w:val="auto"/>
                <w:sz w:val="24"/>
                <w:lang w:val="en-US" w:eastAsia="zh-CN"/>
              </w:rPr>
              <w:t>2017年8月15日投入运营，本次评价属于补评。项目于2022年4月22日取得乐山市生态环境局出具</w:t>
            </w:r>
            <w:r>
              <w:rPr>
                <w:rFonts w:hint="eastAsia" w:ascii="宋体" w:hAnsi="宋体" w:eastAsia="宋体" w:cs="宋体"/>
                <w:color w:val="auto"/>
                <w:sz w:val="24"/>
                <w:lang w:val="en-US" w:eastAsia="zh-CN"/>
              </w:rPr>
              <w:t xml:space="preserve">的行政处罚决定书（乐中环罚[2022]18号）。 </w:t>
            </w:r>
            <w:r>
              <w:rPr>
                <w:rFonts w:hint="eastAsia" w:ascii="宋体" w:hAnsi="宋体" w:cs="宋体"/>
                <w:color w:val="auto"/>
                <w:sz w:val="24"/>
              </w:rPr>
              <w:t xml:space="preserve">           </w:t>
            </w:r>
          </w:p>
        </w:tc>
        <w:tc>
          <w:tcPr>
            <w:tcW w:w="1814" w:type="dxa"/>
            <w:noWrap w:val="0"/>
            <w:tcMar>
              <w:top w:w="16" w:type="dxa"/>
              <w:left w:w="16" w:type="dxa"/>
              <w:right w:w="16" w:type="dxa"/>
            </w:tcMar>
            <w:vAlign w:val="center"/>
          </w:tcPr>
          <w:p>
            <w:pPr>
              <w:pStyle w:val="118"/>
              <w:rPr>
                <w:rFonts w:hint="eastAsia" w:ascii="宋体" w:hAnsi="宋体" w:cs="宋体"/>
                <w:color w:val="auto"/>
                <w:sz w:val="24"/>
              </w:rPr>
            </w:pPr>
            <w:r>
              <w:rPr>
                <w:rFonts w:hint="eastAsia" w:ascii="宋体" w:hAnsi="宋体" w:cs="宋体"/>
                <w:color w:val="auto"/>
                <w:sz w:val="24"/>
              </w:rPr>
              <w:t>用地（用海）</w:t>
            </w:r>
          </w:p>
          <w:p>
            <w:pPr>
              <w:pStyle w:val="118"/>
              <w:rPr>
                <w:rFonts w:hint="eastAsia" w:ascii="宋体" w:hAnsi="宋体" w:cs="宋体"/>
                <w:color w:val="auto"/>
                <w:sz w:val="24"/>
              </w:rPr>
            </w:pPr>
            <w:r>
              <w:rPr>
                <w:rFonts w:hint="eastAsia" w:ascii="宋体" w:hAnsi="宋体" w:cs="宋体"/>
                <w:color w:val="auto"/>
                <w:sz w:val="24"/>
              </w:rPr>
              <w:t>面积（m</w:t>
            </w:r>
            <w:r>
              <w:rPr>
                <w:rFonts w:hint="eastAsia" w:ascii="宋体" w:hAnsi="宋体" w:cs="宋体"/>
                <w:color w:val="auto"/>
                <w:sz w:val="24"/>
                <w:vertAlign w:val="superscript"/>
              </w:rPr>
              <w:t>2</w:t>
            </w:r>
            <w:r>
              <w:rPr>
                <w:rFonts w:hint="eastAsia" w:ascii="宋体" w:hAnsi="宋体" w:cs="宋体"/>
                <w:color w:val="auto"/>
                <w:sz w:val="24"/>
              </w:rPr>
              <w:t>）</w:t>
            </w:r>
          </w:p>
        </w:tc>
        <w:tc>
          <w:tcPr>
            <w:tcW w:w="3515" w:type="dxa"/>
            <w:noWrap w:val="0"/>
            <w:vAlign w:val="center"/>
          </w:tcPr>
          <w:p>
            <w:pPr>
              <w:pStyle w:val="118"/>
              <w:rPr>
                <w:rFonts w:hint="default" w:ascii="宋体" w:hAnsi="宋体" w:eastAsia="宋体" w:cs="宋体"/>
                <w:color w:val="auto"/>
                <w:sz w:val="24"/>
                <w:lang w:val="en-US" w:eastAsia="zh-CN"/>
              </w:rPr>
            </w:pPr>
            <w:r>
              <w:rPr>
                <w:rFonts w:hint="eastAsia" w:ascii="宋体" w:hAnsi="宋体" w:cs="宋体"/>
                <w:color w:val="auto"/>
                <w:sz w:val="24"/>
                <w:lang w:val="en-US" w:eastAsia="zh-CN"/>
              </w:rPr>
              <w:t>38</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34" w:hRule="atLeast"/>
          <w:jc w:val="center"/>
        </w:trPr>
        <w:tc>
          <w:tcPr>
            <w:tcW w:w="1659" w:type="dxa"/>
            <w:gridSpan w:val="2"/>
            <w:noWrap w:val="0"/>
            <w:vAlign w:val="center"/>
          </w:tcPr>
          <w:p>
            <w:pPr>
              <w:pStyle w:val="118"/>
              <w:rPr>
                <w:rFonts w:hint="eastAsia" w:ascii="宋体" w:hAnsi="宋体" w:cs="宋体"/>
                <w:color w:val="auto"/>
                <w:sz w:val="24"/>
              </w:rPr>
            </w:pPr>
            <w:r>
              <w:rPr>
                <w:rFonts w:hint="eastAsia" w:ascii="宋体" w:hAnsi="宋体" w:cs="宋体"/>
                <w:color w:val="auto"/>
                <w:sz w:val="24"/>
              </w:rPr>
              <w:t>专项评价设置情况</w:t>
            </w:r>
          </w:p>
        </w:tc>
        <w:tc>
          <w:tcPr>
            <w:tcW w:w="7211" w:type="dxa"/>
            <w:gridSpan w:val="3"/>
            <w:noWrap w:val="0"/>
            <w:vAlign w:val="center"/>
          </w:tcPr>
          <w:p>
            <w:pPr>
              <w:pStyle w:val="118"/>
              <w:rPr>
                <w:rFonts w:hint="eastAsia" w:ascii="宋体" w:hAnsi="宋体" w:cs="宋体"/>
                <w:color w:val="auto"/>
                <w:sz w:val="24"/>
              </w:rPr>
            </w:pPr>
            <w:r>
              <w:rPr>
                <w:rFonts w:hint="eastAsia" w:ascii="宋体" w:hAnsi="宋体" w:cs="宋体"/>
                <w:color w:val="auto"/>
                <w:sz w:val="24"/>
              </w:rPr>
              <w:t>无</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332" w:hRule="atLeast"/>
          <w:jc w:val="center"/>
        </w:trPr>
        <w:tc>
          <w:tcPr>
            <w:tcW w:w="1659" w:type="dxa"/>
            <w:gridSpan w:val="2"/>
            <w:noWrap w:val="0"/>
            <w:vAlign w:val="center"/>
          </w:tcPr>
          <w:p>
            <w:pPr>
              <w:pStyle w:val="118"/>
              <w:rPr>
                <w:rFonts w:hint="eastAsia" w:ascii="宋体" w:hAnsi="宋体" w:cs="宋体"/>
                <w:color w:val="auto"/>
                <w:sz w:val="24"/>
              </w:rPr>
            </w:pPr>
            <w:r>
              <w:rPr>
                <w:rFonts w:hint="eastAsia" w:ascii="宋体" w:hAnsi="宋体" w:cs="宋体"/>
                <w:color w:val="auto"/>
                <w:sz w:val="24"/>
              </w:rPr>
              <w:t>规划情况</w:t>
            </w:r>
          </w:p>
        </w:tc>
        <w:tc>
          <w:tcPr>
            <w:tcW w:w="7211" w:type="dxa"/>
            <w:gridSpan w:val="3"/>
            <w:noWrap w:val="0"/>
            <w:vAlign w:val="top"/>
          </w:tcPr>
          <w:p>
            <w:pPr>
              <w:pStyle w:val="104"/>
              <w:spacing w:line="360" w:lineRule="auto"/>
              <w:ind w:firstLine="0" w:firstLineChars="0"/>
              <w:rPr>
                <w:rFonts w:hint="eastAsia"/>
                <w:color w:val="auto"/>
              </w:rPr>
            </w:pPr>
            <w:r>
              <w:rPr>
                <w:rFonts w:hint="eastAsia"/>
                <w:color w:val="auto"/>
              </w:rPr>
              <w:t>规划名称：《乐山城市总体规划（2011-2030）》（2017年版）</w:t>
            </w:r>
          </w:p>
          <w:p>
            <w:pPr>
              <w:pStyle w:val="104"/>
              <w:spacing w:line="360" w:lineRule="auto"/>
              <w:ind w:firstLine="0" w:firstLineChars="0"/>
              <w:rPr>
                <w:rFonts w:hint="eastAsia"/>
                <w:color w:val="auto"/>
              </w:rPr>
            </w:pPr>
            <w:r>
              <w:rPr>
                <w:rFonts w:hint="eastAsia"/>
                <w:color w:val="auto"/>
              </w:rPr>
              <w:t>审批机关：四川省住房和城乡建设厅</w:t>
            </w:r>
          </w:p>
          <w:p>
            <w:pPr>
              <w:pStyle w:val="118"/>
              <w:spacing w:line="360" w:lineRule="auto"/>
              <w:jc w:val="both"/>
              <w:rPr>
                <w:rFonts w:hint="eastAsia" w:ascii="宋体" w:hAnsi="宋体" w:cs="宋体"/>
                <w:color w:val="auto"/>
                <w:sz w:val="24"/>
              </w:rPr>
            </w:pPr>
            <w:r>
              <w:rPr>
                <w:rFonts w:hint="eastAsia"/>
                <w:color w:val="auto"/>
                <w:sz w:val="24"/>
              </w:rPr>
              <w:t>审批文号：川建规函[2018]1058号</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02" w:hRule="atLeast"/>
          <w:jc w:val="center"/>
        </w:trPr>
        <w:tc>
          <w:tcPr>
            <w:tcW w:w="1659" w:type="dxa"/>
            <w:gridSpan w:val="2"/>
            <w:noWrap w:val="0"/>
            <w:vAlign w:val="center"/>
          </w:tcPr>
          <w:p>
            <w:pPr>
              <w:pStyle w:val="118"/>
              <w:rPr>
                <w:rFonts w:hint="eastAsia" w:ascii="宋体" w:hAnsi="宋体" w:cs="宋体"/>
                <w:color w:val="auto"/>
                <w:sz w:val="24"/>
              </w:rPr>
            </w:pPr>
            <w:r>
              <w:rPr>
                <w:rFonts w:hint="eastAsia" w:ascii="宋体" w:hAnsi="宋体" w:cs="宋体"/>
                <w:color w:val="auto"/>
                <w:sz w:val="24"/>
              </w:rPr>
              <w:t>规划环境影响</w:t>
            </w:r>
          </w:p>
          <w:p>
            <w:pPr>
              <w:pStyle w:val="118"/>
              <w:rPr>
                <w:rFonts w:hint="eastAsia" w:ascii="宋体" w:hAnsi="宋体" w:cs="宋体"/>
                <w:color w:val="auto"/>
                <w:sz w:val="24"/>
              </w:rPr>
            </w:pPr>
            <w:r>
              <w:rPr>
                <w:rFonts w:hint="eastAsia" w:ascii="宋体" w:hAnsi="宋体" w:cs="宋体"/>
                <w:color w:val="auto"/>
                <w:sz w:val="24"/>
              </w:rPr>
              <w:t>评价情况</w:t>
            </w:r>
          </w:p>
        </w:tc>
        <w:tc>
          <w:tcPr>
            <w:tcW w:w="7211" w:type="dxa"/>
            <w:gridSpan w:val="3"/>
            <w:noWrap w:val="0"/>
            <w:vAlign w:val="center"/>
          </w:tcPr>
          <w:p>
            <w:pPr>
              <w:pStyle w:val="118"/>
              <w:rPr>
                <w:rFonts w:hint="eastAsia" w:ascii="宋体" w:hAnsi="宋体" w:cs="宋体"/>
                <w:color w:val="auto"/>
                <w:sz w:val="24"/>
              </w:rPr>
            </w:pPr>
            <w:r>
              <w:rPr>
                <w:rFonts w:hint="eastAsia" w:ascii="宋体" w:hAnsi="宋体" w:cs="宋体"/>
                <w:color w:val="auto"/>
                <w:sz w:val="24"/>
              </w:rPr>
              <w:t>无</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51" w:hRule="atLeast"/>
          <w:jc w:val="center"/>
        </w:trPr>
        <w:tc>
          <w:tcPr>
            <w:tcW w:w="563" w:type="dxa"/>
            <w:noWrap w:val="0"/>
            <w:vAlign w:val="center"/>
          </w:tcPr>
          <w:p>
            <w:pPr>
              <w:pStyle w:val="118"/>
              <w:rPr>
                <w:rFonts w:hint="eastAsia" w:ascii="宋体" w:hAnsi="宋体" w:cs="宋体"/>
                <w:color w:val="auto"/>
                <w:sz w:val="24"/>
              </w:rPr>
            </w:pPr>
            <w:r>
              <w:rPr>
                <w:rFonts w:hint="eastAsia" w:ascii="宋体" w:hAnsi="宋体" w:cs="宋体"/>
                <w:color w:val="auto"/>
                <w:sz w:val="24"/>
              </w:rPr>
              <w:t>规划及规划环境影响评价符合性分析</w:t>
            </w:r>
          </w:p>
        </w:tc>
        <w:tc>
          <w:tcPr>
            <w:tcW w:w="8307" w:type="dxa"/>
            <w:gridSpan w:val="4"/>
            <w:noWrap w:val="0"/>
            <w:vAlign w:val="center"/>
          </w:tcPr>
          <w:p>
            <w:pPr>
              <w:pStyle w:val="4"/>
              <w:rPr>
                <w:rFonts w:hint="eastAsia" w:ascii="宋体" w:hAnsi="宋体" w:cs="宋体"/>
                <w:color w:val="auto"/>
              </w:rPr>
            </w:pPr>
            <w:bookmarkStart w:id="46" w:name="_Toc3171"/>
            <w:r>
              <w:rPr>
                <w:rFonts w:hint="eastAsia" w:ascii="宋体" w:hAnsi="宋体" w:cs="宋体"/>
                <w:color w:val="auto"/>
              </w:rPr>
              <w:t>一、</w:t>
            </w:r>
            <w:bookmarkEnd w:id="46"/>
            <w:r>
              <w:rPr>
                <w:rFonts w:hint="eastAsia" w:ascii="宋体" w:hAnsi="宋体" w:cs="宋体"/>
                <w:color w:val="auto"/>
              </w:rPr>
              <w:t>与</w:t>
            </w:r>
            <w:r>
              <w:rPr>
                <w:color w:val="auto"/>
              </w:rPr>
              <w:t>乐山市城市总体发展规划符合性分析</w:t>
            </w:r>
          </w:p>
          <w:p>
            <w:pPr>
              <w:pStyle w:val="104"/>
              <w:ind w:firstLine="480"/>
              <w:rPr>
                <w:rFonts w:hint="eastAsia" w:ascii="宋体" w:hAnsi="宋体" w:cs="宋体"/>
                <w:color w:val="auto"/>
              </w:rPr>
            </w:pPr>
            <w:r>
              <w:rPr>
                <w:rFonts w:hint="eastAsia" w:ascii="宋体" w:hAnsi="宋体" w:cs="宋体"/>
                <w:color w:val="auto"/>
              </w:rPr>
              <w:t>本项目位于四川省乐山市市中区春华路中段656号，</w:t>
            </w:r>
            <w:r>
              <w:rPr>
                <w:rFonts w:hint="eastAsia"/>
                <w:color w:val="auto"/>
              </w:rPr>
              <w:t>占地范围属于中心城区环境，属于城市建</w:t>
            </w:r>
            <w:r>
              <w:rPr>
                <w:rFonts w:hint="eastAsia" w:ascii="宋体" w:hAnsi="宋体" w:cs="宋体"/>
                <w:color w:val="auto"/>
              </w:rPr>
              <w:t>成区。根据《乐山市城市总体规划（2011-2030）》（2017年版），</w:t>
            </w:r>
            <w:r>
              <w:rPr>
                <w:rFonts w:hint="eastAsia"/>
                <w:color w:val="auto"/>
              </w:rPr>
              <w:t>本项目所在地属于居住用地，项目系租用的春天花园小区配套临街商铺进行项目建设，根据该商铺所有权不动产权证：川（2019）乐山市不动产权第0037282号：该房屋用途为零售商业用地/商业服务（见附件6），该房屋可作为经营场所供本项目使用</w:t>
            </w:r>
            <w:r>
              <w:rPr>
                <w:rFonts w:hint="eastAsia" w:ascii="宋体" w:hAnsi="宋体" w:cs="宋体"/>
                <w:color w:val="auto"/>
              </w:rPr>
              <w:t>。</w:t>
            </w:r>
          </w:p>
          <w:p>
            <w:pPr>
              <w:pStyle w:val="104"/>
              <w:ind w:firstLine="480"/>
              <w:rPr>
                <w:rFonts w:hint="eastAsia" w:ascii="宋体" w:hAnsi="宋体" w:cs="宋体"/>
                <w:color w:val="auto"/>
              </w:rPr>
            </w:pPr>
            <w:r>
              <w:rPr>
                <w:rFonts w:hint="eastAsia"/>
                <w:color w:val="auto"/>
              </w:rPr>
              <w:t>因此，符合乐山市城市总体发展规划。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895" w:hRule="atLeast"/>
          <w:jc w:val="center"/>
        </w:trPr>
        <w:tc>
          <w:tcPr>
            <w:tcW w:w="563" w:type="dxa"/>
            <w:noWrap w:val="0"/>
            <w:vAlign w:val="center"/>
          </w:tcPr>
          <w:p>
            <w:pPr>
              <w:pStyle w:val="118"/>
              <w:rPr>
                <w:rFonts w:hint="eastAsia"/>
                <w:color w:val="auto"/>
              </w:rPr>
            </w:pPr>
            <w:r>
              <w:rPr>
                <w:rFonts w:hint="eastAsia"/>
                <w:color w:val="auto"/>
                <w:sz w:val="24"/>
              </w:rPr>
              <w:t>其他符合性分析</w:t>
            </w:r>
          </w:p>
        </w:tc>
        <w:tc>
          <w:tcPr>
            <w:tcW w:w="8307" w:type="dxa"/>
            <w:gridSpan w:val="4"/>
            <w:noWrap w:val="0"/>
            <w:vAlign w:val="center"/>
          </w:tcPr>
          <w:p>
            <w:pPr>
              <w:pStyle w:val="4"/>
              <w:rPr>
                <w:rFonts w:hint="eastAsia"/>
                <w:color w:val="auto"/>
              </w:rPr>
            </w:pPr>
            <w:bookmarkStart w:id="47" w:name="_Toc25363"/>
            <w:r>
              <w:rPr>
                <w:rFonts w:hint="eastAsia"/>
                <w:color w:val="auto"/>
              </w:rPr>
              <w:t>一、项目产业政策符合性</w:t>
            </w:r>
            <w:bookmarkEnd w:id="47"/>
          </w:p>
          <w:p>
            <w:pPr>
              <w:pStyle w:val="104"/>
              <w:ind w:firstLine="480"/>
              <w:rPr>
                <w:rFonts w:hint="eastAsia"/>
                <w:color w:val="auto"/>
              </w:rPr>
            </w:pPr>
            <w:r>
              <w:rPr>
                <w:rFonts w:hint="eastAsia"/>
                <w:color w:val="auto"/>
              </w:rPr>
              <w:t>根据中华人民共和国国家发展改革委2021年</w:t>
            </w:r>
            <w:r>
              <w:rPr>
                <w:color w:val="auto"/>
              </w:rPr>
              <w:t>第</w:t>
            </w:r>
            <w:r>
              <w:rPr>
                <w:rFonts w:hint="eastAsia"/>
                <w:color w:val="auto"/>
              </w:rPr>
              <w:t>49号</w:t>
            </w:r>
            <w:r>
              <w:rPr>
                <w:color w:val="auto"/>
              </w:rPr>
              <w:t>令</w:t>
            </w:r>
            <w:r>
              <w:rPr>
                <w:rFonts w:hint="eastAsia"/>
                <w:color w:val="auto"/>
              </w:rPr>
              <w:t>《产业结构调整指导目录（2019 年本）》，本项目不属于其中的鼓励类、限制类和淘汰类。同时，本项目设备的规格型号不在《产业结构调整指导目录（2019 年本）》淘汰类生产工艺装备范围内。根据《关于发布实施&lt;促进产业结构调整暂行规定&gt;的决定》（国发〔2005〕40 号）中的第十三条，“不属于鼓励类、限制类及淘汰类，且符合国家有关法律、法规和政策规定的为允许类”。本项目符合相关法律法规和政策规定，因此，本项目为允许类。同时，项目已取得乐山市市中区行政审批局颁发的《动物诊疗许可证》（动诊证（2017）第006号），同意该项目的实施。</w:t>
            </w:r>
          </w:p>
          <w:p>
            <w:pPr>
              <w:pStyle w:val="104"/>
              <w:ind w:firstLine="480"/>
              <w:rPr>
                <w:color w:val="auto"/>
              </w:rPr>
            </w:pPr>
            <w:r>
              <w:rPr>
                <w:rFonts w:hint="eastAsia"/>
                <w:color w:val="auto"/>
              </w:rPr>
              <w:t>因此，本项目的建设符合现行相关的产业政策。</w:t>
            </w:r>
          </w:p>
          <w:p>
            <w:pPr>
              <w:pStyle w:val="4"/>
              <w:rPr>
                <w:rFonts w:hint="eastAsia"/>
                <w:color w:val="auto"/>
              </w:rPr>
            </w:pPr>
            <w:bookmarkStart w:id="48" w:name="_Toc14284"/>
            <w:r>
              <w:rPr>
                <w:rFonts w:hint="eastAsia"/>
                <w:color w:val="auto"/>
              </w:rPr>
              <w:t>二、“三线一单”符合性分析</w:t>
            </w:r>
            <w:bookmarkEnd w:id="48"/>
          </w:p>
          <w:p>
            <w:pPr>
              <w:pStyle w:val="5"/>
              <w:ind w:firstLine="482"/>
              <w:rPr>
                <w:color w:val="auto"/>
              </w:rPr>
            </w:pPr>
            <w:r>
              <w:rPr>
                <w:color w:val="auto"/>
              </w:rPr>
              <w:t>1、项目与区域生态保护红线的符合性分析</w:t>
            </w:r>
          </w:p>
          <w:p>
            <w:pPr>
              <w:pStyle w:val="104"/>
              <w:ind w:firstLine="480"/>
              <w:rPr>
                <w:rFonts w:hint="eastAsia"/>
                <w:color w:val="auto"/>
              </w:rPr>
            </w:pPr>
            <w:r>
              <w:rPr>
                <w:rFonts w:hint="eastAsia"/>
                <w:color w:val="auto"/>
              </w:rPr>
              <w:t>四川省人民政府《关于印发四川省生态保护红线方案的通知》（川府发〔2018〕24号）中指出：“四川省生态保护红线总面积14.80万平方公里，占全省幅员面积的30.45%，主要分布于川西高山高原、川西南山地和盆周山地，分布格局为“四轴九核”。“四轴”指大巴山、金沙江下游干热河谷、川东南山地以及盆中丘陵区，呈带状分布；“九核”指若尔盖湿地（黄河源）、雅砻江源、大渡河源以及大雪山、沙鲁里山、岷山、邛崃山、凉山—相岭、锦屏山，以水系、山系为骨架集中成片分布。</w:t>
            </w:r>
          </w:p>
          <w:p>
            <w:pPr>
              <w:pStyle w:val="104"/>
              <w:ind w:firstLine="480"/>
              <w:rPr>
                <w:color w:val="auto"/>
              </w:rPr>
            </w:pPr>
            <w:r>
              <w:rPr>
                <w:rFonts w:hint="eastAsia"/>
                <w:color w:val="auto"/>
              </w:rPr>
              <w:t>根据该《通知》：乐山市涉及“盆中城市饮用水源-水土保持生态保护红线”；乐山市沙湾区、乐山市金口河区、沐川县、峨边彝族自治县、马边彝族自治县、峨眉山市等涉及“凉山—相岭生物多样性维护—水土保持生态保护红线”。项目位于四川省乐山市市中区春华路中段656号，</w:t>
            </w:r>
            <w:r>
              <w:rPr>
                <w:color w:val="auto"/>
              </w:rPr>
              <w:t>根据《四川省环境保护厅关于发布生态保护红线市县级行政区汇总表和登记表的函》（川环函[2018]1201号），</w:t>
            </w:r>
            <w:r>
              <w:rPr>
                <w:rFonts w:hint="eastAsia"/>
                <w:color w:val="auto"/>
              </w:rPr>
              <w:t>乐山市市中区</w:t>
            </w:r>
            <w:r>
              <w:rPr>
                <w:color w:val="auto"/>
              </w:rPr>
              <w:t>生态保护红线划定如下：</w:t>
            </w:r>
          </w:p>
          <w:p>
            <w:pPr>
              <w:pStyle w:val="117"/>
              <w:rPr>
                <w:color w:val="auto"/>
              </w:rPr>
            </w:pPr>
            <w:r>
              <w:rPr>
                <w:color w:val="auto"/>
              </w:rPr>
              <w:t>表1-</w:t>
            </w:r>
            <w:r>
              <w:rPr>
                <w:rFonts w:hint="eastAsia"/>
                <w:color w:val="auto"/>
              </w:rPr>
              <w:t xml:space="preserve">1  </w:t>
            </w:r>
            <w:r>
              <w:rPr>
                <w:color w:val="auto"/>
              </w:rPr>
              <w:t xml:space="preserve"> </w:t>
            </w:r>
            <w:r>
              <w:rPr>
                <w:rFonts w:hint="eastAsia"/>
                <w:color w:val="auto"/>
              </w:rPr>
              <w:t>乐山市市中区</w:t>
            </w:r>
            <w:r>
              <w:rPr>
                <w:color w:val="auto"/>
              </w:rPr>
              <w:t>生态保护红线</w:t>
            </w:r>
          </w:p>
          <w:tbl>
            <w:tblPr>
              <w:tblStyle w:val="3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57"/>
              <w:gridCol w:w="1452"/>
              <w:gridCol w:w="812"/>
              <w:gridCol w:w="1088"/>
              <w:gridCol w:w="1419"/>
              <w:gridCol w:w="812"/>
              <w:gridCol w:w="17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noWrap w:val="0"/>
                  <w:vAlign w:val="center"/>
                </w:tcPr>
                <w:p>
                  <w:pPr>
                    <w:pStyle w:val="69"/>
                    <w:rPr>
                      <w:color w:val="auto"/>
                    </w:rPr>
                  </w:pPr>
                  <w:r>
                    <w:rPr>
                      <w:color w:val="auto"/>
                    </w:rPr>
                    <w:t>县级行政区名称</w:t>
                  </w:r>
                </w:p>
              </w:tc>
              <w:tc>
                <w:tcPr>
                  <w:tcW w:w="0" w:type="auto"/>
                  <w:noWrap w:val="0"/>
                  <w:vAlign w:val="center"/>
                </w:tcPr>
                <w:p>
                  <w:pPr>
                    <w:pStyle w:val="69"/>
                    <w:rPr>
                      <w:color w:val="auto"/>
                    </w:rPr>
                  </w:pPr>
                  <w:r>
                    <w:rPr>
                      <w:color w:val="auto"/>
                    </w:rPr>
                    <w:t>生态保护红线面积（km2）</w:t>
                  </w:r>
                </w:p>
              </w:tc>
              <w:tc>
                <w:tcPr>
                  <w:tcW w:w="0" w:type="auto"/>
                  <w:noWrap w:val="0"/>
                  <w:vAlign w:val="center"/>
                </w:tcPr>
                <w:p>
                  <w:pPr>
                    <w:pStyle w:val="69"/>
                    <w:rPr>
                      <w:color w:val="auto"/>
                    </w:rPr>
                  </w:pPr>
                  <w:r>
                    <w:rPr>
                      <w:color w:val="auto"/>
                    </w:rPr>
                    <w:t>主导生态系统功能</w:t>
                  </w:r>
                </w:p>
              </w:tc>
              <w:tc>
                <w:tcPr>
                  <w:tcW w:w="0" w:type="auto"/>
                  <w:noWrap w:val="0"/>
                  <w:vAlign w:val="center"/>
                </w:tcPr>
                <w:p>
                  <w:pPr>
                    <w:pStyle w:val="69"/>
                    <w:rPr>
                      <w:color w:val="auto"/>
                    </w:rPr>
                  </w:pPr>
                  <w:r>
                    <w:rPr>
                      <w:color w:val="auto"/>
                    </w:rPr>
                    <w:t>类型</w:t>
                  </w:r>
                </w:p>
              </w:tc>
              <w:tc>
                <w:tcPr>
                  <w:tcW w:w="0" w:type="auto"/>
                  <w:noWrap w:val="0"/>
                  <w:vAlign w:val="center"/>
                </w:tcPr>
                <w:p>
                  <w:pPr>
                    <w:pStyle w:val="69"/>
                    <w:rPr>
                      <w:color w:val="auto"/>
                    </w:rPr>
                  </w:pPr>
                  <w:r>
                    <w:rPr>
                      <w:color w:val="auto"/>
                    </w:rPr>
                    <w:t>名称</w:t>
                  </w:r>
                </w:p>
              </w:tc>
              <w:tc>
                <w:tcPr>
                  <w:tcW w:w="0" w:type="auto"/>
                  <w:noWrap w:val="0"/>
                  <w:vAlign w:val="center"/>
                </w:tcPr>
                <w:p>
                  <w:pPr>
                    <w:pStyle w:val="69"/>
                    <w:rPr>
                      <w:color w:val="auto"/>
                    </w:rPr>
                  </w:pPr>
                  <w:r>
                    <w:rPr>
                      <w:color w:val="auto"/>
                    </w:rPr>
                    <w:t>生态系统特征</w:t>
                  </w:r>
                </w:p>
              </w:tc>
              <w:tc>
                <w:tcPr>
                  <w:tcW w:w="0" w:type="auto"/>
                  <w:noWrap w:val="0"/>
                  <w:vAlign w:val="center"/>
                </w:tcPr>
                <w:p>
                  <w:pPr>
                    <w:pStyle w:val="69"/>
                    <w:rPr>
                      <w:color w:val="auto"/>
                    </w:rPr>
                  </w:pPr>
                  <w:r>
                    <w:rPr>
                      <w:color w:val="auto"/>
                    </w:rPr>
                    <w:t>代表物种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noWrap w:val="0"/>
                  <w:vAlign w:val="center"/>
                </w:tcPr>
                <w:p>
                  <w:pPr>
                    <w:pStyle w:val="69"/>
                    <w:rPr>
                      <w:rFonts w:hint="eastAsia"/>
                      <w:color w:val="auto"/>
                    </w:rPr>
                  </w:pPr>
                  <w:r>
                    <w:rPr>
                      <w:rFonts w:hint="eastAsia"/>
                      <w:color w:val="auto"/>
                    </w:rPr>
                    <w:t>市中区</w:t>
                  </w:r>
                </w:p>
              </w:tc>
              <w:tc>
                <w:tcPr>
                  <w:tcW w:w="0" w:type="auto"/>
                  <w:noWrap w:val="0"/>
                  <w:vAlign w:val="center"/>
                </w:tcPr>
                <w:p>
                  <w:pPr>
                    <w:pStyle w:val="69"/>
                    <w:rPr>
                      <w:color w:val="auto"/>
                    </w:rPr>
                  </w:pPr>
                  <w:r>
                    <w:rPr>
                      <w:rFonts w:hint="eastAsia"/>
                      <w:color w:val="auto"/>
                    </w:rPr>
                    <w:t>2.09</w:t>
                  </w:r>
                </w:p>
              </w:tc>
              <w:tc>
                <w:tcPr>
                  <w:tcW w:w="0" w:type="auto"/>
                  <w:noWrap w:val="0"/>
                  <w:vAlign w:val="center"/>
                </w:tcPr>
                <w:p>
                  <w:pPr>
                    <w:pStyle w:val="69"/>
                    <w:rPr>
                      <w:color w:val="auto"/>
                    </w:rPr>
                  </w:pPr>
                  <w:r>
                    <w:rPr>
                      <w:color w:val="auto"/>
                    </w:rPr>
                    <w:t>水土保持</w:t>
                  </w:r>
                </w:p>
              </w:tc>
              <w:tc>
                <w:tcPr>
                  <w:tcW w:w="0" w:type="auto"/>
                  <w:noWrap w:val="0"/>
                  <w:vAlign w:val="center"/>
                </w:tcPr>
                <w:p>
                  <w:pPr>
                    <w:pStyle w:val="69"/>
                    <w:rPr>
                      <w:color w:val="auto"/>
                    </w:rPr>
                  </w:pPr>
                  <w:r>
                    <w:rPr>
                      <w:color w:val="auto"/>
                    </w:rPr>
                    <w:t>生物多样性维护生态保护红线</w:t>
                  </w:r>
                </w:p>
              </w:tc>
              <w:tc>
                <w:tcPr>
                  <w:tcW w:w="0" w:type="auto"/>
                  <w:noWrap w:val="0"/>
                  <w:vAlign w:val="center"/>
                </w:tcPr>
                <w:p>
                  <w:pPr>
                    <w:pStyle w:val="69"/>
                    <w:rPr>
                      <w:color w:val="auto"/>
                    </w:rPr>
                  </w:pPr>
                  <w:r>
                    <w:rPr>
                      <w:rFonts w:hint="eastAsia"/>
                      <w:color w:val="auto"/>
                    </w:rPr>
                    <w:t>盆中城市饮用水源—水土保持生态保护红线</w:t>
                  </w:r>
                </w:p>
              </w:tc>
              <w:tc>
                <w:tcPr>
                  <w:tcW w:w="0" w:type="auto"/>
                  <w:noWrap w:val="0"/>
                  <w:vAlign w:val="center"/>
                </w:tcPr>
                <w:p>
                  <w:pPr>
                    <w:pStyle w:val="69"/>
                    <w:rPr>
                      <w:color w:val="auto"/>
                    </w:rPr>
                  </w:pPr>
                  <w:r>
                    <w:rPr>
                      <w:rFonts w:hint="eastAsia"/>
                      <w:color w:val="auto"/>
                    </w:rPr>
                    <w:t>亚热带常绿阔叶林</w:t>
                  </w:r>
                </w:p>
              </w:tc>
              <w:tc>
                <w:tcPr>
                  <w:tcW w:w="0" w:type="auto"/>
                  <w:noWrap w:val="0"/>
                  <w:vAlign w:val="center"/>
                </w:tcPr>
                <w:p>
                  <w:pPr>
                    <w:pStyle w:val="69"/>
                    <w:rPr>
                      <w:color w:val="auto"/>
                    </w:rPr>
                  </w:pPr>
                  <w:r>
                    <w:rPr>
                      <w:rFonts w:hint="eastAsia"/>
                      <w:color w:val="auto"/>
                    </w:rPr>
                    <w:t>次生马尾松、桫椤、古柏、杉木、林麝、红腹锦鸡</w:t>
                  </w:r>
                </w:p>
              </w:tc>
            </w:tr>
          </w:tbl>
          <w:p>
            <w:pPr>
              <w:pStyle w:val="104"/>
              <w:ind w:firstLine="480"/>
              <w:rPr>
                <w:rFonts w:hint="eastAsia"/>
                <w:color w:val="auto"/>
              </w:rPr>
            </w:pPr>
            <w:r>
              <w:rPr>
                <w:rFonts w:hint="eastAsia"/>
                <w:color w:val="auto"/>
              </w:rPr>
              <w:t>由</w:t>
            </w:r>
            <w:r>
              <w:rPr>
                <w:color w:val="auto"/>
              </w:rPr>
              <w:t>《四川省环境保护厅关于发布生态保护红线市县级行政区汇总表和登记表的函》（川环函[2018]1201号）</w:t>
            </w:r>
            <w:r>
              <w:rPr>
                <w:rFonts w:hint="eastAsia"/>
                <w:color w:val="auto"/>
              </w:rPr>
              <w:t>和乐山市生态保护红线图（见附图）可知，项目所在区域不在生态红线范围内。</w:t>
            </w:r>
          </w:p>
          <w:p>
            <w:pPr>
              <w:pStyle w:val="5"/>
              <w:numPr>
                <w:ilvl w:val="0"/>
                <w:numId w:val="25"/>
              </w:numPr>
              <w:ind w:firstLine="482"/>
              <w:rPr>
                <w:color w:val="auto"/>
              </w:rPr>
            </w:pPr>
            <w:r>
              <w:rPr>
                <w:color w:val="auto"/>
              </w:rPr>
              <w:t>环境质量底线</w:t>
            </w:r>
          </w:p>
          <w:p>
            <w:pPr>
              <w:pStyle w:val="104"/>
              <w:ind w:firstLine="480"/>
              <w:rPr>
                <w:color w:val="auto"/>
              </w:rPr>
            </w:pPr>
            <w:r>
              <w:rPr>
                <w:color w:val="auto"/>
              </w:rPr>
              <w:t>①水环境质量底线</w:t>
            </w:r>
          </w:p>
          <w:p>
            <w:pPr>
              <w:pStyle w:val="104"/>
              <w:ind w:firstLine="480"/>
              <w:rPr>
                <w:color w:val="auto"/>
              </w:rPr>
            </w:pPr>
            <w:r>
              <w:rPr>
                <w:color w:val="auto"/>
              </w:rPr>
              <w:t>项目所在区域地表水体为岷江，执行《地表水环境质量标准》（GB3838-2002）中Ⅲ类标准，根据乐山市生态环境局《四川省2021年地表水水质状况》，岷江（青衣坝、沙咀断面）水质类别为II类、III类，满足《地表水环境质量标准》（GB3838-2002）中Ⅲ类水质要求，地表水环境质量现状较好。</w:t>
            </w:r>
          </w:p>
          <w:p>
            <w:pPr>
              <w:pStyle w:val="104"/>
              <w:ind w:firstLine="480"/>
              <w:rPr>
                <w:color w:val="auto"/>
              </w:rPr>
            </w:pPr>
            <w:r>
              <w:rPr>
                <w:color w:val="auto"/>
              </w:rPr>
              <w:t>本项目在正式运行后，产生的废水主要为医疗废水和生活污水，医疗废水先经项目自设的的医疗废水一体化处理设施消毒后进入</w:t>
            </w:r>
            <w:r>
              <w:rPr>
                <w:rFonts w:hint="eastAsia"/>
                <w:color w:val="auto"/>
              </w:rPr>
              <w:t>春天花园</w:t>
            </w:r>
            <w:r>
              <w:rPr>
                <w:color w:val="auto"/>
              </w:rPr>
              <w:t>小区已建的预处理池，生活污水直接利用卫生间污水管道进入</w:t>
            </w:r>
            <w:r>
              <w:rPr>
                <w:rFonts w:hint="eastAsia"/>
                <w:color w:val="auto"/>
              </w:rPr>
              <w:t>春天花园</w:t>
            </w:r>
            <w:r>
              <w:rPr>
                <w:color w:val="auto"/>
              </w:rPr>
              <w:t>小区已建的预处理池。</w:t>
            </w:r>
            <w:r>
              <w:rPr>
                <w:rFonts w:hint="eastAsia"/>
                <w:color w:val="auto"/>
              </w:rPr>
              <w:t>春天花园</w:t>
            </w:r>
            <w:r>
              <w:rPr>
                <w:color w:val="auto"/>
              </w:rPr>
              <w:t>小区已建的预处理池容积共200m</w:t>
            </w:r>
            <w:r>
              <w:rPr>
                <w:color w:val="auto"/>
                <w:vertAlign w:val="superscript"/>
              </w:rPr>
              <w:t>3</w:t>
            </w:r>
            <w:r>
              <w:rPr>
                <w:color w:val="auto"/>
              </w:rPr>
              <w:t>，在修建时已对所有 区域废水排放情况进行了分析，可以容纳整个区域所产生的污水。且本项目废水为间歇排放，排放量较小，</w:t>
            </w:r>
            <w:r>
              <w:rPr>
                <w:rFonts w:hint="eastAsia"/>
                <w:color w:val="auto"/>
              </w:rPr>
              <w:t>春天花园</w:t>
            </w:r>
            <w:r>
              <w:rPr>
                <w:color w:val="auto"/>
              </w:rPr>
              <w:t>小区污水预处理池在设计规模时已将商业用房废水排放量纳入其容积范围内，因此本项目所产生的废水可以进入</w:t>
            </w:r>
            <w:r>
              <w:rPr>
                <w:rFonts w:hint="eastAsia"/>
                <w:color w:val="auto"/>
              </w:rPr>
              <w:t>春天花园</w:t>
            </w:r>
            <w:r>
              <w:rPr>
                <w:color w:val="auto"/>
              </w:rPr>
              <w:t>小区已建的预处理池，经预处理池处理达到《污水综合排放标准》（GB8978-1996）三级标准后排入市政污水管网，最终进入</w:t>
            </w:r>
            <w:r>
              <w:rPr>
                <w:rFonts w:hint="eastAsia"/>
                <w:color w:val="auto"/>
              </w:rPr>
              <w:t>乐山第一</w:t>
            </w:r>
            <w:r>
              <w:rPr>
                <w:color w:val="auto"/>
              </w:rPr>
              <w:t>污水处理厂处理后排入</w:t>
            </w:r>
            <w:r>
              <w:rPr>
                <w:rFonts w:hint="eastAsia"/>
                <w:color w:val="auto"/>
              </w:rPr>
              <w:t>岷江</w:t>
            </w:r>
            <w:r>
              <w:rPr>
                <w:color w:val="auto"/>
              </w:rPr>
              <w:t xml:space="preserve">。 </w:t>
            </w:r>
          </w:p>
          <w:p>
            <w:pPr>
              <w:pStyle w:val="104"/>
              <w:ind w:firstLine="480"/>
              <w:rPr>
                <w:color w:val="auto"/>
              </w:rPr>
            </w:pPr>
            <w:r>
              <w:rPr>
                <w:color w:val="auto"/>
              </w:rPr>
              <w:t xml:space="preserve">②大气环境质量底线 </w:t>
            </w:r>
          </w:p>
          <w:p>
            <w:pPr>
              <w:ind w:firstLine="480"/>
              <w:rPr>
                <w:rFonts w:hint="eastAsia"/>
                <w:color w:val="auto"/>
              </w:rPr>
            </w:pPr>
            <w:r>
              <w:rPr>
                <w:color w:val="auto"/>
              </w:rPr>
              <w:t>根据《乐山市2021年环境质量公报》，区域内</w:t>
            </w:r>
            <w:r>
              <w:rPr>
                <w:rFonts w:hint="eastAsia"/>
                <w:color w:val="auto"/>
              </w:rPr>
              <w:t>各污染物均</w:t>
            </w:r>
            <w:r>
              <w:rPr>
                <w:color w:val="auto"/>
              </w:rPr>
              <w:t>达到《环境空气质量标准》（GB3095-2012）及其修改单中二级标准。</w:t>
            </w:r>
            <w:r>
              <w:rPr>
                <w:rFonts w:hint="eastAsia"/>
                <w:color w:val="auto"/>
              </w:rPr>
              <w:t>区域内各污染物均达到《环境空气质量标准》（GB3095-2012）及其修改单中二级标准，为达标区。</w:t>
            </w:r>
          </w:p>
          <w:p>
            <w:pPr>
              <w:ind w:firstLine="480"/>
              <w:rPr>
                <w:rFonts w:hint="eastAsia"/>
                <w:color w:val="auto"/>
              </w:rPr>
            </w:pPr>
            <w:r>
              <w:rPr>
                <w:rFonts w:hint="eastAsia"/>
                <w:color w:val="auto"/>
              </w:rPr>
              <w:t>因此，项目所在区域环境空气质量较好。</w:t>
            </w:r>
          </w:p>
          <w:p>
            <w:pPr>
              <w:ind w:firstLine="480"/>
              <w:rPr>
                <w:color w:val="auto"/>
              </w:rPr>
            </w:pPr>
            <w:r>
              <w:rPr>
                <w:color w:val="auto"/>
              </w:rPr>
              <w:t xml:space="preserve"> ③生态环境质量底线</w:t>
            </w:r>
          </w:p>
          <w:p>
            <w:pPr>
              <w:ind w:firstLine="480"/>
              <w:rPr>
                <w:color w:val="auto"/>
              </w:rPr>
            </w:pPr>
            <w:r>
              <w:rPr>
                <w:color w:val="auto"/>
              </w:rPr>
              <w:t>本项目所在地主要为城市生态环境，区域内人类活动频繁，不存在原生植被。项目所在区域内无野生动物及珍稀植物，无文物古迹等需特殊保护的目标。</w:t>
            </w:r>
          </w:p>
          <w:p>
            <w:pPr>
              <w:pStyle w:val="104"/>
              <w:ind w:firstLine="480"/>
              <w:rPr>
                <w:color w:val="auto"/>
              </w:rPr>
            </w:pPr>
            <w:r>
              <w:rPr>
                <w:color w:val="auto"/>
              </w:rPr>
              <w:t>项目所在区域为2类声环境功能区，根据环境噪声现状监测结果，项目区域各点位噪声满足《声环境质量标准》（GB3096-2008）中2类标准，表明项目所在地声环境质量良好。本项目运营期产噪小，可实现达标排放，不会改变项目所在区域的声环境功能。</w:t>
            </w:r>
          </w:p>
          <w:p>
            <w:pPr>
              <w:ind w:firstLine="480"/>
              <w:rPr>
                <w:color w:val="auto"/>
              </w:rPr>
            </w:pPr>
            <w:r>
              <w:rPr>
                <w:color w:val="auto"/>
              </w:rPr>
              <w:t>综上所述，本项目所在区域声环境质量及生态环境质量均良好，大气环境质量为达标区，地表水为达标区。因此，本项目不会突破区域环境质量底线。</w:t>
            </w:r>
          </w:p>
          <w:p>
            <w:pPr>
              <w:pStyle w:val="5"/>
              <w:ind w:firstLine="482"/>
              <w:rPr>
                <w:color w:val="auto"/>
              </w:rPr>
            </w:pPr>
            <w:r>
              <w:rPr>
                <w:color w:val="auto"/>
              </w:rPr>
              <w:t>3、项目与资源利用上线的对照分析</w:t>
            </w:r>
          </w:p>
          <w:p>
            <w:pPr>
              <w:pStyle w:val="104"/>
              <w:ind w:firstLine="480"/>
              <w:rPr>
                <w:rFonts w:hint="eastAsia"/>
                <w:color w:val="auto"/>
              </w:rPr>
            </w:pPr>
            <w:r>
              <w:rPr>
                <w:rFonts w:hint="eastAsia"/>
                <w:color w:val="auto"/>
              </w:rPr>
              <w:t>项目租用四川省乐山市市中区春华路中段656号的现有商业店铺，不新增用地；本项目用水取自自来水，由市政给水管网供水；运营所需原辅材料由临近市场供应，电力、天然气等由市政基础设施稳定供应。项目运营过程中消耗一定的电源、水资源等，项目资源消耗量相对于区域资源利用总量较少，不会突破区域资源利用上线。</w:t>
            </w:r>
          </w:p>
          <w:p>
            <w:pPr>
              <w:pStyle w:val="5"/>
              <w:ind w:firstLine="482"/>
              <w:rPr>
                <w:color w:val="auto"/>
              </w:rPr>
            </w:pPr>
            <w:r>
              <w:rPr>
                <w:color w:val="auto"/>
              </w:rPr>
              <w:t>4、环境管控单元和生态环境准入清单的符合性分析</w:t>
            </w:r>
          </w:p>
          <w:p>
            <w:pPr>
              <w:pStyle w:val="104"/>
              <w:ind w:firstLine="480"/>
              <w:rPr>
                <w:rFonts w:hint="eastAsia"/>
                <w:color w:val="auto"/>
              </w:rPr>
            </w:pPr>
            <w:r>
              <w:rPr>
                <w:rFonts w:hint="eastAsia"/>
                <w:color w:val="auto"/>
              </w:rPr>
              <w:t>根据乐山市人民政府《关于落实生态保护红线、环境质量底线、资源利用上线制定生态环境准入清单实施生态环境分区管控的通知》（乐府发〔2021〕7号）要求，将全市行政区域从生态环境保护角度划分为优先保护、重点管控和一般管控三类环境管控单元。</w:t>
            </w:r>
          </w:p>
          <w:p>
            <w:pPr>
              <w:pStyle w:val="104"/>
              <w:ind w:firstLine="480"/>
              <w:rPr>
                <w:rFonts w:hint="eastAsia"/>
                <w:color w:val="auto"/>
              </w:rPr>
            </w:pPr>
            <w:r>
              <w:rPr>
                <w:rFonts w:hint="eastAsia"/>
                <w:color w:val="auto"/>
              </w:rPr>
              <w:t>项目位于乐山市市中区环境综合管控单元城镇重点管控单元（管控单元名称：市中区中心城区，管控单元编号：ZH51110220001），项目与管控单元相对位置如下图所示：</w:t>
            </w:r>
          </w:p>
          <w:p>
            <w:pPr>
              <w:pStyle w:val="69"/>
              <w:rPr>
                <w:color w:val="auto"/>
              </w:rPr>
            </w:pPr>
            <w:r>
              <w:rPr>
                <w:color w:val="auto"/>
              </w:rPr>
              <w:drawing>
                <wp:inline distT="0" distB="0" distL="114300" distR="114300">
                  <wp:extent cx="4037330" cy="2422525"/>
                  <wp:effectExtent l="0" t="0" r="1270" b="1587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88"/>
                          <a:stretch>
                            <a:fillRect/>
                          </a:stretch>
                        </pic:blipFill>
                        <pic:spPr>
                          <a:xfrm>
                            <a:off x="0" y="0"/>
                            <a:ext cx="4037330" cy="2422525"/>
                          </a:xfrm>
                          <a:prstGeom prst="rect">
                            <a:avLst/>
                          </a:prstGeom>
                          <a:noFill/>
                          <a:ln>
                            <a:noFill/>
                          </a:ln>
                        </pic:spPr>
                      </pic:pic>
                    </a:graphicData>
                  </a:graphic>
                </wp:inline>
              </w:drawing>
            </w:r>
          </w:p>
          <w:p>
            <w:pPr>
              <w:pStyle w:val="117"/>
              <w:rPr>
                <w:color w:val="auto"/>
              </w:rPr>
            </w:pPr>
            <w:r>
              <w:rPr>
                <w:rFonts w:hint="eastAsia"/>
                <w:color w:val="auto"/>
              </w:rPr>
              <w:t>图1-1 项目与环境管控单元位置关系图</w:t>
            </w:r>
          </w:p>
          <w:p>
            <w:pPr>
              <w:pStyle w:val="104"/>
              <w:ind w:firstLine="480"/>
              <w:rPr>
                <w:rFonts w:hint="eastAsia"/>
                <w:color w:val="auto"/>
              </w:rPr>
            </w:pPr>
            <w:r>
              <w:rPr>
                <w:rFonts w:hint="eastAsia"/>
                <w:color w:val="auto"/>
              </w:rPr>
              <w:t>项目涉及到环境管控单元5个，涉及到管控单元见下表：</w:t>
            </w:r>
          </w:p>
          <w:p>
            <w:pPr>
              <w:pStyle w:val="102"/>
              <w:ind w:left="422" w:hanging="422"/>
              <w:rPr>
                <w:rFonts w:hint="eastAsia"/>
                <w:color w:val="auto"/>
              </w:rPr>
            </w:pPr>
            <w:r>
              <w:rPr>
                <w:rFonts w:hint="eastAsia"/>
                <w:color w:val="auto"/>
              </w:rPr>
              <w:t>表1-2  项目涉及环境管控单元一览表</w:t>
            </w:r>
          </w:p>
          <w:tbl>
            <w:tblPr>
              <w:tblStyle w:val="3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4"/>
              <w:gridCol w:w="1312"/>
              <w:gridCol w:w="1034"/>
              <w:gridCol w:w="1006"/>
              <w:gridCol w:w="1066"/>
              <w:gridCol w:w="18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75" w:hRule="atLeast"/>
                <w:tblHeader/>
              </w:trPr>
              <w:tc>
                <w:tcPr>
                  <w:tcW w:w="1043" w:type="pct"/>
                  <w:noWrap w:val="0"/>
                  <w:vAlign w:val="center"/>
                </w:tcPr>
                <w:p>
                  <w:pPr>
                    <w:pStyle w:val="118"/>
                    <w:rPr>
                      <w:color w:val="auto"/>
                    </w:rPr>
                  </w:pPr>
                  <w:r>
                    <w:rPr>
                      <w:rFonts w:hint="eastAsia"/>
                      <w:color w:val="auto"/>
                    </w:rPr>
                    <w:t>环境管控单元编码</w:t>
                  </w:r>
                </w:p>
              </w:tc>
              <w:tc>
                <w:tcPr>
                  <w:tcW w:w="830" w:type="pct"/>
                  <w:noWrap w:val="0"/>
                  <w:vAlign w:val="center"/>
                </w:tcPr>
                <w:p>
                  <w:pPr>
                    <w:pStyle w:val="118"/>
                    <w:rPr>
                      <w:color w:val="auto"/>
                    </w:rPr>
                  </w:pPr>
                  <w:r>
                    <w:rPr>
                      <w:rFonts w:hint="eastAsia"/>
                      <w:color w:val="auto"/>
                    </w:rPr>
                    <w:t>管控单元名称</w:t>
                  </w:r>
                </w:p>
              </w:tc>
              <w:tc>
                <w:tcPr>
                  <w:tcW w:w="658" w:type="pct"/>
                  <w:noWrap w:val="0"/>
                  <w:vAlign w:val="center"/>
                </w:tcPr>
                <w:p>
                  <w:pPr>
                    <w:pStyle w:val="118"/>
                    <w:rPr>
                      <w:color w:val="auto"/>
                    </w:rPr>
                  </w:pPr>
                  <w:r>
                    <w:rPr>
                      <w:rFonts w:hint="eastAsia"/>
                      <w:color w:val="auto"/>
                    </w:rPr>
                    <w:t>所属市（州）</w:t>
                  </w:r>
                </w:p>
              </w:tc>
              <w:tc>
                <w:tcPr>
                  <w:tcW w:w="640" w:type="pct"/>
                  <w:noWrap w:val="0"/>
                  <w:vAlign w:val="center"/>
                </w:tcPr>
                <w:p>
                  <w:pPr>
                    <w:pStyle w:val="118"/>
                    <w:rPr>
                      <w:color w:val="auto"/>
                    </w:rPr>
                  </w:pPr>
                  <w:r>
                    <w:rPr>
                      <w:rFonts w:hint="eastAsia"/>
                      <w:color w:val="auto"/>
                    </w:rPr>
                    <w:t>所属区县</w:t>
                  </w:r>
                </w:p>
              </w:tc>
              <w:tc>
                <w:tcPr>
                  <w:tcW w:w="677" w:type="pct"/>
                  <w:noWrap w:val="0"/>
                  <w:vAlign w:val="center"/>
                </w:tcPr>
                <w:p>
                  <w:pPr>
                    <w:pStyle w:val="118"/>
                    <w:rPr>
                      <w:color w:val="auto"/>
                    </w:rPr>
                  </w:pPr>
                  <w:r>
                    <w:rPr>
                      <w:rFonts w:hint="eastAsia"/>
                      <w:color w:val="auto"/>
                    </w:rPr>
                    <w:t>准入清单类型</w:t>
                  </w:r>
                </w:p>
              </w:tc>
              <w:tc>
                <w:tcPr>
                  <w:tcW w:w="1149" w:type="pct"/>
                  <w:noWrap w:val="0"/>
                  <w:vAlign w:val="center"/>
                </w:tcPr>
                <w:p>
                  <w:pPr>
                    <w:pStyle w:val="118"/>
                    <w:rPr>
                      <w:color w:val="auto"/>
                    </w:rPr>
                  </w:pPr>
                  <w:r>
                    <w:rPr>
                      <w:rFonts w:hint="eastAsia"/>
                      <w:color w:val="auto"/>
                    </w:rPr>
                    <w:t>管控类型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12" w:hRule="atLeast"/>
                <w:tblHeader/>
              </w:trPr>
              <w:tc>
                <w:tcPr>
                  <w:tcW w:w="1043" w:type="pct"/>
                  <w:noWrap w:val="0"/>
                  <w:vAlign w:val="center"/>
                </w:tcPr>
                <w:p>
                  <w:pPr>
                    <w:pStyle w:val="118"/>
                    <w:rPr>
                      <w:color w:val="auto"/>
                    </w:rPr>
                  </w:pPr>
                  <w:r>
                    <w:rPr>
                      <w:rFonts w:hint="eastAsia"/>
                      <w:color w:val="auto"/>
                    </w:rPr>
                    <w:t>ZH51110220001</w:t>
                  </w:r>
                </w:p>
              </w:tc>
              <w:tc>
                <w:tcPr>
                  <w:tcW w:w="830" w:type="pct"/>
                  <w:noWrap w:val="0"/>
                  <w:vAlign w:val="center"/>
                </w:tcPr>
                <w:p>
                  <w:pPr>
                    <w:pStyle w:val="118"/>
                    <w:rPr>
                      <w:color w:val="auto"/>
                    </w:rPr>
                  </w:pPr>
                  <w:r>
                    <w:rPr>
                      <w:rFonts w:hint="eastAsia"/>
                      <w:color w:val="auto"/>
                    </w:rPr>
                    <w:t>市中区中心城区</w:t>
                  </w:r>
                </w:p>
              </w:tc>
              <w:tc>
                <w:tcPr>
                  <w:tcW w:w="658" w:type="pct"/>
                  <w:noWrap w:val="0"/>
                  <w:vAlign w:val="center"/>
                </w:tcPr>
                <w:p>
                  <w:pPr>
                    <w:pStyle w:val="118"/>
                    <w:rPr>
                      <w:color w:val="auto"/>
                    </w:rPr>
                  </w:pPr>
                  <w:r>
                    <w:rPr>
                      <w:rFonts w:hint="eastAsia"/>
                      <w:color w:val="auto"/>
                    </w:rPr>
                    <w:t>乐山市</w:t>
                  </w:r>
                </w:p>
              </w:tc>
              <w:tc>
                <w:tcPr>
                  <w:tcW w:w="640" w:type="pct"/>
                  <w:noWrap w:val="0"/>
                  <w:vAlign w:val="center"/>
                </w:tcPr>
                <w:p>
                  <w:pPr>
                    <w:pStyle w:val="118"/>
                    <w:rPr>
                      <w:color w:val="auto"/>
                    </w:rPr>
                  </w:pPr>
                  <w:r>
                    <w:rPr>
                      <w:rFonts w:hint="eastAsia"/>
                      <w:color w:val="auto"/>
                    </w:rPr>
                    <w:t>市中区</w:t>
                  </w:r>
                </w:p>
              </w:tc>
              <w:tc>
                <w:tcPr>
                  <w:tcW w:w="677" w:type="pct"/>
                  <w:noWrap w:val="0"/>
                  <w:vAlign w:val="center"/>
                </w:tcPr>
                <w:p>
                  <w:pPr>
                    <w:pStyle w:val="118"/>
                    <w:rPr>
                      <w:color w:val="auto"/>
                    </w:rPr>
                  </w:pPr>
                  <w:r>
                    <w:rPr>
                      <w:rFonts w:hint="eastAsia"/>
                      <w:color w:val="auto"/>
                    </w:rPr>
                    <w:t>环境管控单元</w:t>
                  </w:r>
                </w:p>
              </w:tc>
              <w:tc>
                <w:tcPr>
                  <w:tcW w:w="1149" w:type="pct"/>
                  <w:noWrap w:val="0"/>
                  <w:vAlign w:val="center"/>
                </w:tcPr>
                <w:p>
                  <w:pPr>
                    <w:pStyle w:val="118"/>
                    <w:rPr>
                      <w:color w:val="auto"/>
                    </w:rPr>
                  </w:pPr>
                  <w:r>
                    <w:rPr>
                      <w:rFonts w:hint="eastAsia"/>
                      <w:color w:val="auto"/>
                    </w:rPr>
                    <w:t>环境综合管控单元城镇重点管控单元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12" w:hRule="atLeast"/>
                <w:tblHeader/>
              </w:trPr>
              <w:tc>
                <w:tcPr>
                  <w:tcW w:w="1043" w:type="pct"/>
                  <w:noWrap w:val="0"/>
                  <w:vAlign w:val="center"/>
                </w:tcPr>
                <w:p>
                  <w:pPr>
                    <w:pStyle w:val="118"/>
                    <w:rPr>
                      <w:color w:val="auto"/>
                    </w:rPr>
                  </w:pPr>
                  <w:r>
                    <w:rPr>
                      <w:rFonts w:hint="eastAsia"/>
                      <w:color w:val="auto"/>
                    </w:rPr>
                    <w:t>YS5111022220013</w:t>
                  </w:r>
                </w:p>
              </w:tc>
              <w:tc>
                <w:tcPr>
                  <w:tcW w:w="830" w:type="pct"/>
                  <w:noWrap w:val="0"/>
                  <w:vAlign w:val="center"/>
                </w:tcPr>
                <w:p>
                  <w:pPr>
                    <w:pStyle w:val="118"/>
                    <w:rPr>
                      <w:color w:val="auto"/>
                    </w:rPr>
                  </w:pPr>
                  <w:r>
                    <w:rPr>
                      <w:rFonts w:hint="eastAsia"/>
                      <w:color w:val="auto"/>
                    </w:rPr>
                    <w:t>岷江市中区青衣坝控制单元</w:t>
                  </w:r>
                </w:p>
              </w:tc>
              <w:tc>
                <w:tcPr>
                  <w:tcW w:w="658" w:type="pct"/>
                  <w:noWrap w:val="0"/>
                  <w:vAlign w:val="center"/>
                </w:tcPr>
                <w:p>
                  <w:pPr>
                    <w:pStyle w:val="118"/>
                    <w:rPr>
                      <w:color w:val="auto"/>
                    </w:rPr>
                  </w:pPr>
                  <w:r>
                    <w:rPr>
                      <w:rFonts w:hint="eastAsia"/>
                      <w:color w:val="auto"/>
                    </w:rPr>
                    <w:t>乐山市</w:t>
                  </w:r>
                </w:p>
              </w:tc>
              <w:tc>
                <w:tcPr>
                  <w:tcW w:w="640" w:type="pct"/>
                  <w:noWrap w:val="0"/>
                  <w:vAlign w:val="center"/>
                </w:tcPr>
                <w:p>
                  <w:pPr>
                    <w:pStyle w:val="118"/>
                    <w:rPr>
                      <w:color w:val="auto"/>
                    </w:rPr>
                  </w:pPr>
                  <w:r>
                    <w:rPr>
                      <w:rFonts w:hint="eastAsia"/>
                      <w:color w:val="auto"/>
                    </w:rPr>
                    <w:t>市中区</w:t>
                  </w:r>
                </w:p>
              </w:tc>
              <w:tc>
                <w:tcPr>
                  <w:tcW w:w="677" w:type="pct"/>
                  <w:noWrap w:val="0"/>
                  <w:vAlign w:val="center"/>
                </w:tcPr>
                <w:p>
                  <w:pPr>
                    <w:pStyle w:val="118"/>
                    <w:rPr>
                      <w:color w:val="auto"/>
                    </w:rPr>
                  </w:pPr>
                  <w:r>
                    <w:rPr>
                      <w:rFonts w:hint="eastAsia"/>
                      <w:color w:val="auto"/>
                    </w:rPr>
                    <w:t>水环境管控分区</w:t>
                  </w:r>
                </w:p>
              </w:tc>
              <w:tc>
                <w:tcPr>
                  <w:tcW w:w="1149" w:type="pct"/>
                  <w:noWrap w:val="0"/>
                  <w:vAlign w:val="center"/>
                </w:tcPr>
                <w:p>
                  <w:pPr>
                    <w:pStyle w:val="118"/>
                    <w:rPr>
                      <w:color w:val="auto"/>
                    </w:rPr>
                  </w:pPr>
                  <w:r>
                    <w:rPr>
                      <w:rFonts w:hint="eastAsia"/>
                      <w:color w:val="auto"/>
                    </w:rPr>
                    <w:t>水环境城镇生活污染重点管控区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12" w:hRule="atLeast"/>
                <w:tblHeader/>
              </w:trPr>
              <w:tc>
                <w:tcPr>
                  <w:tcW w:w="1043" w:type="pct"/>
                  <w:noWrap w:val="0"/>
                  <w:vAlign w:val="center"/>
                </w:tcPr>
                <w:p>
                  <w:pPr>
                    <w:pStyle w:val="118"/>
                    <w:rPr>
                      <w:color w:val="auto"/>
                    </w:rPr>
                  </w:pPr>
                  <w:r>
                    <w:rPr>
                      <w:rFonts w:hint="eastAsia"/>
                      <w:color w:val="auto"/>
                    </w:rPr>
                    <w:t>YS5111022340001</w:t>
                  </w:r>
                </w:p>
              </w:tc>
              <w:tc>
                <w:tcPr>
                  <w:tcW w:w="830" w:type="pct"/>
                  <w:noWrap w:val="0"/>
                  <w:vAlign w:val="center"/>
                </w:tcPr>
                <w:p>
                  <w:pPr>
                    <w:pStyle w:val="118"/>
                    <w:rPr>
                      <w:color w:val="auto"/>
                    </w:rPr>
                  </w:pPr>
                  <w:r>
                    <w:rPr>
                      <w:rFonts w:hint="eastAsia"/>
                      <w:color w:val="auto"/>
                    </w:rPr>
                    <w:t>乐山市市中区大气环境受体敏感重点管控区</w:t>
                  </w:r>
                </w:p>
              </w:tc>
              <w:tc>
                <w:tcPr>
                  <w:tcW w:w="658" w:type="pct"/>
                  <w:noWrap w:val="0"/>
                  <w:vAlign w:val="center"/>
                </w:tcPr>
                <w:p>
                  <w:pPr>
                    <w:pStyle w:val="118"/>
                    <w:rPr>
                      <w:color w:val="auto"/>
                    </w:rPr>
                  </w:pPr>
                  <w:r>
                    <w:rPr>
                      <w:rFonts w:hint="eastAsia"/>
                      <w:color w:val="auto"/>
                    </w:rPr>
                    <w:t>乐山市</w:t>
                  </w:r>
                </w:p>
              </w:tc>
              <w:tc>
                <w:tcPr>
                  <w:tcW w:w="640" w:type="pct"/>
                  <w:noWrap w:val="0"/>
                  <w:vAlign w:val="center"/>
                </w:tcPr>
                <w:p>
                  <w:pPr>
                    <w:pStyle w:val="118"/>
                    <w:rPr>
                      <w:color w:val="auto"/>
                    </w:rPr>
                  </w:pPr>
                  <w:r>
                    <w:rPr>
                      <w:rFonts w:hint="eastAsia"/>
                      <w:color w:val="auto"/>
                    </w:rPr>
                    <w:t>市中区</w:t>
                  </w:r>
                </w:p>
              </w:tc>
              <w:tc>
                <w:tcPr>
                  <w:tcW w:w="677" w:type="pct"/>
                  <w:noWrap w:val="0"/>
                  <w:vAlign w:val="center"/>
                </w:tcPr>
                <w:p>
                  <w:pPr>
                    <w:pStyle w:val="118"/>
                    <w:rPr>
                      <w:color w:val="auto"/>
                    </w:rPr>
                  </w:pPr>
                  <w:r>
                    <w:rPr>
                      <w:rFonts w:hint="eastAsia"/>
                      <w:color w:val="auto"/>
                    </w:rPr>
                    <w:t>大气环境管控分区</w:t>
                  </w:r>
                </w:p>
              </w:tc>
              <w:tc>
                <w:tcPr>
                  <w:tcW w:w="1149" w:type="pct"/>
                  <w:noWrap w:val="0"/>
                  <w:vAlign w:val="center"/>
                </w:tcPr>
                <w:p>
                  <w:pPr>
                    <w:pStyle w:val="118"/>
                    <w:rPr>
                      <w:color w:val="auto"/>
                    </w:rPr>
                  </w:pPr>
                  <w:r>
                    <w:rPr>
                      <w:rFonts w:hint="eastAsia"/>
                      <w:color w:val="auto"/>
                    </w:rPr>
                    <w:t>大气环境受体敏感重点管控区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12" w:hRule="atLeast"/>
                <w:tblHeader/>
              </w:trPr>
              <w:tc>
                <w:tcPr>
                  <w:tcW w:w="1043" w:type="pct"/>
                  <w:noWrap w:val="0"/>
                  <w:vAlign w:val="center"/>
                </w:tcPr>
                <w:p>
                  <w:pPr>
                    <w:pStyle w:val="118"/>
                    <w:rPr>
                      <w:color w:val="auto"/>
                    </w:rPr>
                  </w:pPr>
                  <w:r>
                    <w:rPr>
                      <w:rFonts w:hint="eastAsia"/>
                      <w:color w:val="auto"/>
                    </w:rPr>
                    <w:t>YS5111022540006</w:t>
                  </w:r>
                </w:p>
              </w:tc>
              <w:tc>
                <w:tcPr>
                  <w:tcW w:w="830" w:type="pct"/>
                  <w:noWrap w:val="0"/>
                  <w:vAlign w:val="center"/>
                </w:tcPr>
                <w:p>
                  <w:pPr>
                    <w:pStyle w:val="118"/>
                    <w:rPr>
                      <w:color w:val="auto"/>
                    </w:rPr>
                  </w:pPr>
                  <w:r>
                    <w:rPr>
                      <w:rFonts w:hint="eastAsia"/>
                      <w:color w:val="auto"/>
                    </w:rPr>
                    <w:t>市中区禁燃区</w:t>
                  </w:r>
                </w:p>
              </w:tc>
              <w:tc>
                <w:tcPr>
                  <w:tcW w:w="658" w:type="pct"/>
                  <w:noWrap w:val="0"/>
                  <w:vAlign w:val="center"/>
                </w:tcPr>
                <w:p>
                  <w:pPr>
                    <w:pStyle w:val="118"/>
                    <w:rPr>
                      <w:color w:val="auto"/>
                    </w:rPr>
                  </w:pPr>
                  <w:r>
                    <w:rPr>
                      <w:rFonts w:hint="eastAsia"/>
                      <w:color w:val="auto"/>
                    </w:rPr>
                    <w:t>乐山市</w:t>
                  </w:r>
                </w:p>
              </w:tc>
              <w:tc>
                <w:tcPr>
                  <w:tcW w:w="640" w:type="pct"/>
                  <w:noWrap w:val="0"/>
                  <w:vAlign w:val="center"/>
                </w:tcPr>
                <w:p>
                  <w:pPr>
                    <w:pStyle w:val="118"/>
                    <w:rPr>
                      <w:color w:val="auto"/>
                    </w:rPr>
                  </w:pPr>
                  <w:r>
                    <w:rPr>
                      <w:rFonts w:hint="eastAsia"/>
                      <w:color w:val="auto"/>
                    </w:rPr>
                    <w:t>市中区</w:t>
                  </w:r>
                </w:p>
              </w:tc>
              <w:tc>
                <w:tcPr>
                  <w:tcW w:w="677" w:type="pct"/>
                  <w:noWrap w:val="0"/>
                  <w:vAlign w:val="center"/>
                </w:tcPr>
                <w:p>
                  <w:pPr>
                    <w:pStyle w:val="118"/>
                    <w:rPr>
                      <w:color w:val="auto"/>
                    </w:rPr>
                  </w:pPr>
                  <w:r>
                    <w:rPr>
                      <w:rFonts w:hint="eastAsia"/>
                      <w:color w:val="auto"/>
                    </w:rPr>
                    <w:t>自然资源管控分区</w:t>
                  </w:r>
                </w:p>
              </w:tc>
              <w:tc>
                <w:tcPr>
                  <w:tcW w:w="1149" w:type="pct"/>
                  <w:noWrap w:val="0"/>
                  <w:vAlign w:val="center"/>
                </w:tcPr>
                <w:p>
                  <w:pPr>
                    <w:pStyle w:val="118"/>
                    <w:rPr>
                      <w:color w:val="auto"/>
                    </w:rPr>
                  </w:pPr>
                  <w:r>
                    <w:rPr>
                      <w:rFonts w:hint="eastAsia"/>
                      <w:color w:val="auto"/>
                    </w:rPr>
                    <w:t>高污染燃料禁燃区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12" w:hRule="atLeast"/>
                <w:tblHeader/>
              </w:trPr>
              <w:tc>
                <w:tcPr>
                  <w:tcW w:w="1043" w:type="pct"/>
                  <w:noWrap w:val="0"/>
                  <w:vAlign w:val="center"/>
                </w:tcPr>
                <w:p>
                  <w:pPr>
                    <w:pStyle w:val="118"/>
                    <w:rPr>
                      <w:color w:val="auto"/>
                    </w:rPr>
                  </w:pPr>
                  <w:r>
                    <w:rPr>
                      <w:rFonts w:hint="eastAsia"/>
                      <w:color w:val="auto"/>
                    </w:rPr>
                    <w:t>YS5111022550001</w:t>
                  </w:r>
                </w:p>
              </w:tc>
              <w:tc>
                <w:tcPr>
                  <w:tcW w:w="830" w:type="pct"/>
                  <w:noWrap w:val="0"/>
                  <w:vAlign w:val="center"/>
                </w:tcPr>
                <w:p>
                  <w:pPr>
                    <w:pStyle w:val="118"/>
                    <w:rPr>
                      <w:color w:val="auto"/>
                    </w:rPr>
                  </w:pPr>
                  <w:r>
                    <w:rPr>
                      <w:rFonts w:hint="eastAsia"/>
                      <w:color w:val="auto"/>
                    </w:rPr>
                    <w:t>市中区自然资源重点管控区</w:t>
                  </w:r>
                </w:p>
              </w:tc>
              <w:tc>
                <w:tcPr>
                  <w:tcW w:w="658" w:type="pct"/>
                  <w:noWrap w:val="0"/>
                  <w:vAlign w:val="center"/>
                </w:tcPr>
                <w:p>
                  <w:pPr>
                    <w:pStyle w:val="118"/>
                    <w:rPr>
                      <w:color w:val="auto"/>
                    </w:rPr>
                  </w:pPr>
                  <w:r>
                    <w:rPr>
                      <w:rFonts w:hint="eastAsia"/>
                      <w:color w:val="auto"/>
                    </w:rPr>
                    <w:t>乐山市</w:t>
                  </w:r>
                </w:p>
              </w:tc>
              <w:tc>
                <w:tcPr>
                  <w:tcW w:w="640" w:type="pct"/>
                  <w:noWrap w:val="0"/>
                  <w:vAlign w:val="center"/>
                </w:tcPr>
                <w:p>
                  <w:pPr>
                    <w:pStyle w:val="118"/>
                    <w:rPr>
                      <w:color w:val="auto"/>
                    </w:rPr>
                  </w:pPr>
                  <w:r>
                    <w:rPr>
                      <w:rFonts w:hint="eastAsia"/>
                      <w:color w:val="auto"/>
                    </w:rPr>
                    <w:t>市中区</w:t>
                  </w:r>
                </w:p>
              </w:tc>
              <w:tc>
                <w:tcPr>
                  <w:tcW w:w="677" w:type="pct"/>
                  <w:noWrap w:val="0"/>
                  <w:vAlign w:val="center"/>
                </w:tcPr>
                <w:p>
                  <w:pPr>
                    <w:pStyle w:val="118"/>
                    <w:rPr>
                      <w:color w:val="auto"/>
                    </w:rPr>
                  </w:pPr>
                  <w:r>
                    <w:rPr>
                      <w:rFonts w:hint="eastAsia"/>
                      <w:color w:val="auto"/>
                    </w:rPr>
                    <w:t>自然资源管控分区</w:t>
                  </w:r>
                </w:p>
              </w:tc>
              <w:tc>
                <w:tcPr>
                  <w:tcW w:w="1149" w:type="pct"/>
                  <w:noWrap w:val="0"/>
                  <w:vAlign w:val="center"/>
                </w:tcPr>
                <w:p>
                  <w:pPr>
                    <w:pStyle w:val="118"/>
                    <w:rPr>
                      <w:color w:val="auto"/>
                    </w:rPr>
                  </w:pPr>
                  <w:r>
                    <w:rPr>
                      <w:rFonts w:hint="eastAsia"/>
                      <w:color w:val="auto"/>
                    </w:rPr>
                    <w:t>自然资源重点管控区</w:t>
                  </w:r>
                </w:p>
              </w:tc>
            </w:tr>
          </w:tbl>
          <w:p>
            <w:pPr>
              <w:ind w:firstLine="482"/>
              <w:rPr>
                <w:b/>
                <w:bCs/>
                <w:color w:val="auto"/>
              </w:rPr>
            </w:pPr>
            <w:r>
              <w:rPr>
                <w:rFonts w:hint="eastAsia"/>
                <w:b/>
                <w:bCs/>
                <w:color w:val="auto"/>
              </w:rPr>
              <w:t>5、</w:t>
            </w:r>
            <w:r>
              <w:rPr>
                <w:b/>
                <w:bCs/>
                <w:color w:val="auto"/>
              </w:rPr>
              <w:t>与《乐山市人民政府关于落实生态保护红线、环境质量底线、资源利用上线制定生态环境准入清单实施生态环境分区管控的通知》（乐府发〔2021〕7号）符合性分析</w:t>
            </w:r>
          </w:p>
          <w:p>
            <w:pPr>
              <w:pStyle w:val="104"/>
              <w:ind w:firstLine="480"/>
              <w:rPr>
                <w:rFonts w:hint="eastAsia"/>
                <w:color w:val="auto"/>
              </w:rPr>
            </w:pPr>
            <w:r>
              <w:rPr>
                <w:rFonts w:hint="eastAsia"/>
                <w:color w:val="auto"/>
              </w:rPr>
              <w:t>根据乐山市人民政府发布的《关于落实生态保护红线、环境质量底线、资源利用上线制定生态环境准入清单实施生态环境分区管控的通知》（乐府发〔2021〕7号），将全市行政区域从生态环境保护角度划分为优先保护、重点管控和一般管控三类环境管控单元。</w:t>
            </w:r>
          </w:p>
          <w:p>
            <w:pPr>
              <w:pStyle w:val="104"/>
              <w:numPr>
                <w:ilvl w:val="0"/>
                <w:numId w:val="8"/>
              </w:numPr>
              <w:ind w:firstLineChars="0"/>
              <w:rPr>
                <w:rFonts w:hint="eastAsia"/>
                <w:color w:val="auto"/>
              </w:rPr>
            </w:pPr>
            <w:r>
              <w:rPr>
                <w:rFonts w:hint="eastAsia"/>
                <w:color w:val="auto"/>
              </w:rPr>
              <w:t>优先保护单元：</w:t>
            </w:r>
          </w:p>
          <w:p>
            <w:pPr>
              <w:pStyle w:val="104"/>
              <w:ind w:firstLine="480"/>
              <w:rPr>
                <w:rFonts w:hint="eastAsia"/>
                <w:color w:val="auto"/>
              </w:rPr>
            </w:pPr>
            <w:r>
              <w:rPr>
                <w:rFonts w:hint="eastAsia"/>
                <w:color w:val="auto"/>
              </w:rPr>
              <w:t>以生态环境保护为主的区域，全市划分优先保护单元 26 个，主要包括生态保护红线、自然保护地、饮用水水源保护区等，应以生态环境保护优先为原则，严格执行相关法律、法规要求，严守生态环境质量底线，确保生态环境功能不降低。</w:t>
            </w:r>
          </w:p>
          <w:p>
            <w:pPr>
              <w:pStyle w:val="104"/>
              <w:numPr>
                <w:ilvl w:val="0"/>
                <w:numId w:val="8"/>
              </w:numPr>
              <w:ind w:firstLineChars="0"/>
              <w:rPr>
                <w:rFonts w:hint="eastAsia"/>
                <w:color w:val="auto"/>
              </w:rPr>
            </w:pPr>
            <w:r>
              <w:rPr>
                <w:rFonts w:hint="eastAsia"/>
                <w:color w:val="auto"/>
              </w:rPr>
              <w:t>重点管控单元：</w:t>
            </w:r>
          </w:p>
          <w:p>
            <w:pPr>
              <w:pStyle w:val="104"/>
              <w:ind w:firstLine="480"/>
              <w:rPr>
                <w:rFonts w:hint="eastAsia"/>
                <w:color w:val="auto"/>
              </w:rPr>
            </w:pPr>
            <w:r>
              <w:rPr>
                <w:rFonts w:hint="eastAsia"/>
                <w:color w:val="auto"/>
              </w:rPr>
              <w:t xml:space="preserve">涉及水、大气、土壤、自然资源等资源环境要素重点管控的区域，全市划分重点管控单元 33 个，主要包括人口密集的城镇规划区和产业集聚的工业园区（工业集聚区）等，应不断提升资源利用效率，有针对性地加强污染物排放控制和环境风险防控，解决生态环境质量不达标、生态环境风险突出等问题，制定差别化的生态环境准入要求。对环境质量不达标区域，提出污染物削减比例要求；对环境质量达标区域，提出允许排放量建议指标。 </w:t>
            </w:r>
          </w:p>
          <w:p>
            <w:pPr>
              <w:pStyle w:val="104"/>
              <w:numPr>
                <w:ilvl w:val="0"/>
                <w:numId w:val="8"/>
              </w:numPr>
              <w:ind w:firstLineChars="0"/>
              <w:rPr>
                <w:rFonts w:hint="eastAsia"/>
                <w:color w:val="auto"/>
              </w:rPr>
            </w:pPr>
            <w:r>
              <w:rPr>
                <w:rFonts w:hint="eastAsia"/>
                <w:color w:val="auto"/>
              </w:rPr>
              <w:t>一般管控单元：</w:t>
            </w:r>
          </w:p>
          <w:p>
            <w:pPr>
              <w:pStyle w:val="104"/>
              <w:ind w:firstLine="480"/>
              <w:rPr>
                <w:rFonts w:hint="eastAsia"/>
                <w:color w:val="auto"/>
              </w:rPr>
            </w:pPr>
            <w:r>
              <w:rPr>
                <w:rFonts w:hint="eastAsia"/>
                <w:color w:val="auto"/>
              </w:rPr>
              <w:t>除优先保护单元和重点管控单元之外的其他区域，全市共划分一般管控单元6个。执行区域生态环境保护的基本要求，重点加强农业、生活等领域污染治理。</w:t>
            </w:r>
          </w:p>
          <w:p>
            <w:pPr>
              <w:pStyle w:val="104"/>
              <w:ind w:firstLine="480"/>
              <w:rPr>
                <w:rFonts w:hint="eastAsia"/>
                <w:color w:val="auto"/>
              </w:rPr>
            </w:pPr>
            <w:r>
              <w:rPr>
                <w:rFonts w:hint="eastAsia"/>
                <w:color w:val="auto"/>
              </w:rPr>
              <w:t>本项目位于四川省乐山市市中区春华路中段656号，根据乐山市环境管控单元图，本项目所在地属于重点管控单元中的城镇重点管控单元，项目与全市环境管控单元生态环境管控要求符合性分析见下表：</w:t>
            </w:r>
          </w:p>
          <w:p>
            <w:pPr>
              <w:pStyle w:val="117"/>
              <w:rPr>
                <w:color w:val="auto"/>
              </w:rPr>
            </w:pPr>
            <w:r>
              <w:rPr>
                <w:rFonts w:hint="eastAsia"/>
                <w:color w:val="auto"/>
              </w:rPr>
              <w:t>表1-3  项目与乐山市重点管控单元生态环境管控要求符合性分析表</w:t>
            </w:r>
          </w:p>
          <w:tbl>
            <w:tblPr>
              <w:tblStyle w:val="38"/>
              <w:tblW w:w="4993" w:type="pct"/>
              <w:jc w:val="center"/>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971"/>
              <w:gridCol w:w="3192"/>
              <w:gridCol w:w="3192"/>
              <w:gridCol w:w="710"/>
            </w:tblGrid>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295" w:hRule="atLeast"/>
                <w:jc w:val="center"/>
              </w:trPr>
              <w:tc>
                <w:tcPr>
                  <w:tcW w:w="602" w:type="pct"/>
                  <w:tcBorders>
                    <w:top w:val="outset" w:color="auto" w:sz="6" w:space="0"/>
                    <w:left w:val="outset" w:color="auto" w:sz="6" w:space="0"/>
                    <w:bottom w:val="outset" w:color="auto" w:sz="6" w:space="0"/>
                    <w:right w:val="outset" w:color="auto" w:sz="6" w:space="0"/>
                  </w:tcBorders>
                  <w:noWrap w:val="0"/>
                  <w:tcMar>
                    <w:top w:w="0" w:type="dxa"/>
                    <w:left w:w="105" w:type="dxa"/>
                    <w:bottom w:w="0" w:type="dxa"/>
                    <w:right w:w="105" w:type="dxa"/>
                  </w:tcMar>
                  <w:vAlign w:val="center"/>
                </w:tcPr>
                <w:p>
                  <w:pPr>
                    <w:pStyle w:val="170"/>
                    <w:rPr>
                      <w:rFonts w:hint="eastAsia"/>
                      <w:b/>
                      <w:bCs/>
                      <w:color w:val="auto"/>
                    </w:rPr>
                  </w:pPr>
                </w:p>
                <w:p>
                  <w:pPr>
                    <w:pStyle w:val="170"/>
                    <w:rPr>
                      <w:b/>
                      <w:bCs/>
                      <w:color w:val="auto"/>
                    </w:rPr>
                  </w:pPr>
                  <w:r>
                    <w:rPr>
                      <w:rFonts w:hint="eastAsia"/>
                      <w:b/>
                      <w:bCs/>
                      <w:color w:val="auto"/>
                    </w:rPr>
                    <w:t>环境管控单元类型</w:t>
                  </w:r>
                </w:p>
              </w:tc>
              <w:tc>
                <w:tcPr>
                  <w:tcW w:w="1978" w:type="pct"/>
                  <w:tcBorders>
                    <w:top w:val="outset" w:color="auto" w:sz="6" w:space="0"/>
                    <w:left w:val="single" w:color="auto" w:sz="0" w:space="0"/>
                    <w:bottom w:val="outset" w:color="auto" w:sz="6" w:space="0"/>
                    <w:right w:val="outset" w:color="auto" w:sz="6" w:space="0"/>
                  </w:tcBorders>
                  <w:noWrap w:val="0"/>
                  <w:tcMar>
                    <w:top w:w="0" w:type="dxa"/>
                    <w:left w:w="105" w:type="dxa"/>
                    <w:bottom w:w="0" w:type="dxa"/>
                    <w:right w:w="105" w:type="dxa"/>
                  </w:tcMar>
                  <w:vAlign w:val="center"/>
                </w:tcPr>
                <w:p>
                  <w:pPr>
                    <w:pStyle w:val="170"/>
                    <w:rPr>
                      <w:b/>
                      <w:bCs/>
                      <w:color w:val="auto"/>
                    </w:rPr>
                  </w:pPr>
                  <w:r>
                    <w:rPr>
                      <w:rFonts w:hint="eastAsia"/>
                      <w:b/>
                      <w:bCs/>
                      <w:color w:val="auto"/>
                    </w:rPr>
                    <w:t>生态环境管控要求</w:t>
                  </w:r>
                </w:p>
              </w:tc>
              <w:tc>
                <w:tcPr>
                  <w:tcW w:w="1978" w:type="pct"/>
                  <w:tcBorders>
                    <w:top w:val="outset" w:color="auto" w:sz="6" w:space="0"/>
                    <w:left w:val="single" w:color="auto" w:sz="0" w:space="0"/>
                    <w:bottom w:val="outset" w:color="auto" w:sz="6" w:space="0"/>
                    <w:right w:val="outset" w:color="auto" w:sz="6" w:space="0"/>
                  </w:tcBorders>
                  <w:noWrap w:val="0"/>
                  <w:tcMar>
                    <w:top w:w="0" w:type="dxa"/>
                    <w:left w:w="105" w:type="dxa"/>
                    <w:bottom w:w="0" w:type="dxa"/>
                    <w:right w:w="105" w:type="dxa"/>
                  </w:tcMar>
                  <w:vAlign w:val="center"/>
                </w:tcPr>
                <w:p>
                  <w:pPr>
                    <w:pStyle w:val="170"/>
                    <w:rPr>
                      <w:rFonts w:hint="eastAsia"/>
                      <w:b/>
                      <w:bCs/>
                      <w:color w:val="auto"/>
                    </w:rPr>
                  </w:pPr>
                  <w:r>
                    <w:rPr>
                      <w:rFonts w:hint="eastAsia"/>
                      <w:b/>
                      <w:bCs/>
                      <w:color w:val="auto"/>
                    </w:rPr>
                    <w:t>符合性分析</w:t>
                  </w:r>
                </w:p>
              </w:tc>
              <w:tc>
                <w:tcPr>
                  <w:tcW w:w="440" w:type="pct"/>
                  <w:tcBorders>
                    <w:top w:val="outset" w:color="auto" w:sz="6" w:space="0"/>
                    <w:left w:val="single" w:color="auto" w:sz="0" w:space="0"/>
                    <w:bottom w:val="outset" w:color="auto" w:sz="6" w:space="0"/>
                    <w:right w:val="outset" w:color="auto" w:sz="6" w:space="0"/>
                  </w:tcBorders>
                  <w:noWrap w:val="0"/>
                  <w:tcMar>
                    <w:top w:w="0" w:type="dxa"/>
                    <w:left w:w="105" w:type="dxa"/>
                    <w:bottom w:w="0" w:type="dxa"/>
                    <w:right w:w="105" w:type="dxa"/>
                  </w:tcMar>
                  <w:vAlign w:val="center"/>
                </w:tcPr>
                <w:p>
                  <w:pPr>
                    <w:pStyle w:val="170"/>
                    <w:rPr>
                      <w:rFonts w:hint="eastAsia"/>
                      <w:b/>
                      <w:bCs/>
                      <w:color w:val="auto"/>
                    </w:rPr>
                  </w:pPr>
                  <w:r>
                    <w:rPr>
                      <w:rFonts w:hint="eastAsia"/>
                      <w:b/>
                      <w:bCs/>
                      <w:color w:val="auto"/>
                    </w:rPr>
                    <w:t>是否符合</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2490" w:hRule="atLeast"/>
                <w:jc w:val="center"/>
              </w:trPr>
              <w:tc>
                <w:tcPr>
                  <w:tcW w:w="602" w:type="pct"/>
                  <w:tcBorders>
                    <w:top w:val="single" w:color="auto" w:sz="0" w:space="0"/>
                    <w:left w:val="outset" w:color="auto" w:sz="6" w:space="0"/>
                    <w:bottom w:val="outset" w:color="auto" w:sz="6" w:space="0"/>
                    <w:right w:val="outset" w:color="auto" w:sz="6" w:space="0"/>
                  </w:tcBorders>
                  <w:noWrap w:val="0"/>
                  <w:tcMar>
                    <w:top w:w="0" w:type="dxa"/>
                    <w:left w:w="105" w:type="dxa"/>
                    <w:bottom w:w="0" w:type="dxa"/>
                    <w:right w:w="105" w:type="dxa"/>
                  </w:tcMar>
                  <w:vAlign w:val="center"/>
                </w:tcPr>
                <w:p>
                  <w:pPr>
                    <w:pStyle w:val="170"/>
                    <w:rPr>
                      <w:color w:val="auto"/>
                    </w:rPr>
                  </w:pPr>
                  <w:r>
                    <w:rPr>
                      <w:rFonts w:hint="eastAsia"/>
                      <w:color w:val="auto"/>
                    </w:rPr>
                    <w:t>重点管控单元</w:t>
                  </w:r>
                </w:p>
              </w:tc>
              <w:tc>
                <w:tcPr>
                  <w:tcW w:w="1978" w:type="pct"/>
                  <w:tcBorders>
                    <w:top w:val="single" w:color="auto" w:sz="0" w:space="0"/>
                    <w:left w:val="single" w:color="auto" w:sz="0" w:space="0"/>
                    <w:bottom w:val="outset" w:color="auto" w:sz="6" w:space="0"/>
                    <w:right w:val="outset" w:color="auto" w:sz="6" w:space="0"/>
                  </w:tcBorders>
                  <w:noWrap w:val="0"/>
                  <w:tcMar>
                    <w:top w:w="0" w:type="dxa"/>
                    <w:left w:w="105" w:type="dxa"/>
                    <w:bottom w:w="0" w:type="dxa"/>
                    <w:right w:w="105" w:type="dxa"/>
                  </w:tcMar>
                  <w:vAlign w:val="center"/>
                </w:tcPr>
                <w:p>
                  <w:pPr>
                    <w:pStyle w:val="170"/>
                    <w:rPr>
                      <w:color w:val="auto"/>
                    </w:rPr>
                  </w:pPr>
                  <w:r>
                    <w:rPr>
                      <w:rFonts w:hint="eastAsia"/>
                      <w:color w:val="auto"/>
                    </w:rPr>
                    <w:t>重点管控单元中，应针对性地加强污染物排放控制和环境风险防控，解决生态环境质量不达标、生态环境风险突出等问题，制定差别化的生态环境准入要求。对环境质量不达标区域，提出污染物削减比例要求；对环境质量达标区域，提出允许排放量建议指标。</w:t>
                  </w:r>
                </w:p>
              </w:tc>
              <w:tc>
                <w:tcPr>
                  <w:tcW w:w="1978" w:type="pct"/>
                  <w:tcBorders>
                    <w:top w:val="single" w:color="auto" w:sz="0" w:space="0"/>
                    <w:left w:val="single" w:color="auto" w:sz="0" w:space="0"/>
                    <w:bottom w:val="outset" w:color="auto" w:sz="6" w:space="0"/>
                    <w:right w:val="outset" w:color="auto" w:sz="6" w:space="0"/>
                  </w:tcBorders>
                  <w:noWrap w:val="0"/>
                  <w:tcMar>
                    <w:top w:w="0" w:type="dxa"/>
                    <w:left w:w="105" w:type="dxa"/>
                    <w:bottom w:w="0" w:type="dxa"/>
                    <w:right w:w="105" w:type="dxa"/>
                  </w:tcMar>
                  <w:vAlign w:val="center"/>
                </w:tcPr>
                <w:p>
                  <w:pPr>
                    <w:pStyle w:val="170"/>
                    <w:rPr>
                      <w:rFonts w:hint="eastAsia"/>
                      <w:color w:val="auto"/>
                    </w:rPr>
                  </w:pPr>
                  <w:r>
                    <w:rPr>
                      <w:rFonts w:hint="eastAsia"/>
                      <w:color w:val="auto"/>
                    </w:rPr>
                    <w:t>本项目为宠物医院服务项目，根据《乐山市2020年环境质量公报》，项目所在区域大气环境质量为达标区域，项目受纳水体所在的河段水环境质量满足《地表水环境质量标准》，同时项目运营期产生的污染物均能得到有效处理，对大气环境影响较小</w:t>
                  </w:r>
                </w:p>
              </w:tc>
              <w:tc>
                <w:tcPr>
                  <w:tcW w:w="440" w:type="pct"/>
                  <w:tcBorders>
                    <w:top w:val="single" w:color="auto" w:sz="0" w:space="0"/>
                    <w:left w:val="single" w:color="auto" w:sz="0" w:space="0"/>
                    <w:bottom w:val="outset" w:color="auto" w:sz="6" w:space="0"/>
                    <w:right w:val="outset" w:color="auto" w:sz="6" w:space="0"/>
                  </w:tcBorders>
                  <w:noWrap w:val="0"/>
                  <w:tcMar>
                    <w:top w:w="0" w:type="dxa"/>
                    <w:left w:w="105" w:type="dxa"/>
                    <w:bottom w:w="0" w:type="dxa"/>
                    <w:right w:w="105" w:type="dxa"/>
                  </w:tcMar>
                  <w:vAlign w:val="center"/>
                </w:tcPr>
                <w:p>
                  <w:pPr>
                    <w:pStyle w:val="170"/>
                    <w:rPr>
                      <w:rFonts w:hint="eastAsia"/>
                      <w:color w:val="auto"/>
                    </w:rPr>
                  </w:pPr>
                  <w:r>
                    <w:rPr>
                      <w:rFonts w:hint="eastAsia"/>
                      <w:color w:val="auto"/>
                    </w:rPr>
                    <w:t>符合</w:t>
                  </w:r>
                </w:p>
              </w:tc>
            </w:tr>
          </w:tbl>
          <w:p>
            <w:pPr>
              <w:pStyle w:val="117"/>
              <w:rPr>
                <w:rFonts w:hint="eastAsia"/>
                <w:color w:val="auto"/>
              </w:rPr>
            </w:pPr>
            <w:r>
              <w:rPr>
                <w:rFonts w:hint="eastAsia"/>
                <w:color w:val="auto"/>
              </w:rPr>
              <w:t>表1-4  项目与全市及市中区总体生态环境管控要求符合性分析</w:t>
            </w:r>
          </w:p>
          <w:tbl>
            <w:tblPr>
              <w:tblStyle w:val="38"/>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28"/>
              <w:gridCol w:w="4026"/>
              <w:gridCol w:w="2692"/>
              <w:gridCol w:w="7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9" w:type="pct"/>
                  <w:noWrap w:val="0"/>
                  <w:vAlign w:val="center"/>
                </w:tcPr>
                <w:p>
                  <w:pPr>
                    <w:pStyle w:val="170"/>
                    <w:rPr>
                      <w:b/>
                      <w:bCs/>
                      <w:color w:val="auto"/>
                    </w:rPr>
                  </w:pPr>
                  <w:r>
                    <w:rPr>
                      <w:rFonts w:hint="eastAsia"/>
                      <w:b/>
                      <w:bCs/>
                      <w:color w:val="auto"/>
                    </w:rPr>
                    <w:t>行政区划</w:t>
                  </w:r>
                </w:p>
              </w:tc>
              <w:tc>
                <w:tcPr>
                  <w:tcW w:w="2492" w:type="pct"/>
                  <w:noWrap w:val="0"/>
                  <w:vAlign w:val="center"/>
                </w:tcPr>
                <w:p>
                  <w:pPr>
                    <w:pStyle w:val="170"/>
                    <w:rPr>
                      <w:b/>
                      <w:bCs/>
                      <w:color w:val="auto"/>
                    </w:rPr>
                  </w:pPr>
                  <w:r>
                    <w:rPr>
                      <w:rFonts w:hint="eastAsia"/>
                      <w:b/>
                      <w:bCs/>
                      <w:color w:val="auto"/>
                    </w:rPr>
                    <w:t>生态环境管控要求</w:t>
                  </w:r>
                </w:p>
              </w:tc>
              <w:tc>
                <w:tcPr>
                  <w:tcW w:w="1666" w:type="pct"/>
                  <w:noWrap w:val="0"/>
                  <w:vAlign w:val="center"/>
                </w:tcPr>
                <w:p>
                  <w:pPr>
                    <w:pStyle w:val="170"/>
                    <w:rPr>
                      <w:b/>
                      <w:bCs/>
                      <w:color w:val="auto"/>
                    </w:rPr>
                  </w:pPr>
                  <w:r>
                    <w:rPr>
                      <w:rFonts w:hint="eastAsia"/>
                      <w:b/>
                      <w:bCs/>
                      <w:color w:val="auto"/>
                    </w:rPr>
                    <w:t>符合性分析</w:t>
                  </w:r>
                </w:p>
              </w:tc>
              <w:tc>
                <w:tcPr>
                  <w:tcW w:w="452" w:type="pct"/>
                  <w:noWrap w:val="0"/>
                  <w:vAlign w:val="center"/>
                </w:tcPr>
                <w:p>
                  <w:pPr>
                    <w:pStyle w:val="170"/>
                    <w:rPr>
                      <w:b/>
                      <w:bCs/>
                      <w:color w:val="auto"/>
                    </w:rPr>
                  </w:pPr>
                  <w:r>
                    <w:rPr>
                      <w:rFonts w:hint="eastAsia"/>
                      <w:b/>
                      <w:bCs/>
                      <w:color w:val="auto"/>
                    </w:rPr>
                    <w:t>是否符合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89" w:type="pct"/>
                  <w:vMerge w:val="restart"/>
                  <w:noWrap w:val="0"/>
                  <w:vAlign w:val="center"/>
                </w:tcPr>
                <w:p>
                  <w:pPr>
                    <w:pStyle w:val="170"/>
                    <w:rPr>
                      <w:color w:val="auto"/>
                    </w:rPr>
                  </w:pPr>
                  <w:r>
                    <w:rPr>
                      <w:rFonts w:hint="eastAsia"/>
                      <w:color w:val="auto"/>
                    </w:rPr>
                    <w:t>乐山市</w:t>
                  </w:r>
                </w:p>
              </w:tc>
              <w:tc>
                <w:tcPr>
                  <w:tcW w:w="2492" w:type="pct"/>
                  <w:noWrap w:val="0"/>
                  <w:vAlign w:val="center"/>
                </w:tcPr>
                <w:p>
                  <w:pPr>
                    <w:pStyle w:val="170"/>
                    <w:jc w:val="left"/>
                    <w:rPr>
                      <w:color w:val="auto"/>
                    </w:rPr>
                  </w:pPr>
                  <w:r>
                    <w:rPr>
                      <w:rFonts w:hint="eastAsia"/>
                      <w:color w:val="auto"/>
                    </w:rPr>
                    <w:t>对化工、钢铁、水泥、陶瓷、造纸、铁合金、砖瓦等重点产业提出严格资源环境绩效水平要求</w:t>
                  </w:r>
                </w:p>
              </w:tc>
              <w:tc>
                <w:tcPr>
                  <w:tcW w:w="1666" w:type="pct"/>
                  <w:vMerge w:val="restart"/>
                  <w:noWrap w:val="0"/>
                  <w:vAlign w:val="center"/>
                </w:tcPr>
                <w:p>
                  <w:pPr>
                    <w:pStyle w:val="170"/>
                    <w:jc w:val="both"/>
                    <w:rPr>
                      <w:rFonts w:hint="eastAsia"/>
                      <w:color w:val="auto"/>
                    </w:rPr>
                  </w:pPr>
                </w:p>
                <w:p>
                  <w:pPr>
                    <w:pStyle w:val="170"/>
                    <w:rPr>
                      <w:rFonts w:hint="eastAsia"/>
                      <w:color w:val="auto"/>
                    </w:rPr>
                  </w:pPr>
                  <w:r>
                    <w:rPr>
                      <w:rFonts w:hint="eastAsia"/>
                      <w:color w:val="auto"/>
                    </w:rPr>
                    <w:t>本项目为宠物医院服务项目，项目不属于化工、钢铁、水泥、陶瓷、造纸、铁合金、砖瓦等重点产业</w:t>
                  </w:r>
                </w:p>
                <w:p>
                  <w:pPr>
                    <w:pStyle w:val="170"/>
                    <w:rPr>
                      <w:rFonts w:hint="eastAsia"/>
                      <w:color w:val="auto"/>
                    </w:rPr>
                  </w:pPr>
                  <w:r>
                    <w:rPr>
                      <w:rFonts w:hint="eastAsia"/>
                      <w:color w:val="auto"/>
                    </w:rPr>
                    <w:t>，不属于高排放、高能耗项目；项目符合区域产业准入清单要求</w:t>
                  </w:r>
                </w:p>
              </w:tc>
              <w:tc>
                <w:tcPr>
                  <w:tcW w:w="452" w:type="pct"/>
                  <w:vMerge w:val="restart"/>
                  <w:noWrap w:val="0"/>
                  <w:vAlign w:val="center"/>
                </w:tcPr>
                <w:p>
                  <w:pPr>
                    <w:pStyle w:val="170"/>
                    <w:rPr>
                      <w:rFonts w:hint="eastAsia"/>
                      <w:color w:val="auto"/>
                    </w:rPr>
                  </w:pPr>
                </w:p>
                <w:p>
                  <w:pPr>
                    <w:pStyle w:val="170"/>
                    <w:rPr>
                      <w:rFonts w:hint="eastAsia"/>
                      <w:color w:val="auto"/>
                    </w:rPr>
                  </w:pPr>
                </w:p>
                <w:p>
                  <w:pPr>
                    <w:pStyle w:val="17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6" w:hRule="atLeast"/>
              </w:trPr>
              <w:tc>
                <w:tcPr>
                  <w:tcW w:w="389" w:type="pct"/>
                  <w:vMerge w:val="continue"/>
                  <w:noWrap w:val="0"/>
                  <w:vAlign w:val="center"/>
                </w:tcPr>
                <w:p>
                  <w:pPr>
                    <w:pStyle w:val="170"/>
                    <w:rPr>
                      <w:rFonts w:hint="eastAsia"/>
                      <w:color w:val="auto"/>
                    </w:rPr>
                  </w:pPr>
                </w:p>
              </w:tc>
              <w:tc>
                <w:tcPr>
                  <w:tcW w:w="2492" w:type="pct"/>
                  <w:noWrap w:val="0"/>
                  <w:vAlign w:val="center"/>
                </w:tcPr>
                <w:p>
                  <w:pPr>
                    <w:pStyle w:val="170"/>
                    <w:jc w:val="left"/>
                    <w:rPr>
                      <w:rFonts w:hint="eastAsia"/>
                      <w:color w:val="auto"/>
                    </w:rPr>
                  </w:pPr>
                  <w:r>
                    <w:rPr>
                      <w:rFonts w:hint="eastAsia"/>
                      <w:color w:val="auto"/>
                    </w:rPr>
                    <w:t>禁止在长江干支流岸线一公里范围内新建、扩建化工园区和化工项目；鼓励现有化工企业逐步搬入合规园区</w:t>
                  </w:r>
                </w:p>
              </w:tc>
              <w:tc>
                <w:tcPr>
                  <w:tcW w:w="1666" w:type="pct"/>
                  <w:vMerge w:val="continue"/>
                  <w:noWrap w:val="0"/>
                  <w:vAlign w:val="center"/>
                </w:tcPr>
                <w:p>
                  <w:pPr>
                    <w:pStyle w:val="170"/>
                    <w:rPr>
                      <w:rFonts w:hint="eastAsia"/>
                      <w:color w:val="auto"/>
                    </w:rPr>
                  </w:pPr>
                </w:p>
              </w:tc>
              <w:tc>
                <w:tcPr>
                  <w:tcW w:w="452" w:type="pct"/>
                  <w:vMerge w:val="continue"/>
                  <w:noWrap w:val="0"/>
                  <w:vAlign w:val="center"/>
                </w:tcPr>
                <w:p>
                  <w:pPr>
                    <w:pStyle w:val="170"/>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4" w:hRule="atLeast"/>
              </w:trPr>
              <w:tc>
                <w:tcPr>
                  <w:tcW w:w="389" w:type="pct"/>
                  <w:vMerge w:val="continue"/>
                  <w:noWrap w:val="0"/>
                  <w:vAlign w:val="center"/>
                </w:tcPr>
                <w:p>
                  <w:pPr>
                    <w:pStyle w:val="170"/>
                    <w:rPr>
                      <w:rFonts w:hint="eastAsia"/>
                      <w:color w:val="auto"/>
                    </w:rPr>
                  </w:pPr>
                </w:p>
              </w:tc>
              <w:tc>
                <w:tcPr>
                  <w:tcW w:w="2492" w:type="pct"/>
                  <w:noWrap w:val="0"/>
                  <w:vAlign w:val="center"/>
                </w:tcPr>
                <w:p>
                  <w:pPr>
                    <w:pStyle w:val="170"/>
                    <w:jc w:val="left"/>
                    <w:rPr>
                      <w:rFonts w:hint="eastAsia"/>
                      <w:color w:val="auto"/>
                    </w:rPr>
                  </w:pPr>
                  <w:r>
                    <w:rPr>
                      <w:rFonts w:hint="eastAsia"/>
                      <w:color w:val="auto"/>
                    </w:rPr>
                    <w:t>按照“一总部五基地”工业总体布局，推进城区以及布局不合理的高排放、高能耗企业“退城入园”，引导企业在搬迁改造中压减低端、低效、负效产能</w:t>
                  </w:r>
                </w:p>
              </w:tc>
              <w:tc>
                <w:tcPr>
                  <w:tcW w:w="1666" w:type="pct"/>
                  <w:vMerge w:val="continue"/>
                  <w:noWrap w:val="0"/>
                  <w:vAlign w:val="center"/>
                </w:tcPr>
                <w:p>
                  <w:pPr>
                    <w:pStyle w:val="170"/>
                    <w:rPr>
                      <w:rFonts w:hint="eastAsia"/>
                      <w:color w:val="auto"/>
                    </w:rPr>
                  </w:pPr>
                </w:p>
              </w:tc>
              <w:tc>
                <w:tcPr>
                  <w:tcW w:w="452" w:type="pct"/>
                  <w:vMerge w:val="continue"/>
                  <w:noWrap w:val="0"/>
                  <w:vAlign w:val="center"/>
                </w:tcPr>
                <w:p>
                  <w:pPr>
                    <w:pStyle w:val="170"/>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trPr>
              <w:tc>
                <w:tcPr>
                  <w:tcW w:w="389" w:type="pct"/>
                  <w:vMerge w:val="continue"/>
                  <w:noWrap w:val="0"/>
                  <w:vAlign w:val="center"/>
                </w:tcPr>
                <w:p>
                  <w:pPr>
                    <w:pStyle w:val="170"/>
                    <w:rPr>
                      <w:rFonts w:hint="eastAsia"/>
                      <w:color w:val="auto"/>
                    </w:rPr>
                  </w:pPr>
                </w:p>
              </w:tc>
              <w:tc>
                <w:tcPr>
                  <w:tcW w:w="2492" w:type="pct"/>
                  <w:noWrap w:val="0"/>
                  <w:vAlign w:val="center"/>
                </w:tcPr>
                <w:p>
                  <w:pPr>
                    <w:pStyle w:val="170"/>
                    <w:jc w:val="left"/>
                    <w:rPr>
                      <w:rFonts w:hint="eastAsia"/>
                      <w:color w:val="auto"/>
                    </w:rPr>
                  </w:pPr>
                  <w:r>
                    <w:rPr>
                      <w:rFonts w:hint="eastAsia"/>
                      <w:color w:val="auto"/>
                    </w:rPr>
                    <w:t>严格控制高排放、高能耗项目准入；严格执行能源消费总量和强度双控制度；严格执行煤炭消费总量控制要求</w:t>
                  </w:r>
                </w:p>
              </w:tc>
              <w:tc>
                <w:tcPr>
                  <w:tcW w:w="1666" w:type="pct"/>
                  <w:vMerge w:val="continue"/>
                  <w:noWrap w:val="0"/>
                  <w:vAlign w:val="center"/>
                </w:tcPr>
                <w:p>
                  <w:pPr>
                    <w:pStyle w:val="170"/>
                    <w:rPr>
                      <w:rFonts w:hint="eastAsia"/>
                      <w:color w:val="auto"/>
                    </w:rPr>
                  </w:pPr>
                </w:p>
              </w:tc>
              <w:tc>
                <w:tcPr>
                  <w:tcW w:w="452" w:type="pct"/>
                  <w:vMerge w:val="continue"/>
                  <w:noWrap w:val="0"/>
                  <w:vAlign w:val="center"/>
                </w:tcPr>
                <w:p>
                  <w:pPr>
                    <w:pStyle w:val="170"/>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atLeast"/>
              </w:trPr>
              <w:tc>
                <w:tcPr>
                  <w:tcW w:w="389" w:type="pct"/>
                  <w:vMerge w:val="continue"/>
                  <w:noWrap w:val="0"/>
                  <w:vAlign w:val="center"/>
                </w:tcPr>
                <w:p>
                  <w:pPr>
                    <w:pStyle w:val="170"/>
                    <w:rPr>
                      <w:rFonts w:hint="eastAsia"/>
                      <w:color w:val="auto"/>
                    </w:rPr>
                  </w:pPr>
                </w:p>
              </w:tc>
              <w:tc>
                <w:tcPr>
                  <w:tcW w:w="2492" w:type="pct"/>
                  <w:noWrap w:val="0"/>
                  <w:vAlign w:val="center"/>
                </w:tcPr>
                <w:p>
                  <w:pPr>
                    <w:pStyle w:val="170"/>
                    <w:jc w:val="left"/>
                    <w:rPr>
                      <w:rFonts w:hint="eastAsia"/>
                      <w:color w:val="auto"/>
                    </w:rPr>
                  </w:pPr>
                  <w:r>
                    <w:rPr>
                      <w:rFonts w:hint="eastAsia"/>
                      <w:color w:val="auto"/>
                    </w:rPr>
                    <w:t>引进项目应符合园区规划环评和区域产业准入清单要求</w:t>
                  </w:r>
                </w:p>
              </w:tc>
              <w:tc>
                <w:tcPr>
                  <w:tcW w:w="1666" w:type="pct"/>
                  <w:vMerge w:val="continue"/>
                  <w:noWrap w:val="0"/>
                  <w:vAlign w:val="center"/>
                </w:tcPr>
                <w:p>
                  <w:pPr>
                    <w:pStyle w:val="170"/>
                    <w:rPr>
                      <w:rFonts w:hint="eastAsia"/>
                      <w:color w:val="auto"/>
                    </w:rPr>
                  </w:pPr>
                </w:p>
              </w:tc>
              <w:tc>
                <w:tcPr>
                  <w:tcW w:w="452" w:type="pct"/>
                  <w:vMerge w:val="continue"/>
                  <w:noWrap w:val="0"/>
                  <w:vAlign w:val="center"/>
                </w:tcPr>
                <w:p>
                  <w:pPr>
                    <w:pStyle w:val="170"/>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 w:hRule="atLeast"/>
              </w:trPr>
              <w:tc>
                <w:tcPr>
                  <w:tcW w:w="389" w:type="pct"/>
                  <w:vMerge w:val="restart"/>
                  <w:noWrap w:val="0"/>
                  <w:vAlign w:val="center"/>
                </w:tcPr>
                <w:p>
                  <w:pPr>
                    <w:pStyle w:val="170"/>
                    <w:rPr>
                      <w:color w:val="auto"/>
                    </w:rPr>
                  </w:pPr>
                  <w:r>
                    <w:rPr>
                      <w:rFonts w:hint="eastAsia"/>
                      <w:color w:val="auto"/>
                    </w:rPr>
                    <w:t>市中区</w:t>
                  </w:r>
                </w:p>
              </w:tc>
              <w:tc>
                <w:tcPr>
                  <w:tcW w:w="2492" w:type="pct"/>
                  <w:noWrap w:val="0"/>
                  <w:vAlign w:val="center"/>
                </w:tcPr>
                <w:p>
                  <w:pPr>
                    <w:pStyle w:val="170"/>
                    <w:rPr>
                      <w:color w:val="auto"/>
                    </w:rPr>
                  </w:pPr>
                  <w:r>
                    <w:rPr>
                      <w:rFonts w:hint="eastAsia"/>
                      <w:color w:val="auto"/>
                    </w:rPr>
                    <w:t>优化调整产业结构，严格生态环境准入要求；</w:t>
                  </w:r>
                </w:p>
              </w:tc>
              <w:tc>
                <w:tcPr>
                  <w:tcW w:w="1666" w:type="pct"/>
                  <w:vMerge w:val="restart"/>
                  <w:noWrap w:val="0"/>
                  <w:vAlign w:val="center"/>
                </w:tcPr>
                <w:p>
                  <w:pPr>
                    <w:pStyle w:val="170"/>
                    <w:rPr>
                      <w:rFonts w:hint="eastAsia"/>
                      <w:color w:val="auto"/>
                    </w:rPr>
                  </w:pPr>
                  <w:r>
                    <w:rPr>
                      <w:rFonts w:hint="eastAsia"/>
                      <w:color w:val="auto"/>
                    </w:rPr>
                    <w:t>本项目为宠物医院服务项目，不属于涉危涉化企业，符合生态环境准入要求，本项目废水经医院废水处理设备处理后进入市政污水管网，排入末端乐山市第一污水处理厂处理，本项目不涉及挥发性有机物的排放</w:t>
                  </w:r>
                </w:p>
              </w:tc>
              <w:tc>
                <w:tcPr>
                  <w:tcW w:w="452" w:type="pct"/>
                  <w:vMerge w:val="restart"/>
                  <w:noWrap w:val="0"/>
                  <w:vAlign w:val="center"/>
                </w:tcPr>
                <w:p>
                  <w:pPr>
                    <w:pStyle w:val="17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trPr>
              <w:tc>
                <w:tcPr>
                  <w:tcW w:w="389" w:type="pct"/>
                  <w:vMerge w:val="continue"/>
                  <w:noWrap w:val="0"/>
                  <w:vAlign w:val="center"/>
                </w:tcPr>
                <w:p>
                  <w:pPr>
                    <w:pStyle w:val="170"/>
                    <w:rPr>
                      <w:rFonts w:hint="eastAsia"/>
                      <w:color w:val="auto"/>
                    </w:rPr>
                  </w:pPr>
                </w:p>
              </w:tc>
              <w:tc>
                <w:tcPr>
                  <w:tcW w:w="2492" w:type="pct"/>
                  <w:noWrap w:val="0"/>
                  <w:vAlign w:val="center"/>
                </w:tcPr>
                <w:p>
                  <w:pPr>
                    <w:pStyle w:val="170"/>
                    <w:rPr>
                      <w:rFonts w:hint="eastAsia"/>
                      <w:color w:val="auto"/>
                    </w:rPr>
                  </w:pPr>
                  <w:r>
                    <w:rPr>
                      <w:rFonts w:hint="eastAsia"/>
                      <w:color w:val="auto"/>
                    </w:rPr>
                    <w:t>推动城市建成区内企业“退城入园”，严格控制园外企业无序扩张</w:t>
                  </w:r>
                </w:p>
              </w:tc>
              <w:tc>
                <w:tcPr>
                  <w:tcW w:w="1666" w:type="pct"/>
                  <w:vMerge w:val="continue"/>
                  <w:noWrap w:val="0"/>
                  <w:vAlign w:val="center"/>
                </w:tcPr>
                <w:p>
                  <w:pPr>
                    <w:pStyle w:val="170"/>
                    <w:rPr>
                      <w:color w:val="auto"/>
                    </w:rPr>
                  </w:pPr>
                </w:p>
              </w:tc>
              <w:tc>
                <w:tcPr>
                  <w:tcW w:w="452" w:type="pct"/>
                  <w:vMerge w:val="continue"/>
                  <w:noWrap w:val="0"/>
                  <w:vAlign w:val="center"/>
                </w:tcPr>
                <w:p>
                  <w:pPr>
                    <w:pStyle w:val="170"/>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9" w:hRule="atLeast"/>
              </w:trPr>
              <w:tc>
                <w:tcPr>
                  <w:tcW w:w="389" w:type="pct"/>
                  <w:vMerge w:val="continue"/>
                  <w:noWrap w:val="0"/>
                  <w:vAlign w:val="center"/>
                </w:tcPr>
                <w:p>
                  <w:pPr>
                    <w:pStyle w:val="170"/>
                    <w:rPr>
                      <w:rFonts w:hint="eastAsia"/>
                      <w:color w:val="auto"/>
                    </w:rPr>
                  </w:pPr>
                </w:p>
              </w:tc>
              <w:tc>
                <w:tcPr>
                  <w:tcW w:w="2492" w:type="pct"/>
                  <w:noWrap w:val="0"/>
                  <w:vAlign w:val="center"/>
                </w:tcPr>
                <w:p>
                  <w:pPr>
                    <w:pStyle w:val="170"/>
                    <w:rPr>
                      <w:rFonts w:hint="eastAsia"/>
                      <w:color w:val="auto"/>
                    </w:rPr>
                  </w:pPr>
                  <w:r>
                    <w:rPr>
                      <w:rFonts w:hint="eastAsia"/>
                      <w:color w:val="auto"/>
                    </w:rPr>
                    <w:t>加强泥溪河、茫溪河等小流域污染治理，严控泥溪河、茫溪河流域涉水排放项目及水产养殖规模；加强农业面源污染治理，严格控制化肥农药使用量，积极推广畜禽清洁养殖和畜禽粪污无害化、资源化利用技术；</w:t>
                  </w:r>
                </w:p>
              </w:tc>
              <w:tc>
                <w:tcPr>
                  <w:tcW w:w="1666" w:type="pct"/>
                  <w:vMerge w:val="continue"/>
                  <w:noWrap w:val="0"/>
                  <w:vAlign w:val="center"/>
                </w:tcPr>
                <w:p>
                  <w:pPr>
                    <w:pStyle w:val="170"/>
                    <w:rPr>
                      <w:color w:val="auto"/>
                    </w:rPr>
                  </w:pPr>
                </w:p>
              </w:tc>
              <w:tc>
                <w:tcPr>
                  <w:tcW w:w="452" w:type="pct"/>
                  <w:vMerge w:val="continue"/>
                  <w:noWrap w:val="0"/>
                  <w:vAlign w:val="center"/>
                </w:tcPr>
                <w:p>
                  <w:pPr>
                    <w:pStyle w:val="170"/>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56" w:hRule="atLeast"/>
              </w:trPr>
              <w:tc>
                <w:tcPr>
                  <w:tcW w:w="389" w:type="pct"/>
                  <w:vMerge w:val="continue"/>
                  <w:noWrap w:val="0"/>
                  <w:vAlign w:val="center"/>
                </w:tcPr>
                <w:p>
                  <w:pPr>
                    <w:pStyle w:val="170"/>
                    <w:rPr>
                      <w:rFonts w:hint="eastAsia"/>
                      <w:color w:val="auto"/>
                    </w:rPr>
                  </w:pPr>
                </w:p>
              </w:tc>
              <w:tc>
                <w:tcPr>
                  <w:tcW w:w="2492" w:type="pct"/>
                  <w:noWrap w:val="0"/>
                  <w:vAlign w:val="center"/>
                </w:tcPr>
                <w:p>
                  <w:pPr>
                    <w:pStyle w:val="170"/>
                    <w:rPr>
                      <w:rFonts w:hint="eastAsia"/>
                      <w:color w:val="auto"/>
                    </w:rPr>
                  </w:pPr>
                  <w:r>
                    <w:rPr>
                      <w:rFonts w:hint="eastAsia"/>
                      <w:color w:val="auto"/>
                    </w:rPr>
                    <w:t>加强区域大气污染治理，推进涉挥发性有机物排放项目、砖瓦企业深度治理改造；执行大气污染物特别排放限值</w:t>
                  </w:r>
                </w:p>
              </w:tc>
              <w:tc>
                <w:tcPr>
                  <w:tcW w:w="1666" w:type="pct"/>
                  <w:vMerge w:val="continue"/>
                  <w:noWrap w:val="0"/>
                  <w:vAlign w:val="center"/>
                </w:tcPr>
                <w:p>
                  <w:pPr>
                    <w:pStyle w:val="170"/>
                    <w:rPr>
                      <w:color w:val="auto"/>
                    </w:rPr>
                  </w:pPr>
                </w:p>
              </w:tc>
              <w:tc>
                <w:tcPr>
                  <w:tcW w:w="452" w:type="pct"/>
                  <w:vMerge w:val="continue"/>
                  <w:noWrap w:val="0"/>
                  <w:vAlign w:val="center"/>
                </w:tcPr>
                <w:p>
                  <w:pPr>
                    <w:pStyle w:val="170"/>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01" w:hRule="atLeast"/>
              </w:trPr>
              <w:tc>
                <w:tcPr>
                  <w:tcW w:w="389" w:type="pct"/>
                  <w:vMerge w:val="continue"/>
                  <w:noWrap w:val="0"/>
                  <w:vAlign w:val="center"/>
                </w:tcPr>
                <w:p>
                  <w:pPr>
                    <w:pStyle w:val="170"/>
                    <w:rPr>
                      <w:rFonts w:hint="eastAsia"/>
                      <w:color w:val="auto"/>
                    </w:rPr>
                  </w:pPr>
                </w:p>
              </w:tc>
              <w:tc>
                <w:tcPr>
                  <w:tcW w:w="2492" w:type="pct"/>
                  <w:noWrap w:val="0"/>
                  <w:vAlign w:val="center"/>
                </w:tcPr>
                <w:p>
                  <w:pPr>
                    <w:pStyle w:val="170"/>
                    <w:rPr>
                      <w:rFonts w:hint="eastAsia"/>
                      <w:color w:val="auto"/>
                    </w:rPr>
                  </w:pPr>
                  <w:r>
                    <w:rPr>
                      <w:rFonts w:hint="eastAsia"/>
                      <w:color w:val="auto"/>
                    </w:rPr>
                    <w:t>加强涉危涉化企业管控，严控环境风险</w:t>
                  </w:r>
                </w:p>
              </w:tc>
              <w:tc>
                <w:tcPr>
                  <w:tcW w:w="1666" w:type="pct"/>
                  <w:vMerge w:val="continue"/>
                  <w:noWrap w:val="0"/>
                  <w:vAlign w:val="center"/>
                </w:tcPr>
                <w:p>
                  <w:pPr>
                    <w:pStyle w:val="170"/>
                    <w:rPr>
                      <w:color w:val="auto"/>
                    </w:rPr>
                  </w:pPr>
                </w:p>
              </w:tc>
              <w:tc>
                <w:tcPr>
                  <w:tcW w:w="452" w:type="pct"/>
                  <w:vMerge w:val="continue"/>
                  <w:noWrap w:val="0"/>
                  <w:vAlign w:val="center"/>
                </w:tcPr>
                <w:p>
                  <w:pPr>
                    <w:pStyle w:val="170"/>
                    <w:rPr>
                      <w:rFonts w:hint="eastAsia"/>
                      <w:color w:val="auto"/>
                    </w:rPr>
                  </w:pPr>
                </w:p>
              </w:tc>
            </w:tr>
          </w:tbl>
          <w:p>
            <w:pPr>
              <w:pStyle w:val="104"/>
              <w:ind w:firstLine="480"/>
              <w:rPr>
                <w:rFonts w:hint="eastAsia"/>
                <w:color w:val="auto"/>
              </w:rPr>
            </w:pPr>
            <w:r>
              <w:rPr>
                <w:rFonts w:hint="eastAsia"/>
                <w:color w:val="auto"/>
              </w:rPr>
              <w:t>综上，项目符合乐山市环境管控单元中重点管控单元生态环境管控要求，符合乐山</w:t>
            </w:r>
            <w:r>
              <w:rPr>
                <w:rFonts w:hint="eastAsia"/>
                <w:bCs/>
                <w:color w:val="auto"/>
              </w:rPr>
              <w:t>市及市中区总体生态环境管控要求。</w:t>
            </w:r>
          </w:p>
          <w:p>
            <w:pPr>
              <w:pStyle w:val="5"/>
              <w:ind w:firstLine="482"/>
              <w:rPr>
                <w:color w:val="auto"/>
              </w:rPr>
            </w:pPr>
            <w:r>
              <w:rPr>
                <w:color w:val="auto"/>
              </w:rPr>
              <w:t>6、与《关于落实生态保护红线、环境质量底线、资源利用上线制定生态环境准入清单实施生态环境分区管控的通知》（川府发〔2020〕9号）符合性分析</w:t>
            </w:r>
          </w:p>
          <w:p>
            <w:pPr>
              <w:pStyle w:val="104"/>
              <w:ind w:firstLine="480"/>
              <w:rPr>
                <w:rFonts w:hint="eastAsia"/>
                <w:color w:val="auto"/>
              </w:rPr>
            </w:pPr>
            <w:r>
              <w:rPr>
                <w:rFonts w:hint="eastAsia"/>
                <w:color w:val="auto"/>
              </w:rPr>
              <w:t>本项目选址于四川省乐山市市中区春华路中段656号，位于乐山市城区，</w:t>
            </w:r>
            <w:r>
              <w:rPr>
                <w:color w:val="auto"/>
              </w:rPr>
              <w:t>结合</w:t>
            </w:r>
            <w:r>
              <w:rPr>
                <w:rFonts w:hint="eastAsia"/>
                <w:color w:val="auto"/>
              </w:rPr>
              <w:t>“</w:t>
            </w:r>
            <w:r>
              <w:rPr>
                <w:color w:val="auto"/>
              </w:rPr>
              <w:t>三线一单</w:t>
            </w:r>
            <w:r>
              <w:rPr>
                <w:rFonts w:hint="eastAsia"/>
                <w:color w:val="auto"/>
              </w:rPr>
              <w:t>”</w:t>
            </w:r>
            <w:r>
              <w:rPr>
                <w:color w:val="auto"/>
              </w:rPr>
              <w:t>空间分区情况，项目所在的环境管控单元基本情况见下表。</w:t>
            </w:r>
            <w:r>
              <w:rPr>
                <w:rFonts w:hint="eastAsia"/>
                <w:color w:val="auto"/>
              </w:rPr>
              <w:t>项目与《关于落实生态保护红线、环境质量底线、资源利用上线制定生态环境准入清单实施生态环境分区管控的通知》（川府发〔</w:t>
            </w:r>
            <w:r>
              <w:rPr>
                <w:color w:val="auto"/>
              </w:rPr>
              <w:t>2020</w:t>
            </w:r>
            <w:r>
              <w:rPr>
                <w:rFonts w:hint="eastAsia"/>
                <w:color w:val="auto"/>
              </w:rPr>
              <w:t>〕</w:t>
            </w:r>
            <w:r>
              <w:rPr>
                <w:color w:val="auto"/>
              </w:rPr>
              <w:t>9</w:t>
            </w:r>
            <w:r>
              <w:rPr>
                <w:rFonts w:hint="eastAsia"/>
                <w:color w:val="auto"/>
              </w:rPr>
              <w:t>号）符合性分析如下：</w:t>
            </w:r>
          </w:p>
        </w:tc>
      </w:tr>
    </w:tbl>
    <w:p>
      <w:pPr>
        <w:spacing w:line="360" w:lineRule="auto"/>
        <w:ind w:firstLine="600"/>
        <w:rPr>
          <w:rFonts w:eastAsia="黑体"/>
          <w:color w:val="auto"/>
          <w:sz w:val="30"/>
        </w:rPr>
      </w:pPr>
    </w:p>
    <w:p>
      <w:pPr>
        <w:pStyle w:val="17"/>
        <w:ind w:left="1680" w:right="1680" w:firstLine="480"/>
        <w:rPr>
          <w:color w:val="auto"/>
        </w:rPr>
        <w:sectPr>
          <w:footerReference r:id="rId26" w:type="default"/>
          <w:pgSz w:w="11906" w:h="16838"/>
          <w:pgMar w:top="1701" w:right="1531" w:bottom="1701" w:left="1531" w:header="851" w:footer="1077" w:gutter="0"/>
          <w:pgNumType w:fmt="decimal" w:start="1"/>
          <w:cols w:space="720" w:num="1"/>
          <w:docGrid w:linePitch="312" w:charSpace="0"/>
        </w:sectPr>
      </w:pPr>
    </w:p>
    <w:p>
      <w:pPr>
        <w:pStyle w:val="117"/>
        <w:rPr>
          <w:color w:val="auto"/>
        </w:rPr>
      </w:pPr>
      <w:r>
        <w:rPr>
          <w:color w:val="auto"/>
        </w:rPr>
        <w:t>表1-</w:t>
      </w:r>
      <w:r>
        <w:rPr>
          <w:rFonts w:hint="eastAsia"/>
          <w:color w:val="auto"/>
        </w:rPr>
        <w:t xml:space="preserve">5  </w:t>
      </w:r>
      <w:r>
        <w:rPr>
          <w:color w:val="auto"/>
        </w:rPr>
        <w:t>项目环境管控单元基本情况一览表</w:t>
      </w:r>
    </w:p>
    <w:tbl>
      <w:tblPr>
        <w:tblStyle w:val="38"/>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4"/>
        <w:gridCol w:w="792"/>
        <w:gridCol w:w="1160"/>
        <w:gridCol w:w="1411"/>
        <w:gridCol w:w="4960"/>
        <w:gridCol w:w="3191"/>
        <w:gridCol w:w="12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9" w:type="pct"/>
            <w:noWrap w:val="0"/>
            <w:vAlign w:val="center"/>
          </w:tcPr>
          <w:p>
            <w:pPr>
              <w:pStyle w:val="170"/>
              <w:rPr>
                <w:b/>
                <w:bCs/>
                <w:color w:val="auto"/>
              </w:rPr>
            </w:pPr>
            <w:r>
              <w:rPr>
                <w:b/>
                <w:bCs/>
                <w:color w:val="auto"/>
              </w:rPr>
              <w:t>序号</w:t>
            </w:r>
          </w:p>
        </w:tc>
        <w:tc>
          <w:tcPr>
            <w:tcW w:w="3049" w:type="pct"/>
            <w:gridSpan w:val="4"/>
            <w:noWrap w:val="0"/>
            <w:vAlign w:val="center"/>
          </w:tcPr>
          <w:p>
            <w:pPr>
              <w:pStyle w:val="170"/>
              <w:rPr>
                <w:b/>
                <w:bCs/>
                <w:color w:val="auto"/>
              </w:rPr>
            </w:pPr>
            <w:r>
              <w:rPr>
                <w:rFonts w:hint="eastAsia"/>
                <w:b/>
                <w:bCs/>
                <w:color w:val="auto"/>
              </w:rPr>
              <w:t>“</w:t>
            </w:r>
            <w:r>
              <w:rPr>
                <w:b/>
                <w:bCs/>
                <w:color w:val="auto"/>
              </w:rPr>
              <w:t>三线一单</w:t>
            </w:r>
            <w:r>
              <w:rPr>
                <w:rFonts w:hint="eastAsia"/>
                <w:b/>
                <w:bCs/>
                <w:color w:val="auto"/>
              </w:rPr>
              <w:t>”</w:t>
            </w:r>
            <w:r>
              <w:rPr>
                <w:b/>
                <w:bCs/>
                <w:color w:val="auto"/>
              </w:rPr>
              <w:t>环境管控要求</w:t>
            </w:r>
          </w:p>
        </w:tc>
        <w:tc>
          <w:tcPr>
            <w:tcW w:w="1169" w:type="pct"/>
            <w:noWrap w:val="0"/>
            <w:vAlign w:val="center"/>
          </w:tcPr>
          <w:p>
            <w:pPr>
              <w:pStyle w:val="170"/>
              <w:rPr>
                <w:b/>
                <w:bCs/>
                <w:color w:val="auto"/>
              </w:rPr>
            </w:pPr>
            <w:r>
              <w:rPr>
                <w:b/>
                <w:bCs/>
                <w:color w:val="auto"/>
              </w:rPr>
              <w:t>项目环境管控单元基本情况</w:t>
            </w:r>
          </w:p>
        </w:tc>
        <w:tc>
          <w:tcPr>
            <w:tcW w:w="472" w:type="pct"/>
            <w:noWrap w:val="0"/>
            <w:vAlign w:val="center"/>
          </w:tcPr>
          <w:p>
            <w:pPr>
              <w:pStyle w:val="170"/>
              <w:rPr>
                <w:b/>
                <w:bCs/>
                <w:color w:val="auto"/>
              </w:rPr>
            </w:pPr>
            <w:r>
              <w:rPr>
                <w:b/>
                <w:bCs/>
                <w:color w:val="auto"/>
              </w:rPr>
              <w:t>符合性分析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73" w:hRule="atLeast"/>
        </w:trPr>
        <w:tc>
          <w:tcPr>
            <w:tcW w:w="309" w:type="pct"/>
            <w:vMerge w:val="restart"/>
            <w:noWrap w:val="0"/>
            <w:vAlign w:val="center"/>
          </w:tcPr>
          <w:p>
            <w:pPr>
              <w:pStyle w:val="170"/>
              <w:rPr>
                <w:color w:val="auto"/>
              </w:rPr>
            </w:pPr>
          </w:p>
          <w:p>
            <w:pPr>
              <w:pStyle w:val="170"/>
              <w:rPr>
                <w:color w:val="auto"/>
              </w:rPr>
            </w:pPr>
          </w:p>
          <w:p>
            <w:pPr>
              <w:pStyle w:val="170"/>
              <w:rPr>
                <w:color w:val="auto"/>
              </w:rPr>
            </w:pPr>
          </w:p>
          <w:p>
            <w:pPr>
              <w:pStyle w:val="170"/>
              <w:rPr>
                <w:color w:val="auto"/>
              </w:rPr>
            </w:pPr>
          </w:p>
          <w:p>
            <w:pPr>
              <w:pStyle w:val="170"/>
              <w:rPr>
                <w:color w:val="auto"/>
              </w:rPr>
            </w:pPr>
          </w:p>
          <w:p>
            <w:pPr>
              <w:pStyle w:val="170"/>
              <w:rPr>
                <w:color w:val="auto"/>
              </w:rPr>
            </w:pPr>
          </w:p>
          <w:p>
            <w:pPr>
              <w:pStyle w:val="170"/>
              <w:rPr>
                <w:color w:val="auto"/>
              </w:rPr>
            </w:pPr>
          </w:p>
          <w:p>
            <w:pPr>
              <w:pStyle w:val="170"/>
              <w:rPr>
                <w:color w:val="auto"/>
              </w:rPr>
            </w:pPr>
          </w:p>
          <w:p>
            <w:pPr>
              <w:pStyle w:val="170"/>
              <w:rPr>
                <w:color w:val="auto"/>
              </w:rPr>
            </w:pPr>
            <w:r>
              <w:rPr>
                <w:color w:val="auto"/>
              </w:rPr>
              <w:t>1</w:t>
            </w:r>
          </w:p>
        </w:tc>
        <w:tc>
          <w:tcPr>
            <w:tcW w:w="290" w:type="pct"/>
            <w:vMerge w:val="restart"/>
            <w:noWrap w:val="0"/>
            <w:vAlign w:val="center"/>
          </w:tcPr>
          <w:p>
            <w:pPr>
              <w:pStyle w:val="170"/>
              <w:rPr>
                <w:b/>
                <w:bCs/>
                <w:color w:val="auto"/>
              </w:rPr>
            </w:pPr>
          </w:p>
          <w:p>
            <w:pPr>
              <w:pStyle w:val="170"/>
              <w:rPr>
                <w:b/>
                <w:bCs/>
                <w:color w:val="auto"/>
              </w:rPr>
            </w:pPr>
          </w:p>
          <w:p>
            <w:pPr>
              <w:pStyle w:val="170"/>
              <w:rPr>
                <w:b/>
                <w:bCs/>
                <w:color w:val="auto"/>
              </w:rPr>
            </w:pPr>
          </w:p>
          <w:p>
            <w:pPr>
              <w:pStyle w:val="170"/>
              <w:rPr>
                <w:b/>
                <w:bCs/>
                <w:color w:val="auto"/>
              </w:rPr>
            </w:pPr>
          </w:p>
          <w:p>
            <w:pPr>
              <w:pStyle w:val="170"/>
              <w:rPr>
                <w:b/>
                <w:bCs/>
                <w:color w:val="auto"/>
              </w:rPr>
            </w:pPr>
          </w:p>
          <w:p>
            <w:pPr>
              <w:pStyle w:val="170"/>
              <w:rPr>
                <w:b/>
                <w:bCs/>
                <w:color w:val="auto"/>
              </w:rPr>
            </w:pPr>
          </w:p>
          <w:p>
            <w:pPr>
              <w:pStyle w:val="170"/>
              <w:rPr>
                <w:b/>
                <w:bCs/>
                <w:color w:val="auto"/>
              </w:rPr>
            </w:pPr>
          </w:p>
          <w:p>
            <w:pPr>
              <w:pStyle w:val="170"/>
              <w:rPr>
                <w:b/>
                <w:bCs/>
                <w:color w:val="auto"/>
              </w:rPr>
            </w:pPr>
          </w:p>
          <w:p>
            <w:pPr>
              <w:pStyle w:val="170"/>
              <w:rPr>
                <w:b/>
                <w:bCs/>
                <w:color w:val="auto"/>
              </w:rPr>
            </w:pPr>
          </w:p>
          <w:p>
            <w:pPr>
              <w:pStyle w:val="170"/>
              <w:rPr>
                <w:b/>
                <w:bCs/>
                <w:color w:val="auto"/>
              </w:rPr>
            </w:pPr>
          </w:p>
          <w:p>
            <w:pPr>
              <w:pStyle w:val="170"/>
              <w:rPr>
                <w:b/>
                <w:bCs/>
                <w:color w:val="auto"/>
              </w:rPr>
            </w:pPr>
          </w:p>
          <w:p>
            <w:pPr>
              <w:pStyle w:val="170"/>
              <w:rPr>
                <w:b/>
                <w:bCs/>
                <w:color w:val="auto"/>
              </w:rPr>
            </w:pPr>
          </w:p>
          <w:p>
            <w:pPr>
              <w:pStyle w:val="170"/>
              <w:rPr>
                <w:b/>
                <w:bCs/>
                <w:color w:val="auto"/>
              </w:rPr>
            </w:pPr>
            <w:r>
              <w:rPr>
                <w:b/>
                <w:bCs/>
                <w:color w:val="auto"/>
              </w:rPr>
              <w:t>普适性清单管控要求</w:t>
            </w:r>
          </w:p>
        </w:tc>
        <w:tc>
          <w:tcPr>
            <w:tcW w:w="425" w:type="pct"/>
            <w:vMerge w:val="restart"/>
            <w:noWrap w:val="0"/>
            <w:vAlign w:val="center"/>
          </w:tcPr>
          <w:p>
            <w:pPr>
              <w:pStyle w:val="170"/>
              <w:rPr>
                <w:color w:val="auto"/>
              </w:rPr>
            </w:pPr>
            <w:r>
              <w:rPr>
                <w:color w:val="auto"/>
              </w:rPr>
              <w:t>空间布局约束</w:t>
            </w:r>
          </w:p>
        </w:tc>
        <w:tc>
          <w:tcPr>
            <w:tcW w:w="516" w:type="pct"/>
            <w:noWrap w:val="0"/>
            <w:vAlign w:val="center"/>
          </w:tcPr>
          <w:p>
            <w:pPr>
              <w:pStyle w:val="170"/>
              <w:rPr>
                <w:color w:val="auto"/>
              </w:rPr>
            </w:pPr>
            <w:r>
              <w:rPr>
                <w:color w:val="auto"/>
              </w:rPr>
              <w:t>禁止开发建设活动的要求</w:t>
            </w:r>
          </w:p>
        </w:tc>
        <w:tc>
          <w:tcPr>
            <w:tcW w:w="1817" w:type="pct"/>
            <w:noWrap w:val="0"/>
            <w:vAlign w:val="center"/>
          </w:tcPr>
          <w:p>
            <w:pPr>
              <w:pStyle w:val="170"/>
              <w:rPr>
                <w:color w:val="auto"/>
              </w:rPr>
            </w:pPr>
            <w:r>
              <w:rPr>
                <w:color w:val="auto"/>
              </w:rPr>
              <w:t>（1）原则上禁止新建生产性企业，经论证与周边环境相容的涉及民生的工业企业除外（2）禁止在长江干支流岸线1公里范围内新建、扩建化工园区和化工项目</w:t>
            </w:r>
            <w:r>
              <w:rPr>
                <w:rFonts w:hint="eastAsia"/>
                <w:color w:val="auto"/>
              </w:rPr>
              <w:t>；</w:t>
            </w:r>
            <w:r>
              <w:rPr>
                <w:color w:val="auto"/>
              </w:rPr>
              <w:t> 禁止在长江重要支流岸线一公里范围内新建、改建、扩建尾矿库（以提升安全、生态环境保护水平为目的的改建除外）（3）禁止在居民区、学校、医疗和养老机构等周边新建有色金属冶炼、焦化、化工、铅蓄电池制造等行业企业</w:t>
            </w:r>
            <w:r>
              <w:rPr>
                <w:rFonts w:hint="eastAsia"/>
                <w:color w:val="auto"/>
              </w:rPr>
              <w:t>；</w:t>
            </w:r>
            <w:r>
              <w:rPr>
                <w:color w:val="auto"/>
              </w:rPr>
              <w:t>严禁在人口聚集区新建涉及重金属排放的项目（4）禁止在长江流域禁止采砂区和禁止采砂期从事采砂活动;</w:t>
            </w:r>
          </w:p>
        </w:tc>
        <w:tc>
          <w:tcPr>
            <w:tcW w:w="1169" w:type="pct"/>
            <w:noWrap w:val="0"/>
            <w:vAlign w:val="center"/>
          </w:tcPr>
          <w:p>
            <w:pPr>
              <w:pStyle w:val="170"/>
              <w:rPr>
                <w:rFonts w:hint="eastAsia"/>
                <w:color w:val="auto"/>
              </w:rPr>
            </w:pPr>
            <w:r>
              <w:rPr>
                <w:rFonts w:hint="eastAsia"/>
                <w:color w:val="auto"/>
              </w:rPr>
              <w:t>本项目为宠物医院服务项目，不属于生产性企业，不属于冶炼、焦化、化工、铅蓄电池制造行业，项目不涉及重金属排放，不属于禁止开发建设活动</w:t>
            </w:r>
          </w:p>
        </w:tc>
        <w:tc>
          <w:tcPr>
            <w:tcW w:w="472" w:type="pct"/>
            <w:noWrap w:val="0"/>
            <w:vAlign w:val="center"/>
          </w:tcPr>
          <w:p>
            <w:pPr>
              <w:pStyle w:val="170"/>
              <w:rPr>
                <w:rFonts w:hint="eastAsia"/>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60"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continue"/>
            <w:noWrap w:val="0"/>
            <w:vAlign w:val="center"/>
          </w:tcPr>
          <w:p>
            <w:pPr>
              <w:pStyle w:val="170"/>
              <w:rPr>
                <w:color w:val="auto"/>
              </w:rPr>
            </w:pPr>
          </w:p>
        </w:tc>
        <w:tc>
          <w:tcPr>
            <w:tcW w:w="516" w:type="pct"/>
            <w:noWrap w:val="0"/>
            <w:vAlign w:val="center"/>
          </w:tcPr>
          <w:p>
            <w:pPr>
              <w:pStyle w:val="170"/>
              <w:rPr>
                <w:color w:val="auto"/>
              </w:rPr>
            </w:pPr>
            <w:r>
              <w:rPr>
                <w:color w:val="auto"/>
              </w:rPr>
              <w:t>限制开发建设活动的要求</w:t>
            </w:r>
          </w:p>
        </w:tc>
        <w:tc>
          <w:tcPr>
            <w:tcW w:w="1817" w:type="pct"/>
            <w:noWrap w:val="0"/>
            <w:vAlign w:val="center"/>
          </w:tcPr>
          <w:p>
            <w:pPr>
              <w:pStyle w:val="170"/>
              <w:rPr>
                <w:color w:val="auto"/>
              </w:rPr>
            </w:pPr>
            <w:r>
              <w:rPr>
                <w:color w:val="auto"/>
              </w:rPr>
              <w:t>（1）现有工业企业（涉及民生的除外）限制发展，允许以提升安全、生态环境保护水平为目的的改建，引导企业搬入产业对口园区（2）严格控制在城镇空间范围内新布设工业园区</w:t>
            </w:r>
            <w:r>
              <w:rPr>
                <w:rFonts w:hint="eastAsia"/>
                <w:color w:val="auto"/>
              </w:rPr>
              <w:t>；</w:t>
            </w:r>
            <w:r>
              <w:rPr>
                <w:color w:val="auto"/>
              </w:rPr>
              <w:t> 若新布局工业园区，应符合乐山市国土空间规划，并结合区域环境特点、三线成果、园区产业类别，充分论证选址的环境合理性（3）长江流域河道采砂应当依法取得国务院水行政主管部门有关流域管理机构或者县级以上地方人民政府水行政主管部门的许可</w:t>
            </w:r>
            <w:r>
              <w:rPr>
                <w:rFonts w:hint="eastAsia"/>
                <w:color w:val="auto"/>
              </w:rPr>
              <w:t>；</w:t>
            </w:r>
            <w:r>
              <w:rPr>
                <w:color w:val="auto"/>
              </w:rPr>
              <w:t>严格控制采砂区域、采砂总量和采砂区域内的采砂船舶数量;</w:t>
            </w:r>
          </w:p>
        </w:tc>
        <w:tc>
          <w:tcPr>
            <w:tcW w:w="1169" w:type="pct"/>
            <w:noWrap w:val="0"/>
            <w:vAlign w:val="center"/>
          </w:tcPr>
          <w:p>
            <w:pPr>
              <w:pStyle w:val="170"/>
              <w:rPr>
                <w:rFonts w:hint="eastAsia"/>
                <w:color w:val="auto"/>
              </w:rPr>
            </w:pPr>
            <w:r>
              <w:rPr>
                <w:rFonts w:hint="eastAsia"/>
                <w:color w:val="auto"/>
              </w:rPr>
              <w:t>本项目为宠物医院建设项目，属于民生有需求类项目，项目为未批先建，但根据对项目现场调查，项目已采取了部分环保措施</w:t>
            </w:r>
          </w:p>
        </w:tc>
        <w:tc>
          <w:tcPr>
            <w:tcW w:w="472" w:type="pct"/>
            <w:noWrap w:val="0"/>
            <w:vAlign w:val="center"/>
          </w:tcPr>
          <w:p>
            <w:pPr>
              <w:pStyle w:val="170"/>
              <w:rPr>
                <w:rFonts w:hint="eastAsia"/>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3"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continue"/>
            <w:noWrap w:val="0"/>
            <w:vAlign w:val="center"/>
          </w:tcPr>
          <w:p>
            <w:pPr>
              <w:pStyle w:val="170"/>
              <w:rPr>
                <w:color w:val="auto"/>
              </w:rPr>
            </w:pPr>
          </w:p>
        </w:tc>
        <w:tc>
          <w:tcPr>
            <w:tcW w:w="516" w:type="pct"/>
            <w:noWrap w:val="0"/>
            <w:vAlign w:val="center"/>
          </w:tcPr>
          <w:p>
            <w:pPr>
              <w:pStyle w:val="170"/>
              <w:rPr>
                <w:color w:val="auto"/>
              </w:rPr>
            </w:pPr>
            <w:r>
              <w:rPr>
                <w:color w:val="auto"/>
              </w:rPr>
              <w:t>不符合空间布局要求活动的退出要求</w:t>
            </w:r>
          </w:p>
        </w:tc>
        <w:tc>
          <w:tcPr>
            <w:tcW w:w="1817" w:type="pct"/>
            <w:noWrap w:val="0"/>
            <w:vAlign w:val="center"/>
          </w:tcPr>
          <w:p>
            <w:pPr>
              <w:pStyle w:val="170"/>
              <w:rPr>
                <w:color w:val="auto"/>
              </w:rPr>
            </w:pPr>
            <w:r>
              <w:rPr>
                <w:color w:val="auto"/>
              </w:rPr>
              <w:t> （1）长江主要支流重点管控岸线：按照长江干线非法码头治理标准和生态保护红线管控等要求，持续开展长江主要支流非法码头整治（2）加快城市建成区重污染企业搬迁改造或关闭退出，推动实施一批重污染企业搬迁工程</w:t>
            </w:r>
            <w:r>
              <w:rPr>
                <w:rFonts w:hint="eastAsia"/>
                <w:color w:val="auto"/>
              </w:rPr>
              <w:t>；</w:t>
            </w:r>
            <w:r>
              <w:rPr>
                <w:color w:val="auto"/>
              </w:rPr>
              <w:t> 大气污染防治重点区域城市钢铁企业要切实采取彻底关停、转型发展、就地改造、域外搬迁等方式转型升级（3）长江干流及主要支流岸线延伸至陆域200米范围内基本消除畜禽养殖场（小区）</w:t>
            </w:r>
          </w:p>
        </w:tc>
        <w:tc>
          <w:tcPr>
            <w:tcW w:w="1169" w:type="pct"/>
            <w:noWrap w:val="0"/>
            <w:vAlign w:val="center"/>
          </w:tcPr>
          <w:p>
            <w:pPr>
              <w:pStyle w:val="170"/>
              <w:rPr>
                <w:rFonts w:hint="eastAsia"/>
                <w:color w:val="auto"/>
              </w:rPr>
            </w:pPr>
            <w:r>
              <w:rPr>
                <w:rFonts w:hint="eastAsia"/>
                <w:color w:val="auto"/>
              </w:rPr>
              <w:t>本项目为宠物医院建设项目，位于中心城区，不属于不符合空间布局要求的项目</w:t>
            </w:r>
          </w:p>
        </w:tc>
        <w:tc>
          <w:tcPr>
            <w:tcW w:w="472" w:type="pct"/>
            <w:noWrap w:val="0"/>
            <w:vAlign w:val="center"/>
          </w:tcPr>
          <w:p>
            <w:pPr>
              <w:pStyle w:val="170"/>
              <w:rPr>
                <w:rFonts w:hint="eastAsia"/>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8"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continue"/>
            <w:noWrap w:val="0"/>
            <w:vAlign w:val="center"/>
          </w:tcPr>
          <w:p>
            <w:pPr>
              <w:pStyle w:val="170"/>
              <w:rPr>
                <w:color w:val="auto"/>
              </w:rPr>
            </w:pPr>
          </w:p>
        </w:tc>
        <w:tc>
          <w:tcPr>
            <w:tcW w:w="516" w:type="pct"/>
            <w:noWrap w:val="0"/>
            <w:vAlign w:val="center"/>
          </w:tcPr>
          <w:p>
            <w:pPr>
              <w:pStyle w:val="170"/>
              <w:rPr>
                <w:color w:val="auto"/>
              </w:rPr>
            </w:pPr>
            <w:r>
              <w:rPr>
                <w:color w:val="auto"/>
              </w:rPr>
              <w:t>其他空间布局约束要求</w:t>
            </w:r>
          </w:p>
        </w:tc>
        <w:tc>
          <w:tcPr>
            <w:tcW w:w="1817" w:type="pct"/>
            <w:noWrap w:val="0"/>
            <w:vAlign w:val="center"/>
          </w:tcPr>
          <w:p>
            <w:pPr>
              <w:pStyle w:val="170"/>
              <w:rPr>
                <w:color w:val="auto"/>
              </w:rPr>
            </w:pPr>
            <w:r>
              <w:rPr>
                <w:color w:val="auto"/>
              </w:rPr>
              <w:t>（1）长江干流及主要支流重点管控岸线：加强滨水岸线管控，以生态保护为主基调，加快推进生态修复工作进程（2）加大交通运输结构优化调整力度，推动</w:t>
            </w:r>
            <w:r>
              <w:rPr>
                <w:rFonts w:hint="eastAsia"/>
                <w:color w:val="auto"/>
              </w:rPr>
              <w:t>“</w:t>
            </w:r>
            <w:r>
              <w:rPr>
                <w:color w:val="auto"/>
              </w:rPr>
              <w:t>公转铁</w:t>
            </w:r>
            <w:r>
              <w:rPr>
                <w:rFonts w:hint="eastAsia"/>
                <w:color w:val="auto"/>
              </w:rPr>
              <w:t>”“</w:t>
            </w:r>
            <w:r>
              <w:rPr>
                <w:color w:val="auto"/>
              </w:rPr>
              <w:t>公转水</w:t>
            </w:r>
            <w:r>
              <w:rPr>
                <w:rFonts w:hint="eastAsia"/>
                <w:color w:val="auto"/>
              </w:rPr>
              <w:t>”</w:t>
            </w:r>
            <w:r>
              <w:rPr>
                <w:color w:val="auto"/>
              </w:rPr>
              <w:t>和多式联运，推广节能和新能源车辆</w:t>
            </w:r>
          </w:p>
        </w:tc>
        <w:tc>
          <w:tcPr>
            <w:tcW w:w="1169" w:type="pct"/>
            <w:noWrap w:val="0"/>
            <w:vAlign w:val="center"/>
          </w:tcPr>
          <w:p>
            <w:pPr>
              <w:pStyle w:val="170"/>
              <w:rPr>
                <w:rFonts w:hint="eastAsia"/>
                <w:color w:val="auto"/>
              </w:rPr>
            </w:pPr>
            <w:r>
              <w:rPr>
                <w:rFonts w:hint="eastAsia"/>
                <w:color w:val="auto"/>
              </w:rPr>
              <w:t>本项目位于中心城区，项目运行不涉及大型交通运输</w:t>
            </w:r>
          </w:p>
        </w:tc>
        <w:tc>
          <w:tcPr>
            <w:tcW w:w="472" w:type="pct"/>
            <w:noWrap w:val="0"/>
            <w:vAlign w:val="center"/>
          </w:tcPr>
          <w:p>
            <w:pPr>
              <w:pStyle w:val="170"/>
              <w:rPr>
                <w:rFonts w:hint="eastAsia"/>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77"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restart"/>
            <w:noWrap w:val="0"/>
            <w:vAlign w:val="center"/>
          </w:tcPr>
          <w:p>
            <w:pPr>
              <w:pStyle w:val="170"/>
              <w:rPr>
                <w:color w:val="auto"/>
              </w:rPr>
            </w:pPr>
            <w:r>
              <w:rPr>
                <w:color w:val="auto"/>
              </w:rPr>
              <w:t>污染物排放管控</w:t>
            </w:r>
          </w:p>
        </w:tc>
        <w:tc>
          <w:tcPr>
            <w:tcW w:w="516" w:type="pct"/>
            <w:noWrap w:val="0"/>
            <w:vAlign w:val="center"/>
          </w:tcPr>
          <w:p>
            <w:pPr>
              <w:pStyle w:val="170"/>
              <w:rPr>
                <w:color w:val="auto"/>
              </w:rPr>
            </w:pPr>
            <w:r>
              <w:rPr>
                <w:color w:val="auto"/>
              </w:rPr>
              <w:t>允许排放量要求</w:t>
            </w:r>
          </w:p>
        </w:tc>
        <w:tc>
          <w:tcPr>
            <w:tcW w:w="1817" w:type="pct"/>
            <w:noWrap w:val="0"/>
            <w:vAlign w:val="center"/>
          </w:tcPr>
          <w:p>
            <w:pPr>
              <w:pStyle w:val="170"/>
              <w:rPr>
                <w:color w:val="auto"/>
              </w:rPr>
            </w:pPr>
            <w:r>
              <w:rPr>
                <w:color w:val="auto"/>
              </w:rPr>
              <w:t> （1）上一年度水环境质量未完成目标的，新建排放水污染的建设项目按照总量管控要求进行倍量削减替代（2）对新建排放二氧化硫、氮氧化物、工业烟粉尘和挥发性有机物的项目实施现役源2倍削减替代（3）岷江干流及其支流执行总磷排放减量置换（4）水质超标的水功能区，应当实施更严格的污染物排放总量削减要求</w:t>
            </w:r>
          </w:p>
        </w:tc>
        <w:tc>
          <w:tcPr>
            <w:tcW w:w="1169" w:type="pct"/>
            <w:noWrap w:val="0"/>
            <w:vAlign w:val="center"/>
          </w:tcPr>
          <w:p>
            <w:pPr>
              <w:pStyle w:val="170"/>
              <w:rPr>
                <w:color w:val="auto"/>
              </w:rPr>
            </w:pPr>
            <w:r>
              <w:rPr>
                <w:rFonts w:hint="eastAsia"/>
                <w:color w:val="auto"/>
              </w:rPr>
              <w:t>本项目为宠物医院建设项目</w:t>
            </w:r>
          </w:p>
        </w:tc>
        <w:tc>
          <w:tcPr>
            <w:tcW w:w="472" w:type="pct"/>
            <w:noWrap w:val="0"/>
            <w:vAlign w:val="center"/>
          </w:tcPr>
          <w:p>
            <w:pPr>
              <w:pStyle w:val="17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8"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continue"/>
            <w:noWrap w:val="0"/>
            <w:vAlign w:val="center"/>
          </w:tcPr>
          <w:p>
            <w:pPr>
              <w:pStyle w:val="170"/>
              <w:rPr>
                <w:color w:val="auto"/>
              </w:rPr>
            </w:pPr>
          </w:p>
        </w:tc>
        <w:tc>
          <w:tcPr>
            <w:tcW w:w="516" w:type="pct"/>
            <w:noWrap w:val="0"/>
            <w:vAlign w:val="center"/>
          </w:tcPr>
          <w:p>
            <w:pPr>
              <w:pStyle w:val="170"/>
              <w:rPr>
                <w:color w:val="auto"/>
              </w:rPr>
            </w:pPr>
            <w:r>
              <w:rPr>
                <w:color w:val="auto"/>
              </w:rPr>
              <w:t>现有源提标升级改造</w:t>
            </w:r>
          </w:p>
        </w:tc>
        <w:tc>
          <w:tcPr>
            <w:tcW w:w="1817" w:type="pct"/>
            <w:noWrap w:val="0"/>
            <w:vAlign w:val="center"/>
          </w:tcPr>
          <w:p>
            <w:pPr>
              <w:pStyle w:val="170"/>
              <w:rPr>
                <w:color w:val="auto"/>
              </w:rPr>
            </w:pPr>
            <w:r>
              <w:rPr>
                <w:color w:val="auto"/>
              </w:rPr>
              <w:t> （1）现有及新建处理规模大于1000吨日的城镇生活污水处理厂执行《四川省岷江、沱江流域水污染物排放标准》（DB51 2311-2016）（2）市中区、五通桥区、沙湾区、犍为县、井研县、峨眉山市、夹江县属大气污染重点区域，执行大气污染物排放特别限值和特别管控要求  （3）全市燃煤锅炉稳定达到超低排放限值要求，烟粉尘低于10毫克立方米，二氧化硫低于35毫克立方米，氮氧化物低于50毫克立方米 </w:t>
            </w:r>
          </w:p>
        </w:tc>
        <w:tc>
          <w:tcPr>
            <w:tcW w:w="1169" w:type="pct"/>
            <w:noWrap w:val="0"/>
            <w:vAlign w:val="center"/>
          </w:tcPr>
          <w:p>
            <w:pPr>
              <w:pStyle w:val="170"/>
              <w:rPr>
                <w:color w:val="auto"/>
              </w:rPr>
            </w:pPr>
            <w:r>
              <w:rPr>
                <w:rFonts w:hint="eastAsia"/>
                <w:color w:val="auto"/>
              </w:rPr>
              <w:t>本项目为宠物医院建设项目</w:t>
            </w:r>
          </w:p>
        </w:tc>
        <w:tc>
          <w:tcPr>
            <w:tcW w:w="472" w:type="pct"/>
            <w:noWrap w:val="0"/>
            <w:vAlign w:val="center"/>
          </w:tcPr>
          <w:p>
            <w:pPr>
              <w:pStyle w:val="17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0"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continue"/>
            <w:noWrap w:val="0"/>
            <w:vAlign w:val="center"/>
          </w:tcPr>
          <w:p>
            <w:pPr>
              <w:pStyle w:val="170"/>
              <w:rPr>
                <w:color w:val="auto"/>
              </w:rPr>
            </w:pPr>
          </w:p>
        </w:tc>
        <w:tc>
          <w:tcPr>
            <w:tcW w:w="516" w:type="pct"/>
            <w:noWrap w:val="0"/>
            <w:vAlign w:val="center"/>
          </w:tcPr>
          <w:p>
            <w:pPr>
              <w:pStyle w:val="170"/>
              <w:rPr>
                <w:color w:val="auto"/>
              </w:rPr>
            </w:pPr>
            <w:r>
              <w:rPr>
                <w:color w:val="auto"/>
              </w:rPr>
              <w:t>其他污染物排放管控要求</w:t>
            </w:r>
          </w:p>
        </w:tc>
        <w:tc>
          <w:tcPr>
            <w:tcW w:w="1817" w:type="pct"/>
            <w:noWrap w:val="0"/>
            <w:vAlign w:val="center"/>
          </w:tcPr>
          <w:p>
            <w:pPr>
              <w:pStyle w:val="170"/>
              <w:rPr>
                <w:rFonts w:hint="eastAsia" w:eastAsia="宋体"/>
                <w:color w:val="auto"/>
                <w:lang w:eastAsia="zh-CN"/>
              </w:rPr>
            </w:pPr>
            <w:r>
              <w:rPr>
                <w:color w:val="auto"/>
              </w:rPr>
              <w:t> （1）到2030年，城市污水处理率达到100%（2）加快城市污水处理厂提标改造，推进人工湿地等深度处理设施配套建设，进一步降低人口密集区污染入河负荷（3）严格执行《关于实施第六阶段机动车排放标准的通告》、《四川省机动车和非道路移动机械排气污染防治办法》</w:t>
            </w:r>
            <w:r>
              <w:rPr>
                <w:rFonts w:hint="eastAsia"/>
                <w:color w:val="auto"/>
              </w:rPr>
              <w:t>；</w:t>
            </w:r>
            <w:r>
              <w:rPr>
                <w:color w:val="auto"/>
              </w:rPr>
              <w:t> 加快淘汰老旧车辆</w:t>
            </w:r>
            <w:r>
              <w:rPr>
                <w:rFonts w:hint="eastAsia"/>
                <w:color w:val="auto"/>
              </w:rPr>
              <w:t>；</w:t>
            </w:r>
            <w:r>
              <w:rPr>
                <w:color w:val="auto"/>
              </w:rPr>
              <w:t>严禁排放不达标车辆跨区域转移，鼓励、引导老旧车等高排放车辆提前报废更新</w:t>
            </w:r>
            <w:r>
              <w:rPr>
                <w:rFonts w:hint="eastAsia"/>
                <w:color w:val="auto"/>
              </w:rPr>
              <w:t>；</w:t>
            </w:r>
            <w:r>
              <w:rPr>
                <w:color w:val="auto"/>
              </w:rPr>
              <w:t>开展非道路移动机械污染整治</w:t>
            </w:r>
            <w:r>
              <w:rPr>
                <w:rFonts w:hint="eastAsia"/>
                <w:color w:val="auto"/>
              </w:rPr>
              <w:t>；</w:t>
            </w:r>
            <w:r>
              <w:rPr>
                <w:color w:val="auto"/>
              </w:rPr>
              <w:t>推进不达标工程机械清洁化改造和淘汰 （4）深化扬尘污染治理</w:t>
            </w:r>
            <w:r>
              <w:rPr>
                <w:rFonts w:hint="eastAsia"/>
                <w:color w:val="auto"/>
              </w:rPr>
              <w:t>；</w:t>
            </w:r>
            <w:r>
              <w:rPr>
                <w:color w:val="auto"/>
              </w:rPr>
              <w:t>建筑施工工地全部做到工地周边围挡、物料堆放覆盖、土方开挖湿法作业、路面硬化、出入车辆清洗、渣土车辆密闭运输</w:t>
            </w:r>
            <w:r>
              <w:rPr>
                <w:rFonts w:hint="eastAsia"/>
                <w:color w:val="auto"/>
              </w:rPr>
              <w:t>“</w:t>
            </w:r>
            <w:r>
              <w:rPr>
                <w:color w:val="auto"/>
              </w:rPr>
              <w:t>六个百分之百</w:t>
            </w:r>
            <w:r>
              <w:rPr>
                <w:rFonts w:hint="eastAsia"/>
                <w:color w:val="auto"/>
              </w:rPr>
              <w:t>”；</w:t>
            </w:r>
          </w:p>
          <w:p>
            <w:pPr>
              <w:pStyle w:val="170"/>
              <w:rPr>
                <w:color w:val="auto"/>
              </w:rPr>
            </w:pPr>
            <w:r>
              <w:rPr>
                <w:color w:val="auto"/>
              </w:rPr>
              <w:t>施工场地全部安装高空作业雾炮和围挡喷淋装置、在线监测和视频监控设备，监测数据与市、县主管部门联网</w:t>
            </w:r>
            <w:r>
              <w:rPr>
                <w:rFonts w:hint="eastAsia"/>
                <w:color w:val="auto"/>
              </w:rPr>
              <w:t>；</w:t>
            </w:r>
            <w:r>
              <w:rPr>
                <w:color w:val="auto"/>
              </w:rPr>
              <w:t> 严格堆场规范化全封闭管理（5）强化挥发性有机物整治</w:t>
            </w:r>
            <w:r>
              <w:rPr>
                <w:rFonts w:hint="eastAsia"/>
                <w:color w:val="auto"/>
              </w:rPr>
              <w:t>；</w:t>
            </w:r>
            <w:r>
              <w:rPr>
                <w:color w:val="auto"/>
              </w:rPr>
              <w:t>全面淘汰开启式干洗机</w:t>
            </w:r>
            <w:r>
              <w:rPr>
                <w:rFonts w:hint="eastAsia"/>
                <w:color w:val="auto"/>
              </w:rPr>
              <w:t>；</w:t>
            </w:r>
            <w:r>
              <w:rPr>
                <w:color w:val="auto"/>
              </w:rPr>
              <w:t>推广使用符合环保要求的建筑涂料、油墨、木器涂料、胶黏剂等产品</w:t>
            </w:r>
            <w:r>
              <w:rPr>
                <w:rFonts w:hint="eastAsia"/>
                <w:color w:val="auto"/>
              </w:rPr>
              <w:t>；</w:t>
            </w:r>
            <w:r>
              <w:rPr>
                <w:color w:val="auto"/>
              </w:rPr>
              <w:t>全面推广汽修行业使用低挥发性涂料，采用高效涂装工艺，完善有机废气收集和处理系统，取缔露天和敞开式汽修喷涂作业</w:t>
            </w:r>
            <w:r>
              <w:rPr>
                <w:rFonts w:hint="eastAsia"/>
                <w:color w:val="auto"/>
              </w:rPr>
              <w:t>；</w:t>
            </w:r>
            <w:r>
              <w:rPr>
                <w:color w:val="auto"/>
              </w:rPr>
              <w:t> 全面推进储油库、油罐车、加油站油气回收改造，回收率提高到80%以上</w:t>
            </w:r>
            <w:r>
              <w:rPr>
                <w:rFonts w:hint="eastAsia"/>
                <w:color w:val="auto"/>
              </w:rPr>
              <w:t>；</w:t>
            </w:r>
            <w:r>
              <w:rPr>
                <w:color w:val="auto"/>
              </w:rPr>
              <w:t>开展餐饮、食堂、露天烧烤专项整治（6）到2023年底，市级城市污泥无害化处置率达92%、县级城市达85%</w:t>
            </w:r>
            <w:r>
              <w:rPr>
                <w:rFonts w:hint="eastAsia"/>
                <w:color w:val="auto"/>
              </w:rPr>
              <w:t>；</w:t>
            </w:r>
            <w:r>
              <w:rPr>
                <w:color w:val="auto"/>
              </w:rPr>
              <w:t>到2030年，城市生活垃圾无害化处置率达100%，工业固体废弃物综合利用率达100%，危废处理率100%</w:t>
            </w:r>
          </w:p>
        </w:tc>
        <w:tc>
          <w:tcPr>
            <w:tcW w:w="1169" w:type="pct"/>
            <w:noWrap w:val="0"/>
            <w:vAlign w:val="center"/>
          </w:tcPr>
          <w:p>
            <w:pPr>
              <w:pStyle w:val="170"/>
              <w:rPr>
                <w:rFonts w:hint="eastAsia"/>
                <w:color w:val="auto"/>
              </w:rPr>
            </w:pPr>
            <w:r>
              <w:rPr>
                <w:rFonts w:hint="eastAsia"/>
                <w:color w:val="auto"/>
              </w:rPr>
              <w:t>本项目为宠物医院建设项目，为租用临街商铺进行建设，项目已建成运营多年，运营过程中产生的固体废弃物均得到合理的处置，废水经污水处理设备处理后进入市政污水管网</w:t>
            </w:r>
          </w:p>
        </w:tc>
        <w:tc>
          <w:tcPr>
            <w:tcW w:w="472" w:type="pct"/>
            <w:noWrap w:val="0"/>
            <w:vAlign w:val="center"/>
          </w:tcPr>
          <w:p>
            <w:pPr>
              <w:pStyle w:val="170"/>
              <w:rPr>
                <w:rFonts w:hint="eastAsia"/>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restart"/>
            <w:noWrap w:val="0"/>
            <w:vAlign w:val="center"/>
          </w:tcPr>
          <w:p>
            <w:pPr>
              <w:pStyle w:val="170"/>
              <w:rPr>
                <w:color w:val="auto"/>
              </w:rPr>
            </w:pPr>
            <w:r>
              <w:rPr>
                <w:color w:val="auto"/>
              </w:rPr>
              <w:t>环境风险防控</w:t>
            </w:r>
          </w:p>
        </w:tc>
        <w:tc>
          <w:tcPr>
            <w:tcW w:w="517" w:type="pct"/>
            <w:noWrap w:val="0"/>
            <w:vAlign w:val="center"/>
          </w:tcPr>
          <w:p>
            <w:pPr>
              <w:pStyle w:val="170"/>
              <w:rPr>
                <w:color w:val="auto"/>
              </w:rPr>
            </w:pPr>
            <w:r>
              <w:rPr>
                <w:color w:val="auto"/>
              </w:rPr>
              <w:t>联防联控要求</w:t>
            </w:r>
          </w:p>
        </w:tc>
        <w:tc>
          <w:tcPr>
            <w:tcW w:w="1816" w:type="pct"/>
            <w:noWrap w:val="0"/>
            <w:vAlign w:val="center"/>
          </w:tcPr>
          <w:p>
            <w:pPr>
              <w:pStyle w:val="170"/>
              <w:rPr>
                <w:rFonts w:hint="eastAsia"/>
                <w:color w:val="auto"/>
              </w:rPr>
            </w:pPr>
            <w:r>
              <w:rPr>
                <w:rFonts w:hint="eastAsia"/>
                <w:color w:val="auto"/>
              </w:rPr>
              <w:t>/</w:t>
            </w:r>
          </w:p>
        </w:tc>
        <w:tc>
          <w:tcPr>
            <w:tcW w:w="1169" w:type="pct"/>
            <w:noWrap w:val="0"/>
            <w:vAlign w:val="center"/>
          </w:tcPr>
          <w:p>
            <w:pPr>
              <w:pStyle w:val="170"/>
              <w:rPr>
                <w:rFonts w:hint="eastAsia"/>
                <w:color w:val="auto"/>
              </w:rPr>
            </w:pPr>
            <w:r>
              <w:rPr>
                <w:rFonts w:hint="eastAsia"/>
                <w:color w:val="auto"/>
              </w:rPr>
              <w:t>/</w:t>
            </w:r>
          </w:p>
        </w:tc>
        <w:tc>
          <w:tcPr>
            <w:tcW w:w="472" w:type="pct"/>
            <w:noWrap w:val="0"/>
            <w:vAlign w:val="center"/>
          </w:tcPr>
          <w:p>
            <w:pPr>
              <w:pStyle w:val="170"/>
              <w:rPr>
                <w:rFonts w:hint="eastAsia"/>
                <w:color w:val="auto"/>
              </w:rPr>
            </w:pPr>
            <w:r>
              <w:rPr>
                <w:rFonts w:hint="eastAsia"/>
                <w:color w:val="aut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6"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continue"/>
            <w:noWrap w:val="0"/>
            <w:vAlign w:val="center"/>
          </w:tcPr>
          <w:p>
            <w:pPr>
              <w:pStyle w:val="170"/>
              <w:rPr>
                <w:color w:val="auto"/>
              </w:rPr>
            </w:pPr>
          </w:p>
        </w:tc>
        <w:tc>
          <w:tcPr>
            <w:tcW w:w="517" w:type="pct"/>
            <w:noWrap w:val="0"/>
            <w:vAlign w:val="center"/>
          </w:tcPr>
          <w:p>
            <w:pPr>
              <w:pStyle w:val="170"/>
              <w:rPr>
                <w:color w:val="auto"/>
              </w:rPr>
            </w:pPr>
            <w:r>
              <w:rPr>
                <w:color w:val="auto"/>
              </w:rPr>
              <w:t>其他环境风险防控要求</w:t>
            </w:r>
          </w:p>
        </w:tc>
        <w:tc>
          <w:tcPr>
            <w:tcW w:w="1816" w:type="pct"/>
            <w:noWrap w:val="0"/>
            <w:vAlign w:val="center"/>
          </w:tcPr>
          <w:p>
            <w:pPr>
              <w:pStyle w:val="170"/>
              <w:rPr>
                <w:color w:val="auto"/>
              </w:rPr>
            </w:pPr>
            <w:r>
              <w:rPr>
                <w:color w:val="auto"/>
              </w:rPr>
              <w:t>（1）现有涉及五类重金属的企业，严控污染物排放，限时整治或搬迁 （2）对拟收回土地使用权的有色金属矿采选、有色金属冶炼、石油加工、化工、焦化、电镀、制革、天然（页岩）气开采、铅蓄电池、汽车制造、农药、危废处置、电子拆解等行业企业用地，以及用途拟变更为居住和商业、学校、医疗、养老机构等公共设施的上述企业用地，应按相关要求进行土壤环境状况调查评估，符合相应规划用地土壤环境质量要求的地块，方可进入用地程序</w:t>
            </w:r>
          </w:p>
        </w:tc>
        <w:tc>
          <w:tcPr>
            <w:tcW w:w="1169" w:type="pct"/>
            <w:noWrap w:val="0"/>
            <w:vAlign w:val="center"/>
          </w:tcPr>
          <w:p>
            <w:pPr>
              <w:pStyle w:val="170"/>
              <w:rPr>
                <w:color w:val="auto"/>
              </w:rPr>
            </w:pPr>
            <w:r>
              <w:rPr>
                <w:rFonts w:hint="eastAsia"/>
                <w:color w:val="auto"/>
              </w:rPr>
              <w:t>本项目为宠物医院建设项目，已建成运营多年，运营过程中不涉及重金属排放，项目用地为租用市中区城区临街商铺进行建设</w:t>
            </w:r>
          </w:p>
        </w:tc>
        <w:tc>
          <w:tcPr>
            <w:tcW w:w="472" w:type="pct"/>
            <w:noWrap w:val="0"/>
            <w:vAlign w:val="center"/>
          </w:tcPr>
          <w:p>
            <w:pPr>
              <w:pStyle w:val="170"/>
              <w:rPr>
                <w:rFonts w:hint="eastAsia"/>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5"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restart"/>
            <w:noWrap w:val="0"/>
            <w:vAlign w:val="center"/>
          </w:tcPr>
          <w:p>
            <w:pPr>
              <w:pStyle w:val="170"/>
              <w:rPr>
                <w:color w:val="auto"/>
              </w:rPr>
            </w:pPr>
            <w:r>
              <w:rPr>
                <w:color w:val="auto"/>
              </w:rPr>
              <w:t>资源开发利用效率</w:t>
            </w:r>
          </w:p>
        </w:tc>
        <w:tc>
          <w:tcPr>
            <w:tcW w:w="516" w:type="pct"/>
            <w:noWrap w:val="0"/>
            <w:vAlign w:val="center"/>
          </w:tcPr>
          <w:p>
            <w:pPr>
              <w:pStyle w:val="170"/>
              <w:rPr>
                <w:color w:val="auto"/>
              </w:rPr>
            </w:pPr>
            <w:r>
              <w:rPr>
                <w:color w:val="auto"/>
              </w:rPr>
              <w:t>水资源利用总量要求</w:t>
            </w:r>
          </w:p>
        </w:tc>
        <w:tc>
          <w:tcPr>
            <w:tcW w:w="1817" w:type="pct"/>
            <w:noWrap w:val="0"/>
            <w:vAlign w:val="center"/>
          </w:tcPr>
          <w:p>
            <w:pPr>
              <w:pStyle w:val="170"/>
              <w:rPr>
                <w:color w:val="auto"/>
              </w:rPr>
            </w:pPr>
            <w:r>
              <w:rPr>
                <w:color w:val="auto"/>
              </w:rPr>
              <w:t>（1）城镇园林绿化、河湖景观、环境卫生、消防等市政用水应当优先使用再生水、雨水等非常规水源</w:t>
            </w:r>
            <w:r>
              <w:rPr>
                <w:rFonts w:hint="eastAsia"/>
                <w:color w:val="auto"/>
              </w:rPr>
              <w:t>；</w:t>
            </w:r>
            <w:r>
              <w:rPr>
                <w:color w:val="auto"/>
              </w:rPr>
              <w:t>鼓励园林绿化采用喷灌、微灌等高效节水灌溉方式</w:t>
            </w:r>
            <w:r>
              <w:rPr>
                <w:rFonts w:hint="eastAsia"/>
                <w:color w:val="auto"/>
              </w:rPr>
              <w:t>；</w:t>
            </w:r>
            <w:r>
              <w:rPr>
                <w:color w:val="auto"/>
              </w:rPr>
              <w:t>洗浴、洗车、游泳场馆等场所应当采用低耗水、循环用水等节水技术、设备和设施</w:t>
            </w:r>
            <w:r>
              <w:rPr>
                <w:rFonts w:hint="eastAsia"/>
                <w:color w:val="auto"/>
              </w:rPr>
              <w:t>；</w:t>
            </w:r>
            <w:r>
              <w:rPr>
                <w:color w:val="auto"/>
              </w:rPr>
              <w:t>餐饮、娱乐、宾馆等服务型企业应当优先采用节水型器具和设备，逐步淘汰耗水量高的用水器具和设备（2）鼓励生活污水再生利用设施建设、鼓励经处理符合使用条件的生活污水用于城市杂用、工业生产、景观用水、河道补水等方面，提高生活污水再生利用效率</w:t>
            </w:r>
          </w:p>
        </w:tc>
        <w:tc>
          <w:tcPr>
            <w:tcW w:w="1169" w:type="pct"/>
            <w:noWrap w:val="0"/>
            <w:vAlign w:val="center"/>
          </w:tcPr>
          <w:p>
            <w:pPr>
              <w:pStyle w:val="170"/>
              <w:rPr>
                <w:color w:val="auto"/>
              </w:rPr>
            </w:pPr>
            <w:r>
              <w:rPr>
                <w:rFonts w:hint="eastAsia"/>
                <w:color w:val="auto"/>
              </w:rPr>
              <w:t>本项目为宠物医院建设项目，用水环节主要为职工生活用水、宠物医疗用水和地面清洁用水，综合年用水量较小</w:t>
            </w:r>
          </w:p>
        </w:tc>
        <w:tc>
          <w:tcPr>
            <w:tcW w:w="472" w:type="pct"/>
            <w:noWrap w:val="0"/>
            <w:vAlign w:val="center"/>
          </w:tcPr>
          <w:p>
            <w:pPr>
              <w:pStyle w:val="17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04"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continue"/>
            <w:noWrap w:val="0"/>
            <w:vAlign w:val="center"/>
          </w:tcPr>
          <w:p>
            <w:pPr>
              <w:pStyle w:val="170"/>
              <w:rPr>
                <w:color w:val="auto"/>
              </w:rPr>
            </w:pPr>
          </w:p>
        </w:tc>
        <w:tc>
          <w:tcPr>
            <w:tcW w:w="516" w:type="pct"/>
            <w:noWrap w:val="0"/>
            <w:vAlign w:val="center"/>
          </w:tcPr>
          <w:p>
            <w:pPr>
              <w:pStyle w:val="170"/>
              <w:rPr>
                <w:color w:val="auto"/>
              </w:rPr>
            </w:pPr>
            <w:r>
              <w:rPr>
                <w:color w:val="auto"/>
              </w:rPr>
              <w:t>地下水开采要求</w:t>
            </w:r>
          </w:p>
        </w:tc>
        <w:tc>
          <w:tcPr>
            <w:tcW w:w="1817" w:type="pct"/>
            <w:noWrap w:val="0"/>
            <w:vAlign w:val="center"/>
          </w:tcPr>
          <w:p>
            <w:pPr>
              <w:pStyle w:val="170"/>
              <w:rPr>
                <w:rFonts w:hint="eastAsia"/>
                <w:color w:val="auto"/>
              </w:rPr>
            </w:pPr>
            <w:r>
              <w:rPr>
                <w:rFonts w:hint="eastAsia"/>
                <w:color w:val="auto"/>
              </w:rPr>
              <w:t>/</w:t>
            </w:r>
          </w:p>
        </w:tc>
        <w:tc>
          <w:tcPr>
            <w:tcW w:w="1169" w:type="pct"/>
            <w:noWrap w:val="0"/>
            <w:vAlign w:val="center"/>
          </w:tcPr>
          <w:p>
            <w:pPr>
              <w:pStyle w:val="170"/>
              <w:rPr>
                <w:rFonts w:hint="eastAsia"/>
                <w:color w:val="auto"/>
              </w:rPr>
            </w:pPr>
            <w:r>
              <w:rPr>
                <w:rFonts w:hint="eastAsia"/>
                <w:color w:val="auto"/>
              </w:rPr>
              <w:t>/</w:t>
            </w:r>
          </w:p>
        </w:tc>
        <w:tc>
          <w:tcPr>
            <w:tcW w:w="472" w:type="pct"/>
            <w:noWrap w:val="0"/>
            <w:vAlign w:val="center"/>
          </w:tcPr>
          <w:p>
            <w:pPr>
              <w:pStyle w:val="170"/>
              <w:rPr>
                <w:rFonts w:hint="eastAsia"/>
                <w:color w:val="auto"/>
              </w:rPr>
            </w:pPr>
            <w:r>
              <w:rPr>
                <w:rFonts w:hint="eastAsia"/>
                <w:color w:val="aut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continue"/>
            <w:noWrap w:val="0"/>
            <w:vAlign w:val="center"/>
          </w:tcPr>
          <w:p>
            <w:pPr>
              <w:pStyle w:val="170"/>
              <w:rPr>
                <w:color w:val="auto"/>
              </w:rPr>
            </w:pPr>
          </w:p>
        </w:tc>
        <w:tc>
          <w:tcPr>
            <w:tcW w:w="516" w:type="pct"/>
            <w:noWrap w:val="0"/>
            <w:vAlign w:val="center"/>
          </w:tcPr>
          <w:p>
            <w:pPr>
              <w:pStyle w:val="170"/>
              <w:rPr>
                <w:color w:val="auto"/>
              </w:rPr>
            </w:pPr>
            <w:r>
              <w:rPr>
                <w:color w:val="auto"/>
              </w:rPr>
              <w:t>能源利用总量及效率要求</w:t>
            </w:r>
          </w:p>
        </w:tc>
        <w:tc>
          <w:tcPr>
            <w:tcW w:w="1817" w:type="pct"/>
            <w:noWrap w:val="0"/>
            <w:vAlign w:val="center"/>
          </w:tcPr>
          <w:p>
            <w:pPr>
              <w:pStyle w:val="170"/>
              <w:rPr>
                <w:color w:val="auto"/>
              </w:rPr>
            </w:pPr>
            <w:r>
              <w:rPr>
                <w:color w:val="auto"/>
              </w:rPr>
              <w:t>（1）依据大气污染治理和环境改善的目标，强化区域能源结构优化调整，科学合理地进行分阶段、分区域禁煤（2）实施煤炭消费总量控制：严格控制煤炭消费总量</w:t>
            </w:r>
            <w:r>
              <w:rPr>
                <w:rFonts w:hint="eastAsia"/>
                <w:color w:val="auto"/>
              </w:rPr>
              <w:t>；</w:t>
            </w:r>
            <w:r>
              <w:rPr>
                <w:color w:val="auto"/>
              </w:rPr>
              <w:t>   严格控制新建、改建、扩建耗煤项目，新增耗煤项目实行当年煤炭消耗减量倍量替代</w:t>
            </w:r>
          </w:p>
        </w:tc>
        <w:tc>
          <w:tcPr>
            <w:tcW w:w="1169" w:type="pct"/>
            <w:noWrap w:val="0"/>
            <w:vAlign w:val="center"/>
          </w:tcPr>
          <w:p>
            <w:pPr>
              <w:pStyle w:val="170"/>
              <w:rPr>
                <w:rFonts w:hint="eastAsia"/>
                <w:color w:val="auto"/>
              </w:rPr>
            </w:pPr>
            <w:r>
              <w:rPr>
                <w:rFonts w:hint="eastAsia"/>
                <w:color w:val="auto"/>
              </w:rPr>
              <w:t>不涉及</w:t>
            </w:r>
          </w:p>
        </w:tc>
        <w:tc>
          <w:tcPr>
            <w:tcW w:w="472" w:type="pct"/>
            <w:noWrap w:val="0"/>
            <w:vAlign w:val="center"/>
          </w:tcPr>
          <w:p>
            <w:pPr>
              <w:pStyle w:val="17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1"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continue"/>
            <w:noWrap w:val="0"/>
            <w:vAlign w:val="center"/>
          </w:tcPr>
          <w:p>
            <w:pPr>
              <w:pStyle w:val="170"/>
              <w:rPr>
                <w:color w:val="auto"/>
              </w:rPr>
            </w:pPr>
          </w:p>
        </w:tc>
        <w:tc>
          <w:tcPr>
            <w:tcW w:w="516" w:type="pct"/>
            <w:noWrap w:val="0"/>
            <w:vAlign w:val="center"/>
          </w:tcPr>
          <w:p>
            <w:pPr>
              <w:pStyle w:val="170"/>
              <w:rPr>
                <w:color w:val="auto"/>
              </w:rPr>
            </w:pPr>
            <w:r>
              <w:rPr>
                <w:color w:val="auto"/>
              </w:rPr>
              <w:t>禁燃区要求</w:t>
            </w:r>
          </w:p>
        </w:tc>
        <w:tc>
          <w:tcPr>
            <w:tcW w:w="1817" w:type="pct"/>
            <w:noWrap w:val="0"/>
            <w:vAlign w:val="center"/>
          </w:tcPr>
          <w:p>
            <w:pPr>
              <w:pStyle w:val="170"/>
              <w:rPr>
                <w:color w:val="auto"/>
              </w:rPr>
            </w:pPr>
            <w:r>
              <w:rPr>
                <w:color w:val="auto"/>
              </w:rPr>
              <w:t>（1）禁燃区禁止审批（核准、备案）、新建、扩建燃用高污染燃料的锅炉、炉窑等各类燃用高污染燃料的设施（2）禁止在高污染燃料禁燃区销售、燃用各类高污染燃料</w:t>
            </w:r>
          </w:p>
        </w:tc>
        <w:tc>
          <w:tcPr>
            <w:tcW w:w="1169" w:type="pct"/>
            <w:noWrap w:val="0"/>
            <w:vAlign w:val="center"/>
          </w:tcPr>
          <w:p>
            <w:pPr>
              <w:pStyle w:val="170"/>
              <w:rPr>
                <w:rFonts w:hint="eastAsia"/>
                <w:color w:val="auto"/>
              </w:rPr>
            </w:pPr>
            <w:r>
              <w:rPr>
                <w:rFonts w:hint="eastAsia"/>
                <w:color w:val="auto"/>
              </w:rPr>
              <w:t>不涉及</w:t>
            </w:r>
          </w:p>
        </w:tc>
        <w:tc>
          <w:tcPr>
            <w:tcW w:w="472" w:type="pct"/>
            <w:noWrap w:val="0"/>
            <w:vAlign w:val="center"/>
          </w:tcPr>
          <w:p>
            <w:pPr>
              <w:pStyle w:val="17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continue"/>
            <w:noWrap w:val="0"/>
            <w:vAlign w:val="center"/>
          </w:tcPr>
          <w:p>
            <w:pPr>
              <w:pStyle w:val="170"/>
              <w:rPr>
                <w:color w:val="auto"/>
              </w:rPr>
            </w:pPr>
          </w:p>
        </w:tc>
        <w:tc>
          <w:tcPr>
            <w:tcW w:w="516" w:type="pct"/>
            <w:noWrap w:val="0"/>
            <w:vAlign w:val="center"/>
          </w:tcPr>
          <w:p>
            <w:pPr>
              <w:pStyle w:val="170"/>
              <w:rPr>
                <w:color w:val="auto"/>
              </w:rPr>
            </w:pPr>
            <w:r>
              <w:rPr>
                <w:color w:val="auto"/>
              </w:rPr>
              <w:t>其他资源利用效率要求</w:t>
            </w:r>
          </w:p>
        </w:tc>
        <w:tc>
          <w:tcPr>
            <w:tcW w:w="1817" w:type="pct"/>
            <w:noWrap w:val="0"/>
            <w:vAlign w:val="center"/>
          </w:tcPr>
          <w:p>
            <w:pPr>
              <w:pStyle w:val="170"/>
              <w:rPr>
                <w:rFonts w:hint="eastAsia"/>
                <w:color w:val="auto"/>
              </w:rPr>
            </w:pPr>
            <w:r>
              <w:rPr>
                <w:rFonts w:hint="eastAsia"/>
                <w:color w:val="auto"/>
              </w:rPr>
              <w:t>/</w:t>
            </w:r>
          </w:p>
        </w:tc>
        <w:tc>
          <w:tcPr>
            <w:tcW w:w="1169" w:type="pct"/>
            <w:noWrap w:val="0"/>
            <w:vAlign w:val="center"/>
          </w:tcPr>
          <w:p>
            <w:pPr>
              <w:pStyle w:val="170"/>
              <w:rPr>
                <w:rFonts w:hint="eastAsia"/>
                <w:color w:val="auto"/>
              </w:rPr>
            </w:pPr>
            <w:r>
              <w:rPr>
                <w:rFonts w:hint="eastAsia"/>
                <w:color w:val="auto"/>
              </w:rPr>
              <w:t>/</w:t>
            </w:r>
          </w:p>
        </w:tc>
        <w:tc>
          <w:tcPr>
            <w:tcW w:w="472" w:type="pct"/>
            <w:noWrap w:val="0"/>
            <w:vAlign w:val="center"/>
          </w:tcPr>
          <w:p>
            <w:pPr>
              <w:pStyle w:val="170"/>
              <w:rPr>
                <w:rFonts w:hint="eastAsia"/>
                <w:color w:val="auto"/>
              </w:rPr>
            </w:pPr>
            <w:r>
              <w:rPr>
                <w:rFonts w:hint="eastAsia"/>
                <w:color w:val="aut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6" w:hRule="atLeast"/>
        </w:trPr>
        <w:tc>
          <w:tcPr>
            <w:tcW w:w="309" w:type="pct"/>
            <w:vMerge w:val="restart"/>
            <w:noWrap w:val="0"/>
            <w:vAlign w:val="center"/>
          </w:tcPr>
          <w:p>
            <w:pPr>
              <w:pStyle w:val="170"/>
              <w:rPr>
                <w:color w:val="auto"/>
              </w:rPr>
            </w:pPr>
            <w:r>
              <w:rPr>
                <w:rFonts w:hint="eastAsia"/>
                <w:color w:val="auto"/>
              </w:rPr>
              <w:t>2</w:t>
            </w:r>
          </w:p>
        </w:tc>
        <w:tc>
          <w:tcPr>
            <w:tcW w:w="290" w:type="pct"/>
            <w:vMerge w:val="restart"/>
            <w:noWrap w:val="0"/>
            <w:vAlign w:val="center"/>
          </w:tcPr>
          <w:p>
            <w:pPr>
              <w:pStyle w:val="170"/>
              <w:rPr>
                <w:b/>
                <w:bCs/>
                <w:color w:val="auto"/>
              </w:rPr>
            </w:pPr>
          </w:p>
          <w:p>
            <w:pPr>
              <w:pStyle w:val="170"/>
              <w:rPr>
                <w:b/>
                <w:bCs/>
                <w:color w:val="auto"/>
              </w:rPr>
            </w:pPr>
          </w:p>
          <w:p>
            <w:pPr>
              <w:pStyle w:val="170"/>
              <w:rPr>
                <w:b/>
                <w:bCs/>
                <w:color w:val="auto"/>
              </w:rPr>
            </w:pPr>
          </w:p>
          <w:p>
            <w:pPr>
              <w:pStyle w:val="170"/>
              <w:rPr>
                <w:b/>
                <w:bCs/>
                <w:color w:val="auto"/>
              </w:rPr>
            </w:pPr>
          </w:p>
          <w:p>
            <w:pPr>
              <w:pStyle w:val="170"/>
              <w:rPr>
                <w:b/>
                <w:bCs/>
                <w:color w:val="auto"/>
              </w:rPr>
            </w:pPr>
          </w:p>
          <w:p>
            <w:pPr>
              <w:pStyle w:val="170"/>
              <w:rPr>
                <w:b/>
                <w:bCs/>
                <w:color w:val="auto"/>
              </w:rPr>
            </w:pPr>
            <w:r>
              <w:rPr>
                <w:b/>
                <w:bCs/>
                <w:color w:val="auto"/>
              </w:rPr>
              <w:t>单元级清单管控要求</w:t>
            </w:r>
          </w:p>
        </w:tc>
        <w:tc>
          <w:tcPr>
            <w:tcW w:w="425" w:type="pct"/>
            <w:vMerge w:val="restart"/>
            <w:noWrap w:val="0"/>
            <w:vAlign w:val="center"/>
          </w:tcPr>
          <w:p>
            <w:pPr>
              <w:pStyle w:val="170"/>
              <w:rPr>
                <w:color w:val="auto"/>
              </w:rPr>
            </w:pPr>
            <w:r>
              <w:rPr>
                <w:color w:val="auto"/>
              </w:rPr>
              <w:t>空间布局约束</w:t>
            </w:r>
          </w:p>
        </w:tc>
        <w:tc>
          <w:tcPr>
            <w:tcW w:w="516" w:type="pct"/>
            <w:noWrap w:val="0"/>
            <w:vAlign w:val="center"/>
          </w:tcPr>
          <w:p>
            <w:pPr>
              <w:pStyle w:val="170"/>
              <w:rPr>
                <w:color w:val="auto"/>
              </w:rPr>
            </w:pPr>
            <w:r>
              <w:rPr>
                <w:color w:val="auto"/>
              </w:rPr>
              <w:t>禁止开发建设活动的要求</w:t>
            </w:r>
          </w:p>
        </w:tc>
        <w:tc>
          <w:tcPr>
            <w:tcW w:w="1817" w:type="pct"/>
            <w:noWrap w:val="0"/>
            <w:vAlign w:val="center"/>
          </w:tcPr>
          <w:p>
            <w:pPr>
              <w:pStyle w:val="170"/>
              <w:numPr>
                <w:ilvl w:val="0"/>
                <w:numId w:val="26"/>
              </w:numPr>
              <w:rPr>
                <w:color w:val="auto"/>
              </w:rPr>
            </w:pPr>
            <w:r>
              <w:rPr>
                <w:color w:val="auto"/>
              </w:rPr>
              <w:t>禁止在城镇用地布局规划确定的公共绿地、生态廊道内进行规模化建设开发，只允许必要的公共性园林式景观点状服务休闲设施建设2、其他执行乐山市城镇重点管控单元普适性总体准入要求</w:t>
            </w:r>
          </w:p>
        </w:tc>
        <w:tc>
          <w:tcPr>
            <w:tcW w:w="1169" w:type="pct"/>
            <w:noWrap w:val="0"/>
            <w:vAlign w:val="center"/>
          </w:tcPr>
          <w:p>
            <w:pPr>
              <w:pStyle w:val="170"/>
              <w:rPr>
                <w:rFonts w:hint="eastAsia"/>
                <w:color w:val="auto"/>
              </w:rPr>
            </w:pPr>
            <w:r>
              <w:rPr>
                <w:rFonts w:hint="eastAsia"/>
                <w:color w:val="auto"/>
              </w:rPr>
              <w:t>本项目租用的是城区临街商铺进行项目的实施</w:t>
            </w:r>
          </w:p>
        </w:tc>
        <w:tc>
          <w:tcPr>
            <w:tcW w:w="472" w:type="pct"/>
            <w:noWrap w:val="0"/>
            <w:vAlign w:val="center"/>
          </w:tcPr>
          <w:p>
            <w:pPr>
              <w:pStyle w:val="17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30"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continue"/>
            <w:noWrap w:val="0"/>
            <w:vAlign w:val="center"/>
          </w:tcPr>
          <w:p>
            <w:pPr>
              <w:pStyle w:val="170"/>
              <w:rPr>
                <w:color w:val="auto"/>
              </w:rPr>
            </w:pPr>
          </w:p>
        </w:tc>
        <w:tc>
          <w:tcPr>
            <w:tcW w:w="516" w:type="pct"/>
            <w:noWrap w:val="0"/>
            <w:vAlign w:val="center"/>
          </w:tcPr>
          <w:p>
            <w:pPr>
              <w:pStyle w:val="170"/>
              <w:rPr>
                <w:color w:val="auto"/>
              </w:rPr>
            </w:pPr>
            <w:r>
              <w:rPr>
                <w:color w:val="auto"/>
              </w:rPr>
              <w:t>限制开发建设活动的要求</w:t>
            </w:r>
          </w:p>
        </w:tc>
        <w:tc>
          <w:tcPr>
            <w:tcW w:w="1817" w:type="pct"/>
            <w:noWrap w:val="0"/>
            <w:vAlign w:val="center"/>
          </w:tcPr>
          <w:p>
            <w:pPr>
              <w:pStyle w:val="170"/>
              <w:rPr>
                <w:color w:val="auto"/>
              </w:rPr>
            </w:pPr>
            <w:r>
              <w:rPr>
                <w:color w:val="auto"/>
              </w:rPr>
              <w:t> 1、西进南拓、中心提升、优化西南、控制东部、完善北部 2、其他执行乐山市城镇重点管控单元普适性总体准入要求</w:t>
            </w:r>
          </w:p>
        </w:tc>
        <w:tc>
          <w:tcPr>
            <w:tcW w:w="1169" w:type="pct"/>
            <w:noWrap w:val="0"/>
            <w:vAlign w:val="center"/>
          </w:tcPr>
          <w:p>
            <w:pPr>
              <w:pStyle w:val="170"/>
              <w:rPr>
                <w:rFonts w:hint="eastAsia"/>
                <w:color w:val="auto"/>
              </w:rPr>
            </w:pPr>
            <w:r>
              <w:rPr>
                <w:rFonts w:hint="eastAsia"/>
                <w:color w:val="auto"/>
              </w:rPr>
              <w:t>不涉及</w:t>
            </w:r>
          </w:p>
        </w:tc>
        <w:tc>
          <w:tcPr>
            <w:tcW w:w="472" w:type="pct"/>
            <w:noWrap w:val="0"/>
            <w:vAlign w:val="center"/>
          </w:tcPr>
          <w:p>
            <w:pPr>
              <w:pStyle w:val="17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continue"/>
            <w:noWrap w:val="0"/>
            <w:vAlign w:val="center"/>
          </w:tcPr>
          <w:p>
            <w:pPr>
              <w:pStyle w:val="170"/>
              <w:rPr>
                <w:color w:val="auto"/>
              </w:rPr>
            </w:pPr>
          </w:p>
        </w:tc>
        <w:tc>
          <w:tcPr>
            <w:tcW w:w="516" w:type="pct"/>
            <w:noWrap w:val="0"/>
            <w:vAlign w:val="center"/>
          </w:tcPr>
          <w:p>
            <w:pPr>
              <w:pStyle w:val="170"/>
              <w:rPr>
                <w:color w:val="auto"/>
              </w:rPr>
            </w:pPr>
            <w:r>
              <w:rPr>
                <w:color w:val="auto"/>
              </w:rPr>
              <w:t>不符合空间布局要求活动的退出要求</w:t>
            </w:r>
          </w:p>
        </w:tc>
        <w:tc>
          <w:tcPr>
            <w:tcW w:w="1817" w:type="pct"/>
            <w:noWrap w:val="0"/>
            <w:vAlign w:val="center"/>
          </w:tcPr>
          <w:p>
            <w:pPr>
              <w:pStyle w:val="170"/>
              <w:rPr>
                <w:color w:val="auto"/>
              </w:rPr>
            </w:pPr>
            <w:r>
              <w:rPr>
                <w:color w:val="auto"/>
              </w:rPr>
              <w:t>  1、单元内既有合法手续的、且污染物排放和环境风险满足管控要求的企业可继续保留，不得新增污染物排放，并进一步加强监管</w:t>
            </w:r>
            <w:r>
              <w:rPr>
                <w:rFonts w:hint="eastAsia"/>
                <w:color w:val="auto"/>
              </w:rPr>
              <w:t>；</w:t>
            </w:r>
            <w:r>
              <w:rPr>
                <w:color w:val="auto"/>
              </w:rPr>
              <w:t>否则限期进行整改，整改后任不能达到要求的，属地政府责令关停退出2、其他执行乐山市城镇重点管控单元普适性总体准入要求</w:t>
            </w:r>
          </w:p>
        </w:tc>
        <w:tc>
          <w:tcPr>
            <w:tcW w:w="1169" w:type="pct"/>
            <w:noWrap w:val="0"/>
            <w:vAlign w:val="center"/>
          </w:tcPr>
          <w:p>
            <w:pPr>
              <w:pStyle w:val="170"/>
              <w:rPr>
                <w:rFonts w:hint="eastAsia"/>
                <w:color w:val="auto"/>
              </w:rPr>
            </w:pPr>
            <w:r>
              <w:rPr>
                <w:rFonts w:hint="eastAsia"/>
                <w:color w:val="auto"/>
              </w:rPr>
              <w:t>不涉及</w:t>
            </w:r>
          </w:p>
        </w:tc>
        <w:tc>
          <w:tcPr>
            <w:tcW w:w="472" w:type="pct"/>
            <w:noWrap w:val="0"/>
            <w:vAlign w:val="center"/>
          </w:tcPr>
          <w:p>
            <w:pPr>
              <w:pStyle w:val="17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44"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restart"/>
            <w:noWrap w:val="0"/>
            <w:vAlign w:val="center"/>
          </w:tcPr>
          <w:p>
            <w:pPr>
              <w:pStyle w:val="170"/>
              <w:rPr>
                <w:color w:val="auto"/>
              </w:rPr>
            </w:pPr>
            <w:r>
              <w:rPr>
                <w:color w:val="auto"/>
              </w:rPr>
              <w:t>污染物排放管控</w:t>
            </w:r>
          </w:p>
        </w:tc>
        <w:tc>
          <w:tcPr>
            <w:tcW w:w="516" w:type="pct"/>
            <w:noWrap w:val="0"/>
            <w:vAlign w:val="center"/>
          </w:tcPr>
          <w:p>
            <w:pPr>
              <w:pStyle w:val="170"/>
              <w:rPr>
                <w:color w:val="auto"/>
              </w:rPr>
            </w:pPr>
            <w:r>
              <w:rPr>
                <w:color w:val="auto"/>
              </w:rPr>
              <w:t>现有源提标升级改造</w:t>
            </w:r>
          </w:p>
        </w:tc>
        <w:tc>
          <w:tcPr>
            <w:tcW w:w="1817" w:type="pct"/>
            <w:noWrap w:val="0"/>
            <w:vAlign w:val="center"/>
          </w:tcPr>
          <w:p>
            <w:pPr>
              <w:pStyle w:val="170"/>
              <w:rPr>
                <w:color w:val="auto"/>
              </w:rPr>
            </w:pPr>
            <w:r>
              <w:rPr>
                <w:color w:val="auto"/>
              </w:rPr>
              <w:t>  执行乐山市城镇重点管控单元普适性总体准入要求;</w:t>
            </w:r>
          </w:p>
        </w:tc>
        <w:tc>
          <w:tcPr>
            <w:tcW w:w="1169" w:type="pct"/>
            <w:noWrap w:val="0"/>
            <w:vAlign w:val="center"/>
          </w:tcPr>
          <w:p>
            <w:pPr>
              <w:pStyle w:val="170"/>
              <w:rPr>
                <w:rFonts w:hint="eastAsia"/>
                <w:color w:val="auto"/>
              </w:rPr>
            </w:pPr>
            <w:r>
              <w:rPr>
                <w:rFonts w:hint="eastAsia"/>
                <w:color w:val="auto"/>
              </w:rPr>
              <w:t>/</w:t>
            </w:r>
          </w:p>
        </w:tc>
        <w:tc>
          <w:tcPr>
            <w:tcW w:w="472" w:type="pct"/>
            <w:noWrap w:val="0"/>
            <w:vAlign w:val="center"/>
          </w:tcPr>
          <w:p>
            <w:pPr>
              <w:pStyle w:val="17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60"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continue"/>
            <w:noWrap w:val="0"/>
            <w:vAlign w:val="center"/>
          </w:tcPr>
          <w:p>
            <w:pPr>
              <w:pStyle w:val="170"/>
              <w:rPr>
                <w:color w:val="auto"/>
              </w:rPr>
            </w:pPr>
          </w:p>
        </w:tc>
        <w:tc>
          <w:tcPr>
            <w:tcW w:w="516" w:type="pct"/>
            <w:noWrap w:val="0"/>
            <w:vAlign w:val="center"/>
          </w:tcPr>
          <w:p>
            <w:pPr>
              <w:pStyle w:val="170"/>
              <w:rPr>
                <w:color w:val="auto"/>
              </w:rPr>
            </w:pPr>
            <w:r>
              <w:rPr>
                <w:color w:val="auto"/>
              </w:rPr>
              <w:t>新增源等量或倍量替代</w:t>
            </w:r>
          </w:p>
        </w:tc>
        <w:tc>
          <w:tcPr>
            <w:tcW w:w="1817" w:type="pct"/>
            <w:noWrap w:val="0"/>
            <w:vAlign w:val="center"/>
          </w:tcPr>
          <w:p>
            <w:pPr>
              <w:pStyle w:val="170"/>
              <w:rPr>
                <w:color w:val="auto"/>
              </w:rPr>
            </w:pPr>
            <w:r>
              <w:rPr>
                <w:color w:val="auto"/>
              </w:rPr>
              <w:t> 执行乐山市城镇重点管控单元普适性总体准入要求;</w:t>
            </w:r>
          </w:p>
        </w:tc>
        <w:tc>
          <w:tcPr>
            <w:tcW w:w="1169" w:type="pct"/>
            <w:noWrap w:val="0"/>
            <w:vAlign w:val="center"/>
          </w:tcPr>
          <w:p>
            <w:pPr>
              <w:pStyle w:val="170"/>
              <w:rPr>
                <w:rFonts w:hint="eastAsia"/>
                <w:color w:val="auto"/>
              </w:rPr>
            </w:pPr>
            <w:r>
              <w:rPr>
                <w:rFonts w:hint="eastAsia"/>
                <w:color w:val="auto"/>
              </w:rPr>
              <w:t>/</w:t>
            </w:r>
          </w:p>
        </w:tc>
        <w:tc>
          <w:tcPr>
            <w:tcW w:w="472" w:type="pct"/>
            <w:noWrap w:val="0"/>
            <w:vAlign w:val="center"/>
          </w:tcPr>
          <w:p>
            <w:pPr>
              <w:pStyle w:val="17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continue"/>
            <w:noWrap w:val="0"/>
            <w:vAlign w:val="center"/>
          </w:tcPr>
          <w:p>
            <w:pPr>
              <w:pStyle w:val="170"/>
              <w:rPr>
                <w:color w:val="auto"/>
              </w:rPr>
            </w:pPr>
          </w:p>
        </w:tc>
        <w:tc>
          <w:tcPr>
            <w:tcW w:w="516" w:type="pct"/>
            <w:noWrap w:val="0"/>
            <w:vAlign w:val="center"/>
          </w:tcPr>
          <w:p>
            <w:pPr>
              <w:pStyle w:val="170"/>
              <w:rPr>
                <w:color w:val="auto"/>
              </w:rPr>
            </w:pPr>
            <w:r>
              <w:rPr>
                <w:color w:val="auto"/>
              </w:rPr>
              <w:t>污染物排放绩效水平准入要求</w:t>
            </w:r>
          </w:p>
        </w:tc>
        <w:tc>
          <w:tcPr>
            <w:tcW w:w="1817" w:type="pct"/>
            <w:noWrap w:val="0"/>
            <w:vAlign w:val="center"/>
          </w:tcPr>
          <w:p>
            <w:pPr>
              <w:pStyle w:val="170"/>
              <w:rPr>
                <w:color w:val="auto"/>
              </w:rPr>
            </w:pPr>
            <w:r>
              <w:rPr>
                <w:color w:val="auto"/>
              </w:rPr>
              <w:t> 执行乐山市城镇重点管控单元普适性总体准入要求;</w:t>
            </w:r>
          </w:p>
        </w:tc>
        <w:tc>
          <w:tcPr>
            <w:tcW w:w="1169" w:type="pct"/>
            <w:noWrap w:val="0"/>
            <w:vAlign w:val="center"/>
          </w:tcPr>
          <w:p>
            <w:pPr>
              <w:pStyle w:val="170"/>
              <w:rPr>
                <w:rFonts w:hint="eastAsia"/>
                <w:color w:val="auto"/>
              </w:rPr>
            </w:pPr>
            <w:r>
              <w:rPr>
                <w:rFonts w:hint="eastAsia"/>
                <w:color w:val="auto"/>
              </w:rPr>
              <w:t>/</w:t>
            </w:r>
          </w:p>
        </w:tc>
        <w:tc>
          <w:tcPr>
            <w:tcW w:w="472" w:type="pct"/>
            <w:noWrap w:val="0"/>
            <w:vAlign w:val="center"/>
          </w:tcPr>
          <w:p>
            <w:pPr>
              <w:pStyle w:val="17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4"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restart"/>
            <w:noWrap w:val="0"/>
            <w:vAlign w:val="center"/>
          </w:tcPr>
          <w:p>
            <w:pPr>
              <w:pStyle w:val="170"/>
              <w:rPr>
                <w:color w:val="auto"/>
              </w:rPr>
            </w:pPr>
            <w:r>
              <w:rPr>
                <w:color w:val="auto"/>
              </w:rPr>
              <w:t>环境风险防控</w:t>
            </w:r>
          </w:p>
        </w:tc>
        <w:tc>
          <w:tcPr>
            <w:tcW w:w="516" w:type="pct"/>
            <w:noWrap w:val="0"/>
            <w:vAlign w:val="center"/>
          </w:tcPr>
          <w:p>
            <w:pPr>
              <w:pStyle w:val="170"/>
              <w:rPr>
                <w:color w:val="auto"/>
              </w:rPr>
            </w:pPr>
            <w:r>
              <w:rPr>
                <w:color w:val="auto"/>
              </w:rPr>
              <w:t>企业环境风险防控要求</w:t>
            </w:r>
          </w:p>
        </w:tc>
        <w:tc>
          <w:tcPr>
            <w:tcW w:w="1817" w:type="pct"/>
            <w:noWrap w:val="0"/>
            <w:vAlign w:val="center"/>
          </w:tcPr>
          <w:p>
            <w:pPr>
              <w:pStyle w:val="170"/>
              <w:rPr>
                <w:color w:val="auto"/>
              </w:rPr>
            </w:pPr>
            <w:r>
              <w:rPr>
                <w:color w:val="auto"/>
              </w:rPr>
              <w:t>   1、加强涉危涉化企业管控，严控环境风险2、其他执行乐山市城镇重点管控单元普适性总体准入要求</w:t>
            </w:r>
          </w:p>
        </w:tc>
        <w:tc>
          <w:tcPr>
            <w:tcW w:w="1169" w:type="pct"/>
            <w:noWrap w:val="0"/>
            <w:vAlign w:val="center"/>
          </w:tcPr>
          <w:p>
            <w:pPr>
              <w:pStyle w:val="170"/>
              <w:rPr>
                <w:rFonts w:hint="eastAsia"/>
                <w:color w:val="auto"/>
              </w:rPr>
            </w:pPr>
            <w:r>
              <w:rPr>
                <w:rFonts w:hint="eastAsia"/>
                <w:color w:val="auto"/>
              </w:rPr>
              <w:t>不属于涉危和涉化企业</w:t>
            </w:r>
          </w:p>
        </w:tc>
        <w:tc>
          <w:tcPr>
            <w:tcW w:w="472" w:type="pct"/>
            <w:noWrap w:val="0"/>
            <w:vAlign w:val="center"/>
          </w:tcPr>
          <w:p>
            <w:pPr>
              <w:pStyle w:val="17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8"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continue"/>
            <w:noWrap w:val="0"/>
            <w:vAlign w:val="center"/>
          </w:tcPr>
          <w:p>
            <w:pPr>
              <w:pStyle w:val="170"/>
              <w:rPr>
                <w:color w:val="auto"/>
              </w:rPr>
            </w:pPr>
          </w:p>
        </w:tc>
        <w:tc>
          <w:tcPr>
            <w:tcW w:w="516" w:type="pct"/>
            <w:noWrap w:val="0"/>
            <w:vAlign w:val="center"/>
          </w:tcPr>
          <w:p>
            <w:pPr>
              <w:pStyle w:val="170"/>
              <w:rPr>
                <w:color w:val="auto"/>
              </w:rPr>
            </w:pPr>
            <w:r>
              <w:rPr>
                <w:color w:val="auto"/>
              </w:rPr>
              <w:t>其他环境风险防控要求</w:t>
            </w:r>
          </w:p>
        </w:tc>
        <w:tc>
          <w:tcPr>
            <w:tcW w:w="1817" w:type="pct"/>
            <w:noWrap w:val="0"/>
            <w:vAlign w:val="center"/>
          </w:tcPr>
          <w:p>
            <w:pPr>
              <w:pStyle w:val="105"/>
              <w:spacing w:before="24" w:after="24"/>
              <w:ind w:firstLine="420"/>
              <w:rPr>
                <w:rFonts w:ascii="Helvetica" w:hAnsi="Helvetica" w:eastAsia="Helvetica" w:cs="Helvetica"/>
                <w:color w:val="auto"/>
                <w:szCs w:val="21"/>
                <w:shd w:val="clear" w:color="auto" w:fill="FFFFFF"/>
              </w:rPr>
            </w:pPr>
            <w:r>
              <w:rPr>
                <w:color w:val="auto"/>
              </w:rPr>
              <w:t> 执行乐山市城镇重点管控单元普适性总体准入要求</w:t>
            </w:r>
          </w:p>
        </w:tc>
        <w:tc>
          <w:tcPr>
            <w:tcW w:w="1169" w:type="pct"/>
            <w:noWrap w:val="0"/>
            <w:vAlign w:val="center"/>
          </w:tcPr>
          <w:p>
            <w:pPr>
              <w:pStyle w:val="170"/>
              <w:rPr>
                <w:rFonts w:hint="eastAsia"/>
                <w:color w:val="auto"/>
              </w:rPr>
            </w:pPr>
            <w:r>
              <w:rPr>
                <w:rFonts w:hint="eastAsia"/>
                <w:color w:val="auto"/>
              </w:rPr>
              <w:t>/</w:t>
            </w:r>
          </w:p>
        </w:tc>
        <w:tc>
          <w:tcPr>
            <w:tcW w:w="472" w:type="pct"/>
            <w:noWrap w:val="0"/>
            <w:vAlign w:val="center"/>
          </w:tcPr>
          <w:p>
            <w:pPr>
              <w:pStyle w:val="17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8"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restart"/>
            <w:noWrap w:val="0"/>
            <w:vAlign w:val="center"/>
          </w:tcPr>
          <w:p>
            <w:pPr>
              <w:pStyle w:val="170"/>
              <w:rPr>
                <w:color w:val="auto"/>
              </w:rPr>
            </w:pPr>
            <w:r>
              <w:rPr>
                <w:color w:val="auto"/>
              </w:rPr>
              <w:t>资源开发利用效率</w:t>
            </w:r>
          </w:p>
        </w:tc>
        <w:tc>
          <w:tcPr>
            <w:tcW w:w="516" w:type="pct"/>
            <w:noWrap w:val="0"/>
            <w:vAlign w:val="center"/>
          </w:tcPr>
          <w:p>
            <w:pPr>
              <w:pStyle w:val="170"/>
              <w:rPr>
                <w:color w:val="auto"/>
              </w:rPr>
            </w:pPr>
            <w:r>
              <w:rPr>
                <w:color w:val="auto"/>
              </w:rPr>
              <w:t>水资源利用效率要求</w:t>
            </w:r>
          </w:p>
        </w:tc>
        <w:tc>
          <w:tcPr>
            <w:tcW w:w="1817" w:type="pct"/>
            <w:noWrap w:val="0"/>
            <w:vAlign w:val="center"/>
          </w:tcPr>
          <w:p>
            <w:pPr>
              <w:pStyle w:val="170"/>
              <w:rPr>
                <w:color w:val="auto"/>
              </w:rPr>
            </w:pPr>
            <w:r>
              <w:rPr>
                <w:color w:val="auto"/>
              </w:rPr>
              <w:t> 执行乐山市城镇重点管控单元普适性总体准入要求</w:t>
            </w:r>
          </w:p>
        </w:tc>
        <w:tc>
          <w:tcPr>
            <w:tcW w:w="1169" w:type="pct"/>
            <w:noWrap w:val="0"/>
            <w:vAlign w:val="center"/>
          </w:tcPr>
          <w:p>
            <w:pPr>
              <w:pStyle w:val="170"/>
              <w:rPr>
                <w:rFonts w:hint="eastAsia"/>
                <w:color w:val="auto"/>
              </w:rPr>
            </w:pPr>
            <w:r>
              <w:rPr>
                <w:rFonts w:hint="eastAsia"/>
                <w:color w:val="auto"/>
              </w:rPr>
              <w:t>/</w:t>
            </w:r>
          </w:p>
        </w:tc>
        <w:tc>
          <w:tcPr>
            <w:tcW w:w="472" w:type="pct"/>
            <w:noWrap w:val="0"/>
            <w:vAlign w:val="center"/>
          </w:tcPr>
          <w:p>
            <w:pPr>
              <w:pStyle w:val="170"/>
              <w:rPr>
                <w:color w:val="auto"/>
              </w:rPr>
            </w:pPr>
            <w:r>
              <w:rPr>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56"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continue"/>
            <w:noWrap w:val="0"/>
            <w:vAlign w:val="center"/>
          </w:tcPr>
          <w:p>
            <w:pPr>
              <w:pStyle w:val="170"/>
              <w:rPr>
                <w:color w:val="auto"/>
              </w:rPr>
            </w:pPr>
          </w:p>
        </w:tc>
        <w:tc>
          <w:tcPr>
            <w:tcW w:w="516" w:type="pct"/>
            <w:noWrap w:val="0"/>
            <w:vAlign w:val="center"/>
          </w:tcPr>
          <w:p>
            <w:pPr>
              <w:pStyle w:val="170"/>
              <w:rPr>
                <w:color w:val="auto"/>
              </w:rPr>
            </w:pPr>
            <w:r>
              <w:rPr>
                <w:color w:val="auto"/>
              </w:rPr>
              <w:t>能源利用效率要求</w:t>
            </w:r>
          </w:p>
        </w:tc>
        <w:tc>
          <w:tcPr>
            <w:tcW w:w="1817" w:type="pct"/>
            <w:noWrap w:val="0"/>
            <w:vAlign w:val="center"/>
          </w:tcPr>
          <w:p>
            <w:pPr>
              <w:pStyle w:val="170"/>
              <w:rPr>
                <w:color w:val="auto"/>
              </w:rPr>
            </w:pPr>
            <w:r>
              <w:rPr>
                <w:color w:val="auto"/>
              </w:rPr>
              <w:t>   1、禁燃区内禁止审批（核准、备案）、新建、扩建燃用高污染燃料的锅炉、炉窑等各类燃用高污染燃料的设施  2、其他执行乐山市城镇重点管控单元普适性总体准入要求</w:t>
            </w:r>
          </w:p>
        </w:tc>
        <w:tc>
          <w:tcPr>
            <w:tcW w:w="1169" w:type="pct"/>
            <w:noWrap w:val="0"/>
            <w:vAlign w:val="center"/>
          </w:tcPr>
          <w:p>
            <w:pPr>
              <w:pStyle w:val="170"/>
              <w:rPr>
                <w:rFonts w:hint="eastAsia"/>
                <w:color w:val="auto"/>
              </w:rPr>
            </w:pPr>
            <w:r>
              <w:rPr>
                <w:rFonts w:hint="eastAsia"/>
                <w:color w:val="auto"/>
              </w:rPr>
              <w:t>不涉及</w:t>
            </w:r>
          </w:p>
        </w:tc>
        <w:tc>
          <w:tcPr>
            <w:tcW w:w="472" w:type="pct"/>
            <w:noWrap w:val="0"/>
            <w:vAlign w:val="center"/>
          </w:tcPr>
          <w:p>
            <w:pPr>
              <w:pStyle w:val="170"/>
              <w:rPr>
                <w:color w:val="auto"/>
              </w:rPr>
            </w:pPr>
            <w:r>
              <w:rPr>
                <w:rFonts w:hint="eastAsia"/>
                <w:color w:val="auto"/>
              </w:rPr>
              <w:t>符合</w:t>
            </w:r>
          </w:p>
        </w:tc>
      </w:tr>
    </w:tbl>
    <w:p>
      <w:pPr>
        <w:pStyle w:val="14"/>
        <w:ind w:firstLine="360"/>
        <w:rPr>
          <w:color w:val="auto"/>
        </w:rPr>
      </w:pPr>
    </w:p>
    <w:p>
      <w:pPr>
        <w:rPr>
          <w:color w:val="auto"/>
        </w:rPr>
        <w:sectPr>
          <w:headerReference r:id="rId27" w:type="default"/>
          <w:pgSz w:w="16838" w:h="11906" w:orient="landscape"/>
          <w:pgMar w:top="1531" w:right="1701" w:bottom="1531" w:left="1701" w:header="851" w:footer="1077" w:gutter="0"/>
          <w:pgNumType w:fmt="decimal"/>
          <w:cols w:space="720" w:num="1"/>
          <w:docGrid w:linePitch="312" w:charSpace="0"/>
        </w:sectPr>
      </w:pPr>
    </w:p>
    <w:tbl>
      <w:tblPr>
        <w:tblStyle w:val="3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000" w:type="pct"/>
            <w:noWrap w:val="0"/>
            <w:vAlign w:val="top"/>
          </w:tcPr>
          <w:p>
            <w:pPr>
              <w:ind w:firstLine="480"/>
              <w:rPr>
                <w:color w:val="auto"/>
              </w:rPr>
            </w:pPr>
            <w:r>
              <w:rPr>
                <w:color w:val="auto"/>
              </w:rPr>
              <w:t>本项目位于</w:t>
            </w:r>
            <w:r>
              <w:rPr>
                <w:rFonts w:hint="eastAsia"/>
                <w:color w:val="auto"/>
              </w:rPr>
              <w:t>乐山市市中区</w:t>
            </w:r>
            <w:r>
              <w:rPr>
                <w:color w:val="auto"/>
              </w:rPr>
              <w:t>，</w:t>
            </w:r>
            <w:r>
              <w:rPr>
                <w:rFonts w:hint="eastAsia"/>
                <w:color w:val="auto"/>
              </w:rPr>
              <w:t>所在位置属于城镇重点管控单元，项目</w:t>
            </w:r>
            <w:r>
              <w:rPr>
                <w:color w:val="auto"/>
              </w:rPr>
              <w:t>属于</w:t>
            </w:r>
            <w:r>
              <w:rPr>
                <w:rFonts w:hint="eastAsia"/>
                <w:color w:val="auto"/>
              </w:rPr>
              <w:t>宠物医院服务项目</w:t>
            </w:r>
            <w:r>
              <w:rPr>
                <w:color w:val="auto"/>
              </w:rPr>
              <w:t>。根据《四川省人民政府关于印发四川省生态保护红线方案的通知》（川府发[2018]24 号），项目建设不涉及川府发[2018]24 号文件划定的生态红线区城</w:t>
            </w:r>
            <w:r>
              <w:rPr>
                <w:rFonts w:hint="eastAsia"/>
                <w:color w:val="auto"/>
              </w:rPr>
              <w:t>，不属于生产性企业，不属于冶炼、焦化、化工、铅蓄电池制造行业，项目不涉及重金属排放，不属于禁止开发建设活动，</w:t>
            </w:r>
            <w:r>
              <w:rPr>
                <w:b/>
                <w:bCs/>
                <w:color w:val="auto"/>
              </w:rPr>
              <w:t>符合空间布局约束管控要求</w:t>
            </w:r>
            <w:r>
              <w:rPr>
                <w:rFonts w:hint="eastAsia"/>
                <w:b/>
                <w:bCs/>
                <w:color w:val="auto"/>
              </w:rPr>
              <w:t>，</w:t>
            </w:r>
            <w:r>
              <w:rPr>
                <w:b/>
                <w:bCs/>
                <w:color w:val="auto"/>
              </w:rPr>
              <w:t>符合污染物排放管控要求</w:t>
            </w:r>
            <w:r>
              <w:rPr>
                <w:rFonts w:hint="eastAsia"/>
                <w:b/>
                <w:bCs/>
                <w:color w:val="auto"/>
              </w:rPr>
              <w:t>，</w:t>
            </w:r>
            <w:r>
              <w:rPr>
                <w:b/>
                <w:bCs/>
                <w:color w:val="auto"/>
              </w:rPr>
              <w:t>符合环境风险防控要求。</w:t>
            </w:r>
            <w:r>
              <w:rPr>
                <w:color w:val="auto"/>
              </w:rPr>
              <w:t xml:space="preserve"> </w:t>
            </w:r>
          </w:p>
          <w:p>
            <w:pPr>
              <w:ind w:firstLine="480"/>
              <w:rPr>
                <w:color w:val="auto"/>
              </w:rPr>
            </w:pPr>
            <w:r>
              <w:rPr>
                <w:color w:val="auto"/>
              </w:rPr>
              <w:t>综上，本项目的建设与</w:t>
            </w:r>
            <w:r>
              <w:rPr>
                <w:rFonts w:hint="eastAsia"/>
                <w:color w:val="auto"/>
              </w:rPr>
              <w:t>乐山</w:t>
            </w:r>
            <w:r>
              <w:rPr>
                <w:color w:val="auto"/>
              </w:rPr>
              <w:t>市</w:t>
            </w:r>
            <w:r>
              <w:rPr>
                <w:rFonts w:hint="eastAsia"/>
                <w:color w:val="auto"/>
              </w:rPr>
              <w:t>“</w:t>
            </w:r>
            <w:r>
              <w:rPr>
                <w:color w:val="auto"/>
              </w:rPr>
              <w:t>三线一单</w:t>
            </w:r>
            <w:r>
              <w:rPr>
                <w:rFonts w:hint="eastAsia"/>
                <w:color w:val="auto"/>
              </w:rPr>
              <w:t>”</w:t>
            </w:r>
            <w:r>
              <w:rPr>
                <w:color w:val="auto"/>
              </w:rPr>
              <w:t>相符</w:t>
            </w:r>
            <w:r>
              <w:rPr>
                <w:rFonts w:hint="eastAsia"/>
                <w:color w:val="auto"/>
              </w:rPr>
              <w:t>。</w:t>
            </w:r>
          </w:p>
          <w:p>
            <w:pPr>
              <w:pStyle w:val="2"/>
              <w:rPr>
                <w:color w:val="auto"/>
                <w:vertAlign w:val="baseline"/>
              </w:rPr>
            </w:pPr>
          </w:p>
        </w:tc>
      </w:tr>
    </w:tbl>
    <w:p>
      <w:pPr>
        <w:pStyle w:val="2"/>
        <w:rPr>
          <w:color w:val="auto"/>
        </w:rPr>
        <w:sectPr>
          <w:headerReference r:id="rId28" w:type="default"/>
          <w:pgSz w:w="11906" w:h="16838"/>
          <w:pgMar w:top="1701" w:right="1531" w:bottom="1701" w:left="1531" w:header="851" w:footer="1077" w:gutter="0"/>
          <w:pgNumType w:fmt="decimal"/>
          <w:cols w:space="720" w:num="1"/>
          <w:docGrid w:linePitch="312" w:charSpace="0"/>
        </w:sectPr>
      </w:pPr>
    </w:p>
    <w:tbl>
      <w:tblPr>
        <w:tblStyle w:val="3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4"/>
        <w:gridCol w:w="77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264" w:type="dxa"/>
            <w:noWrap w:val="0"/>
            <w:vAlign w:val="top"/>
          </w:tcPr>
          <w:p>
            <w:pPr>
              <w:pStyle w:val="170"/>
              <w:rPr>
                <w:color w:val="auto"/>
              </w:rPr>
            </w:pPr>
            <w:bookmarkStart w:id="49" w:name="_Toc28962"/>
            <w:bookmarkStart w:id="50" w:name="_Toc15466"/>
            <w:bookmarkStart w:id="51" w:name="_Toc28342"/>
            <w:bookmarkStart w:id="52" w:name="_Toc3202"/>
          </w:p>
        </w:tc>
        <w:tc>
          <w:tcPr>
            <w:tcW w:w="7796" w:type="dxa"/>
            <w:noWrap w:val="0"/>
            <w:vAlign w:val="top"/>
          </w:tcPr>
          <w:p>
            <w:pPr>
              <w:pStyle w:val="4"/>
              <w:numPr>
                <w:ilvl w:val="0"/>
                <w:numId w:val="10"/>
              </w:numPr>
              <w:rPr>
                <w:rFonts w:hint="eastAsia"/>
                <w:color w:val="auto"/>
              </w:rPr>
            </w:pPr>
            <w:r>
              <w:rPr>
                <w:color w:val="auto"/>
              </w:rPr>
              <w:t>项目选址符合性分析</w:t>
            </w:r>
          </w:p>
          <w:p>
            <w:pPr>
              <w:ind w:firstLine="480"/>
              <w:rPr>
                <w:rFonts w:hint="eastAsia"/>
                <w:color w:val="auto"/>
              </w:rPr>
            </w:pPr>
            <w:r>
              <w:rPr>
                <w:rFonts w:hint="eastAsia"/>
                <w:color w:val="auto"/>
              </w:rPr>
              <w:t>本项目位于乐山市市中区春华路中段656号，系租用春天花园小区临街商铺（租赁协议见附件）用于开展宠物医院服务项目，根据该商铺所有权不动产权证：川（2019）乐山市不动产权第0037282号：该房屋用途为批发零售用地/商业服务，因此该房屋可作为经营场所供本项目使用。因此，本项目的实施符合房屋的使用功能。</w:t>
            </w:r>
          </w:p>
          <w:p>
            <w:pPr>
              <w:ind w:firstLine="480"/>
              <w:rPr>
                <w:rFonts w:hint="eastAsia"/>
                <w:color w:val="auto"/>
              </w:rPr>
            </w:pPr>
            <w:r>
              <w:rPr>
                <w:rFonts w:hint="eastAsia"/>
                <w:color w:val="auto"/>
              </w:rPr>
              <w:t>同时根据《动物诊疗机构管理办法》（农业部令19号），“（二）动物诊疗场所选址距离畜禽养殖场、屠宰加工厂、动物交易所不少于 200m”；“（三）动物诊疗场所设有独立的出入口，出入口不得设在居住住宅楼内或者院内，不得与同一建筑物的其他用户共用通道”。根据现场调查，本项目选址在乐山市市中区春华路中段656号，地处中心城区，周边无畜禽养殖场、屠宰加工厂、动物交易所等。</w:t>
            </w:r>
          </w:p>
          <w:p>
            <w:pPr>
              <w:ind w:firstLine="480"/>
              <w:rPr>
                <w:rFonts w:hint="eastAsia"/>
                <w:color w:val="auto"/>
              </w:rPr>
            </w:pPr>
            <w:r>
              <w:rPr>
                <w:rFonts w:hint="eastAsia"/>
                <w:color w:val="auto"/>
              </w:rPr>
              <w:t>项目共设有一个出入口，开口正面朝向春华路，该出入口为本项目专用且唯一出入口，不与项目所在的小区住宅楼及其它商户和居民共用。</w:t>
            </w:r>
          </w:p>
          <w:p>
            <w:pPr>
              <w:ind w:firstLine="480"/>
              <w:rPr>
                <w:rFonts w:hint="eastAsia"/>
                <w:color w:val="auto"/>
              </w:rPr>
            </w:pPr>
            <w:r>
              <w:rPr>
                <w:rFonts w:hint="eastAsia"/>
                <w:color w:val="auto"/>
              </w:rPr>
              <w:t>综上所述，项目选址合理。</w:t>
            </w:r>
          </w:p>
          <w:p>
            <w:pPr>
              <w:pStyle w:val="4"/>
              <w:rPr>
                <w:color w:val="auto"/>
              </w:rPr>
            </w:pPr>
            <w:r>
              <w:rPr>
                <w:rFonts w:hint="eastAsia"/>
                <w:color w:val="auto"/>
              </w:rPr>
              <w:t>四、</w:t>
            </w:r>
            <w:r>
              <w:rPr>
                <w:color w:val="auto"/>
              </w:rPr>
              <w:t>外环境相容性分析</w:t>
            </w:r>
          </w:p>
          <w:p>
            <w:pPr>
              <w:pStyle w:val="104"/>
              <w:ind w:firstLine="480"/>
              <w:rPr>
                <w:rFonts w:hint="eastAsia"/>
                <w:color w:val="auto"/>
              </w:rPr>
            </w:pPr>
            <w:r>
              <w:rPr>
                <w:rFonts w:hint="eastAsia"/>
                <w:color w:val="auto"/>
              </w:rPr>
              <w:t>根据本项目位于乐山市市中区春华路中段656号，项目场地交通便利，道路、给排水、光纤等设施已经建设完毕，可为本项目提供完备的配套服务，以项目场地中心为起点，周边500m范围内主要分布了商业、住宅、学校及机构等，临近项目场界四周主要以商业、住宅为主。项目外环境关系图见附图3。</w:t>
            </w:r>
          </w:p>
          <w:p>
            <w:pPr>
              <w:pStyle w:val="104"/>
              <w:ind w:firstLine="480"/>
              <w:rPr>
                <w:rFonts w:hint="eastAsia"/>
                <w:color w:val="auto"/>
              </w:rPr>
            </w:pPr>
            <w:r>
              <w:rPr>
                <w:rFonts w:hint="eastAsia"/>
                <w:color w:val="auto"/>
              </w:rPr>
              <w:t>根据现场踏勘，项目门市为租用，本项目门面朝向为坐南朝北。</w:t>
            </w:r>
          </w:p>
          <w:p>
            <w:pPr>
              <w:pStyle w:val="104"/>
              <w:ind w:firstLine="482"/>
              <w:rPr>
                <w:rFonts w:hint="eastAsia"/>
                <w:color w:val="auto"/>
              </w:rPr>
            </w:pPr>
            <w:r>
              <w:rPr>
                <w:rFonts w:hint="eastAsia"/>
                <w:b/>
                <w:bCs/>
                <w:color w:val="auto"/>
              </w:rPr>
              <w:t>北面：</w:t>
            </w:r>
            <w:r>
              <w:rPr>
                <w:rFonts w:hint="eastAsia"/>
                <w:color w:val="auto"/>
              </w:rPr>
              <w:t>北侧紧邻为春华路，100m处为金江国际（约100人），30m处为1号小区（约500人）。北侧200m为乐山市柏杨小学（约2000人）.</w:t>
            </w:r>
          </w:p>
          <w:p>
            <w:pPr>
              <w:pStyle w:val="104"/>
              <w:ind w:firstLine="482"/>
              <w:rPr>
                <w:rFonts w:hint="eastAsia"/>
                <w:color w:val="auto"/>
              </w:rPr>
            </w:pPr>
            <w:r>
              <w:rPr>
                <w:rFonts w:hint="eastAsia"/>
                <w:b/>
                <w:bCs/>
                <w:color w:val="auto"/>
              </w:rPr>
              <w:t>东面：</w:t>
            </w:r>
            <w:r>
              <w:rPr>
                <w:rFonts w:hint="eastAsia"/>
                <w:color w:val="auto"/>
              </w:rPr>
              <w:t>主要为其他商业用房，东侧200m为花语美地（约500人），东侧400m为世代华庭（约100人）。</w:t>
            </w:r>
          </w:p>
          <w:p>
            <w:pPr>
              <w:pStyle w:val="104"/>
              <w:ind w:firstLine="482"/>
              <w:rPr>
                <w:rFonts w:hint="eastAsia"/>
                <w:color w:val="auto"/>
              </w:rPr>
            </w:pPr>
            <w:r>
              <w:rPr>
                <w:rFonts w:hint="eastAsia"/>
                <w:b/>
                <w:bCs/>
                <w:color w:val="auto"/>
              </w:rPr>
              <w:t>南侧：</w:t>
            </w:r>
            <w:r>
              <w:rPr>
                <w:rFonts w:hint="eastAsia"/>
                <w:color w:val="auto"/>
              </w:rPr>
              <w:t>南侧紧邻春天花园（约1000人），南侧50m为老四号小区（约1000人）；400m为美林华园（约500人）</w:t>
            </w:r>
            <w:r>
              <w:rPr>
                <w:color w:val="auto"/>
              </w:rPr>
              <w:t>，</w:t>
            </w:r>
            <w:r>
              <w:rPr>
                <w:rFonts w:hint="eastAsia"/>
                <w:color w:val="auto"/>
              </w:rPr>
              <w:t>东南侧350</w:t>
            </w:r>
            <w:r>
              <w:rPr>
                <w:color w:val="auto"/>
              </w:rPr>
              <w:t>m为</w:t>
            </w:r>
            <w:r>
              <w:rPr>
                <w:rFonts w:hint="eastAsia"/>
                <w:color w:val="auto"/>
              </w:rPr>
              <w:t>天乐苑（约500人）；</w:t>
            </w:r>
          </w:p>
          <w:p>
            <w:pPr>
              <w:pStyle w:val="104"/>
              <w:ind w:firstLine="482"/>
              <w:rPr>
                <w:color w:val="auto"/>
              </w:rPr>
            </w:pPr>
            <w:r>
              <w:rPr>
                <w:rFonts w:hint="eastAsia"/>
                <w:b/>
                <w:bCs/>
                <w:color w:val="auto"/>
              </w:rPr>
              <w:t>西侧：</w:t>
            </w:r>
            <w:r>
              <w:rPr>
                <w:rFonts w:hint="eastAsia"/>
                <w:color w:val="auto"/>
              </w:rPr>
              <w:t>紧邻项目为嘉兴路，100m处为嘉兴苑（约300人），200m处为百合花园（约200人），西北侧200m处为1号小区（约200人），西北侧400m处为天和大院（约1000人）。</w:t>
            </w:r>
          </w:p>
          <w:p>
            <w:pPr>
              <w:pStyle w:val="104"/>
              <w:ind w:firstLine="480"/>
              <w:rPr>
                <w:rFonts w:hint="eastAsia"/>
                <w:color w:val="auto"/>
              </w:rPr>
            </w:pPr>
            <w:r>
              <w:rPr>
                <w:rFonts w:hint="eastAsia"/>
                <w:color w:val="auto"/>
              </w:rPr>
              <w:t>根据以上</w:t>
            </w:r>
            <w:r>
              <w:rPr>
                <w:color w:val="auto"/>
              </w:rPr>
              <w:t>外环境分析可知，项目周边主要是商业用房、居民住宅</w:t>
            </w:r>
            <w:r>
              <w:rPr>
                <w:rFonts w:hint="eastAsia"/>
                <w:color w:val="auto"/>
              </w:rPr>
              <w:t>、学校</w:t>
            </w:r>
            <w:r>
              <w:rPr>
                <w:color w:val="auto"/>
              </w:rPr>
              <w:t>等，无重大污染企业，周围环境质量较好，运营时的能源主要采用电，项目取水、排水方便，</w:t>
            </w:r>
            <w:r>
              <w:rPr>
                <w:rFonts w:hint="eastAsia"/>
                <w:color w:val="auto"/>
              </w:rPr>
              <w:t>能满足项目基本的运行需求，</w:t>
            </w:r>
            <w:r>
              <w:rPr>
                <w:color w:val="auto"/>
              </w:rPr>
              <w:t>选址符合</w:t>
            </w:r>
            <w:r>
              <w:rPr>
                <w:rFonts w:hint="eastAsia"/>
                <w:color w:val="auto"/>
              </w:rPr>
              <w:t>相关</w:t>
            </w:r>
            <w:r>
              <w:rPr>
                <w:color w:val="auto"/>
              </w:rPr>
              <w:t>规定要求，因此</w:t>
            </w:r>
            <w:r>
              <w:rPr>
                <w:rFonts w:hint="eastAsia"/>
                <w:color w:val="auto"/>
              </w:rPr>
              <w:t>周边</w:t>
            </w:r>
            <w:r>
              <w:rPr>
                <w:color w:val="auto"/>
              </w:rPr>
              <w:t>外环境对本项目</w:t>
            </w:r>
            <w:r>
              <w:rPr>
                <w:rFonts w:hint="eastAsia"/>
                <w:color w:val="auto"/>
              </w:rPr>
              <w:t>的</w:t>
            </w:r>
            <w:r>
              <w:rPr>
                <w:color w:val="auto"/>
              </w:rPr>
              <w:t>影响</w:t>
            </w:r>
            <w:r>
              <w:rPr>
                <w:rFonts w:hint="eastAsia"/>
                <w:color w:val="auto"/>
              </w:rPr>
              <w:t>较小。</w:t>
            </w:r>
          </w:p>
          <w:p>
            <w:pPr>
              <w:pStyle w:val="104"/>
              <w:ind w:firstLine="480"/>
              <w:rPr>
                <w:rFonts w:hint="eastAsia"/>
                <w:color w:val="auto"/>
              </w:rPr>
            </w:pPr>
            <w:r>
              <w:rPr>
                <w:rFonts w:hint="eastAsia"/>
                <w:color w:val="auto"/>
              </w:rPr>
              <w:t>本项目外环境关系具体情况如下表：</w:t>
            </w:r>
          </w:p>
          <w:p>
            <w:pPr>
              <w:pStyle w:val="117"/>
              <w:rPr>
                <w:rFonts w:hint="eastAsia"/>
                <w:color w:val="auto"/>
              </w:rPr>
            </w:pPr>
            <w:r>
              <w:rPr>
                <w:rFonts w:hint="eastAsia"/>
                <w:color w:val="auto"/>
              </w:rPr>
              <w:t>表1-5  项目外环境情况一览表</w:t>
            </w:r>
          </w:p>
          <w:tbl>
            <w:tblPr>
              <w:tblStyle w:val="38"/>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9"/>
              <w:gridCol w:w="2789"/>
              <w:gridCol w:w="1588"/>
              <w:gridCol w:w="955"/>
              <w:gridCol w:w="15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475" w:type="pct"/>
                  <w:noWrap w:val="0"/>
                  <w:vAlign w:val="center"/>
                </w:tcPr>
                <w:p>
                  <w:pPr>
                    <w:pStyle w:val="69"/>
                    <w:rPr>
                      <w:rFonts w:hint="eastAsia"/>
                      <w:color w:val="auto"/>
                    </w:rPr>
                  </w:pPr>
                  <w:r>
                    <w:rPr>
                      <w:rFonts w:hint="eastAsia"/>
                      <w:color w:val="auto"/>
                    </w:rPr>
                    <w:t>序号</w:t>
                  </w:r>
                </w:p>
              </w:tc>
              <w:tc>
                <w:tcPr>
                  <w:tcW w:w="1842" w:type="pct"/>
                  <w:noWrap w:val="0"/>
                  <w:vAlign w:val="center"/>
                </w:tcPr>
                <w:p>
                  <w:pPr>
                    <w:pStyle w:val="69"/>
                    <w:rPr>
                      <w:rFonts w:hint="eastAsia"/>
                      <w:color w:val="auto"/>
                    </w:rPr>
                  </w:pPr>
                  <w:r>
                    <w:rPr>
                      <w:rFonts w:hint="eastAsia"/>
                      <w:color w:val="auto"/>
                    </w:rPr>
                    <w:t>外环境情况</w:t>
                  </w:r>
                </w:p>
              </w:tc>
              <w:tc>
                <w:tcPr>
                  <w:tcW w:w="1049" w:type="pct"/>
                  <w:noWrap w:val="0"/>
                  <w:vAlign w:val="center"/>
                </w:tcPr>
                <w:p>
                  <w:pPr>
                    <w:pStyle w:val="69"/>
                    <w:rPr>
                      <w:rFonts w:hint="eastAsia"/>
                      <w:color w:val="auto"/>
                    </w:rPr>
                  </w:pPr>
                  <w:r>
                    <w:rPr>
                      <w:rFonts w:hint="eastAsia"/>
                      <w:color w:val="auto"/>
                    </w:rPr>
                    <w:t>类型</w:t>
                  </w:r>
                </w:p>
              </w:tc>
              <w:tc>
                <w:tcPr>
                  <w:tcW w:w="631" w:type="pct"/>
                  <w:noWrap w:val="0"/>
                  <w:vAlign w:val="center"/>
                </w:tcPr>
                <w:p>
                  <w:pPr>
                    <w:pStyle w:val="69"/>
                    <w:rPr>
                      <w:rFonts w:hint="eastAsia"/>
                      <w:color w:val="auto"/>
                    </w:rPr>
                  </w:pPr>
                  <w:r>
                    <w:rPr>
                      <w:rFonts w:hint="eastAsia"/>
                      <w:color w:val="auto"/>
                    </w:rPr>
                    <w:t>方位</w:t>
                  </w:r>
                </w:p>
              </w:tc>
              <w:tc>
                <w:tcPr>
                  <w:tcW w:w="1001" w:type="pct"/>
                  <w:noWrap w:val="0"/>
                  <w:vAlign w:val="center"/>
                </w:tcPr>
                <w:p>
                  <w:pPr>
                    <w:pStyle w:val="69"/>
                    <w:rPr>
                      <w:rFonts w:hint="eastAsia"/>
                      <w:color w:val="auto"/>
                    </w:rPr>
                  </w:pPr>
                  <w:r>
                    <w:rPr>
                      <w:rFonts w:hint="eastAsia"/>
                      <w:color w:val="auto"/>
                    </w:rPr>
                    <w:t>与本项目场界最近距离（m）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5" w:type="pct"/>
                  <w:noWrap w:val="0"/>
                  <w:vAlign w:val="center"/>
                </w:tcPr>
                <w:p>
                  <w:pPr>
                    <w:pStyle w:val="69"/>
                    <w:rPr>
                      <w:rFonts w:hint="eastAsia"/>
                      <w:color w:val="auto"/>
                    </w:rPr>
                  </w:pPr>
                  <w:r>
                    <w:rPr>
                      <w:rFonts w:hint="eastAsia"/>
                      <w:color w:val="auto"/>
                    </w:rPr>
                    <w:t>1</w:t>
                  </w:r>
                </w:p>
              </w:tc>
              <w:tc>
                <w:tcPr>
                  <w:tcW w:w="1842" w:type="pct"/>
                  <w:noWrap w:val="0"/>
                  <w:vAlign w:val="center"/>
                </w:tcPr>
                <w:p>
                  <w:pPr>
                    <w:pStyle w:val="69"/>
                    <w:rPr>
                      <w:rFonts w:hint="eastAsia"/>
                      <w:color w:val="auto"/>
                    </w:rPr>
                  </w:pPr>
                  <w:r>
                    <w:rPr>
                      <w:color w:val="auto"/>
                    </w:rPr>
                    <w:t>春天花园小区</w:t>
                  </w:r>
                </w:p>
              </w:tc>
              <w:tc>
                <w:tcPr>
                  <w:tcW w:w="1049" w:type="pct"/>
                  <w:noWrap w:val="0"/>
                  <w:vAlign w:val="center"/>
                </w:tcPr>
                <w:p>
                  <w:pPr>
                    <w:pStyle w:val="69"/>
                    <w:rPr>
                      <w:rFonts w:hint="eastAsia"/>
                      <w:color w:val="auto"/>
                    </w:rPr>
                  </w:pPr>
                  <w:r>
                    <w:rPr>
                      <w:color w:val="auto"/>
                    </w:rPr>
                    <w:t>居民区</w:t>
                  </w:r>
                </w:p>
              </w:tc>
              <w:tc>
                <w:tcPr>
                  <w:tcW w:w="631" w:type="pct"/>
                  <w:vMerge w:val="restart"/>
                  <w:noWrap w:val="0"/>
                  <w:vAlign w:val="center"/>
                </w:tcPr>
                <w:p>
                  <w:pPr>
                    <w:pStyle w:val="69"/>
                    <w:rPr>
                      <w:rFonts w:hint="eastAsia"/>
                      <w:color w:val="auto"/>
                    </w:rPr>
                  </w:pPr>
                  <w:r>
                    <w:rPr>
                      <w:rFonts w:hint="eastAsia"/>
                      <w:color w:val="auto"/>
                    </w:rPr>
                    <w:t>南</w:t>
                  </w:r>
                </w:p>
              </w:tc>
              <w:tc>
                <w:tcPr>
                  <w:tcW w:w="1001" w:type="pct"/>
                  <w:noWrap w:val="0"/>
                  <w:vAlign w:val="center"/>
                </w:tcPr>
                <w:p>
                  <w:pPr>
                    <w:pStyle w:val="69"/>
                    <w:rPr>
                      <w:rFonts w:hint="eastAsia"/>
                      <w:color w:val="auto"/>
                    </w:rPr>
                  </w:pPr>
                  <w:r>
                    <w:rPr>
                      <w:rFonts w:hint="eastAsia"/>
                      <w:color w:val="auto"/>
                    </w:rPr>
                    <w:t>紧邻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75" w:type="pct"/>
                  <w:noWrap w:val="0"/>
                  <w:vAlign w:val="center"/>
                </w:tcPr>
                <w:p>
                  <w:pPr>
                    <w:pStyle w:val="69"/>
                    <w:rPr>
                      <w:rFonts w:hint="eastAsia"/>
                      <w:color w:val="auto"/>
                    </w:rPr>
                  </w:pPr>
                  <w:r>
                    <w:rPr>
                      <w:rFonts w:hint="eastAsia"/>
                      <w:color w:val="auto"/>
                    </w:rPr>
                    <w:t>2</w:t>
                  </w:r>
                </w:p>
              </w:tc>
              <w:tc>
                <w:tcPr>
                  <w:tcW w:w="1842" w:type="pct"/>
                  <w:noWrap w:val="0"/>
                  <w:vAlign w:val="center"/>
                </w:tcPr>
                <w:p>
                  <w:pPr>
                    <w:pStyle w:val="69"/>
                    <w:rPr>
                      <w:rFonts w:hint="eastAsia"/>
                      <w:color w:val="auto"/>
                    </w:rPr>
                  </w:pPr>
                  <w:r>
                    <w:rPr>
                      <w:color w:val="auto"/>
                    </w:rPr>
                    <w:t>老四号小区</w:t>
                  </w:r>
                </w:p>
              </w:tc>
              <w:tc>
                <w:tcPr>
                  <w:tcW w:w="1049" w:type="pct"/>
                  <w:noWrap w:val="0"/>
                  <w:vAlign w:val="center"/>
                </w:tcPr>
                <w:p>
                  <w:pPr>
                    <w:pStyle w:val="69"/>
                    <w:rPr>
                      <w:rFonts w:hint="eastAsia"/>
                      <w:color w:val="auto"/>
                    </w:rPr>
                  </w:pPr>
                  <w:r>
                    <w:rPr>
                      <w:color w:val="auto"/>
                    </w:rPr>
                    <w:t>居民区</w:t>
                  </w:r>
                </w:p>
              </w:tc>
              <w:tc>
                <w:tcPr>
                  <w:tcW w:w="631" w:type="pct"/>
                  <w:vMerge w:val="continue"/>
                  <w:noWrap w:val="0"/>
                  <w:vAlign w:val="center"/>
                </w:tcPr>
                <w:p>
                  <w:pPr>
                    <w:pStyle w:val="69"/>
                    <w:rPr>
                      <w:rFonts w:hint="eastAsia"/>
                      <w:color w:val="auto"/>
                    </w:rPr>
                  </w:pPr>
                </w:p>
              </w:tc>
              <w:tc>
                <w:tcPr>
                  <w:tcW w:w="1001" w:type="pct"/>
                  <w:noWrap w:val="0"/>
                  <w:vAlign w:val="center"/>
                </w:tcPr>
                <w:p>
                  <w:pPr>
                    <w:pStyle w:val="69"/>
                    <w:rPr>
                      <w:color w:val="auto"/>
                    </w:rPr>
                  </w:pPr>
                  <w:r>
                    <w:rPr>
                      <w:rFonts w:hint="eastAsia"/>
                      <w:color w:val="auto"/>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69"/>
                    <w:rPr>
                      <w:rFonts w:hint="eastAsia"/>
                      <w:color w:val="auto"/>
                    </w:rPr>
                  </w:pPr>
                  <w:r>
                    <w:rPr>
                      <w:rFonts w:hint="eastAsia"/>
                      <w:color w:val="auto"/>
                    </w:rPr>
                    <w:t>3</w:t>
                  </w:r>
                </w:p>
              </w:tc>
              <w:tc>
                <w:tcPr>
                  <w:tcW w:w="1842" w:type="pct"/>
                  <w:noWrap w:val="0"/>
                  <w:vAlign w:val="center"/>
                </w:tcPr>
                <w:p>
                  <w:pPr>
                    <w:pStyle w:val="69"/>
                    <w:rPr>
                      <w:rFonts w:hint="eastAsia"/>
                      <w:color w:val="auto"/>
                    </w:rPr>
                  </w:pPr>
                  <w:r>
                    <w:rPr>
                      <w:color w:val="auto"/>
                    </w:rPr>
                    <w:t>美林花园</w:t>
                  </w:r>
                </w:p>
              </w:tc>
              <w:tc>
                <w:tcPr>
                  <w:tcW w:w="1049" w:type="pct"/>
                  <w:noWrap w:val="0"/>
                  <w:vAlign w:val="center"/>
                </w:tcPr>
                <w:p>
                  <w:pPr>
                    <w:pStyle w:val="69"/>
                    <w:rPr>
                      <w:rFonts w:hint="eastAsia"/>
                      <w:color w:val="auto"/>
                    </w:rPr>
                  </w:pPr>
                  <w:r>
                    <w:rPr>
                      <w:color w:val="auto"/>
                    </w:rPr>
                    <w:t>居民区</w:t>
                  </w:r>
                </w:p>
              </w:tc>
              <w:tc>
                <w:tcPr>
                  <w:tcW w:w="631" w:type="pct"/>
                  <w:vMerge w:val="continue"/>
                  <w:noWrap w:val="0"/>
                  <w:vAlign w:val="center"/>
                </w:tcPr>
                <w:p>
                  <w:pPr>
                    <w:pStyle w:val="69"/>
                    <w:rPr>
                      <w:rFonts w:hint="eastAsia"/>
                      <w:color w:val="auto"/>
                    </w:rPr>
                  </w:pPr>
                </w:p>
              </w:tc>
              <w:tc>
                <w:tcPr>
                  <w:tcW w:w="1001" w:type="pct"/>
                  <w:noWrap w:val="0"/>
                  <w:vAlign w:val="center"/>
                </w:tcPr>
                <w:p>
                  <w:pPr>
                    <w:pStyle w:val="69"/>
                    <w:rPr>
                      <w:color w:val="auto"/>
                    </w:rPr>
                  </w:pPr>
                  <w:r>
                    <w:rPr>
                      <w:rFonts w:hint="eastAsia"/>
                      <w:color w:val="auto"/>
                    </w:rPr>
                    <w:t>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69"/>
                    <w:rPr>
                      <w:color w:val="auto"/>
                    </w:rPr>
                  </w:pPr>
                  <w:r>
                    <w:rPr>
                      <w:rFonts w:hint="eastAsia"/>
                      <w:color w:val="auto"/>
                    </w:rPr>
                    <w:t>5</w:t>
                  </w:r>
                </w:p>
              </w:tc>
              <w:tc>
                <w:tcPr>
                  <w:tcW w:w="1842" w:type="pct"/>
                  <w:noWrap w:val="0"/>
                  <w:vAlign w:val="center"/>
                </w:tcPr>
                <w:p>
                  <w:pPr>
                    <w:pStyle w:val="69"/>
                    <w:rPr>
                      <w:rFonts w:hint="eastAsia"/>
                      <w:color w:val="auto"/>
                    </w:rPr>
                  </w:pPr>
                  <w:r>
                    <w:rPr>
                      <w:rFonts w:hint="eastAsia"/>
                      <w:color w:val="auto"/>
                    </w:rPr>
                    <w:t>天乐苑</w:t>
                  </w:r>
                </w:p>
              </w:tc>
              <w:tc>
                <w:tcPr>
                  <w:tcW w:w="1049" w:type="pct"/>
                  <w:noWrap w:val="0"/>
                  <w:vAlign w:val="center"/>
                </w:tcPr>
                <w:p>
                  <w:pPr>
                    <w:pStyle w:val="69"/>
                    <w:rPr>
                      <w:color w:val="auto"/>
                    </w:rPr>
                  </w:pPr>
                  <w:r>
                    <w:rPr>
                      <w:color w:val="auto"/>
                    </w:rPr>
                    <w:t>居民区</w:t>
                  </w:r>
                </w:p>
              </w:tc>
              <w:tc>
                <w:tcPr>
                  <w:tcW w:w="631" w:type="pct"/>
                  <w:vMerge w:val="continue"/>
                  <w:noWrap w:val="0"/>
                  <w:vAlign w:val="center"/>
                </w:tcPr>
                <w:p>
                  <w:pPr>
                    <w:pStyle w:val="69"/>
                    <w:rPr>
                      <w:rFonts w:hint="eastAsia"/>
                      <w:color w:val="auto"/>
                    </w:rPr>
                  </w:pPr>
                </w:p>
              </w:tc>
              <w:tc>
                <w:tcPr>
                  <w:tcW w:w="1001" w:type="pct"/>
                  <w:noWrap w:val="0"/>
                  <w:vAlign w:val="center"/>
                </w:tcPr>
                <w:p>
                  <w:pPr>
                    <w:pStyle w:val="69"/>
                    <w:rPr>
                      <w:color w:val="auto"/>
                    </w:rPr>
                  </w:pPr>
                  <w:r>
                    <w:rPr>
                      <w:rFonts w:hint="eastAsia"/>
                      <w:color w:val="auto"/>
                    </w:rPr>
                    <w:t>350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69"/>
                    <w:rPr>
                      <w:rFonts w:hint="eastAsia"/>
                      <w:color w:val="auto"/>
                    </w:rPr>
                  </w:pPr>
                  <w:r>
                    <w:rPr>
                      <w:rFonts w:hint="eastAsia"/>
                      <w:color w:val="auto"/>
                    </w:rPr>
                    <w:t>6</w:t>
                  </w:r>
                </w:p>
              </w:tc>
              <w:tc>
                <w:tcPr>
                  <w:tcW w:w="1842" w:type="pct"/>
                  <w:noWrap w:val="0"/>
                  <w:vAlign w:val="center"/>
                </w:tcPr>
                <w:p>
                  <w:pPr>
                    <w:pStyle w:val="69"/>
                    <w:rPr>
                      <w:rFonts w:hint="eastAsia"/>
                      <w:color w:val="auto"/>
                    </w:rPr>
                  </w:pPr>
                  <w:r>
                    <w:rPr>
                      <w:color w:val="auto"/>
                    </w:rPr>
                    <w:t>嘉兴苑</w:t>
                  </w:r>
                </w:p>
              </w:tc>
              <w:tc>
                <w:tcPr>
                  <w:tcW w:w="1049" w:type="pct"/>
                  <w:noWrap w:val="0"/>
                  <w:vAlign w:val="center"/>
                </w:tcPr>
                <w:p>
                  <w:pPr>
                    <w:pStyle w:val="69"/>
                    <w:rPr>
                      <w:rFonts w:hint="eastAsia"/>
                      <w:color w:val="auto"/>
                    </w:rPr>
                  </w:pPr>
                  <w:r>
                    <w:rPr>
                      <w:color w:val="auto"/>
                    </w:rPr>
                    <w:t>居民区</w:t>
                  </w:r>
                </w:p>
              </w:tc>
              <w:tc>
                <w:tcPr>
                  <w:tcW w:w="631" w:type="pct"/>
                  <w:vMerge w:val="restart"/>
                  <w:noWrap w:val="0"/>
                  <w:vAlign w:val="center"/>
                </w:tcPr>
                <w:p>
                  <w:pPr>
                    <w:pStyle w:val="69"/>
                    <w:rPr>
                      <w:rFonts w:hint="eastAsia"/>
                      <w:color w:val="auto"/>
                    </w:rPr>
                  </w:pPr>
                  <w:r>
                    <w:rPr>
                      <w:rFonts w:hint="eastAsia"/>
                      <w:color w:val="auto"/>
                    </w:rPr>
                    <w:t>西</w:t>
                  </w:r>
                </w:p>
              </w:tc>
              <w:tc>
                <w:tcPr>
                  <w:tcW w:w="1001" w:type="pct"/>
                  <w:noWrap w:val="0"/>
                  <w:vAlign w:val="center"/>
                </w:tcPr>
                <w:p>
                  <w:pPr>
                    <w:pStyle w:val="69"/>
                    <w:rPr>
                      <w:color w:val="auto"/>
                    </w:rPr>
                  </w:pPr>
                  <w:r>
                    <w:rPr>
                      <w:rFonts w:hint="eastAsia"/>
                      <w:color w:val="auto"/>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69"/>
                    <w:rPr>
                      <w:rFonts w:hint="eastAsia"/>
                      <w:color w:val="auto"/>
                    </w:rPr>
                  </w:pPr>
                  <w:r>
                    <w:rPr>
                      <w:rFonts w:hint="eastAsia"/>
                      <w:color w:val="auto"/>
                    </w:rPr>
                    <w:t>7</w:t>
                  </w:r>
                </w:p>
              </w:tc>
              <w:tc>
                <w:tcPr>
                  <w:tcW w:w="1842" w:type="pct"/>
                  <w:noWrap w:val="0"/>
                  <w:vAlign w:val="center"/>
                </w:tcPr>
                <w:p>
                  <w:pPr>
                    <w:pStyle w:val="69"/>
                    <w:rPr>
                      <w:rFonts w:hint="eastAsia"/>
                      <w:color w:val="auto"/>
                    </w:rPr>
                  </w:pPr>
                  <w:r>
                    <w:rPr>
                      <w:rFonts w:hint="eastAsia"/>
                      <w:color w:val="auto"/>
                    </w:rPr>
                    <w:t>老四</w:t>
                  </w:r>
                  <w:r>
                    <w:rPr>
                      <w:color w:val="auto"/>
                    </w:rPr>
                    <w:t>号小区</w:t>
                  </w:r>
                </w:p>
              </w:tc>
              <w:tc>
                <w:tcPr>
                  <w:tcW w:w="1049" w:type="pct"/>
                  <w:noWrap w:val="0"/>
                  <w:vAlign w:val="center"/>
                </w:tcPr>
                <w:p>
                  <w:pPr>
                    <w:pStyle w:val="69"/>
                    <w:rPr>
                      <w:rFonts w:hint="eastAsia"/>
                      <w:color w:val="auto"/>
                    </w:rPr>
                  </w:pPr>
                  <w:r>
                    <w:rPr>
                      <w:color w:val="auto"/>
                    </w:rPr>
                    <w:t>居民区</w:t>
                  </w:r>
                </w:p>
              </w:tc>
              <w:tc>
                <w:tcPr>
                  <w:tcW w:w="631" w:type="pct"/>
                  <w:vMerge w:val="continue"/>
                  <w:noWrap w:val="0"/>
                  <w:vAlign w:val="center"/>
                </w:tcPr>
                <w:p>
                  <w:pPr>
                    <w:pStyle w:val="69"/>
                    <w:rPr>
                      <w:rFonts w:hint="eastAsia"/>
                      <w:color w:val="auto"/>
                    </w:rPr>
                  </w:pPr>
                </w:p>
              </w:tc>
              <w:tc>
                <w:tcPr>
                  <w:tcW w:w="1001" w:type="pct"/>
                  <w:noWrap w:val="0"/>
                  <w:vAlign w:val="center"/>
                </w:tcPr>
                <w:p>
                  <w:pPr>
                    <w:pStyle w:val="69"/>
                    <w:rPr>
                      <w:color w:val="auto"/>
                    </w:rPr>
                  </w:pPr>
                  <w:r>
                    <w:rPr>
                      <w:rFonts w:hint="eastAsia"/>
                      <w:color w:val="auto"/>
                    </w:rPr>
                    <w:t>150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69"/>
                    <w:rPr>
                      <w:color w:val="auto"/>
                    </w:rPr>
                  </w:pPr>
                  <w:r>
                    <w:rPr>
                      <w:rFonts w:hint="eastAsia"/>
                      <w:color w:val="auto"/>
                    </w:rPr>
                    <w:t>8</w:t>
                  </w:r>
                </w:p>
              </w:tc>
              <w:tc>
                <w:tcPr>
                  <w:tcW w:w="1842" w:type="pct"/>
                  <w:noWrap w:val="0"/>
                  <w:vAlign w:val="center"/>
                </w:tcPr>
                <w:p>
                  <w:pPr>
                    <w:pStyle w:val="69"/>
                    <w:rPr>
                      <w:rFonts w:hint="eastAsia"/>
                      <w:color w:val="auto"/>
                    </w:rPr>
                  </w:pPr>
                  <w:r>
                    <w:rPr>
                      <w:rFonts w:hint="eastAsia"/>
                      <w:color w:val="auto"/>
                    </w:rPr>
                    <w:t>百合花园</w:t>
                  </w:r>
                </w:p>
              </w:tc>
              <w:tc>
                <w:tcPr>
                  <w:tcW w:w="1049" w:type="pct"/>
                  <w:noWrap w:val="0"/>
                  <w:vAlign w:val="center"/>
                </w:tcPr>
                <w:p>
                  <w:pPr>
                    <w:pStyle w:val="69"/>
                    <w:rPr>
                      <w:color w:val="auto"/>
                    </w:rPr>
                  </w:pPr>
                  <w:r>
                    <w:rPr>
                      <w:color w:val="auto"/>
                    </w:rPr>
                    <w:t>居民区</w:t>
                  </w:r>
                </w:p>
              </w:tc>
              <w:tc>
                <w:tcPr>
                  <w:tcW w:w="631" w:type="pct"/>
                  <w:vMerge w:val="continue"/>
                  <w:noWrap w:val="0"/>
                  <w:vAlign w:val="center"/>
                </w:tcPr>
                <w:p>
                  <w:pPr>
                    <w:pStyle w:val="69"/>
                    <w:rPr>
                      <w:rFonts w:hint="eastAsia"/>
                      <w:color w:val="auto"/>
                    </w:rPr>
                  </w:pPr>
                </w:p>
              </w:tc>
              <w:tc>
                <w:tcPr>
                  <w:tcW w:w="1001" w:type="pct"/>
                  <w:noWrap w:val="0"/>
                  <w:vAlign w:val="center"/>
                </w:tcPr>
                <w:p>
                  <w:pPr>
                    <w:pStyle w:val="69"/>
                    <w:rPr>
                      <w:color w:val="auto"/>
                    </w:rPr>
                  </w:pPr>
                  <w:r>
                    <w:rPr>
                      <w:rFonts w:hint="eastAsia"/>
                      <w:color w:val="auto"/>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75" w:type="pct"/>
                  <w:noWrap w:val="0"/>
                  <w:vAlign w:val="center"/>
                </w:tcPr>
                <w:p>
                  <w:pPr>
                    <w:pStyle w:val="69"/>
                    <w:rPr>
                      <w:color w:val="auto"/>
                    </w:rPr>
                  </w:pPr>
                  <w:r>
                    <w:rPr>
                      <w:rFonts w:hint="eastAsia"/>
                      <w:color w:val="auto"/>
                    </w:rPr>
                    <w:t>9</w:t>
                  </w:r>
                </w:p>
              </w:tc>
              <w:tc>
                <w:tcPr>
                  <w:tcW w:w="1842" w:type="pct"/>
                  <w:noWrap w:val="0"/>
                  <w:vAlign w:val="center"/>
                </w:tcPr>
                <w:p>
                  <w:pPr>
                    <w:pStyle w:val="69"/>
                    <w:rPr>
                      <w:rFonts w:hint="eastAsia"/>
                      <w:color w:val="auto"/>
                    </w:rPr>
                  </w:pPr>
                  <w:r>
                    <w:rPr>
                      <w:rFonts w:hint="eastAsia"/>
                      <w:color w:val="auto"/>
                    </w:rPr>
                    <w:t>1号小区</w:t>
                  </w:r>
                </w:p>
              </w:tc>
              <w:tc>
                <w:tcPr>
                  <w:tcW w:w="1049" w:type="pct"/>
                  <w:noWrap w:val="0"/>
                  <w:vAlign w:val="center"/>
                </w:tcPr>
                <w:p>
                  <w:pPr>
                    <w:pStyle w:val="69"/>
                    <w:rPr>
                      <w:color w:val="auto"/>
                    </w:rPr>
                  </w:pPr>
                  <w:r>
                    <w:rPr>
                      <w:color w:val="auto"/>
                    </w:rPr>
                    <w:t>居民区</w:t>
                  </w:r>
                </w:p>
              </w:tc>
              <w:tc>
                <w:tcPr>
                  <w:tcW w:w="631" w:type="pct"/>
                  <w:noWrap w:val="0"/>
                  <w:vAlign w:val="center"/>
                </w:tcPr>
                <w:p>
                  <w:pPr>
                    <w:pStyle w:val="69"/>
                    <w:rPr>
                      <w:rFonts w:hint="eastAsia"/>
                      <w:color w:val="auto"/>
                    </w:rPr>
                  </w:pPr>
                  <w:r>
                    <w:rPr>
                      <w:rFonts w:hint="eastAsia"/>
                      <w:color w:val="auto"/>
                    </w:rPr>
                    <w:t>西北</w:t>
                  </w:r>
                </w:p>
              </w:tc>
              <w:tc>
                <w:tcPr>
                  <w:tcW w:w="1001" w:type="pct"/>
                  <w:noWrap w:val="0"/>
                  <w:vAlign w:val="center"/>
                </w:tcPr>
                <w:p>
                  <w:pPr>
                    <w:pStyle w:val="69"/>
                    <w:rPr>
                      <w:color w:val="auto"/>
                    </w:rPr>
                  </w:pPr>
                  <w:r>
                    <w:rPr>
                      <w:rFonts w:hint="eastAsia"/>
                      <w:color w:val="auto"/>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69"/>
                    <w:rPr>
                      <w:color w:val="auto"/>
                    </w:rPr>
                  </w:pPr>
                  <w:r>
                    <w:rPr>
                      <w:rFonts w:hint="eastAsia"/>
                      <w:color w:val="auto"/>
                    </w:rPr>
                    <w:t>10</w:t>
                  </w:r>
                </w:p>
              </w:tc>
              <w:tc>
                <w:tcPr>
                  <w:tcW w:w="1842" w:type="pct"/>
                  <w:noWrap w:val="0"/>
                  <w:vAlign w:val="center"/>
                </w:tcPr>
                <w:p>
                  <w:pPr>
                    <w:pStyle w:val="69"/>
                    <w:rPr>
                      <w:rFonts w:hint="eastAsia"/>
                      <w:color w:val="auto"/>
                    </w:rPr>
                  </w:pPr>
                  <w:r>
                    <w:rPr>
                      <w:rFonts w:hint="eastAsia"/>
                      <w:color w:val="auto"/>
                    </w:rPr>
                    <w:t>白燕小区</w:t>
                  </w:r>
                </w:p>
              </w:tc>
              <w:tc>
                <w:tcPr>
                  <w:tcW w:w="1049" w:type="pct"/>
                  <w:noWrap w:val="0"/>
                  <w:vAlign w:val="center"/>
                </w:tcPr>
                <w:p>
                  <w:pPr>
                    <w:pStyle w:val="69"/>
                    <w:rPr>
                      <w:rFonts w:hint="eastAsia"/>
                      <w:color w:val="auto"/>
                    </w:rPr>
                  </w:pPr>
                  <w:r>
                    <w:rPr>
                      <w:rFonts w:hint="eastAsia"/>
                      <w:color w:val="auto"/>
                    </w:rPr>
                    <w:t>学校</w:t>
                  </w:r>
                </w:p>
              </w:tc>
              <w:tc>
                <w:tcPr>
                  <w:tcW w:w="631" w:type="pct"/>
                  <w:noWrap w:val="0"/>
                  <w:vAlign w:val="center"/>
                </w:tcPr>
                <w:p>
                  <w:pPr>
                    <w:pStyle w:val="69"/>
                    <w:rPr>
                      <w:rFonts w:hint="eastAsia"/>
                      <w:color w:val="auto"/>
                    </w:rPr>
                  </w:pPr>
                  <w:r>
                    <w:rPr>
                      <w:rFonts w:hint="eastAsia"/>
                      <w:color w:val="auto"/>
                    </w:rPr>
                    <w:t>西南</w:t>
                  </w:r>
                </w:p>
              </w:tc>
              <w:tc>
                <w:tcPr>
                  <w:tcW w:w="1001" w:type="pct"/>
                  <w:noWrap w:val="0"/>
                  <w:vAlign w:val="center"/>
                </w:tcPr>
                <w:p>
                  <w:pPr>
                    <w:pStyle w:val="69"/>
                    <w:rPr>
                      <w:color w:val="auto"/>
                    </w:rPr>
                  </w:pPr>
                  <w:r>
                    <w:rPr>
                      <w:rFonts w:hint="eastAsia"/>
                      <w:color w:val="auto"/>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69"/>
                    <w:rPr>
                      <w:color w:val="auto"/>
                    </w:rPr>
                  </w:pPr>
                  <w:r>
                    <w:rPr>
                      <w:rFonts w:hint="eastAsia"/>
                      <w:color w:val="auto"/>
                    </w:rPr>
                    <w:t>11</w:t>
                  </w:r>
                </w:p>
              </w:tc>
              <w:tc>
                <w:tcPr>
                  <w:tcW w:w="1842" w:type="pct"/>
                  <w:noWrap w:val="0"/>
                  <w:vAlign w:val="center"/>
                </w:tcPr>
                <w:p>
                  <w:pPr>
                    <w:pStyle w:val="69"/>
                    <w:rPr>
                      <w:rFonts w:hint="eastAsia"/>
                      <w:color w:val="auto"/>
                    </w:rPr>
                  </w:pPr>
                  <w:r>
                    <w:rPr>
                      <w:rFonts w:hint="eastAsia"/>
                      <w:color w:val="auto"/>
                    </w:rPr>
                    <w:t>金江国际</w:t>
                  </w:r>
                </w:p>
              </w:tc>
              <w:tc>
                <w:tcPr>
                  <w:tcW w:w="1049" w:type="pct"/>
                  <w:noWrap w:val="0"/>
                  <w:vAlign w:val="center"/>
                </w:tcPr>
                <w:p>
                  <w:pPr>
                    <w:pStyle w:val="69"/>
                    <w:rPr>
                      <w:rFonts w:hint="eastAsia"/>
                      <w:color w:val="auto"/>
                    </w:rPr>
                  </w:pPr>
                  <w:r>
                    <w:rPr>
                      <w:color w:val="auto"/>
                    </w:rPr>
                    <w:t>居民区</w:t>
                  </w:r>
                </w:p>
              </w:tc>
              <w:tc>
                <w:tcPr>
                  <w:tcW w:w="631" w:type="pct"/>
                  <w:vMerge w:val="restart"/>
                  <w:noWrap w:val="0"/>
                  <w:vAlign w:val="center"/>
                </w:tcPr>
                <w:p>
                  <w:pPr>
                    <w:pStyle w:val="69"/>
                    <w:rPr>
                      <w:rFonts w:hint="eastAsia"/>
                      <w:color w:val="auto"/>
                    </w:rPr>
                  </w:pPr>
                  <w:r>
                    <w:rPr>
                      <w:rFonts w:hint="eastAsia"/>
                      <w:color w:val="auto"/>
                    </w:rPr>
                    <w:t>北</w:t>
                  </w:r>
                </w:p>
              </w:tc>
              <w:tc>
                <w:tcPr>
                  <w:tcW w:w="1001" w:type="pct"/>
                  <w:noWrap w:val="0"/>
                  <w:vAlign w:val="center"/>
                </w:tcPr>
                <w:p>
                  <w:pPr>
                    <w:pStyle w:val="69"/>
                    <w:rPr>
                      <w:color w:val="auto"/>
                    </w:rPr>
                  </w:pPr>
                  <w:r>
                    <w:rPr>
                      <w:rFonts w:hint="eastAsia"/>
                      <w:color w:val="auto"/>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69"/>
                    <w:rPr>
                      <w:color w:val="auto"/>
                    </w:rPr>
                  </w:pPr>
                  <w:r>
                    <w:rPr>
                      <w:rFonts w:hint="eastAsia"/>
                      <w:color w:val="auto"/>
                    </w:rPr>
                    <w:t>12</w:t>
                  </w:r>
                </w:p>
              </w:tc>
              <w:tc>
                <w:tcPr>
                  <w:tcW w:w="1842" w:type="pct"/>
                  <w:noWrap w:val="0"/>
                  <w:vAlign w:val="center"/>
                </w:tcPr>
                <w:p>
                  <w:pPr>
                    <w:pStyle w:val="69"/>
                    <w:rPr>
                      <w:rFonts w:hint="eastAsia"/>
                      <w:color w:val="auto"/>
                    </w:rPr>
                  </w:pPr>
                  <w:r>
                    <w:rPr>
                      <w:rFonts w:hint="eastAsia"/>
                      <w:color w:val="auto"/>
                    </w:rPr>
                    <w:t>乐山市柏杨小学</w:t>
                  </w:r>
                </w:p>
              </w:tc>
              <w:tc>
                <w:tcPr>
                  <w:tcW w:w="1049" w:type="pct"/>
                  <w:noWrap w:val="0"/>
                  <w:vAlign w:val="center"/>
                </w:tcPr>
                <w:p>
                  <w:pPr>
                    <w:pStyle w:val="69"/>
                    <w:rPr>
                      <w:rFonts w:hint="eastAsia"/>
                      <w:color w:val="auto"/>
                    </w:rPr>
                  </w:pPr>
                  <w:r>
                    <w:rPr>
                      <w:rFonts w:hint="eastAsia"/>
                      <w:color w:val="auto"/>
                    </w:rPr>
                    <w:t>学校</w:t>
                  </w:r>
                </w:p>
              </w:tc>
              <w:tc>
                <w:tcPr>
                  <w:tcW w:w="631" w:type="pct"/>
                  <w:vMerge w:val="continue"/>
                  <w:noWrap w:val="0"/>
                  <w:vAlign w:val="center"/>
                </w:tcPr>
                <w:p>
                  <w:pPr>
                    <w:pStyle w:val="69"/>
                    <w:rPr>
                      <w:rFonts w:hint="eastAsia"/>
                      <w:color w:val="auto"/>
                    </w:rPr>
                  </w:pPr>
                </w:p>
              </w:tc>
              <w:tc>
                <w:tcPr>
                  <w:tcW w:w="1001" w:type="pct"/>
                  <w:noWrap w:val="0"/>
                  <w:vAlign w:val="center"/>
                </w:tcPr>
                <w:p>
                  <w:pPr>
                    <w:pStyle w:val="69"/>
                    <w:rPr>
                      <w:color w:val="auto"/>
                    </w:rPr>
                  </w:pPr>
                  <w:r>
                    <w:rPr>
                      <w:rFonts w:hint="eastAsia"/>
                      <w:color w:val="auto"/>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69"/>
                    <w:rPr>
                      <w:color w:val="auto"/>
                    </w:rPr>
                  </w:pPr>
                  <w:r>
                    <w:rPr>
                      <w:rFonts w:hint="eastAsia"/>
                      <w:color w:val="auto"/>
                    </w:rPr>
                    <w:t>13</w:t>
                  </w:r>
                </w:p>
              </w:tc>
              <w:tc>
                <w:tcPr>
                  <w:tcW w:w="1842" w:type="pct"/>
                  <w:noWrap w:val="0"/>
                  <w:vAlign w:val="center"/>
                </w:tcPr>
                <w:p>
                  <w:pPr>
                    <w:pStyle w:val="69"/>
                    <w:rPr>
                      <w:rFonts w:hint="eastAsia"/>
                      <w:color w:val="auto"/>
                    </w:rPr>
                  </w:pPr>
                  <w:r>
                    <w:rPr>
                      <w:rFonts w:hint="eastAsia"/>
                      <w:color w:val="auto"/>
                    </w:rPr>
                    <w:t>春华逸都</w:t>
                  </w:r>
                </w:p>
              </w:tc>
              <w:tc>
                <w:tcPr>
                  <w:tcW w:w="1049" w:type="pct"/>
                  <w:noWrap w:val="0"/>
                  <w:vAlign w:val="center"/>
                </w:tcPr>
                <w:p>
                  <w:pPr>
                    <w:pStyle w:val="69"/>
                    <w:rPr>
                      <w:rFonts w:hint="eastAsia"/>
                      <w:color w:val="auto"/>
                    </w:rPr>
                  </w:pPr>
                  <w:r>
                    <w:rPr>
                      <w:color w:val="auto"/>
                    </w:rPr>
                    <w:t>居民区</w:t>
                  </w:r>
                </w:p>
              </w:tc>
              <w:tc>
                <w:tcPr>
                  <w:tcW w:w="631" w:type="pct"/>
                  <w:noWrap w:val="0"/>
                  <w:vAlign w:val="center"/>
                </w:tcPr>
                <w:p>
                  <w:pPr>
                    <w:pStyle w:val="69"/>
                    <w:rPr>
                      <w:rFonts w:hint="eastAsia"/>
                      <w:color w:val="auto"/>
                    </w:rPr>
                  </w:pPr>
                  <w:r>
                    <w:rPr>
                      <w:rFonts w:hint="eastAsia"/>
                      <w:color w:val="auto"/>
                    </w:rPr>
                    <w:t>东北</w:t>
                  </w:r>
                </w:p>
              </w:tc>
              <w:tc>
                <w:tcPr>
                  <w:tcW w:w="1001" w:type="pct"/>
                  <w:noWrap w:val="0"/>
                  <w:vAlign w:val="center"/>
                </w:tcPr>
                <w:p>
                  <w:pPr>
                    <w:pStyle w:val="69"/>
                    <w:rPr>
                      <w:color w:val="auto"/>
                    </w:rPr>
                  </w:pPr>
                  <w:r>
                    <w:rPr>
                      <w:rFonts w:hint="eastAsia"/>
                      <w:color w:val="auto"/>
                    </w:rPr>
                    <w:t>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69"/>
                    <w:rPr>
                      <w:color w:val="auto"/>
                    </w:rPr>
                  </w:pPr>
                  <w:r>
                    <w:rPr>
                      <w:rFonts w:hint="eastAsia"/>
                      <w:color w:val="auto"/>
                    </w:rPr>
                    <w:t>14</w:t>
                  </w:r>
                </w:p>
              </w:tc>
              <w:tc>
                <w:tcPr>
                  <w:tcW w:w="1842" w:type="pct"/>
                  <w:noWrap w:val="0"/>
                  <w:vAlign w:val="center"/>
                </w:tcPr>
                <w:p>
                  <w:pPr>
                    <w:pStyle w:val="69"/>
                    <w:rPr>
                      <w:rFonts w:hint="eastAsia"/>
                      <w:color w:val="auto"/>
                    </w:rPr>
                  </w:pPr>
                  <w:r>
                    <w:rPr>
                      <w:rFonts w:hint="eastAsia"/>
                      <w:color w:val="auto"/>
                    </w:rPr>
                    <w:t>世代华庭</w:t>
                  </w:r>
                </w:p>
              </w:tc>
              <w:tc>
                <w:tcPr>
                  <w:tcW w:w="1049" w:type="pct"/>
                  <w:noWrap w:val="0"/>
                  <w:vAlign w:val="center"/>
                </w:tcPr>
                <w:p>
                  <w:pPr>
                    <w:pStyle w:val="69"/>
                    <w:rPr>
                      <w:color w:val="auto"/>
                    </w:rPr>
                  </w:pPr>
                  <w:r>
                    <w:rPr>
                      <w:color w:val="auto"/>
                    </w:rPr>
                    <w:t>居民区</w:t>
                  </w:r>
                </w:p>
              </w:tc>
              <w:tc>
                <w:tcPr>
                  <w:tcW w:w="631" w:type="pct"/>
                  <w:vMerge w:val="restart"/>
                  <w:noWrap w:val="0"/>
                  <w:vAlign w:val="center"/>
                </w:tcPr>
                <w:p>
                  <w:pPr>
                    <w:pStyle w:val="69"/>
                    <w:rPr>
                      <w:rFonts w:hint="eastAsia"/>
                      <w:color w:val="auto"/>
                    </w:rPr>
                  </w:pPr>
                  <w:r>
                    <w:rPr>
                      <w:rFonts w:hint="eastAsia"/>
                      <w:color w:val="auto"/>
                    </w:rPr>
                    <w:t>东</w:t>
                  </w:r>
                </w:p>
              </w:tc>
              <w:tc>
                <w:tcPr>
                  <w:tcW w:w="1001" w:type="pct"/>
                  <w:noWrap w:val="0"/>
                  <w:vAlign w:val="center"/>
                </w:tcPr>
                <w:p>
                  <w:pPr>
                    <w:pStyle w:val="69"/>
                    <w:rPr>
                      <w:color w:val="auto"/>
                    </w:rPr>
                  </w:pPr>
                  <w:r>
                    <w:rPr>
                      <w:rFonts w:hint="eastAsia"/>
                      <w:color w:val="auto"/>
                    </w:rPr>
                    <w:t>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69"/>
                    <w:rPr>
                      <w:color w:val="auto"/>
                    </w:rPr>
                  </w:pPr>
                  <w:r>
                    <w:rPr>
                      <w:rFonts w:hint="eastAsia"/>
                      <w:color w:val="auto"/>
                    </w:rPr>
                    <w:t>15</w:t>
                  </w:r>
                </w:p>
              </w:tc>
              <w:tc>
                <w:tcPr>
                  <w:tcW w:w="1842" w:type="pct"/>
                  <w:noWrap w:val="0"/>
                  <w:vAlign w:val="center"/>
                </w:tcPr>
                <w:p>
                  <w:pPr>
                    <w:pStyle w:val="69"/>
                    <w:rPr>
                      <w:rFonts w:hint="eastAsia"/>
                      <w:color w:val="auto"/>
                    </w:rPr>
                  </w:pPr>
                  <w:r>
                    <w:rPr>
                      <w:rFonts w:hint="eastAsia"/>
                      <w:color w:val="auto"/>
                    </w:rPr>
                    <w:t>花语美地</w:t>
                  </w:r>
                </w:p>
              </w:tc>
              <w:tc>
                <w:tcPr>
                  <w:tcW w:w="1049" w:type="pct"/>
                  <w:noWrap w:val="0"/>
                  <w:vAlign w:val="center"/>
                </w:tcPr>
                <w:p>
                  <w:pPr>
                    <w:pStyle w:val="69"/>
                    <w:rPr>
                      <w:rFonts w:hint="eastAsia"/>
                      <w:color w:val="auto"/>
                    </w:rPr>
                  </w:pPr>
                  <w:r>
                    <w:rPr>
                      <w:color w:val="auto"/>
                    </w:rPr>
                    <w:t>居民区</w:t>
                  </w:r>
                </w:p>
              </w:tc>
              <w:tc>
                <w:tcPr>
                  <w:tcW w:w="631" w:type="pct"/>
                  <w:vMerge w:val="continue"/>
                  <w:noWrap w:val="0"/>
                  <w:vAlign w:val="center"/>
                </w:tcPr>
                <w:p>
                  <w:pPr>
                    <w:pStyle w:val="69"/>
                    <w:rPr>
                      <w:rFonts w:hint="eastAsia"/>
                      <w:color w:val="auto"/>
                    </w:rPr>
                  </w:pPr>
                </w:p>
              </w:tc>
              <w:tc>
                <w:tcPr>
                  <w:tcW w:w="1001" w:type="pct"/>
                  <w:noWrap w:val="0"/>
                  <w:vAlign w:val="center"/>
                </w:tcPr>
                <w:p>
                  <w:pPr>
                    <w:pStyle w:val="69"/>
                    <w:rPr>
                      <w:color w:val="auto"/>
                    </w:rPr>
                  </w:pPr>
                  <w:r>
                    <w:rPr>
                      <w:rFonts w:hint="eastAsia"/>
                      <w:color w:val="auto"/>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69"/>
                    <w:rPr>
                      <w:color w:val="auto"/>
                    </w:rPr>
                  </w:pPr>
                  <w:r>
                    <w:rPr>
                      <w:rFonts w:hint="eastAsia"/>
                      <w:color w:val="auto"/>
                    </w:rPr>
                    <w:t>16</w:t>
                  </w:r>
                </w:p>
              </w:tc>
              <w:tc>
                <w:tcPr>
                  <w:tcW w:w="1842" w:type="pct"/>
                  <w:noWrap w:val="0"/>
                  <w:vAlign w:val="center"/>
                </w:tcPr>
                <w:p>
                  <w:pPr>
                    <w:pStyle w:val="69"/>
                    <w:rPr>
                      <w:rFonts w:hint="eastAsia"/>
                      <w:color w:val="auto"/>
                    </w:rPr>
                  </w:pPr>
                  <w:r>
                    <w:rPr>
                      <w:rFonts w:hint="eastAsia"/>
                      <w:color w:val="auto"/>
                    </w:rPr>
                    <w:t>领地国际公寓</w:t>
                  </w:r>
                </w:p>
              </w:tc>
              <w:tc>
                <w:tcPr>
                  <w:tcW w:w="1049" w:type="pct"/>
                  <w:noWrap w:val="0"/>
                  <w:vAlign w:val="center"/>
                </w:tcPr>
                <w:p>
                  <w:pPr>
                    <w:pStyle w:val="69"/>
                    <w:rPr>
                      <w:color w:val="auto"/>
                    </w:rPr>
                  </w:pPr>
                  <w:r>
                    <w:rPr>
                      <w:color w:val="auto"/>
                    </w:rPr>
                    <w:t>居民区</w:t>
                  </w:r>
                </w:p>
              </w:tc>
              <w:tc>
                <w:tcPr>
                  <w:tcW w:w="631" w:type="pct"/>
                  <w:noWrap w:val="0"/>
                  <w:vAlign w:val="center"/>
                </w:tcPr>
                <w:p>
                  <w:pPr>
                    <w:pStyle w:val="69"/>
                    <w:rPr>
                      <w:rFonts w:hint="eastAsia"/>
                      <w:color w:val="auto"/>
                    </w:rPr>
                  </w:pPr>
                  <w:r>
                    <w:rPr>
                      <w:rFonts w:hint="eastAsia"/>
                      <w:color w:val="auto"/>
                    </w:rPr>
                    <w:t>东南</w:t>
                  </w:r>
                </w:p>
              </w:tc>
              <w:tc>
                <w:tcPr>
                  <w:tcW w:w="1001" w:type="pct"/>
                  <w:noWrap w:val="0"/>
                  <w:vAlign w:val="center"/>
                </w:tcPr>
                <w:p>
                  <w:pPr>
                    <w:pStyle w:val="69"/>
                    <w:rPr>
                      <w:color w:val="auto"/>
                    </w:rPr>
                  </w:pPr>
                  <w:r>
                    <w:rPr>
                      <w:rFonts w:hint="eastAsia"/>
                      <w:color w:val="auto"/>
                    </w:rPr>
                    <w:t>400</w:t>
                  </w:r>
                </w:p>
              </w:tc>
            </w:tr>
          </w:tbl>
          <w:p>
            <w:pPr>
              <w:pStyle w:val="104"/>
              <w:ind w:firstLine="480"/>
              <w:rPr>
                <w:rFonts w:hint="eastAsia"/>
                <w:color w:val="auto"/>
              </w:rPr>
            </w:pPr>
            <w:r>
              <w:rPr>
                <w:rFonts w:hint="eastAsia"/>
                <w:color w:val="auto"/>
              </w:rPr>
              <w:t>同时，该项目为宠物医院服务项目，该项目的实施，能够满足周边百姓对宠物医疗的需求。项目在运营过程中，对环境影响的表现为废水、废气、固废、噪声，其中项目产生的医疗废水经一体化污水处理设施处理后同生活污水一同进入春天花园小区污水预处理池，经春天花园小区污水预处理池处理后进入市政污水管网，最终经乐山市第一污水处理厂处理达标后排入岷江；项目产生的废气主要为在诊疗过程中动物自身散发出的少量异味、医疗废物暂存间异味及带菌医疗废气，定期开窗通风加强院内空气流通，日常采用移动式紫外线灯进行环境消毒来降低废气对周边环境的影响；项目产生的固废主要为生活垃圾、宠物粪便、宠物毛发、医疗废物、宠物粪便及废紫外线灯管，其中宠物粪便及宠物毛发经消毒杀菌后同生活垃圾收集堆放至片区垃圾桶，由街道环卫部门清运处理，医疗废物收集后暂存于医疗废物暂存间，定期交由成都市科农动物无害化处置有限公司转运处置，更换的废紫外线灯管暂存于与医疗废物暂存间，交由具有相应的资质单位处理；项目运营过程中产生的噪声主要表现为空调外机噪声和宠物叫声，噪声经墙体隔音和距离衰减后，噪声对声环境的影响较小。</w:t>
            </w:r>
          </w:p>
          <w:p>
            <w:pPr>
              <w:pStyle w:val="104"/>
              <w:ind w:firstLine="480"/>
              <w:rPr>
                <w:color w:val="auto"/>
              </w:rPr>
            </w:pPr>
            <w:r>
              <w:rPr>
                <w:rFonts w:hint="eastAsia"/>
                <w:color w:val="auto"/>
              </w:rPr>
              <w:t>综上，项目在对运营期产生的污染物采取合理措施后，本项目的建设运营对区域环境影响较小，项目周边主要以商业及居住为主，因此，项目周边不存在明显的环境制约因素。本项目于周边外环境基本相容。</w:t>
            </w:r>
          </w:p>
        </w:tc>
      </w:tr>
    </w:tbl>
    <w:p>
      <w:pPr>
        <w:pStyle w:val="3"/>
        <w:rPr>
          <w:color w:val="auto"/>
        </w:rPr>
      </w:pPr>
      <w:r>
        <w:rPr>
          <w:rFonts w:hint="eastAsia"/>
          <w:color w:val="auto"/>
        </w:rPr>
        <w:br w:type="page"/>
      </w:r>
      <w:r>
        <w:rPr>
          <w:rFonts w:hint="eastAsia"/>
          <w:color w:val="auto"/>
        </w:rPr>
        <w:t>二、建设项目工程分析</w:t>
      </w:r>
      <w:bookmarkEnd w:id="49"/>
      <w:bookmarkEnd w:id="50"/>
      <w:bookmarkEnd w:id="51"/>
      <w:bookmarkEnd w:id="52"/>
    </w:p>
    <w:tbl>
      <w:tblPr>
        <w:tblStyle w:val="3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538"/>
        <w:gridCol w:w="8446"/>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trHeight w:val="1690" w:hRule="atLeast"/>
          <w:jc w:val="center"/>
        </w:trPr>
        <w:tc>
          <w:tcPr>
            <w:tcW w:w="538" w:type="dxa"/>
            <w:noWrap w:val="0"/>
            <w:vAlign w:val="center"/>
          </w:tcPr>
          <w:p>
            <w:pPr>
              <w:pStyle w:val="33"/>
              <w:adjustRightInd w:val="0"/>
              <w:snapToGrid w:val="0"/>
              <w:spacing w:before="0" w:beforeAutospacing="0" w:after="0" w:afterAutospacing="0"/>
              <w:ind w:firstLine="0" w:firstLineChars="0"/>
              <w:jc w:val="both"/>
              <w:rPr>
                <w:rFonts w:cs="宋体"/>
                <w:color w:val="auto"/>
                <w:szCs w:val="24"/>
              </w:rPr>
            </w:pPr>
            <w:r>
              <w:rPr>
                <w:rFonts w:hint="eastAsia" w:cs="宋体"/>
                <w:color w:val="auto"/>
                <w:szCs w:val="24"/>
              </w:rPr>
              <w:t>建设内容</w:t>
            </w:r>
          </w:p>
        </w:tc>
        <w:tc>
          <w:tcPr>
            <w:tcW w:w="8446" w:type="dxa"/>
            <w:noWrap w:val="0"/>
            <w:vAlign w:val="top"/>
          </w:tcPr>
          <w:p>
            <w:pPr>
              <w:pStyle w:val="4"/>
              <w:numPr>
                <w:ilvl w:val="0"/>
                <w:numId w:val="11"/>
              </w:numPr>
              <w:rPr>
                <w:color w:val="auto"/>
              </w:rPr>
            </w:pPr>
            <w:r>
              <w:rPr>
                <w:color w:val="auto"/>
              </w:rPr>
              <w:t>项目</w:t>
            </w:r>
            <w:r>
              <w:rPr>
                <w:rFonts w:hint="eastAsia"/>
                <w:color w:val="auto"/>
              </w:rPr>
              <w:t>背景</w:t>
            </w:r>
          </w:p>
          <w:p>
            <w:pPr>
              <w:pStyle w:val="104"/>
              <w:ind w:firstLine="480"/>
              <w:rPr>
                <w:rFonts w:hint="eastAsia"/>
                <w:color w:val="auto"/>
              </w:rPr>
            </w:pPr>
            <w:r>
              <w:rPr>
                <w:rFonts w:hint="eastAsia"/>
                <w:color w:val="auto"/>
              </w:rPr>
              <w:t>乐山宠爱宠物医院于2014年1月，于2017年8月15日取得了由乐山市市中区行政审批局颁发的动物诊疗许可证，同意了该项目的实施，项目位于四川省乐山市市中区春华路中段656号，总投资15万元，主要设置科室有、诊疗室一、诊疗室二、手术室、辐射室、处置室、化验室、休息区、医废暂存间、猫病诊断室、猫病住院室、狗病住院室、狗病诊断室、普通病住院室等，并安装解剖手术台、心电监护仪、DR机、B超仪、血常规分析仪等仪器。按照《建设项目环境影响评价分类管理名录（2021年版）》第123项“设有动物颅腔、胸腔或腹腔手术设施的动物医院，应组织编制环境影响报告表”的要求，建设单位违反了相关要求。</w:t>
            </w:r>
          </w:p>
          <w:p>
            <w:pPr>
              <w:pStyle w:val="104"/>
              <w:ind w:firstLine="480"/>
              <w:rPr>
                <w:color w:val="auto"/>
              </w:rPr>
            </w:pPr>
            <w:r>
              <w:rPr>
                <w:rFonts w:hint="eastAsia"/>
                <w:color w:val="auto"/>
              </w:rPr>
              <w:t>2022年3月3日至3月8日，乐山市生态环境局对建设单位现场进行了调查，发现项目实施了相关环境违法行为：乐山市生态环境局陆续下发了行政处罚事先告知书（乐中环罚告字[2022]17号）和行政处罚决定书（乐中环罚[2022]18号），对建设单位处以人民币3100元罚款，建设单位于2022年5月16日缴纳了相关罚款，并开始环境影响评价编制工作，本次项目为新建补评。</w:t>
            </w:r>
          </w:p>
          <w:p>
            <w:pPr>
              <w:widowControl/>
              <w:ind w:firstLine="480"/>
              <w:jc w:val="left"/>
              <w:rPr>
                <w:rFonts w:hint="eastAsia"/>
                <w:b/>
                <w:bCs/>
                <w:color w:val="auto"/>
              </w:rPr>
            </w:pPr>
            <w:r>
              <w:rPr>
                <w:rFonts w:hint="eastAsia"/>
                <w:color w:val="auto"/>
              </w:rPr>
              <w:t>根据动物诊疗许可证，乐山市市中区派美动物医院诊疗范围为宠物疾病诊疗及预防保健，具体包括动物疾病诊疗、疫病预防、三腔手术、常规检验化验及仅针对手术后的宠物留院观察服务，不涉及传染病宠物的收治，不涉及人畜共生病治科目。</w:t>
            </w:r>
            <w:r>
              <w:rPr>
                <w:rFonts w:hint="eastAsia"/>
                <w:b/>
                <w:bCs/>
                <w:color w:val="auto"/>
              </w:rPr>
              <w:t>本项目已设置有一间DR室，使用 DR 数字化检查设备，根据《医用诊断 X 线卫生防护标准》、《中华人民共和国放射性污染防治法》，本项目 DR 室所设的 X 射线影像系统已经完成环境影响登记表备案，备案号：202251110200000022。本次评价不再进行评价。</w:t>
            </w:r>
          </w:p>
          <w:p>
            <w:pPr>
              <w:pStyle w:val="104"/>
              <w:ind w:firstLine="480"/>
              <w:rPr>
                <w:rFonts w:hint="eastAsia"/>
                <w:color w:val="auto"/>
              </w:rPr>
            </w:pPr>
            <w:r>
              <w:rPr>
                <w:rFonts w:hint="eastAsia"/>
                <w:color w:val="auto"/>
              </w:rPr>
              <w:t>根据《中华人民共和国环境影响评价法》和《建设项目环境保护管理条例》的有关规定，本项目需进行环境影响评价工作。根据《建设项目环境影响评价分类管理名录》， 本项目属于“五十、社会事业与服务业 123 动物医院”，本项目环境影响评价类别为编制环境影响报告表。</w:t>
            </w:r>
          </w:p>
          <w:p>
            <w:pPr>
              <w:pStyle w:val="4"/>
              <w:numPr>
                <w:ilvl w:val="0"/>
                <w:numId w:val="11"/>
              </w:numPr>
              <w:rPr>
                <w:rFonts w:hint="eastAsia"/>
                <w:color w:val="auto"/>
              </w:rPr>
            </w:pPr>
            <w:r>
              <w:rPr>
                <w:rFonts w:hint="eastAsia"/>
                <w:color w:val="auto"/>
              </w:rPr>
              <w:t>项目概况</w:t>
            </w:r>
          </w:p>
          <w:p>
            <w:pPr>
              <w:ind w:firstLine="482"/>
              <w:rPr>
                <w:rFonts w:hint="eastAsia"/>
                <w:b/>
                <w:bCs/>
                <w:color w:val="auto"/>
              </w:rPr>
            </w:pPr>
            <w:r>
              <w:rPr>
                <w:rFonts w:hint="eastAsia"/>
                <w:b/>
                <w:bCs/>
                <w:color w:val="auto"/>
              </w:rPr>
              <w:t>1、项目基本情况</w:t>
            </w:r>
          </w:p>
          <w:p>
            <w:pPr>
              <w:ind w:firstLine="482"/>
              <w:rPr>
                <w:rFonts w:hint="eastAsia" w:eastAsia="宋体"/>
                <w:color w:val="auto"/>
                <w:lang w:eastAsia="zh-CN"/>
              </w:rPr>
            </w:pPr>
            <w:r>
              <w:rPr>
                <w:rFonts w:hint="eastAsia"/>
                <w:b/>
                <w:bCs/>
                <w:color w:val="auto"/>
              </w:rPr>
              <w:t>项目名称</w:t>
            </w:r>
            <w:r>
              <w:rPr>
                <w:rFonts w:hint="eastAsia"/>
                <w:color w:val="auto"/>
              </w:rPr>
              <w:t>：</w:t>
            </w:r>
            <w:r>
              <w:rPr>
                <w:rFonts w:hint="eastAsia"/>
                <w:color w:val="auto"/>
                <w:lang w:eastAsia="zh-CN"/>
              </w:rPr>
              <w:t>乐山宠爱宠物医院</w:t>
            </w:r>
          </w:p>
          <w:p>
            <w:pPr>
              <w:ind w:firstLine="482"/>
              <w:rPr>
                <w:rFonts w:hint="eastAsia"/>
                <w:color w:val="auto"/>
              </w:rPr>
            </w:pPr>
            <w:r>
              <w:rPr>
                <w:rFonts w:hint="eastAsia"/>
                <w:b/>
                <w:bCs/>
                <w:color w:val="auto"/>
              </w:rPr>
              <w:t>建设单位</w:t>
            </w:r>
            <w:r>
              <w:rPr>
                <w:rFonts w:hint="eastAsia"/>
                <w:color w:val="auto"/>
              </w:rPr>
              <w:t>：乐山宠爱宠物医院</w:t>
            </w:r>
          </w:p>
          <w:p>
            <w:pPr>
              <w:ind w:firstLine="482"/>
              <w:rPr>
                <w:rFonts w:hint="eastAsia"/>
                <w:color w:val="auto"/>
              </w:rPr>
            </w:pPr>
            <w:r>
              <w:rPr>
                <w:rFonts w:hint="eastAsia"/>
                <w:b/>
                <w:bCs/>
                <w:color w:val="auto"/>
              </w:rPr>
              <w:t>建设地址</w:t>
            </w:r>
            <w:r>
              <w:rPr>
                <w:rFonts w:hint="eastAsia"/>
                <w:color w:val="auto"/>
              </w:rPr>
              <w:t>：四川省乐山市市中区春华路中段656号</w:t>
            </w:r>
          </w:p>
          <w:p>
            <w:pPr>
              <w:ind w:firstLine="482"/>
              <w:rPr>
                <w:rFonts w:hint="eastAsia"/>
                <w:color w:val="auto"/>
              </w:rPr>
            </w:pPr>
            <w:r>
              <w:rPr>
                <w:rFonts w:hint="eastAsia"/>
                <w:b/>
                <w:bCs/>
                <w:color w:val="auto"/>
              </w:rPr>
              <w:t>建设性质</w:t>
            </w:r>
            <w:r>
              <w:rPr>
                <w:rFonts w:hint="eastAsia"/>
                <w:color w:val="auto"/>
              </w:rPr>
              <w:t>：新建</w:t>
            </w:r>
          </w:p>
          <w:p>
            <w:pPr>
              <w:ind w:firstLine="482"/>
              <w:rPr>
                <w:rFonts w:hint="eastAsia"/>
                <w:color w:val="auto"/>
              </w:rPr>
            </w:pPr>
            <w:r>
              <w:rPr>
                <w:rFonts w:hint="eastAsia"/>
                <w:b/>
                <w:bCs/>
                <w:color w:val="auto"/>
              </w:rPr>
              <w:t>建设内容：</w:t>
            </w:r>
            <w:r>
              <w:rPr>
                <w:rFonts w:hint="eastAsia"/>
                <w:color w:val="auto"/>
              </w:rPr>
              <w:t>项目总投资15万元，租用四川省乐山市市中区春华路中段656号的商铺进行项目的建设，建筑面积约95.85m</w:t>
            </w:r>
            <w:r>
              <w:rPr>
                <w:rFonts w:hint="eastAsia"/>
                <w:color w:val="auto"/>
                <w:vertAlign w:val="superscript"/>
              </w:rPr>
              <w:t>2</w:t>
            </w:r>
            <w:r>
              <w:rPr>
                <w:rFonts w:hint="eastAsia"/>
                <w:color w:val="auto"/>
              </w:rPr>
              <w:t>，项目宠物医院有两层楼，1F主要设置有前台、诊疗室一、诊疗室二、医废暂存间、手术室、辐射室、处置室、化验室、休息区；2F主要设置有药房、猫病诊断室、储物室、猫病住院室、狗病住院室、狗病诊断室、普通住院室。宠物用品销售等，门诊最大流量为10只/d，住院室设计最大接纳量为10只/d。</w:t>
            </w:r>
          </w:p>
          <w:p>
            <w:pPr>
              <w:pStyle w:val="4"/>
              <w:rPr>
                <w:rFonts w:hint="eastAsia"/>
                <w:color w:val="auto"/>
              </w:rPr>
            </w:pPr>
            <w:r>
              <w:rPr>
                <w:rFonts w:hint="eastAsia"/>
                <w:color w:val="auto"/>
              </w:rPr>
              <w:t>三、</w:t>
            </w:r>
            <w:r>
              <w:rPr>
                <w:color w:val="auto"/>
              </w:rPr>
              <w:t>项目组成及主要环境问题</w:t>
            </w:r>
            <w:r>
              <w:rPr>
                <w:rFonts w:hint="eastAsia"/>
                <w:color w:val="auto"/>
              </w:rPr>
              <w:t>.</w:t>
            </w:r>
          </w:p>
          <w:p>
            <w:pPr>
              <w:ind w:firstLine="480"/>
              <w:rPr>
                <w:color w:val="auto"/>
              </w:rPr>
            </w:pPr>
            <w:r>
              <w:rPr>
                <w:color w:val="auto"/>
              </w:rPr>
              <w:t>本项目主要由主体工程、辅助工程、公用工程</w:t>
            </w:r>
            <w:r>
              <w:rPr>
                <w:rFonts w:hint="eastAsia"/>
                <w:color w:val="auto"/>
              </w:rPr>
              <w:t>、</w:t>
            </w:r>
            <w:r>
              <w:rPr>
                <w:color w:val="auto"/>
              </w:rPr>
              <w:t>环保工程</w:t>
            </w:r>
            <w:r>
              <w:rPr>
                <w:rFonts w:hint="eastAsia"/>
                <w:color w:val="auto"/>
              </w:rPr>
              <w:t>等</w:t>
            </w:r>
            <w:r>
              <w:rPr>
                <w:color w:val="auto"/>
              </w:rPr>
              <w:t>组成</w:t>
            </w:r>
            <w:r>
              <w:rPr>
                <w:rFonts w:hint="eastAsia"/>
                <w:color w:val="auto"/>
              </w:rPr>
              <w:t>，整个项目场地由走廊相隔，功能分区明确</w:t>
            </w:r>
            <w:r>
              <w:rPr>
                <w:color w:val="auto"/>
              </w:rPr>
              <w:t>。现就本项目的项目组成及主要的环境问题列表如下表</w:t>
            </w:r>
            <w:r>
              <w:rPr>
                <w:rFonts w:hint="eastAsia"/>
                <w:color w:val="auto"/>
              </w:rPr>
              <w:t>2</w:t>
            </w:r>
            <w:r>
              <w:rPr>
                <w:color w:val="auto"/>
              </w:rPr>
              <w:t>-</w:t>
            </w:r>
            <w:r>
              <w:rPr>
                <w:rFonts w:hint="eastAsia"/>
                <w:color w:val="auto"/>
              </w:rPr>
              <w:t>1</w:t>
            </w:r>
            <w:r>
              <w:rPr>
                <w:color w:val="auto"/>
              </w:rPr>
              <w:t>：</w:t>
            </w:r>
          </w:p>
          <w:p>
            <w:pPr>
              <w:pStyle w:val="117"/>
              <w:rPr>
                <w:rFonts w:hint="eastAsia"/>
                <w:color w:val="auto"/>
              </w:rPr>
            </w:pPr>
            <w:r>
              <w:rPr>
                <w:rFonts w:hint="eastAsia"/>
                <w:color w:val="auto"/>
              </w:rPr>
              <w:t>表2-1工程组成及主要环境问题一览表</w:t>
            </w:r>
          </w:p>
          <w:tbl>
            <w:tblPr>
              <w:tblStyle w:val="38"/>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0"/>
              <w:gridCol w:w="1047"/>
              <w:gridCol w:w="868"/>
              <w:gridCol w:w="3493"/>
              <w:gridCol w:w="916"/>
              <w:gridCol w:w="987"/>
              <w:gridCol w:w="4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5" w:hRule="atLeast"/>
                <w:jc w:val="center"/>
              </w:trPr>
              <w:tc>
                <w:tcPr>
                  <w:tcW w:w="292" w:type="pct"/>
                  <w:vMerge w:val="restart"/>
                  <w:noWrap w:val="0"/>
                  <w:vAlign w:val="center"/>
                </w:tcPr>
                <w:p>
                  <w:pPr>
                    <w:pStyle w:val="69"/>
                    <w:rPr>
                      <w:rFonts w:hint="eastAsia"/>
                      <w:color w:val="auto"/>
                    </w:rPr>
                  </w:pPr>
                  <w:r>
                    <w:rPr>
                      <w:rFonts w:hint="eastAsia"/>
                      <w:color w:val="auto"/>
                    </w:rPr>
                    <w:t>名称</w:t>
                  </w:r>
                </w:p>
              </w:tc>
              <w:tc>
                <w:tcPr>
                  <w:tcW w:w="3289" w:type="pct"/>
                  <w:gridSpan w:val="3"/>
                  <w:vMerge w:val="restart"/>
                  <w:noWrap w:val="0"/>
                  <w:vAlign w:val="center"/>
                </w:tcPr>
                <w:p>
                  <w:pPr>
                    <w:pStyle w:val="69"/>
                    <w:rPr>
                      <w:rFonts w:hint="eastAsia"/>
                      <w:color w:val="auto"/>
                    </w:rPr>
                  </w:pPr>
                  <w:r>
                    <w:rPr>
                      <w:rFonts w:hint="eastAsia"/>
                      <w:color w:val="auto"/>
                    </w:rPr>
                    <w:t>建设内容及规模</w:t>
                  </w:r>
                </w:p>
              </w:tc>
              <w:tc>
                <w:tcPr>
                  <w:tcW w:w="1157" w:type="pct"/>
                  <w:gridSpan w:val="2"/>
                  <w:noWrap w:val="0"/>
                  <w:vAlign w:val="center"/>
                </w:tcPr>
                <w:p>
                  <w:pPr>
                    <w:pStyle w:val="69"/>
                    <w:rPr>
                      <w:rFonts w:hint="eastAsia"/>
                      <w:color w:val="auto"/>
                    </w:rPr>
                  </w:pPr>
                  <w:r>
                    <w:rPr>
                      <w:rFonts w:hint="eastAsia"/>
                      <w:color w:val="auto"/>
                    </w:rPr>
                    <w:t>可能产生的环境问题</w:t>
                  </w:r>
                </w:p>
              </w:tc>
              <w:tc>
                <w:tcPr>
                  <w:tcW w:w="259" w:type="pct"/>
                  <w:vMerge w:val="restart"/>
                  <w:noWrap w:val="0"/>
                  <w:vAlign w:val="center"/>
                </w:tcPr>
                <w:p>
                  <w:pPr>
                    <w:pStyle w:val="69"/>
                    <w:rPr>
                      <w:rFonts w:hint="eastAsia"/>
                      <w:color w:val="auto"/>
                    </w:rPr>
                  </w:pPr>
                  <w:r>
                    <w:rPr>
                      <w:rFonts w:hint="eastAsia"/>
                      <w:color w:val="auto"/>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167" w:hRule="atLeast"/>
                <w:jc w:val="center"/>
              </w:trPr>
              <w:tc>
                <w:tcPr>
                  <w:tcW w:w="292" w:type="pct"/>
                  <w:vMerge w:val="continue"/>
                  <w:noWrap w:val="0"/>
                  <w:vAlign w:val="center"/>
                </w:tcPr>
                <w:p>
                  <w:pPr>
                    <w:pStyle w:val="69"/>
                    <w:rPr>
                      <w:rFonts w:hint="eastAsia"/>
                      <w:color w:val="auto"/>
                    </w:rPr>
                  </w:pPr>
                </w:p>
              </w:tc>
              <w:tc>
                <w:tcPr>
                  <w:tcW w:w="3289" w:type="pct"/>
                  <w:gridSpan w:val="3"/>
                  <w:vMerge w:val="continue"/>
                  <w:noWrap w:val="0"/>
                  <w:vAlign w:val="center"/>
                </w:tcPr>
                <w:p>
                  <w:pPr>
                    <w:pStyle w:val="69"/>
                    <w:rPr>
                      <w:rFonts w:hint="eastAsia"/>
                      <w:color w:val="auto"/>
                    </w:rPr>
                  </w:pPr>
                </w:p>
              </w:tc>
              <w:tc>
                <w:tcPr>
                  <w:tcW w:w="557" w:type="pct"/>
                  <w:noWrap w:val="0"/>
                  <w:vAlign w:val="center"/>
                </w:tcPr>
                <w:p>
                  <w:pPr>
                    <w:pStyle w:val="69"/>
                    <w:rPr>
                      <w:rFonts w:hint="eastAsia"/>
                      <w:color w:val="auto"/>
                    </w:rPr>
                  </w:pPr>
                  <w:r>
                    <w:rPr>
                      <w:rFonts w:hint="eastAsia"/>
                      <w:color w:val="auto"/>
                    </w:rPr>
                    <w:t>施工期</w:t>
                  </w:r>
                </w:p>
              </w:tc>
              <w:tc>
                <w:tcPr>
                  <w:tcW w:w="599" w:type="pct"/>
                  <w:noWrap w:val="0"/>
                  <w:vAlign w:val="center"/>
                </w:tcPr>
                <w:p>
                  <w:pPr>
                    <w:pStyle w:val="69"/>
                    <w:rPr>
                      <w:rFonts w:hint="eastAsia"/>
                      <w:color w:val="auto"/>
                    </w:rPr>
                  </w:pPr>
                  <w:r>
                    <w:rPr>
                      <w:rFonts w:hint="eastAsia"/>
                      <w:color w:val="auto"/>
                    </w:rPr>
                    <w:t>运营期</w:t>
                  </w:r>
                </w:p>
              </w:tc>
              <w:tc>
                <w:tcPr>
                  <w:tcW w:w="259" w:type="pct"/>
                  <w:vMerge w:val="continue"/>
                  <w:noWrap w:val="0"/>
                  <w:vAlign w:val="center"/>
                </w:tcPr>
                <w:p>
                  <w:pPr>
                    <w:pStyle w:val="69"/>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8" w:hRule="atLeast"/>
                <w:jc w:val="center"/>
              </w:trPr>
              <w:tc>
                <w:tcPr>
                  <w:tcW w:w="292" w:type="pct"/>
                  <w:vMerge w:val="restart"/>
                  <w:noWrap w:val="0"/>
                  <w:vAlign w:val="center"/>
                </w:tcPr>
                <w:p>
                  <w:pPr>
                    <w:pStyle w:val="69"/>
                    <w:rPr>
                      <w:rFonts w:hint="eastAsia"/>
                      <w:color w:val="auto"/>
                    </w:rPr>
                  </w:pPr>
                  <w:r>
                    <w:rPr>
                      <w:rFonts w:hint="eastAsia"/>
                      <w:color w:val="auto"/>
                    </w:rPr>
                    <w:t>主体</w:t>
                  </w:r>
                </w:p>
                <w:p>
                  <w:pPr>
                    <w:pStyle w:val="69"/>
                    <w:rPr>
                      <w:rFonts w:hint="eastAsia"/>
                      <w:color w:val="auto"/>
                    </w:rPr>
                  </w:pPr>
                  <w:r>
                    <w:rPr>
                      <w:rFonts w:hint="eastAsia"/>
                      <w:color w:val="auto"/>
                    </w:rPr>
                    <w:t>工程</w:t>
                  </w:r>
                </w:p>
              </w:tc>
              <w:tc>
                <w:tcPr>
                  <w:tcW w:w="637" w:type="pct"/>
                  <w:noWrap w:val="0"/>
                  <w:vAlign w:val="center"/>
                </w:tcPr>
                <w:p>
                  <w:pPr>
                    <w:pStyle w:val="69"/>
                    <w:rPr>
                      <w:rFonts w:hint="eastAsia"/>
                      <w:color w:val="auto"/>
                    </w:rPr>
                  </w:pPr>
                  <w:r>
                    <w:rPr>
                      <w:rFonts w:hint="eastAsia"/>
                      <w:color w:val="auto"/>
                    </w:rPr>
                    <w:t>诊疗室</w:t>
                  </w:r>
                </w:p>
              </w:tc>
              <w:tc>
                <w:tcPr>
                  <w:tcW w:w="2652" w:type="pct"/>
                  <w:gridSpan w:val="2"/>
                  <w:noWrap w:val="0"/>
                  <w:vAlign w:val="center"/>
                </w:tcPr>
                <w:p>
                  <w:pPr>
                    <w:pStyle w:val="69"/>
                    <w:rPr>
                      <w:rFonts w:hint="eastAsia"/>
                      <w:color w:val="auto"/>
                    </w:rPr>
                  </w:pPr>
                  <w:r>
                    <w:rPr>
                      <w:rFonts w:hint="eastAsia"/>
                      <w:color w:val="auto"/>
                    </w:rPr>
                    <w:t>主要有两间，诊疗室一、诊疗室二、均设置在一楼，离手术室、辐射室较近。</w:t>
                  </w:r>
                </w:p>
              </w:tc>
              <w:tc>
                <w:tcPr>
                  <w:tcW w:w="557" w:type="pct"/>
                  <w:vMerge w:val="restart"/>
                  <w:noWrap w:val="0"/>
                  <w:vAlign w:val="center"/>
                </w:tcPr>
                <w:p>
                  <w:pPr>
                    <w:pStyle w:val="69"/>
                    <w:rPr>
                      <w:rFonts w:hint="eastAsia"/>
                      <w:color w:val="auto"/>
                    </w:rPr>
                  </w:pPr>
                  <w:r>
                    <w:rPr>
                      <w:rFonts w:hint="eastAsia"/>
                      <w:color w:val="auto"/>
                    </w:rPr>
                    <w:t>/</w:t>
                  </w:r>
                </w:p>
              </w:tc>
              <w:tc>
                <w:tcPr>
                  <w:tcW w:w="599" w:type="pct"/>
                  <w:vMerge w:val="restart"/>
                  <w:noWrap w:val="0"/>
                  <w:vAlign w:val="center"/>
                </w:tcPr>
                <w:p>
                  <w:pPr>
                    <w:pStyle w:val="69"/>
                    <w:rPr>
                      <w:rFonts w:hint="eastAsia"/>
                      <w:color w:val="auto"/>
                    </w:rPr>
                  </w:pPr>
                  <w:r>
                    <w:rPr>
                      <w:rFonts w:hint="eastAsia"/>
                      <w:color w:val="auto"/>
                    </w:rPr>
                    <w:t>噪声、医疗</w:t>
                  </w:r>
                  <w:r>
                    <w:rPr>
                      <w:color w:val="auto"/>
                    </w:rPr>
                    <w:t>废水</w:t>
                  </w:r>
                  <w:r>
                    <w:rPr>
                      <w:rFonts w:hint="eastAsia"/>
                      <w:color w:val="auto"/>
                    </w:rPr>
                    <w:t>、医疗废物、生活垃圾、医疗废气</w:t>
                  </w:r>
                </w:p>
              </w:tc>
              <w:tc>
                <w:tcPr>
                  <w:tcW w:w="259" w:type="pct"/>
                  <w:vMerge w:val="restart"/>
                  <w:noWrap w:val="0"/>
                  <w:vAlign w:val="center"/>
                </w:tcPr>
                <w:p>
                  <w:pPr>
                    <w:pStyle w:val="69"/>
                    <w:rPr>
                      <w:rFonts w:hint="eastAsia"/>
                      <w:color w:val="auto"/>
                    </w:rPr>
                  </w:pPr>
                  <w:r>
                    <w:rPr>
                      <w:rFonts w:hint="eastAsia"/>
                      <w:color w:val="auto"/>
                    </w:rPr>
                    <w:t>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4" w:hRule="atLeast"/>
                <w:jc w:val="center"/>
              </w:trPr>
              <w:tc>
                <w:tcPr>
                  <w:tcW w:w="292" w:type="pct"/>
                  <w:vMerge w:val="continue"/>
                  <w:noWrap w:val="0"/>
                  <w:vAlign w:val="center"/>
                </w:tcPr>
                <w:p>
                  <w:pPr>
                    <w:pStyle w:val="69"/>
                    <w:rPr>
                      <w:rFonts w:hint="eastAsia"/>
                      <w:color w:val="auto"/>
                    </w:rPr>
                  </w:pPr>
                </w:p>
              </w:tc>
              <w:tc>
                <w:tcPr>
                  <w:tcW w:w="637" w:type="pct"/>
                  <w:noWrap w:val="0"/>
                  <w:vAlign w:val="center"/>
                </w:tcPr>
                <w:p>
                  <w:pPr>
                    <w:pStyle w:val="69"/>
                    <w:rPr>
                      <w:rFonts w:hint="eastAsia"/>
                      <w:color w:val="auto"/>
                    </w:rPr>
                  </w:pPr>
                  <w:r>
                    <w:rPr>
                      <w:rFonts w:hint="eastAsia"/>
                      <w:color w:val="auto"/>
                    </w:rPr>
                    <w:t>住院室</w:t>
                  </w:r>
                </w:p>
              </w:tc>
              <w:tc>
                <w:tcPr>
                  <w:tcW w:w="2652" w:type="pct"/>
                  <w:gridSpan w:val="2"/>
                  <w:noWrap w:val="0"/>
                  <w:vAlign w:val="center"/>
                </w:tcPr>
                <w:p>
                  <w:pPr>
                    <w:pStyle w:val="69"/>
                    <w:rPr>
                      <w:rFonts w:hint="eastAsia"/>
                      <w:color w:val="auto"/>
                    </w:rPr>
                  </w:pPr>
                  <w:r>
                    <w:rPr>
                      <w:rFonts w:hint="eastAsia"/>
                      <w:color w:val="auto"/>
                    </w:rPr>
                    <w:t>主要设置于二楼，有三间，猫病住院室、狗病住院室、普通住院室。</w:t>
                  </w:r>
                </w:p>
              </w:tc>
              <w:tc>
                <w:tcPr>
                  <w:tcW w:w="557" w:type="pct"/>
                  <w:vMerge w:val="continue"/>
                  <w:noWrap w:val="0"/>
                  <w:vAlign w:val="center"/>
                </w:tcPr>
                <w:p>
                  <w:pPr>
                    <w:pStyle w:val="69"/>
                    <w:rPr>
                      <w:rFonts w:hint="eastAsia"/>
                      <w:color w:val="auto"/>
                    </w:rPr>
                  </w:pPr>
                </w:p>
              </w:tc>
              <w:tc>
                <w:tcPr>
                  <w:tcW w:w="599" w:type="pct"/>
                  <w:vMerge w:val="continue"/>
                  <w:noWrap w:val="0"/>
                  <w:vAlign w:val="center"/>
                </w:tcPr>
                <w:p>
                  <w:pPr>
                    <w:pStyle w:val="69"/>
                    <w:rPr>
                      <w:rFonts w:hint="eastAsia"/>
                      <w:color w:val="auto"/>
                    </w:rPr>
                  </w:pPr>
                </w:p>
              </w:tc>
              <w:tc>
                <w:tcPr>
                  <w:tcW w:w="259" w:type="pct"/>
                  <w:vMerge w:val="continue"/>
                  <w:noWrap w:val="0"/>
                  <w:vAlign w:val="center"/>
                </w:tcPr>
                <w:p>
                  <w:pPr>
                    <w:pStyle w:val="69"/>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0" w:hRule="atLeast"/>
                <w:jc w:val="center"/>
              </w:trPr>
              <w:tc>
                <w:tcPr>
                  <w:tcW w:w="292" w:type="pct"/>
                  <w:vMerge w:val="continue"/>
                  <w:noWrap w:val="0"/>
                  <w:vAlign w:val="center"/>
                </w:tcPr>
                <w:p>
                  <w:pPr>
                    <w:pStyle w:val="69"/>
                    <w:rPr>
                      <w:rFonts w:hint="eastAsia"/>
                      <w:color w:val="auto"/>
                    </w:rPr>
                  </w:pPr>
                </w:p>
              </w:tc>
              <w:tc>
                <w:tcPr>
                  <w:tcW w:w="637" w:type="pct"/>
                  <w:noWrap w:val="0"/>
                  <w:vAlign w:val="center"/>
                </w:tcPr>
                <w:p>
                  <w:pPr>
                    <w:pStyle w:val="69"/>
                    <w:rPr>
                      <w:rFonts w:hint="eastAsia"/>
                      <w:color w:val="auto"/>
                    </w:rPr>
                  </w:pPr>
                  <w:r>
                    <w:rPr>
                      <w:rFonts w:hint="eastAsia"/>
                      <w:color w:val="auto"/>
                    </w:rPr>
                    <w:t>药房</w:t>
                  </w:r>
                </w:p>
              </w:tc>
              <w:tc>
                <w:tcPr>
                  <w:tcW w:w="2652" w:type="pct"/>
                  <w:gridSpan w:val="2"/>
                  <w:noWrap w:val="0"/>
                  <w:vAlign w:val="center"/>
                </w:tcPr>
                <w:p>
                  <w:pPr>
                    <w:pStyle w:val="69"/>
                    <w:rPr>
                      <w:color w:val="auto"/>
                    </w:rPr>
                  </w:pPr>
                  <w:r>
                    <w:rPr>
                      <w:rFonts w:hint="eastAsia"/>
                      <w:color w:val="auto"/>
                    </w:rPr>
                    <w:t>设置于二楼，面积约5m</w:t>
                  </w:r>
                  <w:r>
                    <w:rPr>
                      <w:rFonts w:hint="eastAsia"/>
                      <w:color w:val="auto"/>
                      <w:vertAlign w:val="superscript"/>
                    </w:rPr>
                    <w:t>2</w:t>
                  </w:r>
                </w:p>
              </w:tc>
              <w:tc>
                <w:tcPr>
                  <w:tcW w:w="557" w:type="pct"/>
                  <w:vMerge w:val="continue"/>
                  <w:noWrap w:val="0"/>
                  <w:vAlign w:val="center"/>
                </w:tcPr>
                <w:p>
                  <w:pPr>
                    <w:pStyle w:val="69"/>
                    <w:rPr>
                      <w:rFonts w:hint="eastAsia"/>
                      <w:color w:val="auto"/>
                    </w:rPr>
                  </w:pPr>
                </w:p>
              </w:tc>
              <w:tc>
                <w:tcPr>
                  <w:tcW w:w="599" w:type="pct"/>
                  <w:vMerge w:val="continue"/>
                  <w:noWrap w:val="0"/>
                  <w:vAlign w:val="center"/>
                </w:tcPr>
                <w:p>
                  <w:pPr>
                    <w:pStyle w:val="69"/>
                    <w:rPr>
                      <w:rFonts w:hint="eastAsia"/>
                      <w:color w:val="auto"/>
                    </w:rPr>
                  </w:pPr>
                </w:p>
              </w:tc>
              <w:tc>
                <w:tcPr>
                  <w:tcW w:w="259" w:type="pct"/>
                  <w:vMerge w:val="continue"/>
                  <w:noWrap w:val="0"/>
                  <w:vAlign w:val="center"/>
                </w:tcPr>
                <w:p>
                  <w:pPr>
                    <w:pStyle w:val="69"/>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1" w:hRule="atLeast"/>
                <w:jc w:val="center"/>
              </w:trPr>
              <w:tc>
                <w:tcPr>
                  <w:tcW w:w="292" w:type="pct"/>
                  <w:vMerge w:val="continue"/>
                  <w:noWrap w:val="0"/>
                  <w:vAlign w:val="center"/>
                </w:tcPr>
                <w:p>
                  <w:pPr>
                    <w:pStyle w:val="69"/>
                    <w:rPr>
                      <w:rFonts w:hint="eastAsia"/>
                      <w:color w:val="auto"/>
                    </w:rPr>
                  </w:pPr>
                </w:p>
              </w:tc>
              <w:tc>
                <w:tcPr>
                  <w:tcW w:w="637" w:type="pct"/>
                  <w:noWrap w:val="0"/>
                  <w:vAlign w:val="center"/>
                </w:tcPr>
                <w:p>
                  <w:pPr>
                    <w:pStyle w:val="69"/>
                    <w:rPr>
                      <w:rFonts w:hint="eastAsia"/>
                      <w:color w:val="auto"/>
                    </w:rPr>
                  </w:pPr>
                  <w:r>
                    <w:rPr>
                      <w:rFonts w:hint="eastAsia"/>
                      <w:color w:val="auto"/>
                    </w:rPr>
                    <w:t>手术室</w:t>
                  </w:r>
                </w:p>
              </w:tc>
              <w:tc>
                <w:tcPr>
                  <w:tcW w:w="2652" w:type="pct"/>
                  <w:gridSpan w:val="2"/>
                  <w:noWrap w:val="0"/>
                  <w:vAlign w:val="center"/>
                </w:tcPr>
                <w:p>
                  <w:pPr>
                    <w:pStyle w:val="69"/>
                    <w:rPr>
                      <w:color w:val="auto"/>
                    </w:rPr>
                  </w:pPr>
                  <w:r>
                    <w:rPr>
                      <w:rFonts w:hint="eastAsia"/>
                      <w:color w:val="auto"/>
                    </w:rPr>
                    <w:t>位于一楼走廊尽头右侧，对面是DR室和处置室，旁边是医废暂存间</w:t>
                  </w:r>
                </w:p>
              </w:tc>
              <w:tc>
                <w:tcPr>
                  <w:tcW w:w="557" w:type="pct"/>
                  <w:vMerge w:val="continue"/>
                  <w:noWrap w:val="0"/>
                  <w:vAlign w:val="center"/>
                </w:tcPr>
                <w:p>
                  <w:pPr>
                    <w:pStyle w:val="69"/>
                    <w:rPr>
                      <w:rFonts w:hint="eastAsia"/>
                      <w:color w:val="auto"/>
                    </w:rPr>
                  </w:pPr>
                </w:p>
              </w:tc>
              <w:tc>
                <w:tcPr>
                  <w:tcW w:w="599" w:type="pct"/>
                  <w:vMerge w:val="continue"/>
                  <w:noWrap w:val="0"/>
                  <w:vAlign w:val="center"/>
                </w:tcPr>
                <w:p>
                  <w:pPr>
                    <w:pStyle w:val="69"/>
                    <w:rPr>
                      <w:rFonts w:hint="eastAsia"/>
                      <w:color w:val="auto"/>
                    </w:rPr>
                  </w:pPr>
                </w:p>
              </w:tc>
              <w:tc>
                <w:tcPr>
                  <w:tcW w:w="259" w:type="pct"/>
                  <w:vMerge w:val="continue"/>
                  <w:noWrap w:val="0"/>
                  <w:vAlign w:val="center"/>
                </w:tcPr>
                <w:p>
                  <w:pPr>
                    <w:pStyle w:val="69"/>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376" w:hRule="atLeast"/>
                <w:jc w:val="center"/>
              </w:trPr>
              <w:tc>
                <w:tcPr>
                  <w:tcW w:w="292" w:type="pct"/>
                  <w:vMerge w:val="continue"/>
                  <w:noWrap w:val="0"/>
                  <w:vAlign w:val="center"/>
                </w:tcPr>
                <w:p>
                  <w:pPr>
                    <w:pStyle w:val="69"/>
                    <w:rPr>
                      <w:rFonts w:hint="eastAsia"/>
                      <w:color w:val="auto"/>
                    </w:rPr>
                  </w:pPr>
                </w:p>
              </w:tc>
              <w:tc>
                <w:tcPr>
                  <w:tcW w:w="637" w:type="pct"/>
                  <w:noWrap w:val="0"/>
                  <w:vAlign w:val="center"/>
                </w:tcPr>
                <w:p>
                  <w:pPr>
                    <w:pStyle w:val="69"/>
                    <w:rPr>
                      <w:rFonts w:hint="eastAsia"/>
                      <w:color w:val="auto"/>
                    </w:rPr>
                  </w:pPr>
                  <w:r>
                    <w:rPr>
                      <w:rFonts w:hint="eastAsia"/>
                      <w:color w:val="auto"/>
                    </w:rPr>
                    <w:t>辐射室</w:t>
                  </w:r>
                </w:p>
              </w:tc>
              <w:tc>
                <w:tcPr>
                  <w:tcW w:w="2652" w:type="pct"/>
                  <w:gridSpan w:val="2"/>
                  <w:noWrap w:val="0"/>
                  <w:vAlign w:val="center"/>
                </w:tcPr>
                <w:p>
                  <w:pPr>
                    <w:pStyle w:val="69"/>
                    <w:rPr>
                      <w:color w:val="auto"/>
                    </w:rPr>
                  </w:pPr>
                  <w:r>
                    <w:rPr>
                      <w:rFonts w:hint="eastAsia"/>
                      <w:color w:val="auto"/>
                    </w:rPr>
                    <w:t>位于1F，建筑面积5m</w:t>
                  </w:r>
                  <w:r>
                    <w:rPr>
                      <w:rFonts w:hint="eastAsia"/>
                      <w:color w:val="auto"/>
                      <w:vertAlign w:val="superscript"/>
                    </w:rPr>
                    <w:t>2</w:t>
                  </w:r>
                  <w:r>
                    <w:rPr>
                      <w:rFonts w:hint="eastAsia"/>
                      <w:color w:val="auto"/>
                    </w:rPr>
                    <w:t>.</w:t>
                  </w:r>
                </w:p>
              </w:tc>
              <w:tc>
                <w:tcPr>
                  <w:tcW w:w="557" w:type="pct"/>
                  <w:vMerge w:val="continue"/>
                  <w:noWrap w:val="0"/>
                  <w:vAlign w:val="center"/>
                </w:tcPr>
                <w:p>
                  <w:pPr>
                    <w:pStyle w:val="69"/>
                    <w:rPr>
                      <w:rFonts w:hint="eastAsia"/>
                      <w:color w:val="auto"/>
                    </w:rPr>
                  </w:pPr>
                </w:p>
              </w:tc>
              <w:tc>
                <w:tcPr>
                  <w:tcW w:w="599" w:type="pct"/>
                  <w:noWrap w:val="0"/>
                  <w:vAlign w:val="center"/>
                </w:tcPr>
                <w:p>
                  <w:pPr>
                    <w:pStyle w:val="69"/>
                    <w:rPr>
                      <w:rFonts w:hint="eastAsia"/>
                      <w:color w:val="auto"/>
                    </w:rPr>
                  </w:pPr>
                  <w:r>
                    <w:rPr>
                      <w:rFonts w:hint="eastAsia"/>
                      <w:color w:val="auto"/>
                    </w:rPr>
                    <w:t>/</w:t>
                  </w:r>
                </w:p>
              </w:tc>
              <w:tc>
                <w:tcPr>
                  <w:tcW w:w="259" w:type="pct"/>
                  <w:vMerge w:val="continue"/>
                  <w:noWrap w:val="0"/>
                  <w:vAlign w:val="center"/>
                </w:tcPr>
                <w:p>
                  <w:pPr>
                    <w:pStyle w:val="69"/>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2" w:hRule="atLeast"/>
                <w:jc w:val="center"/>
              </w:trPr>
              <w:tc>
                <w:tcPr>
                  <w:tcW w:w="292" w:type="pct"/>
                  <w:vMerge w:val="restart"/>
                  <w:noWrap w:val="0"/>
                  <w:vAlign w:val="center"/>
                </w:tcPr>
                <w:p>
                  <w:pPr>
                    <w:pStyle w:val="69"/>
                    <w:rPr>
                      <w:rFonts w:hint="eastAsia"/>
                      <w:color w:val="auto"/>
                    </w:rPr>
                  </w:pPr>
                  <w:r>
                    <w:rPr>
                      <w:rFonts w:hint="eastAsia"/>
                      <w:color w:val="auto"/>
                    </w:rPr>
                    <w:t>辅助工程</w:t>
                  </w:r>
                </w:p>
              </w:tc>
              <w:tc>
                <w:tcPr>
                  <w:tcW w:w="637" w:type="pct"/>
                  <w:noWrap w:val="0"/>
                  <w:vAlign w:val="center"/>
                </w:tcPr>
                <w:p>
                  <w:pPr>
                    <w:pStyle w:val="69"/>
                    <w:rPr>
                      <w:rFonts w:hint="eastAsia"/>
                      <w:color w:val="auto"/>
                    </w:rPr>
                  </w:pPr>
                  <w:r>
                    <w:rPr>
                      <w:rFonts w:hint="eastAsia"/>
                      <w:color w:val="auto"/>
                    </w:rPr>
                    <w:t>前台</w:t>
                  </w:r>
                </w:p>
              </w:tc>
              <w:tc>
                <w:tcPr>
                  <w:tcW w:w="2652" w:type="pct"/>
                  <w:gridSpan w:val="2"/>
                  <w:noWrap w:val="0"/>
                  <w:vAlign w:val="center"/>
                </w:tcPr>
                <w:p>
                  <w:pPr>
                    <w:pStyle w:val="69"/>
                    <w:rPr>
                      <w:rFonts w:hint="eastAsia"/>
                      <w:color w:val="auto"/>
                    </w:rPr>
                  </w:pPr>
                  <w:r>
                    <w:rPr>
                      <w:rFonts w:hint="eastAsia"/>
                      <w:color w:val="auto"/>
                    </w:rPr>
                    <w:t>位于1F前台，建筑面积5m</w:t>
                  </w:r>
                  <w:r>
                    <w:rPr>
                      <w:rFonts w:hint="eastAsia"/>
                      <w:color w:val="auto"/>
                      <w:vertAlign w:val="superscript"/>
                    </w:rPr>
                    <w:t>2</w:t>
                  </w:r>
                  <w:r>
                    <w:rPr>
                      <w:rFonts w:hint="eastAsia"/>
                      <w:color w:val="auto"/>
                    </w:rPr>
                    <w:t>-.</w:t>
                  </w:r>
                </w:p>
              </w:tc>
              <w:tc>
                <w:tcPr>
                  <w:tcW w:w="557" w:type="pct"/>
                  <w:vMerge w:val="continue"/>
                  <w:noWrap w:val="0"/>
                  <w:vAlign w:val="center"/>
                </w:tcPr>
                <w:p>
                  <w:pPr>
                    <w:pStyle w:val="69"/>
                    <w:rPr>
                      <w:rFonts w:hint="eastAsia"/>
                      <w:color w:val="auto"/>
                    </w:rPr>
                  </w:pPr>
                </w:p>
              </w:tc>
              <w:tc>
                <w:tcPr>
                  <w:tcW w:w="599" w:type="pct"/>
                  <w:vMerge w:val="restart"/>
                  <w:noWrap w:val="0"/>
                  <w:vAlign w:val="center"/>
                </w:tcPr>
                <w:p>
                  <w:pPr>
                    <w:pStyle w:val="69"/>
                    <w:rPr>
                      <w:rFonts w:hint="eastAsia"/>
                      <w:color w:val="auto"/>
                    </w:rPr>
                  </w:pPr>
                  <w:r>
                    <w:rPr>
                      <w:rFonts w:hint="eastAsia"/>
                      <w:color w:val="auto"/>
                    </w:rPr>
                    <w:t>生活垃圾、生活污水</w:t>
                  </w:r>
                </w:p>
              </w:tc>
              <w:tc>
                <w:tcPr>
                  <w:tcW w:w="259" w:type="pct"/>
                  <w:vMerge w:val="continue"/>
                  <w:noWrap w:val="0"/>
                  <w:vAlign w:val="center"/>
                </w:tcPr>
                <w:p>
                  <w:pPr>
                    <w:pStyle w:val="69"/>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339" w:hRule="atLeast"/>
                <w:jc w:val="center"/>
              </w:trPr>
              <w:tc>
                <w:tcPr>
                  <w:tcW w:w="292" w:type="pct"/>
                  <w:vMerge w:val="continue"/>
                  <w:noWrap w:val="0"/>
                  <w:vAlign w:val="center"/>
                </w:tcPr>
                <w:p>
                  <w:pPr>
                    <w:pStyle w:val="69"/>
                    <w:rPr>
                      <w:rFonts w:hint="eastAsia"/>
                      <w:color w:val="auto"/>
                    </w:rPr>
                  </w:pPr>
                </w:p>
              </w:tc>
              <w:tc>
                <w:tcPr>
                  <w:tcW w:w="637" w:type="pct"/>
                  <w:noWrap w:val="0"/>
                  <w:vAlign w:val="center"/>
                </w:tcPr>
                <w:p>
                  <w:pPr>
                    <w:pStyle w:val="69"/>
                    <w:rPr>
                      <w:rFonts w:hint="eastAsia"/>
                      <w:color w:val="auto"/>
                    </w:rPr>
                  </w:pPr>
                  <w:r>
                    <w:rPr>
                      <w:rFonts w:hint="eastAsia"/>
                      <w:color w:val="auto"/>
                    </w:rPr>
                    <w:t>化验室</w:t>
                  </w:r>
                </w:p>
              </w:tc>
              <w:tc>
                <w:tcPr>
                  <w:tcW w:w="2652" w:type="pct"/>
                  <w:gridSpan w:val="2"/>
                  <w:noWrap w:val="0"/>
                  <w:vAlign w:val="center"/>
                </w:tcPr>
                <w:p>
                  <w:pPr>
                    <w:pStyle w:val="69"/>
                    <w:rPr>
                      <w:rFonts w:hint="eastAsia"/>
                      <w:color w:val="auto"/>
                    </w:rPr>
                  </w:pPr>
                  <w:r>
                    <w:rPr>
                      <w:rFonts w:hint="eastAsia"/>
                      <w:color w:val="auto"/>
                    </w:rPr>
                    <w:t>位于1F，建筑面积5m</w:t>
                  </w:r>
                  <w:r>
                    <w:rPr>
                      <w:rFonts w:hint="eastAsia"/>
                      <w:color w:val="auto"/>
                      <w:vertAlign w:val="superscript"/>
                    </w:rPr>
                    <w:t>2</w:t>
                  </w:r>
                </w:p>
              </w:tc>
              <w:tc>
                <w:tcPr>
                  <w:tcW w:w="557" w:type="pct"/>
                  <w:vMerge w:val="continue"/>
                  <w:noWrap w:val="0"/>
                  <w:vAlign w:val="center"/>
                </w:tcPr>
                <w:p>
                  <w:pPr>
                    <w:pStyle w:val="69"/>
                    <w:rPr>
                      <w:rFonts w:hint="eastAsia"/>
                      <w:color w:val="auto"/>
                    </w:rPr>
                  </w:pPr>
                </w:p>
              </w:tc>
              <w:tc>
                <w:tcPr>
                  <w:tcW w:w="599" w:type="pct"/>
                  <w:vMerge w:val="continue"/>
                  <w:noWrap w:val="0"/>
                  <w:vAlign w:val="center"/>
                </w:tcPr>
                <w:p>
                  <w:pPr>
                    <w:pStyle w:val="69"/>
                    <w:rPr>
                      <w:rFonts w:hint="eastAsia"/>
                      <w:color w:val="auto"/>
                    </w:rPr>
                  </w:pPr>
                </w:p>
              </w:tc>
              <w:tc>
                <w:tcPr>
                  <w:tcW w:w="259" w:type="pct"/>
                  <w:vMerge w:val="continue"/>
                  <w:noWrap w:val="0"/>
                  <w:vAlign w:val="center"/>
                </w:tcPr>
                <w:p>
                  <w:pPr>
                    <w:pStyle w:val="69"/>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92" w:type="pct"/>
                  <w:vMerge w:val="continue"/>
                  <w:noWrap w:val="0"/>
                  <w:vAlign w:val="center"/>
                </w:tcPr>
                <w:p>
                  <w:pPr>
                    <w:pStyle w:val="69"/>
                    <w:rPr>
                      <w:rFonts w:hint="eastAsia"/>
                      <w:color w:val="auto"/>
                    </w:rPr>
                  </w:pPr>
                </w:p>
              </w:tc>
              <w:tc>
                <w:tcPr>
                  <w:tcW w:w="637" w:type="pct"/>
                  <w:noWrap w:val="0"/>
                  <w:vAlign w:val="center"/>
                </w:tcPr>
                <w:p>
                  <w:pPr>
                    <w:pStyle w:val="69"/>
                    <w:rPr>
                      <w:rFonts w:hint="eastAsia"/>
                      <w:color w:val="auto"/>
                    </w:rPr>
                  </w:pPr>
                  <w:r>
                    <w:rPr>
                      <w:rFonts w:hint="eastAsia"/>
                      <w:color w:val="auto"/>
                    </w:rPr>
                    <w:t>供热制冷</w:t>
                  </w:r>
                </w:p>
              </w:tc>
              <w:tc>
                <w:tcPr>
                  <w:tcW w:w="2652" w:type="pct"/>
                  <w:gridSpan w:val="2"/>
                  <w:noWrap w:val="0"/>
                  <w:vAlign w:val="center"/>
                </w:tcPr>
                <w:p>
                  <w:pPr>
                    <w:pStyle w:val="69"/>
                    <w:rPr>
                      <w:rFonts w:hint="eastAsia"/>
                      <w:color w:val="auto"/>
                    </w:rPr>
                  </w:pPr>
                  <w:r>
                    <w:rPr>
                      <w:rFonts w:hint="eastAsia"/>
                      <w:color w:val="auto"/>
                    </w:rPr>
                    <w:t>柜机空调进行制冷和制热</w:t>
                  </w:r>
                </w:p>
              </w:tc>
              <w:tc>
                <w:tcPr>
                  <w:tcW w:w="557" w:type="pct"/>
                  <w:vMerge w:val="continue"/>
                  <w:noWrap w:val="0"/>
                  <w:vAlign w:val="center"/>
                </w:tcPr>
                <w:p>
                  <w:pPr>
                    <w:pStyle w:val="69"/>
                    <w:rPr>
                      <w:rFonts w:hint="eastAsia"/>
                      <w:color w:val="auto"/>
                    </w:rPr>
                  </w:pPr>
                </w:p>
              </w:tc>
              <w:tc>
                <w:tcPr>
                  <w:tcW w:w="599" w:type="pct"/>
                  <w:noWrap w:val="0"/>
                  <w:vAlign w:val="center"/>
                </w:tcPr>
                <w:p>
                  <w:pPr>
                    <w:pStyle w:val="69"/>
                    <w:rPr>
                      <w:rFonts w:hint="eastAsia"/>
                      <w:color w:val="auto"/>
                    </w:rPr>
                  </w:pPr>
                  <w:r>
                    <w:rPr>
                      <w:rFonts w:hint="eastAsia"/>
                      <w:color w:val="auto"/>
                    </w:rPr>
                    <w:t>固废</w:t>
                  </w:r>
                </w:p>
              </w:tc>
              <w:tc>
                <w:tcPr>
                  <w:tcW w:w="259" w:type="pct"/>
                  <w:vMerge w:val="continue"/>
                  <w:noWrap w:val="0"/>
                  <w:vAlign w:val="center"/>
                </w:tcPr>
                <w:p>
                  <w:pPr>
                    <w:pStyle w:val="69"/>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340" w:hRule="atLeast"/>
                <w:jc w:val="center"/>
              </w:trPr>
              <w:tc>
                <w:tcPr>
                  <w:tcW w:w="292" w:type="pct"/>
                  <w:vMerge w:val="continue"/>
                  <w:noWrap w:val="0"/>
                  <w:vAlign w:val="center"/>
                </w:tcPr>
                <w:p>
                  <w:pPr>
                    <w:pStyle w:val="69"/>
                    <w:rPr>
                      <w:rFonts w:hint="eastAsia"/>
                      <w:color w:val="auto"/>
                    </w:rPr>
                  </w:pPr>
                </w:p>
              </w:tc>
              <w:tc>
                <w:tcPr>
                  <w:tcW w:w="637" w:type="pct"/>
                  <w:noWrap w:val="0"/>
                  <w:vAlign w:val="center"/>
                </w:tcPr>
                <w:p>
                  <w:pPr>
                    <w:pStyle w:val="69"/>
                    <w:rPr>
                      <w:rFonts w:hint="eastAsia"/>
                      <w:color w:val="auto"/>
                    </w:rPr>
                  </w:pPr>
                  <w:r>
                    <w:rPr>
                      <w:rFonts w:hint="eastAsia"/>
                      <w:color w:val="auto"/>
                    </w:rPr>
                    <w:t>卫生间</w:t>
                  </w:r>
                </w:p>
              </w:tc>
              <w:tc>
                <w:tcPr>
                  <w:tcW w:w="2652" w:type="pct"/>
                  <w:gridSpan w:val="2"/>
                  <w:noWrap w:val="0"/>
                  <w:vAlign w:val="center"/>
                </w:tcPr>
                <w:p>
                  <w:pPr>
                    <w:pStyle w:val="69"/>
                    <w:rPr>
                      <w:rFonts w:hint="eastAsia"/>
                      <w:color w:val="auto"/>
                    </w:rPr>
                  </w:pPr>
                  <w:r>
                    <w:rPr>
                      <w:rFonts w:hint="eastAsia"/>
                      <w:color w:val="auto"/>
                    </w:rPr>
                    <w:t>设置在1F，建筑面积5m</w:t>
                  </w:r>
                  <w:r>
                    <w:rPr>
                      <w:rFonts w:hint="eastAsia"/>
                      <w:color w:val="auto"/>
                      <w:vertAlign w:val="superscript"/>
                    </w:rPr>
                    <w:t>2</w:t>
                  </w:r>
                  <w:r>
                    <w:rPr>
                      <w:rFonts w:hint="eastAsia"/>
                      <w:color w:val="auto"/>
                    </w:rPr>
                    <w:t>.</w:t>
                  </w:r>
                </w:p>
              </w:tc>
              <w:tc>
                <w:tcPr>
                  <w:tcW w:w="557" w:type="pct"/>
                  <w:vMerge w:val="continue"/>
                  <w:noWrap w:val="0"/>
                  <w:vAlign w:val="center"/>
                </w:tcPr>
                <w:p>
                  <w:pPr>
                    <w:pStyle w:val="69"/>
                    <w:rPr>
                      <w:rFonts w:hint="eastAsia"/>
                      <w:color w:val="auto"/>
                    </w:rPr>
                  </w:pPr>
                </w:p>
              </w:tc>
              <w:tc>
                <w:tcPr>
                  <w:tcW w:w="599" w:type="pct"/>
                  <w:noWrap w:val="0"/>
                  <w:vAlign w:val="center"/>
                </w:tcPr>
                <w:p>
                  <w:pPr>
                    <w:pStyle w:val="69"/>
                    <w:rPr>
                      <w:rFonts w:hint="eastAsia"/>
                      <w:color w:val="auto"/>
                    </w:rPr>
                  </w:pPr>
                  <w:r>
                    <w:rPr>
                      <w:rFonts w:hint="eastAsia"/>
                      <w:color w:val="auto"/>
                    </w:rPr>
                    <w:t>废水</w:t>
                  </w:r>
                </w:p>
              </w:tc>
              <w:tc>
                <w:tcPr>
                  <w:tcW w:w="259" w:type="pct"/>
                  <w:vMerge w:val="continue"/>
                  <w:noWrap w:val="0"/>
                  <w:vAlign w:val="center"/>
                </w:tcPr>
                <w:p>
                  <w:pPr>
                    <w:pStyle w:val="69"/>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92" w:type="pct"/>
                  <w:vMerge w:val="restart"/>
                  <w:noWrap w:val="0"/>
                  <w:vAlign w:val="center"/>
                </w:tcPr>
                <w:p>
                  <w:pPr>
                    <w:pStyle w:val="69"/>
                    <w:rPr>
                      <w:rFonts w:hint="eastAsia"/>
                      <w:color w:val="auto"/>
                    </w:rPr>
                  </w:pPr>
                  <w:r>
                    <w:rPr>
                      <w:rFonts w:hint="eastAsia"/>
                      <w:color w:val="auto"/>
                    </w:rPr>
                    <w:t>公共工程</w:t>
                  </w:r>
                </w:p>
              </w:tc>
              <w:tc>
                <w:tcPr>
                  <w:tcW w:w="637" w:type="pct"/>
                  <w:noWrap w:val="0"/>
                  <w:vAlign w:val="center"/>
                </w:tcPr>
                <w:p>
                  <w:pPr>
                    <w:pStyle w:val="69"/>
                    <w:rPr>
                      <w:rFonts w:hint="eastAsia"/>
                      <w:color w:val="auto"/>
                    </w:rPr>
                  </w:pPr>
                  <w:r>
                    <w:rPr>
                      <w:rFonts w:hint="eastAsia"/>
                      <w:color w:val="auto"/>
                    </w:rPr>
                    <w:t>供水</w:t>
                  </w:r>
                </w:p>
              </w:tc>
              <w:tc>
                <w:tcPr>
                  <w:tcW w:w="2652" w:type="pct"/>
                  <w:gridSpan w:val="2"/>
                  <w:noWrap w:val="0"/>
                  <w:vAlign w:val="center"/>
                </w:tcPr>
                <w:p>
                  <w:pPr>
                    <w:pStyle w:val="69"/>
                    <w:rPr>
                      <w:rFonts w:hint="eastAsia"/>
                      <w:color w:val="auto"/>
                    </w:rPr>
                  </w:pPr>
                  <w:r>
                    <w:rPr>
                      <w:rFonts w:hint="eastAsia"/>
                      <w:color w:val="auto"/>
                    </w:rPr>
                    <w:t>市政给水管网</w:t>
                  </w:r>
                </w:p>
              </w:tc>
              <w:tc>
                <w:tcPr>
                  <w:tcW w:w="557" w:type="pct"/>
                  <w:vMerge w:val="continue"/>
                  <w:noWrap w:val="0"/>
                  <w:vAlign w:val="center"/>
                </w:tcPr>
                <w:p>
                  <w:pPr>
                    <w:pStyle w:val="69"/>
                    <w:rPr>
                      <w:rFonts w:hint="eastAsia"/>
                      <w:color w:val="auto"/>
                    </w:rPr>
                  </w:pPr>
                </w:p>
              </w:tc>
              <w:tc>
                <w:tcPr>
                  <w:tcW w:w="599" w:type="pct"/>
                  <w:noWrap w:val="0"/>
                  <w:vAlign w:val="center"/>
                </w:tcPr>
                <w:p>
                  <w:pPr>
                    <w:pStyle w:val="69"/>
                    <w:rPr>
                      <w:rFonts w:hint="eastAsia"/>
                      <w:color w:val="auto"/>
                    </w:rPr>
                  </w:pPr>
                  <w:r>
                    <w:rPr>
                      <w:rFonts w:hint="eastAsia"/>
                      <w:color w:val="auto"/>
                    </w:rPr>
                    <w:t>/</w:t>
                  </w:r>
                </w:p>
              </w:tc>
              <w:tc>
                <w:tcPr>
                  <w:tcW w:w="259" w:type="pct"/>
                  <w:vMerge w:val="restart"/>
                  <w:noWrap w:val="0"/>
                  <w:vAlign w:val="center"/>
                </w:tcPr>
                <w:p>
                  <w:pPr>
                    <w:pStyle w:val="69"/>
                    <w:rPr>
                      <w:rFonts w:hint="eastAsia"/>
                      <w:color w:val="auto"/>
                    </w:rPr>
                  </w:pPr>
                  <w:r>
                    <w:rPr>
                      <w:rFonts w:hint="eastAsia"/>
                      <w:color w:val="auto"/>
                    </w:rPr>
                    <w:t>依托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26" w:hRule="atLeast"/>
                <w:jc w:val="center"/>
              </w:trPr>
              <w:tc>
                <w:tcPr>
                  <w:tcW w:w="292" w:type="pct"/>
                  <w:vMerge w:val="continue"/>
                  <w:noWrap w:val="0"/>
                  <w:vAlign w:val="center"/>
                </w:tcPr>
                <w:p>
                  <w:pPr>
                    <w:pStyle w:val="69"/>
                    <w:rPr>
                      <w:rFonts w:hint="eastAsia"/>
                      <w:color w:val="auto"/>
                    </w:rPr>
                  </w:pPr>
                </w:p>
              </w:tc>
              <w:tc>
                <w:tcPr>
                  <w:tcW w:w="637" w:type="pct"/>
                  <w:noWrap w:val="0"/>
                  <w:vAlign w:val="center"/>
                </w:tcPr>
                <w:p>
                  <w:pPr>
                    <w:pStyle w:val="69"/>
                    <w:rPr>
                      <w:rFonts w:hint="eastAsia"/>
                      <w:color w:val="auto"/>
                    </w:rPr>
                  </w:pPr>
                  <w:r>
                    <w:rPr>
                      <w:rFonts w:hint="eastAsia"/>
                      <w:color w:val="auto"/>
                    </w:rPr>
                    <w:t>供电</w:t>
                  </w:r>
                </w:p>
              </w:tc>
              <w:tc>
                <w:tcPr>
                  <w:tcW w:w="2652" w:type="pct"/>
                  <w:gridSpan w:val="2"/>
                  <w:noWrap w:val="0"/>
                  <w:vAlign w:val="center"/>
                </w:tcPr>
                <w:p>
                  <w:pPr>
                    <w:pStyle w:val="69"/>
                    <w:rPr>
                      <w:rFonts w:hint="eastAsia"/>
                      <w:color w:val="auto"/>
                    </w:rPr>
                  </w:pPr>
                  <w:r>
                    <w:rPr>
                      <w:rFonts w:hint="eastAsia"/>
                      <w:color w:val="auto"/>
                    </w:rPr>
                    <w:t>市政电网</w:t>
                  </w:r>
                </w:p>
              </w:tc>
              <w:tc>
                <w:tcPr>
                  <w:tcW w:w="557" w:type="pct"/>
                  <w:vMerge w:val="continue"/>
                  <w:noWrap w:val="0"/>
                  <w:vAlign w:val="center"/>
                </w:tcPr>
                <w:p>
                  <w:pPr>
                    <w:pStyle w:val="69"/>
                    <w:rPr>
                      <w:rFonts w:hint="eastAsia"/>
                      <w:color w:val="auto"/>
                    </w:rPr>
                  </w:pPr>
                </w:p>
              </w:tc>
              <w:tc>
                <w:tcPr>
                  <w:tcW w:w="599" w:type="pct"/>
                  <w:noWrap w:val="0"/>
                  <w:vAlign w:val="center"/>
                </w:tcPr>
                <w:p>
                  <w:pPr>
                    <w:pStyle w:val="69"/>
                    <w:rPr>
                      <w:rFonts w:hint="eastAsia"/>
                      <w:color w:val="auto"/>
                    </w:rPr>
                  </w:pPr>
                  <w:r>
                    <w:rPr>
                      <w:rFonts w:hint="eastAsia"/>
                      <w:color w:val="auto"/>
                    </w:rPr>
                    <w:t>/</w:t>
                  </w:r>
                </w:p>
              </w:tc>
              <w:tc>
                <w:tcPr>
                  <w:tcW w:w="259" w:type="pct"/>
                  <w:vMerge w:val="continue"/>
                  <w:noWrap w:val="0"/>
                  <w:vAlign w:val="center"/>
                </w:tcPr>
                <w:p>
                  <w:pPr>
                    <w:pStyle w:val="69"/>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246" w:hRule="atLeast"/>
                <w:jc w:val="center"/>
              </w:trPr>
              <w:tc>
                <w:tcPr>
                  <w:tcW w:w="292" w:type="pct"/>
                  <w:vMerge w:val="continue"/>
                  <w:noWrap w:val="0"/>
                  <w:vAlign w:val="center"/>
                </w:tcPr>
                <w:p>
                  <w:pPr>
                    <w:pStyle w:val="69"/>
                    <w:rPr>
                      <w:rFonts w:hint="eastAsia"/>
                      <w:color w:val="auto"/>
                    </w:rPr>
                  </w:pPr>
                </w:p>
              </w:tc>
              <w:tc>
                <w:tcPr>
                  <w:tcW w:w="637" w:type="pct"/>
                  <w:noWrap w:val="0"/>
                  <w:vAlign w:val="center"/>
                </w:tcPr>
                <w:p>
                  <w:pPr>
                    <w:pStyle w:val="69"/>
                    <w:rPr>
                      <w:rFonts w:hint="eastAsia"/>
                      <w:color w:val="auto"/>
                    </w:rPr>
                  </w:pPr>
                  <w:r>
                    <w:rPr>
                      <w:rFonts w:hint="eastAsia"/>
                      <w:color w:val="auto"/>
                    </w:rPr>
                    <w:t>排水</w:t>
                  </w:r>
                </w:p>
              </w:tc>
              <w:tc>
                <w:tcPr>
                  <w:tcW w:w="2652" w:type="pct"/>
                  <w:gridSpan w:val="2"/>
                  <w:noWrap w:val="0"/>
                  <w:vAlign w:val="center"/>
                </w:tcPr>
                <w:p>
                  <w:pPr>
                    <w:pStyle w:val="69"/>
                    <w:rPr>
                      <w:rFonts w:hint="eastAsia"/>
                      <w:color w:val="auto"/>
                    </w:rPr>
                  </w:pPr>
                  <w:r>
                    <w:rPr>
                      <w:rFonts w:hint="eastAsia"/>
                      <w:color w:val="auto"/>
                    </w:rPr>
                    <w:t>利用卫生间污水管道进入春天花园预处理池处理，最终进入乐山第一污水处理厂处理达标后排入岷江</w:t>
                  </w:r>
                </w:p>
              </w:tc>
              <w:tc>
                <w:tcPr>
                  <w:tcW w:w="557" w:type="pct"/>
                  <w:vMerge w:val="continue"/>
                  <w:noWrap w:val="0"/>
                  <w:vAlign w:val="center"/>
                </w:tcPr>
                <w:p>
                  <w:pPr>
                    <w:pStyle w:val="69"/>
                    <w:rPr>
                      <w:rFonts w:hint="eastAsia"/>
                      <w:color w:val="auto"/>
                    </w:rPr>
                  </w:pPr>
                </w:p>
              </w:tc>
              <w:tc>
                <w:tcPr>
                  <w:tcW w:w="599" w:type="pct"/>
                  <w:noWrap w:val="0"/>
                  <w:vAlign w:val="center"/>
                </w:tcPr>
                <w:p>
                  <w:pPr>
                    <w:pStyle w:val="69"/>
                    <w:rPr>
                      <w:rFonts w:hint="eastAsia"/>
                      <w:color w:val="auto"/>
                    </w:rPr>
                  </w:pPr>
                </w:p>
              </w:tc>
              <w:tc>
                <w:tcPr>
                  <w:tcW w:w="259" w:type="pct"/>
                  <w:vMerge w:val="continue"/>
                  <w:noWrap w:val="0"/>
                  <w:vAlign w:val="center"/>
                </w:tcPr>
                <w:p>
                  <w:pPr>
                    <w:pStyle w:val="69"/>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15" w:hRule="atLeast"/>
                <w:jc w:val="center"/>
              </w:trPr>
              <w:tc>
                <w:tcPr>
                  <w:tcW w:w="292" w:type="pct"/>
                  <w:vMerge w:val="restart"/>
                  <w:noWrap w:val="0"/>
                  <w:vAlign w:val="center"/>
                </w:tcPr>
                <w:p>
                  <w:pPr>
                    <w:pStyle w:val="69"/>
                    <w:rPr>
                      <w:rFonts w:hint="eastAsia"/>
                      <w:color w:val="auto"/>
                    </w:rPr>
                  </w:pPr>
                  <w:r>
                    <w:rPr>
                      <w:rFonts w:hint="eastAsia"/>
                      <w:color w:val="auto"/>
                    </w:rPr>
                    <w:t>环保工程</w:t>
                  </w:r>
                </w:p>
              </w:tc>
              <w:tc>
                <w:tcPr>
                  <w:tcW w:w="637" w:type="pct"/>
                  <w:noWrap w:val="0"/>
                  <w:vAlign w:val="center"/>
                </w:tcPr>
                <w:p>
                  <w:pPr>
                    <w:pStyle w:val="69"/>
                    <w:rPr>
                      <w:rFonts w:hint="eastAsia"/>
                      <w:color w:val="auto"/>
                    </w:rPr>
                  </w:pPr>
                  <w:r>
                    <w:rPr>
                      <w:rFonts w:hint="eastAsia"/>
                      <w:color w:val="auto"/>
                    </w:rPr>
                    <w:t>废水</w:t>
                  </w:r>
                </w:p>
              </w:tc>
              <w:tc>
                <w:tcPr>
                  <w:tcW w:w="2652" w:type="pct"/>
                  <w:gridSpan w:val="2"/>
                  <w:noWrap w:val="0"/>
                  <w:vAlign w:val="center"/>
                </w:tcPr>
                <w:p>
                  <w:pPr>
                    <w:pStyle w:val="69"/>
                    <w:rPr>
                      <w:rFonts w:hint="eastAsia"/>
                      <w:color w:val="auto"/>
                    </w:rPr>
                  </w:pPr>
                  <w:r>
                    <w:rPr>
                      <w:rFonts w:hint="eastAsia"/>
                      <w:color w:val="auto"/>
                    </w:rPr>
                    <w:t>采用一体化污水处理设备收集后采用“过滤沉淀+消毒”处理，消毒采用的二氧化氯泡腾片，处理后排入春天花园小区预处理池，最终排入市政污水管网。</w:t>
                  </w:r>
                </w:p>
              </w:tc>
              <w:tc>
                <w:tcPr>
                  <w:tcW w:w="557" w:type="pct"/>
                  <w:vMerge w:val="continue"/>
                  <w:noWrap w:val="0"/>
                  <w:vAlign w:val="center"/>
                </w:tcPr>
                <w:p>
                  <w:pPr>
                    <w:pStyle w:val="69"/>
                    <w:rPr>
                      <w:rFonts w:hint="eastAsia"/>
                      <w:color w:val="auto"/>
                    </w:rPr>
                  </w:pPr>
                </w:p>
              </w:tc>
              <w:tc>
                <w:tcPr>
                  <w:tcW w:w="599" w:type="pct"/>
                  <w:noWrap w:val="0"/>
                  <w:vAlign w:val="center"/>
                </w:tcPr>
                <w:p>
                  <w:pPr>
                    <w:pStyle w:val="69"/>
                    <w:rPr>
                      <w:rFonts w:hint="eastAsia"/>
                      <w:color w:val="auto"/>
                    </w:rPr>
                  </w:pPr>
                  <w:r>
                    <w:rPr>
                      <w:rFonts w:hint="eastAsia"/>
                      <w:color w:val="auto"/>
                    </w:rPr>
                    <w:t>/</w:t>
                  </w:r>
                </w:p>
              </w:tc>
              <w:tc>
                <w:tcPr>
                  <w:tcW w:w="259" w:type="pct"/>
                  <w:noWrap w:val="0"/>
                  <w:vAlign w:val="center"/>
                </w:tcPr>
                <w:p>
                  <w:pPr>
                    <w:pStyle w:val="69"/>
                    <w:rPr>
                      <w:rFonts w:hint="eastAsia" w:eastAsia="宋体"/>
                      <w:color w:val="auto"/>
                      <w:lang w:eastAsia="zh-CN"/>
                    </w:rPr>
                  </w:pPr>
                  <w:r>
                    <w:rPr>
                      <w:rFonts w:hint="eastAsia"/>
                      <w:color w:val="auto"/>
                      <w:lang w:eastAsia="zh-CN"/>
                    </w:rPr>
                    <w:t>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15" w:hRule="atLeast"/>
                <w:jc w:val="center"/>
              </w:trPr>
              <w:tc>
                <w:tcPr>
                  <w:tcW w:w="292" w:type="pct"/>
                  <w:vMerge w:val="continue"/>
                  <w:noWrap w:val="0"/>
                  <w:vAlign w:val="center"/>
                </w:tcPr>
                <w:p>
                  <w:pPr>
                    <w:pStyle w:val="69"/>
                    <w:rPr>
                      <w:rFonts w:hint="eastAsia"/>
                      <w:color w:val="auto"/>
                    </w:rPr>
                  </w:pPr>
                </w:p>
              </w:tc>
              <w:tc>
                <w:tcPr>
                  <w:tcW w:w="637" w:type="pct"/>
                  <w:noWrap w:val="0"/>
                  <w:vAlign w:val="center"/>
                </w:tcPr>
                <w:p>
                  <w:pPr>
                    <w:pStyle w:val="69"/>
                    <w:rPr>
                      <w:rFonts w:hint="eastAsia"/>
                      <w:color w:val="auto"/>
                    </w:rPr>
                  </w:pPr>
                  <w:r>
                    <w:rPr>
                      <w:rFonts w:hint="eastAsia"/>
                      <w:color w:val="auto"/>
                    </w:rPr>
                    <w:t>废气</w:t>
                  </w:r>
                </w:p>
              </w:tc>
              <w:tc>
                <w:tcPr>
                  <w:tcW w:w="2652" w:type="pct"/>
                  <w:gridSpan w:val="2"/>
                  <w:noWrap w:val="0"/>
                  <w:vAlign w:val="center"/>
                </w:tcPr>
                <w:p>
                  <w:pPr>
                    <w:pStyle w:val="69"/>
                    <w:rPr>
                      <w:rFonts w:hint="eastAsia"/>
                      <w:color w:val="auto"/>
                    </w:rPr>
                  </w:pPr>
                  <w:r>
                    <w:rPr>
                      <w:rFonts w:hint="eastAsia"/>
                      <w:color w:val="auto"/>
                    </w:rPr>
                    <w:t>通过移动式紫外线灯照射+环境空气消毒+新风系统进行环境消毒，定期开窗通风，加强院内空气流通、清洁。</w:t>
                  </w:r>
                </w:p>
              </w:tc>
              <w:tc>
                <w:tcPr>
                  <w:tcW w:w="557" w:type="pct"/>
                  <w:vMerge w:val="continue"/>
                  <w:noWrap w:val="0"/>
                  <w:vAlign w:val="center"/>
                </w:tcPr>
                <w:p>
                  <w:pPr>
                    <w:pStyle w:val="69"/>
                    <w:rPr>
                      <w:rFonts w:hint="eastAsia"/>
                      <w:color w:val="auto"/>
                    </w:rPr>
                  </w:pPr>
                </w:p>
              </w:tc>
              <w:tc>
                <w:tcPr>
                  <w:tcW w:w="599" w:type="pct"/>
                  <w:noWrap w:val="0"/>
                  <w:vAlign w:val="center"/>
                </w:tcPr>
                <w:p>
                  <w:pPr>
                    <w:pStyle w:val="69"/>
                    <w:rPr>
                      <w:rFonts w:hint="eastAsia"/>
                      <w:color w:val="auto"/>
                    </w:rPr>
                  </w:pPr>
                  <w:r>
                    <w:rPr>
                      <w:rFonts w:hint="eastAsia"/>
                      <w:color w:val="auto"/>
                    </w:rPr>
                    <w:t>/</w:t>
                  </w:r>
                </w:p>
              </w:tc>
              <w:tc>
                <w:tcPr>
                  <w:tcW w:w="259" w:type="pct"/>
                  <w:noWrap w:val="0"/>
                  <w:vAlign w:val="center"/>
                </w:tcPr>
                <w:p>
                  <w:pPr>
                    <w:pStyle w:val="69"/>
                    <w:rPr>
                      <w:rFonts w:hint="eastAsia" w:eastAsia="宋体"/>
                      <w:color w:val="auto"/>
                      <w:lang w:eastAsia="zh-CN"/>
                    </w:rPr>
                  </w:pPr>
                  <w:r>
                    <w:rPr>
                      <w:rFonts w:hint="eastAsia"/>
                      <w:color w:val="auto"/>
                      <w:lang w:eastAsia="zh-CN"/>
                    </w:rPr>
                    <w:t>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389" w:hRule="atLeast"/>
                <w:jc w:val="center"/>
              </w:trPr>
              <w:tc>
                <w:tcPr>
                  <w:tcW w:w="292" w:type="pct"/>
                  <w:vMerge w:val="continue"/>
                  <w:noWrap w:val="0"/>
                  <w:vAlign w:val="center"/>
                </w:tcPr>
                <w:p>
                  <w:pPr>
                    <w:pStyle w:val="69"/>
                    <w:rPr>
                      <w:rFonts w:hint="eastAsia"/>
                      <w:color w:val="auto"/>
                    </w:rPr>
                  </w:pPr>
                </w:p>
              </w:tc>
              <w:tc>
                <w:tcPr>
                  <w:tcW w:w="637" w:type="pct"/>
                  <w:vMerge w:val="restart"/>
                  <w:noWrap w:val="0"/>
                  <w:vAlign w:val="center"/>
                </w:tcPr>
                <w:p>
                  <w:pPr>
                    <w:pStyle w:val="69"/>
                    <w:rPr>
                      <w:rFonts w:hint="eastAsia"/>
                      <w:color w:val="auto"/>
                    </w:rPr>
                  </w:pPr>
                  <w:r>
                    <w:rPr>
                      <w:rFonts w:hint="eastAsia"/>
                      <w:color w:val="auto"/>
                    </w:rPr>
                    <w:t>固废</w:t>
                  </w:r>
                </w:p>
              </w:tc>
              <w:tc>
                <w:tcPr>
                  <w:tcW w:w="528" w:type="pct"/>
                  <w:noWrap w:val="0"/>
                  <w:vAlign w:val="center"/>
                </w:tcPr>
                <w:p>
                  <w:pPr>
                    <w:pStyle w:val="69"/>
                    <w:rPr>
                      <w:rFonts w:hint="eastAsia"/>
                      <w:color w:val="auto"/>
                    </w:rPr>
                  </w:pPr>
                  <w:r>
                    <w:rPr>
                      <w:rFonts w:hint="eastAsia"/>
                      <w:color w:val="auto"/>
                    </w:rPr>
                    <w:t>生活垃圾</w:t>
                  </w:r>
                </w:p>
              </w:tc>
              <w:tc>
                <w:tcPr>
                  <w:tcW w:w="2124" w:type="pct"/>
                  <w:noWrap w:val="0"/>
                  <w:vAlign w:val="center"/>
                </w:tcPr>
                <w:p>
                  <w:pPr>
                    <w:pStyle w:val="69"/>
                    <w:rPr>
                      <w:rFonts w:hint="eastAsia"/>
                      <w:color w:val="auto"/>
                    </w:rPr>
                  </w:pPr>
                  <w:r>
                    <w:rPr>
                      <w:rFonts w:hint="eastAsia"/>
                      <w:color w:val="auto"/>
                    </w:rPr>
                    <w:t>设置生活垃圾收集桶，生活垃圾统一收集后放置于社区生活垃圾暂存点待环卫部门转运处置</w:t>
                  </w:r>
                </w:p>
              </w:tc>
              <w:tc>
                <w:tcPr>
                  <w:tcW w:w="557" w:type="pct"/>
                  <w:vMerge w:val="continue"/>
                  <w:noWrap w:val="0"/>
                  <w:vAlign w:val="center"/>
                </w:tcPr>
                <w:p>
                  <w:pPr>
                    <w:pStyle w:val="69"/>
                    <w:rPr>
                      <w:rFonts w:hint="eastAsia"/>
                      <w:color w:val="auto"/>
                    </w:rPr>
                  </w:pPr>
                </w:p>
              </w:tc>
              <w:tc>
                <w:tcPr>
                  <w:tcW w:w="599" w:type="pct"/>
                  <w:noWrap w:val="0"/>
                  <w:vAlign w:val="center"/>
                </w:tcPr>
                <w:p>
                  <w:pPr>
                    <w:pStyle w:val="69"/>
                    <w:rPr>
                      <w:rFonts w:hint="eastAsia"/>
                      <w:color w:val="auto"/>
                    </w:rPr>
                  </w:pPr>
                  <w:r>
                    <w:rPr>
                      <w:rFonts w:hint="eastAsia"/>
                      <w:color w:val="auto"/>
                    </w:rPr>
                    <w:t>/</w:t>
                  </w:r>
                </w:p>
              </w:tc>
              <w:tc>
                <w:tcPr>
                  <w:tcW w:w="259" w:type="pct"/>
                  <w:noWrap w:val="0"/>
                  <w:vAlign w:val="center"/>
                </w:tcPr>
                <w:p>
                  <w:pPr>
                    <w:pStyle w:val="69"/>
                    <w:rPr>
                      <w:rFonts w:hint="eastAsia" w:eastAsia="宋体"/>
                      <w:color w:val="auto"/>
                      <w:lang w:eastAsia="zh-CN"/>
                    </w:rPr>
                  </w:pPr>
                  <w:r>
                    <w:rPr>
                      <w:rFonts w:hint="eastAsia"/>
                      <w:color w:val="auto"/>
                      <w:lang w:eastAsia="zh-CN"/>
                    </w:rPr>
                    <w:t>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165" w:hRule="atLeast"/>
                <w:jc w:val="center"/>
              </w:trPr>
              <w:tc>
                <w:tcPr>
                  <w:tcW w:w="292" w:type="pct"/>
                  <w:vMerge w:val="continue"/>
                  <w:noWrap w:val="0"/>
                  <w:vAlign w:val="center"/>
                </w:tcPr>
                <w:p>
                  <w:pPr>
                    <w:pStyle w:val="69"/>
                    <w:rPr>
                      <w:rFonts w:hint="eastAsia"/>
                      <w:color w:val="auto"/>
                    </w:rPr>
                  </w:pPr>
                </w:p>
              </w:tc>
              <w:tc>
                <w:tcPr>
                  <w:tcW w:w="637" w:type="pct"/>
                  <w:vMerge w:val="continue"/>
                  <w:noWrap w:val="0"/>
                  <w:vAlign w:val="center"/>
                </w:tcPr>
                <w:p>
                  <w:pPr>
                    <w:pStyle w:val="69"/>
                    <w:rPr>
                      <w:rFonts w:hint="eastAsia"/>
                      <w:color w:val="auto"/>
                    </w:rPr>
                  </w:pPr>
                </w:p>
              </w:tc>
              <w:tc>
                <w:tcPr>
                  <w:tcW w:w="528" w:type="pct"/>
                  <w:noWrap w:val="0"/>
                  <w:vAlign w:val="center"/>
                </w:tcPr>
                <w:p>
                  <w:pPr>
                    <w:pStyle w:val="69"/>
                    <w:rPr>
                      <w:rFonts w:hint="eastAsia"/>
                      <w:color w:val="auto"/>
                    </w:rPr>
                  </w:pPr>
                  <w:r>
                    <w:rPr>
                      <w:rFonts w:hint="eastAsia"/>
                      <w:color w:val="auto"/>
                    </w:rPr>
                    <w:t>医疗废物</w:t>
                  </w:r>
                </w:p>
              </w:tc>
              <w:tc>
                <w:tcPr>
                  <w:tcW w:w="2124" w:type="pct"/>
                  <w:noWrap w:val="0"/>
                  <w:vAlign w:val="center"/>
                </w:tcPr>
                <w:p>
                  <w:pPr>
                    <w:pStyle w:val="69"/>
                    <w:rPr>
                      <w:rFonts w:hint="eastAsia"/>
                      <w:color w:val="auto"/>
                    </w:rPr>
                  </w:pPr>
                  <w:r>
                    <w:rPr>
                      <w:rFonts w:hint="eastAsia"/>
                      <w:color w:val="auto"/>
                    </w:rPr>
                    <w:t>经收集后暂存于医疗废物暂存间，定期交由资质单位处理；动物尸体经消毒后采用密封袋封存并于当天交由资质单位处置</w:t>
                  </w:r>
                </w:p>
              </w:tc>
              <w:tc>
                <w:tcPr>
                  <w:tcW w:w="557" w:type="pct"/>
                  <w:noWrap w:val="0"/>
                  <w:vAlign w:val="center"/>
                </w:tcPr>
                <w:p>
                  <w:pPr>
                    <w:pStyle w:val="69"/>
                    <w:rPr>
                      <w:rFonts w:hint="eastAsia" w:eastAsia="宋体"/>
                      <w:color w:val="auto"/>
                      <w:lang w:val="en-US" w:eastAsia="zh-CN"/>
                    </w:rPr>
                  </w:pPr>
                  <w:r>
                    <w:rPr>
                      <w:rFonts w:hint="eastAsia"/>
                      <w:color w:val="auto"/>
                      <w:lang w:val="en-US" w:eastAsia="zh-CN"/>
                    </w:rPr>
                    <w:t>/</w:t>
                  </w:r>
                </w:p>
              </w:tc>
              <w:tc>
                <w:tcPr>
                  <w:tcW w:w="599" w:type="pct"/>
                  <w:noWrap w:val="0"/>
                  <w:vAlign w:val="center"/>
                </w:tcPr>
                <w:p>
                  <w:pPr>
                    <w:pStyle w:val="69"/>
                    <w:rPr>
                      <w:rFonts w:hint="eastAsia" w:eastAsia="宋体"/>
                      <w:color w:val="auto"/>
                      <w:lang w:val="en-US" w:eastAsia="zh-CN"/>
                    </w:rPr>
                  </w:pPr>
                  <w:r>
                    <w:rPr>
                      <w:rFonts w:hint="eastAsia"/>
                      <w:color w:val="auto"/>
                      <w:lang w:val="en-US" w:eastAsia="zh-CN"/>
                    </w:rPr>
                    <w:t>/</w:t>
                  </w:r>
                </w:p>
              </w:tc>
              <w:tc>
                <w:tcPr>
                  <w:tcW w:w="259" w:type="pct"/>
                  <w:noWrap w:val="0"/>
                  <w:vAlign w:val="center"/>
                </w:tcPr>
                <w:p>
                  <w:pPr>
                    <w:pStyle w:val="69"/>
                    <w:rPr>
                      <w:rFonts w:hint="eastAsia" w:eastAsia="宋体"/>
                      <w:color w:val="auto"/>
                      <w:lang w:eastAsia="zh-CN"/>
                    </w:rPr>
                  </w:pPr>
                  <w:r>
                    <w:rPr>
                      <w:rFonts w:hint="eastAsia"/>
                      <w:color w:val="auto"/>
                      <w:lang w:eastAsia="zh-CN"/>
                    </w:rPr>
                    <w:t>整改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8" w:hRule="atLeast"/>
                <w:jc w:val="center"/>
              </w:trPr>
              <w:tc>
                <w:tcPr>
                  <w:tcW w:w="292" w:type="pct"/>
                  <w:vMerge w:val="continue"/>
                  <w:noWrap w:val="0"/>
                  <w:vAlign w:val="center"/>
                </w:tcPr>
                <w:p>
                  <w:pPr>
                    <w:pStyle w:val="69"/>
                    <w:rPr>
                      <w:rFonts w:hint="eastAsia"/>
                      <w:color w:val="auto"/>
                    </w:rPr>
                  </w:pPr>
                </w:p>
              </w:tc>
              <w:tc>
                <w:tcPr>
                  <w:tcW w:w="637" w:type="pct"/>
                  <w:vMerge w:val="continue"/>
                  <w:noWrap w:val="0"/>
                  <w:vAlign w:val="center"/>
                </w:tcPr>
                <w:p>
                  <w:pPr>
                    <w:pStyle w:val="69"/>
                    <w:rPr>
                      <w:rFonts w:hint="eastAsia"/>
                      <w:color w:val="auto"/>
                    </w:rPr>
                  </w:pPr>
                </w:p>
              </w:tc>
              <w:tc>
                <w:tcPr>
                  <w:tcW w:w="528" w:type="pct"/>
                  <w:noWrap w:val="0"/>
                  <w:vAlign w:val="center"/>
                </w:tcPr>
                <w:p>
                  <w:pPr>
                    <w:pStyle w:val="69"/>
                    <w:rPr>
                      <w:rFonts w:hint="eastAsia"/>
                      <w:color w:val="auto"/>
                    </w:rPr>
                  </w:pPr>
                  <w:r>
                    <w:rPr>
                      <w:rFonts w:hint="eastAsia"/>
                      <w:color w:val="auto"/>
                    </w:rPr>
                    <w:t>宠物毛发</w:t>
                  </w:r>
                </w:p>
              </w:tc>
              <w:tc>
                <w:tcPr>
                  <w:tcW w:w="2124" w:type="pct"/>
                  <w:noWrap w:val="0"/>
                  <w:vAlign w:val="center"/>
                </w:tcPr>
                <w:p>
                  <w:pPr>
                    <w:pStyle w:val="69"/>
                    <w:rPr>
                      <w:rFonts w:hint="eastAsia"/>
                      <w:color w:val="auto"/>
                    </w:rPr>
                  </w:pPr>
                  <w:r>
                    <w:rPr>
                      <w:rFonts w:hint="eastAsia"/>
                      <w:color w:val="auto"/>
                    </w:rPr>
                    <w:t>经消毒灭活后同生活垃圾一同收集后交由环卫部门处置</w:t>
                  </w:r>
                </w:p>
              </w:tc>
              <w:tc>
                <w:tcPr>
                  <w:tcW w:w="557" w:type="pct"/>
                  <w:vMerge w:val="restart"/>
                  <w:noWrap w:val="0"/>
                  <w:vAlign w:val="center"/>
                </w:tcPr>
                <w:p>
                  <w:pPr>
                    <w:pStyle w:val="69"/>
                    <w:rPr>
                      <w:rFonts w:hint="eastAsia" w:eastAsia="宋体"/>
                      <w:color w:val="auto"/>
                      <w:lang w:val="en-US" w:eastAsia="zh-CN"/>
                    </w:rPr>
                  </w:pPr>
                  <w:r>
                    <w:rPr>
                      <w:rFonts w:hint="eastAsia"/>
                      <w:color w:val="auto"/>
                      <w:lang w:val="en-US" w:eastAsia="zh-CN"/>
                    </w:rPr>
                    <w:t>/</w:t>
                  </w:r>
                </w:p>
              </w:tc>
              <w:tc>
                <w:tcPr>
                  <w:tcW w:w="599" w:type="pct"/>
                  <w:vMerge w:val="restart"/>
                  <w:noWrap w:val="0"/>
                  <w:vAlign w:val="center"/>
                </w:tcPr>
                <w:p>
                  <w:pPr>
                    <w:pStyle w:val="69"/>
                    <w:rPr>
                      <w:rFonts w:hint="eastAsia" w:eastAsia="宋体"/>
                      <w:color w:val="auto"/>
                      <w:lang w:val="en-US" w:eastAsia="zh-CN"/>
                    </w:rPr>
                  </w:pPr>
                  <w:r>
                    <w:rPr>
                      <w:rFonts w:hint="eastAsia"/>
                      <w:color w:val="auto"/>
                      <w:lang w:val="en-US" w:eastAsia="zh-CN"/>
                    </w:rPr>
                    <w:t>/</w:t>
                  </w:r>
                </w:p>
              </w:tc>
              <w:tc>
                <w:tcPr>
                  <w:tcW w:w="259" w:type="pct"/>
                  <w:vMerge w:val="restart"/>
                  <w:noWrap w:val="0"/>
                  <w:vAlign w:val="center"/>
                </w:tcPr>
                <w:p>
                  <w:pPr>
                    <w:pStyle w:val="69"/>
                    <w:rPr>
                      <w:rFonts w:hint="eastAsia" w:eastAsia="宋体"/>
                      <w:color w:val="auto"/>
                      <w:lang w:eastAsia="zh-CN"/>
                    </w:rPr>
                  </w:pPr>
                  <w:r>
                    <w:rPr>
                      <w:rFonts w:hint="eastAsia"/>
                      <w:color w:val="auto"/>
                      <w:lang w:eastAsia="zh-CN"/>
                    </w:rPr>
                    <w:t>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1" w:hRule="atLeast"/>
                <w:jc w:val="center"/>
              </w:trPr>
              <w:tc>
                <w:tcPr>
                  <w:tcW w:w="292" w:type="pct"/>
                  <w:vMerge w:val="continue"/>
                  <w:noWrap w:val="0"/>
                  <w:vAlign w:val="center"/>
                </w:tcPr>
                <w:p>
                  <w:pPr>
                    <w:pStyle w:val="69"/>
                    <w:rPr>
                      <w:rFonts w:hint="eastAsia"/>
                      <w:color w:val="auto"/>
                    </w:rPr>
                  </w:pPr>
                </w:p>
              </w:tc>
              <w:tc>
                <w:tcPr>
                  <w:tcW w:w="637" w:type="pct"/>
                  <w:vMerge w:val="continue"/>
                  <w:noWrap w:val="0"/>
                  <w:vAlign w:val="center"/>
                </w:tcPr>
                <w:p>
                  <w:pPr>
                    <w:pStyle w:val="69"/>
                    <w:rPr>
                      <w:rFonts w:hint="eastAsia"/>
                      <w:color w:val="auto"/>
                    </w:rPr>
                  </w:pPr>
                </w:p>
              </w:tc>
              <w:tc>
                <w:tcPr>
                  <w:tcW w:w="528" w:type="pct"/>
                  <w:noWrap w:val="0"/>
                  <w:vAlign w:val="center"/>
                </w:tcPr>
                <w:p>
                  <w:pPr>
                    <w:pStyle w:val="69"/>
                    <w:rPr>
                      <w:rFonts w:hint="eastAsia"/>
                      <w:color w:val="auto"/>
                    </w:rPr>
                  </w:pPr>
                  <w:r>
                    <w:rPr>
                      <w:rFonts w:hint="eastAsia"/>
                      <w:color w:val="auto"/>
                    </w:rPr>
                    <w:t>宠物粪便</w:t>
                  </w:r>
                </w:p>
              </w:tc>
              <w:tc>
                <w:tcPr>
                  <w:tcW w:w="2124" w:type="pct"/>
                  <w:noWrap w:val="0"/>
                  <w:vAlign w:val="center"/>
                </w:tcPr>
                <w:p>
                  <w:pPr>
                    <w:pStyle w:val="69"/>
                    <w:rPr>
                      <w:rFonts w:hint="eastAsia"/>
                      <w:color w:val="auto"/>
                    </w:rPr>
                  </w:pPr>
                  <w:r>
                    <w:rPr>
                      <w:rFonts w:hint="eastAsia"/>
                      <w:color w:val="auto"/>
                    </w:rPr>
                    <w:t>经消毒灭活后同生活垃圾一同收集后交由环卫部门处置</w:t>
                  </w:r>
                </w:p>
              </w:tc>
              <w:tc>
                <w:tcPr>
                  <w:tcW w:w="557" w:type="pct"/>
                  <w:vMerge w:val="continue"/>
                  <w:noWrap w:val="0"/>
                  <w:vAlign w:val="center"/>
                </w:tcPr>
                <w:p>
                  <w:pPr>
                    <w:pStyle w:val="69"/>
                    <w:rPr>
                      <w:rFonts w:hint="eastAsia"/>
                      <w:color w:val="auto"/>
                    </w:rPr>
                  </w:pPr>
                </w:p>
              </w:tc>
              <w:tc>
                <w:tcPr>
                  <w:tcW w:w="599" w:type="pct"/>
                  <w:vMerge w:val="continue"/>
                  <w:noWrap w:val="0"/>
                  <w:vAlign w:val="center"/>
                </w:tcPr>
                <w:p>
                  <w:pPr>
                    <w:pStyle w:val="69"/>
                    <w:rPr>
                      <w:rFonts w:hint="eastAsia"/>
                      <w:color w:val="auto"/>
                    </w:rPr>
                  </w:pPr>
                </w:p>
              </w:tc>
              <w:tc>
                <w:tcPr>
                  <w:tcW w:w="259" w:type="pct"/>
                  <w:vMerge w:val="continue"/>
                  <w:noWrap w:val="0"/>
                  <w:vAlign w:val="center"/>
                </w:tcPr>
                <w:p>
                  <w:pPr>
                    <w:pStyle w:val="69"/>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292" w:type="pct"/>
                  <w:vMerge w:val="continue"/>
                  <w:noWrap w:val="0"/>
                  <w:vAlign w:val="center"/>
                </w:tcPr>
                <w:p>
                  <w:pPr>
                    <w:pStyle w:val="69"/>
                    <w:rPr>
                      <w:rFonts w:hint="eastAsia"/>
                      <w:color w:val="auto"/>
                    </w:rPr>
                  </w:pPr>
                </w:p>
              </w:tc>
              <w:tc>
                <w:tcPr>
                  <w:tcW w:w="637" w:type="pct"/>
                  <w:vMerge w:val="continue"/>
                  <w:noWrap w:val="0"/>
                  <w:vAlign w:val="center"/>
                </w:tcPr>
                <w:p>
                  <w:pPr>
                    <w:pStyle w:val="69"/>
                    <w:rPr>
                      <w:rFonts w:hint="eastAsia"/>
                      <w:color w:val="auto"/>
                    </w:rPr>
                  </w:pPr>
                </w:p>
              </w:tc>
              <w:tc>
                <w:tcPr>
                  <w:tcW w:w="528" w:type="pct"/>
                  <w:noWrap w:val="0"/>
                  <w:vAlign w:val="center"/>
                </w:tcPr>
                <w:p>
                  <w:pPr>
                    <w:pStyle w:val="69"/>
                    <w:rPr>
                      <w:color w:val="auto"/>
                    </w:rPr>
                  </w:pPr>
                  <w:r>
                    <w:rPr>
                      <w:rFonts w:hint="eastAsia"/>
                      <w:color w:val="auto"/>
                    </w:rPr>
                    <w:t>废紫外线灯管</w:t>
                  </w:r>
                </w:p>
              </w:tc>
              <w:tc>
                <w:tcPr>
                  <w:tcW w:w="2124" w:type="pct"/>
                  <w:noWrap w:val="0"/>
                  <w:vAlign w:val="center"/>
                </w:tcPr>
                <w:p>
                  <w:pPr>
                    <w:pStyle w:val="69"/>
                    <w:rPr>
                      <w:rFonts w:hint="eastAsia"/>
                      <w:color w:val="auto"/>
                    </w:rPr>
                  </w:pPr>
                  <w:r>
                    <w:rPr>
                      <w:rFonts w:hint="eastAsia"/>
                      <w:color w:val="auto"/>
                    </w:rPr>
                    <w:t>收集后暂存于医疗废物暂存间，定期交由资质单位处置</w:t>
                  </w:r>
                </w:p>
              </w:tc>
              <w:tc>
                <w:tcPr>
                  <w:tcW w:w="557" w:type="pct"/>
                  <w:noWrap w:val="0"/>
                  <w:vAlign w:val="center"/>
                </w:tcPr>
                <w:p>
                  <w:pPr>
                    <w:pStyle w:val="69"/>
                    <w:rPr>
                      <w:rFonts w:hint="eastAsia"/>
                      <w:color w:val="auto"/>
                    </w:rPr>
                  </w:pPr>
                  <w:r>
                    <w:rPr>
                      <w:rFonts w:hint="eastAsia"/>
                      <w:color w:val="auto"/>
                    </w:rPr>
                    <w:t>/</w:t>
                  </w:r>
                </w:p>
              </w:tc>
              <w:tc>
                <w:tcPr>
                  <w:tcW w:w="599" w:type="pct"/>
                  <w:vMerge w:val="continue"/>
                  <w:noWrap w:val="0"/>
                  <w:vAlign w:val="center"/>
                </w:tcPr>
                <w:p>
                  <w:pPr>
                    <w:pStyle w:val="69"/>
                    <w:rPr>
                      <w:rFonts w:hint="eastAsia"/>
                      <w:color w:val="auto"/>
                    </w:rPr>
                  </w:pPr>
                </w:p>
              </w:tc>
              <w:tc>
                <w:tcPr>
                  <w:tcW w:w="259" w:type="pct"/>
                  <w:noWrap w:val="0"/>
                  <w:vAlign w:val="center"/>
                </w:tcPr>
                <w:p>
                  <w:pPr>
                    <w:pStyle w:val="69"/>
                    <w:rPr>
                      <w:rFonts w:hint="eastAsia" w:eastAsia="宋体"/>
                      <w:color w:val="auto"/>
                      <w:lang w:eastAsia="zh-CN"/>
                    </w:rPr>
                  </w:pPr>
                  <w:r>
                    <w:rPr>
                      <w:rFonts w:hint="eastAsia"/>
                      <w:color w:val="auto"/>
                      <w:lang w:eastAsia="zh-CN"/>
                    </w:rPr>
                    <w:t>整改</w:t>
                  </w:r>
                </w:p>
              </w:tc>
            </w:tr>
          </w:tbl>
          <w:p>
            <w:pPr>
              <w:pStyle w:val="4"/>
              <w:numPr>
                <w:ilvl w:val="0"/>
                <w:numId w:val="10"/>
              </w:numPr>
              <w:rPr>
                <w:color w:val="auto"/>
              </w:rPr>
            </w:pPr>
            <w:r>
              <w:rPr>
                <w:color w:val="auto"/>
              </w:rPr>
              <w:t>项目主要设备清单</w:t>
            </w:r>
          </w:p>
          <w:p>
            <w:pPr>
              <w:ind w:firstLine="480"/>
              <w:rPr>
                <w:color w:val="auto"/>
              </w:rPr>
            </w:pPr>
            <w:r>
              <w:rPr>
                <w:color w:val="auto"/>
              </w:rPr>
              <w:t>本项目运营期主要医疗设备如下表：</w:t>
            </w:r>
          </w:p>
          <w:p>
            <w:pPr>
              <w:pStyle w:val="102"/>
              <w:ind w:left="422" w:hanging="422"/>
              <w:rPr>
                <w:color w:val="auto"/>
              </w:rPr>
            </w:pPr>
            <w:r>
              <w:rPr>
                <w:color w:val="auto"/>
              </w:rPr>
              <w:t>表 2-</w:t>
            </w:r>
            <w:r>
              <w:rPr>
                <w:rFonts w:hint="eastAsia"/>
                <w:color w:val="auto"/>
              </w:rPr>
              <w:t>2</w:t>
            </w:r>
            <w:r>
              <w:rPr>
                <w:color w:val="auto"/>
              </w:rPr>
              <w:t xml:space="preserve"> </w:t>
            </w:r>
            <w:r>
              <w:rPr>
                <w:rFonts w:hint="eastAsia"/>
                <w:color w:val="auto"/>
              </w:rPr>
              <w:t xml:space="preserve"> </w:t>
            </w:r>
            <w:r>
              <w:rPr>
                <w:color w:val="auto"/>
              </w:rPr>
              <w:t xml:space="preserve"> 主要设备清单</w:t>
            </w:r>
          </w:p>
          <w:tbl>
            <w:tblPr>
              <w:tblStyle w:val="38"/>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72"/>
              <w:gridCol w:w="3432"/>
              <w:gridCol w:w="2564"/>
              <w:gridCol w:w="17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2" w:hRule="atLeast"/>
              </w:trPr>
              <w:tc>
                <w:tcPr>
                  <w:tcW w:w="287" w:type="pct"/>
                  <w:noWrap w:val="0"/>
                  <w:vAlign w:val="top"/>
                </w:tcPr>
                <w:p>
                  <w:pPr>
                    <w:pStyle w:val="69"/>
                    <w:rPr>
                      <w:color w:val="auto"/>
                    </w:rPr>
                  </w:pPr>
                  <w:r>
                    <w:rPr>
                      <w:color w:val="auto"/>
                    </w:rPr>
                    <w:t>序号</w:t>
                  </w:r>
                </w:p>
              </w:tc>
              <w:tc>
                <w:tcPr>
                  <w:tcW w:w="2088" w:type="pct"/>
                  <w:noWrap w:val="0"/>
                  <w:vAlign w:val="top"/>
                </w:tcPr>
                <w:p>
                  <w:pPr>
                    <w:pStyle w:val="69"/>
                    <w:rPr>
                      <w:color w:val="auto"/>
                    </w:rPr>
                  </w:pPr>
                  <w:r>
                    <w:rPr>
                      <w:color w:val="auto"/>
                    </w:rPr>
                    <w:t>设备名称</w:t>
                  </w:r>
                </w:p>
              </w:tc>
              <w:tc>
                <w:tcPr>
                  <w:tcW w:w="1560" w:type="pct"/>
                  <w:noWrap w:val="0"/>
                  <w:vAlign w:val="top"/>
                </w:tcPr>
                <w:p>
                  <w:pPr>
                    <w:pStyle w:val="69"/>
                    <w:rPr>
                      <w:color w:val="auto"/>
                    </w:rPr>
                  </w:pPr>
                  <w:r>
                    <w:rPr>
                      <w:color w:val="auto"/>
                    </w:rPr>
                    <w:t>品牌/型号</w:t>
                  </w:r>
                </w:p>
              </w:tc>
              <w:tc>
                <w:tcPr>
                  <w:tcW w:w="1064" w:type="pct"/>
                  <w:noWrap w:val="0"/>
                  <w:vAlign w:val="top"/>
                </w:tcPr>
                <w:p>
                  <w:pPr>
                    <w:pStyle w:val="69"/>
                    <w:rPr>
                      <w:color w:val="auto"/>
                    </w:rPr>
                  </w:pPr>
                  <w:r>
                    <w:rPr>
                      <w:color w:val="auto"/>
                    </w:rPr>
                    <w:t>数量（台/套）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2" w:hRule="atLeast"/>
              </w:trPr>
              <w:tc>
                <w:tcPr>
                  <w:tcW w:w="287" w:type="pct"/>
                  <w:noWrap w:val="0"/>
                  <w:vAlign w:val="center"/>
                </w:tcPr>
                <w:p>
                  <w:pPr>
                    <w:pStyle w:val="69"/>
                    <w:rPr>
                      <w:color w:val="auto"/>
                    </w:rPr>
                  </w:pPr>
                  <w:r>
                    <w:rPr>
                      <w:rFonts w:hint="eastAsia"/>
                      <w:color w:val="auto"/>
                    </w:rPr>
                    <w:t>1</w:t>
                  </w:r>
                </w:p>
              </w:tc>
              <w:tc>
                <w:tcPr>
                  <w:tcW w:w="2088" w:type="pct"/>
                  <w:noWrap w:val="0"/>
                  <w:vAlign w:val="center"/>
                </w:tcPr>
                <w:p>
                  <w:pPr>
                    <w:pStyle w:val="69"/>
                    <w:rPr>
                      <w:rFonts w:hint="eastAsia"/>
                      <w:color w:val="auto"/>
                    </w:rPr>
                  </w:pPr>
                  <w:r>
                    <w:rPr>
                      <w:rFonts w:hint="eastAsia"/>
                      <w:color w:val="auto"/>
                    </w:rPr>
                    <w:t>普通外科手术器械</w:t>
                  </w:r>
                </w:p>
              </w:tc>
              <w:tc>
                <w:tcPr>
                  <w:tcW w:w="1560" w:type="pct"/>
                  <w:noWrap w:val="0"/>
                  <w:vAlign w:val="center"/>
                </w:tcPr>
                <w:p>
                  <w:pPr>
                    <w:pStyle w:val="69"/>
                    <w:rPr>
                      <w:rFonts w:hint="eastAsia"/>
                      <w:color w:val="auto"/>
                    </w:rPr>
                  </w:pPr>
                  <w:r>
                    <w:rPr>
                      <w:rFonts w:hint="eastAsia"/>
                      <w:color w:val="auto"/>
                    </w:rPr>
                    <w:t>/</w:t>
                  </w:r>
                </w:p>
              </w:tc>
              <w:tc>
                <w:tcPr>
                  <w:tcW w:w="1064" w:type="pct"/>
                  <w:noWrap w:val="0"/>
                  <w:vAlign w:val="center"/>
                </w:tcPr>
                <w:p>
                  <w:pPr>
                    <w:pStyle w:val="69"/>
                    <w:rPr>
                      <w:rFonts w:hint="eastAsia"/>
                      <w:color w:val="auto"/>
                    </w:rPr>
                  </w:pPr>
                  <w:r>
                    <w:rPr>
                      <w:rFonts w:hint="eastAsia"/>
                      <w:color w:val="auto"/>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2" w:hRule="atLeast"/>
              </w:trPr>
              <w:tc>
                <w:tcPr>
                  <w:tcW w:w="287" w:type="pct"/>
                  <w:noWrap w:val="0"/>
                  <w:vAlign w:val="center"/>
                </w:tcPr>
                <w:p>
                  <w:pPr>
                    <w:pStyle w:val="69"/>
                    <w:rPr>
                      <w:color w:val="auto"/>
                    </w:rPr>
                  </w:pPr>
                  <w:r>
                    <w:rPr>
                      <w:rFonts w:hint="eastAsia"/>
                      <w:color w:val="auto"/>
                    </w:rPr>
                    <w:t>2</w:t>
                  </w:r>
                </w:p>
              </w:tc>
              <w:tc>
                <w:tcPr>
                  <w:tcW w:w="2088" w:type="pct"/>
                  <w:noWrap w:val="0"/>
                  <w:vAlign w:val="center"/>
                </w:tcPr>
                <w:p>
                  <w:pPr>
                    <w:pStyle w:val="69"/>
                    <w:rPr>
                      <w:rFonts w:hint="eastAsia"/>
                      <w:color w:val="auto"/>
                    </w:rPr>
                  </w:pPr>
                  <w:r>
                    <w:rPr>
                      <w:rFonts w:hint="eastAsia"/>
                      <w:color w:val="auto"/>
                    </w:rPr>
                    <w:t>全自动生化检测机</w:t>
                  </w:r>
                </w:p>
              </w:tc>
              <w:tc>
                <w:tcPr>
                  <w:tcW w:w="1560" w:type="pct"/>
                  <w:noWrap w:val="0"/>
                  <w:vAlign w:val="center"/>
                </w:tcPr>
                <w:p>
                  <w:pPr>
                    <w:pStyle w:val="69"/>
                    <w:rPr>
                      <w:rFonts w:hint="eastAsia"/>
                      <w:color w:val="auto"/>
                    </w:rPr>
                  </w:pPr>
                  <w:r>
                    <w:rPr>
                      <w:rFonts w:hint="eastAsia"/>
                      <w:color w:val="auto"/>
                    </w:rPr>
                    <w:t>爱德士</w:t>
                  </w:r>
                </w:p>
              </w:tc>
              <w:tc>
                <w:tcPr>
                  <w:tcW w:w="1064" w:type="pct"/>
                  <w:noWrap w:val="0"/>
                  <w:vAlign w:val="center"/>
                </w:tcPr>
                <w:p>
                  <w:pPr>
                    <w:pStyle w:val="69"/>
                    <w:rPr>
                      <w:color w:val="auto"/>
                    </w:rPr>
                  </w:pPr>
                  <w:r>
                    <w:rPr>
                      <w:rFonts w:hint="eastAsia"/>
                      <w:color w:val="auto"/>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2" w:hRule="atLeast"/>
              </w:trPr>
              <w:tc>
                <w:tcPr>
                  <w:tcW w:w="287" w:type="pct"/>
                  <w:noWrap w:val="0"/>
                  <w:vAlign w:val="center"/>
                </w:tcPr>
                <w:p>
                  <w:pPr>
                    <w:pStyle w:val="69"/>
                    <w:rPr>
                      <w:color w:val="auto"/>
                    </w:rPr>
                  </w:pPr>
                  <w:r>
                    <w:rPr>
                      <w:rFonts w:hint="eastAsia"/>
                      <w:color w:val="auto"/>
                    </w:rPr>
                    <w:t>3</w:t>
                  </w:r>
                </w:p>
              </w:tc>
              <w:tc>
                <w:tcPr>
                  <w:tcW w:w="2088" w:type="pct"/>
                  <w:noWrap w:val="0"/>
                  <w:vAlign w:val="center"/>
                </w:tcPr>
                <w:p>
                  <w:pPr>
                    <w:pStyle w:val="69"/>
                    <w:rPr>
                      <w:color w:val="auto"/>
                    </w:rPr>
                  </w:pPr>
                  <w:r>
                    <w:rPr>
                      <w:rFonts w:hint="eastAsia"/>
                      <w:color w:val="auto"/>
                    </w:rPr>
                    <w:t>双目可视显微镜</w:t>
                  </w:r>
                </w:p>
              </w:tc>
              <w:tc>
                <w:tcPr>
                  <w:tcW w:w="1560" w:type="pct"/>
                  <w:noWrap w:val="0"/>
                  <w:vAlign w:val="center"/>
                </w:tcPr>
                <w:p>
                  <w:pPr>
                    <w:pStyle w:val="69"/>
                    <w:rPr>
                      <w:color w:val="auto"/>
                    </w:rPr>
                  </w:pPr>
                  <w:r>
                    <w:rPr>
                      <w:rFonts w:hint="eastAsia"/>
                      <w:color w:val="auto"/>
                    </w:rPr>
                    <w:t>LEICA DM500</w:t>
                  </w:r>
                </w:p>
              </w:tc>
              <w:tc>
                <w:tcPr>
                  <w:tcW w:w="1064" w:type="pct"/>
                  <w:noWrap w:val="0"/>
                  <w:vAlign w:val="center"/>
                </w:tcPr>
                <w:p>
                  <w:pPr>
                    <w:pStyle w:val="69"/>
                    <w:rPr>
                      <w:color w:val="auto"/>
                    </w:rPr>
                  </w:pPr>
                  <w:r>
                    <w:rPr>
                      <w:rFonts w:hint="eastAsia"/>
                      <w:color w:val="auto"/>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2" w:hRule="atLeast"/>
              </w:trPr>
              <w:tc>
                <w:tcPr>
                  <w:tcW w:w="287" w:type="pct"/>
                  <w:noWrap w:val="0"/>
                  <w:vAlign w:val="center"/>
                </w:tcPr>
                <w:p>
                  <w:pPr>
                    <w:pStyle w:val="69"/>
                    <w:rPr>
                      <w:color w:val="auto"/>
                    </w:rPr>
                  </w:pPr>
                  <w:r>
                    <w:rPr>
                      <w:rFonts w:hint="eastAsia"/>
                      <w:color w:val="auto"/>
                    </w:rPr>
                    <w:t>4</w:t>
                  </w:r>
                </w:p>
              </w:tc>
              <w:tc>
                <w:tcPr>
                  <w:tcW w:w="2088" w:type="pct"/>
                  <w:noWrap w:val="0"/>
                  <w:vAlign w:val="center"/>
                </w:tcPr>
                <w:p>
                  <w:pPr>
                    <w:pStyle w:val="69"/>
                    <w:rPr>
                      <w:rFonts w:hint="eastAsia"/>
                      <w:color w:val="auto"/>
                    </w:rPr>
                  </w:pPr>
                  <w:r>
                    <w:rPr>
                      <w:rFonts w:hint="eastAsia"/>
                      <w:color w:val="auto"/>
                    </w:rPr>
                    <w:t>雾化器</w:t>
                  </w:r>
                </w:p>
              </w:tc>
              <w:tc>
                <w:tcPr>
                  <w:tcW w:w="1560" w:type="pct"/>
                  <w:noWrap w:val="0"/>
                  <w:vAlign w:val="center"/>
                </w:tcPr>
                <w:p>
                  <w:pPr>
                    <w:pStyle w:val="69"/>
                    <w:rPr>
                      <w:rFonts w:hint="eastAsia"/>
                      <w:color w:val="auto"/>
                    </w:rPr>
                  </w:pPr>
                  <w:r>
                    <w:rPr>
                      <w:rFonts w:hint="eastAsia"/>
                      <w:color w:val="auto"/>
                    </w:rPr>
                    <w:t>/</w:t>
                  </w:r>
                </w:p>
              </w:tc>
              <w:tc>
                <w:tcPr>
                  <w:tcW w:w="1064" w:type="pct"/>
                  <w:noWrap w:val="0"/>
                  <w:vAlign w:val="center"/>
                </w:tcPr>
                <w:p>
                  <w:pPr>
                    <w:pStyle w:val="69"/>
                    <w:rPr>
                      <w:color w:val="auto"/>
                    </w:rPr>
                  </w:pPr>
                  <w:r>
                    <w:rPr>
                      <w:rFonts w:hint="eastAsia"/>
                      <w:color w:val="auto"/>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2" w:hRule="atLeast"/>
              </w:trPr>
              <w:tc>
                <w:tcPr>
                  <w:tcW w:w="287" w:type="pct"/>
                  <w:noWrap w:val="0"/>
                  <w:vAlign w:val="center"/>
                </w:tcPr>
                <w:p>
                  <w:pPr>
                    <w:pStyle w:val="69"/>
                    <w:rPr>
                      <w:color w:val="auto"/>
                    </w:rPr>
                  </w:pPr>
                  <w:r>
                    <w:rPr>
                      <w:rFonts w:hint="eastAsia"/>
                      <w:color w:val="auto"/>
                    </w:rPr>
                    <w:t>5</w:t>
                  </w:r>
                </w:p>
              </w:tc>
              <w:tc>
                <w:tcPr>
                  <w:tcW w:w="2088" w:type="pct"/>
                  <w:noWrap w:val="0"/>
                  <w:vAlign w:val="center"/>
                </w:tcPr>
                <w:p>
                  <w:pPr>
                    <w:pStyle w:val="69"/>
                    <w:rPr>
                      <w:rFonts w:hint="eastAsia"/>
                      <w:color w:val="auto"/>
                    </w:rPr>
                  </w:pPr>
                  <w:r>
                    <w:rPr>
                      <w:rFonts w:hint="eastAsia"/>
                      <w:color w:val="auto"/>
                    </w:rPr>
                    <w:t>冰箱</w:t>
                  </w:r>
                </w:p>
              </w:tc>
              <w:tc>
                <w:tcPr>
                  <w:tcW w:w="1560" w:type="pct"/>
                  <w:noWrap w:val="0"/>
                  <w:vAlign w:val="center"/>
                </w:tcPr>
                <w:p>
                  <w:pPr>
                    <w:pStyle w:val="69"/>
                    <w:rPr>
                      <w:color w:val="auto"/>
                    </w:rPr>
                  </w:pPr>
                  <w:r>
                    <w:rPr>
                      <w:rFonts w:hint="eastAsia"/>
                      <w:color w:val="auto"/>
                    </w:rPr>
                    <w:t>meidi</w:t>
                  </w:r>
                </w:p>
              </w:tc>
              <w:tc>
                <w:tcPr>
                  <w:tcW w:w="1064" w:type="pct"/>
                  <w:noWrap w:val="0"/>
                  <w:vAlign w:val="center"/>
                </w:tcPr>
                <w:p>
                  <w:pPr>
                    <w:pStyle w:val="69"/>
                    <w:rPr>
                      <w:rFonts w:hint="eastAsia"/>
                      <w:color w:val="auto"/>
                    </w:rPr>
                  </w:pPr>
                  <w:r>
                    <w:rPr>
                      <w:rFonts w:hint="eastAsia"/>
                      <w:color w:val="auto"/>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2" w:hRule="atLeast"/>
              </w:trPr>
              <w:tc>
                <w:tcPr>
                  <w:tcW w:w="287" w:type="pct"/>
                  <w:noWrap w:val="0"/>
                  <w:vAlign w:val="center"/>
                </w:tcPr>
                <w:p>
                  <w:pPr>
                    <w:pStyle w:val="69"/>
                    <w:rPr>
                      <w:color w:val="auto"/>
                    </w:rPr>
                  </w:pPr>
                  <w:r>
                    <w:rPr>
                      <w:rFonts w:hint="eastAsia"/>
                      <w:color w:val="auto"/>
                    </w:rPr>
                    <w:t>6</w:t>
                  </w:r>
                </w:p>
              </w:tc>
              <w:tc>
                <w:tcPr>
                  <w:tcW w:w="2088" w:type="pct"/>
                  <w:noWrap w:val="0"/>
                  <w:vAlign w:val="center"/>
                </w:tcPr>
                <w:p>
                  <w:pPr>
                    <w:pStyle w:val="69"/>
                    <w:rPr>
                      <w:rFonts w:hint="eastAsia"/>
                      <w:color w:val="auto"/>
                    </w:rPr>
                  </w:pPr>
                  <w:r>
                    <w:rPr>
                      <w:rFonts w:hint="eastAsia"/>
                      <w:color w:val="auto"/>
                    </w:rPr>
                    <w:t>输液笼</w:t>
                  </w:r>
                </w:p>
              </w:tc>
              <w:tc>
                <w:tcPr>
                  <w:tcW w:w="1560" w:type="pct"/>
                  <w:noWrap w:val="0"/>
                  <w:vAlign w:val="center"/>
                </w:tcPr>
                <w:p>
                  <w:pPr>
                    <w:pStyle w:val="69"/>
                    <w:rPr>
                      <w:rFonts w:hint="eastAsia"/>
                      <w:color w:val="auto"/>
                    </w:rPr>
                  </w:pPr>
                  <w:r>
                    <w:rPr>
                      <w:rFonts w:hint="eastAsia"/>
                      <w:color w:val="auto"/>
                    </w:rPr>
                    <w:t>/</w:t>
                  </w:r>
                </w:p>
              </w:tc>
              <w:tc>
                <w:tcPr>
                  <w:tcW w:w="1064" w:type="pct"/>
                  <w:noWrap w:val="0"/>
                  <w:vAlign w:val="center"/>
                </w:tcPr>
                <w:p>
                  <w:pPr>
                    <w:pStyle w:val="69"/>
                    <w:rPr>
                      <w:rFonts w:hint="eastAsia"/>
                      <w:color w:val="auto"/>
                    </w:rPr>
                  </w:pPr>
                  <w:r>
                    <w:rPr>
                      <w:rFonts w:hint="eastAsia"/>
                      <w:color w:val="auto"/>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2" w:hRule="atLeast"/>
              </w:trPr>
              <w:tc>
                <w:tcPr>
                  <w:tcW w:w="287" w:type="pct"/>
                  <w:noWrap w:val="0"/>
                  <w:vAlign w:val="center"/>
                </w:tcPr>
                <w:p>
                  <w:pPr>
                    <w:pStyle w:val="69"/>
                    <w:rPr>
                      <w:color w:val="auto"/>
                    </w:rPr>
                  </w:pPr>
                  <w:r>
                    <w:rPr>
                      <w:rFonts w:hint="eastAsia"/>
                      <w:color w:val="auto"/>
                    </w:rPr>
                    <w:t>7</w:t>
                  </w:r>
                </w:p>
              </w:tc>
              <w:tc>
                <w:tcPr>
                  <w:tcW w:w="2088" w:type="pct"/>
                  <w:noWrap w:val="0"/>
                  <w:vAlign w:val="center"/>
                </w:tcPr>
                <w:p>
                  <w:pPr>
                    <w:pStyle w:val="69"/>
                    <w:rPr>
                      <w:rFonts w:hint="eastAsia"/>
                      <w:color w:val="auto"/>
                    </w:rPr>
                  </w:pPr>
                  <w:r>
                    <w:rPr>
                      <w:rFonts w:hint="eastAsia"/>
                      <w:color w:val="auto"/>
                    </w:rPr>
                    <w:t>高压灭菌锅</w:t>
                  </w:r>
                </w:p>
              </w:tc>
              <w:tc>
                <w:tcPr>
                  <w:tcW w:w="1560" w:type="pct"/>
                  <w:noWrap w:val="0"/>
                  <w:vAlign w:val="center"/>
                </w:tcPr>
                <w:p>
                  <w:pPr>
                    <w:pStyle w:val="69"/>
                    <w:rPr>
                      <w:rFonts w:hint="eastAsia"/>
                      <w:color w:val="auto"/>
                    </w:rPr>
                  </w:pPr>
                  <w:r>
                    <w:rPr>
                      <w:rFonts w:hint="eastAsia"/>
                      <w:color w:val="auto"/>
                    </w:rPr>
                    <w:t>/</w:t>
                  </w:r>
                </w:p>
              </w:tc>
              <w:tc>
                <w:tcPr>
                  <w:tcW w:w="1064" w:type="pct"/>
                  <w:noWrap w:val="0"/>
                  <w:vAlign w:val="center"/>
                </w:tcPr>
                <w:p>
                  <w:pPr>
                    <w:pStyle w:val="69"/>
                    <w:rPr>
                      <w:color w:val="auto"/>
                    </w:rPr>
                  </w:pPr>
                  <w:r>
                    <w:rPr>
                      <w:rFonts w:hint="eastAsia"/>
                      <w:color w:val="auto"/>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2" w:hRule="atLeast"/>
              </w:trPr>
              <w:tc>
                <w:tcPr>
                  <w:tcW w:w="287" w:type="pct"/>
                  <w:noWrap w:val="0"/>
                  <w:vAlign w:val="center"/>
                </w:tcPr>
                <w:p>
                  <w:pPr>
                    <w:pStyle w:val="69"/>
                    <w:rPr>
                      <w:rFonts w:hint="eastAsia"/>
                      <w:color w:val="auto"/>
                    </w:rPr>
                  </w:pPr>
                  <w:r>
                    <w:rPr>
                      <w:rFonts w:hint="eastAsia"/>
                      <w:color w:val="auto"/>
                    </w:rPr>
                    <w:t>8</w:t>
                  </w:r>
                </w:p>
              </w:tc>
              <w:tc>
                <w:tcPr>
                  <w:tcW w:w="2088" w:type="pct"/>
                  <w:noWrap w:val="0"/>
                  <w:vAlign w:val="center"/>
                </w:tcPr>
                <w:p>
                  <w:pPr>
                    <w:pStyle w:val="69"/>
                    <w:rPr>
                      <w:rFonts w:hint="eastAsia"/>
                      <w:color w:val="auto"/>
                    </w:rPr>
                  </w:pPr>
                  <w:r>
                    <w:rPr>
                      <w:rFonts w:hint="eastAsia"/>
                      <w:color w:val="auto"/>
                    </w:rPr>
                    <w:t>电脑</w:t>
                  </w:r>
                </w:p>
              </w:tc>
              <w:tc>
                <w:tcPr>
                  <w:tcW w:w="1560" w:type="pct"/>
                  <w:noWrap w:val="0"/>
                  <w:vAlign w:val="center"/>
                </w:tcPr>
                <w:p>
                  <w:pPr>
                    <w:pStyle w:val="69"/>
                    <w:rPr>
                      <w:rFonts w:hint="eastAsia"/>
                      <w:color w:val="auto"/>
                    </w:rPr>
                  </w:pPr>
                  <w:r>
                    <w:rPr>
                      <w:rFonts w:hint="eastAsia"/>
                      <w:color w:val="auto"/>
                    </w:rPr>
                    <w:t>/</w:t>
                  </w:r>
                </w:p>
              </w:tc>
              <w:tc>
                <w:tcPr>
                  <w:tcW w:w="1064" w:type="pct"/>
                  <w:noWrap w:val="0"/>
                  <w:vAlign w:val="center"/>
                </w:tcPr>
                <w:p>
                  <w:pPr>
                    <w:pStyle w:val="69"/>
                    <w:rPr>
                      <w:rFonts w:hint="eastAsia"/>
                      <w:color w:val="auto"/>
                    </w:rPr>
                  </w:pPr>
                  <w:r>
                    <w:rPr>
                      <w:rFonts w:hint="eastAsia"/>
                      <w:color w:val="auto"/>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2" w:hRule="atLeast"/>
              </w:trPr>
              <w:tc>
                <w:tcPr>
                  <w:tcW w:w="287" w:type="pct"/>
                  <w:noWrap w:val="0"/>
                  <w:vAlign w:val="center"/>
                </w:tcPr>
                <w:p>
                  <w:pPr>
                    <w:pStyle w:val="69"/>
                    <w:rPr>
                      <w:rFonts w:hint="eastAsia"/>
                      <w:color w:val="auto"/>
                    </w:rPr>
                  </w:pPr>
                  <w:r>
                    <w:rPr>
                      <w:rFonts w:hint="eastAsia"/>
                      <w:color w:val="auto"/>
                    </w:rPr>
                    <w:t>9</w:t>
                  </w:r>
                </w:p>
              </w:tc>
              <w:tc>
                <w:tcPr>
                  <w:tcW w:w="2088" w:type="pct"/>
                  <w:noWrap w:val="0"/>
                  <w:vAlign w:val="center"/>
                </w:tcPr>
                <w:p>
                  <w:pPr>
                    <w:pStyle w:val="69"/>
                    <w:rPr>
                      <w:rFonts w:hint="eastAsia"/>
                      <w:color w:val="auto"/>
                    </w:rPr>
                  </w:pPr>
                  <w:r>
                    <w:rPr>
                      <w:rFonts w:hint="eastAsia"/>
                      <w:color w:val="auto"/>
                    </w:rPr>
                    <w:t>真菌检测灯</w:t>
                  </w:r>
                </w:p>
              </w:tc>
              <w:tc>
                <w:tcPr>
                  <w:tcW w:w="1560" w:type="pct"/>
                  <w:noWrap w:val="0"/>
                  <w:vAlign w:val="center"/>
                </w:tcPr>
                <w:p>
                  <w:pPr>
                    <w:pStyle w:val="69"/>
                    <w:rPr>
                      <w:rFonts w:hint="eastAsia"/>
                      <w:color w:val="auto"/>
                    </w:rPr>
                  </w:pPr>
                  <w:r>
                    <w:rPr>
                      <w:rFonts w:hint="eastAsia"/>
                      <w:color w:val="auto"/>
                    </w:rPr>
                    <w:t>/</w:t>
                  </w:r>
                </w:p>
              </w:tc>
              <w:tc>
                <w:tcPr>
                  <w:tcW w:w="1064" w:type="pct"/>
                  <w:noWrap w:val="0"/>
                  <w:vAlign w:val="center"/>
                </w:tcPr>
                <w:p>
                  <w:pPr>
                    <w:pStyle w:val="69"/>
                    <w:rPr>
                      <w:rFonts w:hint="eastAsia"/>
                      <w:color w:val="auto"/>
                    </w:rPr>
                  </w:pPr>
                  <w:r>
                    <w:rPr>
                      <w:rFonts w:hint="eastAsia"/>
                      <w:color w:val="auto"/>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2" w:hRule="atLeast"/>
              </w:trPr>
              <w:tc>
                <w:tcPr>
                  <w:tcW w:w="287" w:type="pct"/>
                  <w:noWrap w:val="0"/>
                  <w:vAlign w:val="center"/>
                </w:tcPr>
                <w:p>
                  <w:pPr>
                    <w:pStyle w:val="69"/>
                    <w:rPr>
                      <w:rFonts w:hint="eastAsia"/>
                      <w:color w:val="auto"/>
                    </w:rPr>
                  </w:pPr>
                  <w:r>
                    <w:rPr>
                      <w:rFonts w:hint="eastAsia"/>
                      <w:color w:val="auto"/>
                    </w:rPr>
                    <w:t>10</w:t>
                  </w:r>
                </w:p>
              </w:tc>
              <w:tc>
                <w:tcPr>
                  <w:tcW w:w="2088" w:type="pct"/>
                  <w:noWrap w:val="0"/>
                  <w:vAlign w:val="center"/>
                </w:tcPr>
                <w:p>
                  <w:pPr>
                    <w:pStyle w:val="69"/>
                    <w:rPr>
                      <w:rFonts w:hint="eastAsia"/>
                      <w:color w:val="auto"/>
                    </w:rPr>
                  </w:pPr>
                  <w:r>
                    <w:rPr>
                      <w:rFonts w:hint="eastAsia"/>
                      <w:color w:val="auto"/>
                    </w:rPr>
                    <w:t>紫外消毒灯</w:t>
                  </w:r>
                </w:p>
              </w:tc>
              <w:tc>
                <w:tcPr>
                  <w:tcW w:w="1560" w:type="pct"/>
                  <w:noWrap w:val="0"/>
                  <w:vAlign w:val="center"/>
                </w:tcPr>
                <w:p>
                  <w:pPr>
                    <w:pStyle w:val="69"/>
                    <w:rPr>
                      <w:rFonts w:hint="eastAsia"/>
                      <w:color w:val="auto"/>
                    </w:rPr>
                  </w:pPr>
                  <w:r>
                    <w:rPr>
                      <w:rFonts w:hint="eastAsia"/>
                      <w:color w:val="auto"/>
                    </w:rPr>
                    <w:t>/</w:t>
                  </w:r>
                </w:p>
              </w:tc>
              <w:tc>
                <w:tcPr>
                  <w:tcW w:w="1064" w:type="pct"/>
                  <w:noWrap w:val="0"/>
                  <w:vAlign w:val="center"/>
                </w:tcPr>
                <w:p>
                  <w:pPr>
                    <w:pStyle w:val="69"/>
                    <w:rPr>
                      <w:rFonts w:hint="eastAsia"/>
                      <w:color w:val="auto"/>
                    </w:rPr>
                  </w:pPr>
                  <w:r>
                    <w:rPr>
                      <w:rFonts w:hint="eastAsia"/>
                      <w:color w:val="auto"/>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2" w:hRule="atLeast"/>
              </w:trPr>
              <w:tc>
                <w:tcPr>
                  <w:tcW w:w="287" w:type="pct"/>
                  <w:noWrap w:val="0"/>
                  <w:vAlign w:val="center"/>
                </w:tcPr>
                <w:p>
                  <w:pPr>
                    <w:pStyle w:val="69"/>
                    <w:rPr>
                      <w:rFonts w:hint="eastAsia"/>
                      <w:color w:val="auto"/>
                    </w:rPr>
                  </w:pPr>
                  <w:r>
                    <w:rPr>
                      <w:rFonts w:hint="eastAsia"/>
                      <w:color w:val="auto"/>
                    </w:rPr>
                    <w:t>11</w:t>
                  </w:r>
                </w:p>
              </w:tc>
              <w:tc>
                <w:tcPr>
                  <w:tcW w:w="2088" w:type="pct"/>
                  <w:noWrap w:val="0"/>
                  <w:vAlign w:val="center"/>
                </w:tcPr>
                <w:p>
                  <w:pPr>
                    <w:pStyle w:val="69"/>
                    <w:rPr>
                      <w:rFonts w:hint="eastAsia"/>
                      <w:color w:val="auto"/>
                    </w:rPr>
                  </w:pPr>
                  <w:r>
                    <w:rPr>
                      <w:rFonts w:hint="eastAsia"/>
                      <w:color w:val="auto"/>
                    </w:rPr>
                    <w:t>洁牙机</w:t>
                  </w:r>
                </w:p>
              </w:tc>
              <w:tc>
                <w:tcPr>
                  <w:tcW w:w="1560" w:type="pct"/>
                  <w:noWrap w:val="0"/>
                  <w:vAlign w:val="center"/>
                </w:tcPr>
                <w:p>
                  <w:pPr>
                    <w:pStyle w:val="69"/>
                    <w:rPr>
                      <w:rFonts w:hint="eastAsia"/>
                      <w:color w:val="auto"/>
                    </w:rPr>
                  </w:pPr>
                  <w:r>
                    <w:rPr>
                      <w:rFonts w:hint="eastAsia"/>
                      <w:color w:val="auto"/>
                    </w:rPr>
                    <w:t>/</w:t>
                  </w:r>
                </w:p>
              </w:tc>
              <w:tc>
                <w:tcPr>
                  <w:tcW w:w="1064" w:type="pct"/>
                  <w:noWrap w:val="0"/>
                  <w:vAlign w:val="center"/>
                </w:tcPr>
                <w:p>
                  <w:pPr>
                    <w:pStyle w:val="69"/>
                    <w:rPr>
                      <w:rFonts w:hint="eastAsia"/>
                      <w:color w:val="auto"/>
                    </w:rPr>
                  </w:pPr>
                  <w:r>
                    <w:rPr>
                      <w:rFonts w:hint="eastAsia"/>
                      <w:color w:val="auto"/>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2" w:hRule="atLeast"/>
              </w:trPr>
              <w:tc>
                <w:tcPr>
                  <w:tcW w:w="287" w:type="pct"/>
                  <w:noWrap w:val="0"/>
                  <w:vAlign w:val="center"/>
                </w:tcPr>
                <w:p>
                  <w:pPr>
                    <w:pStyle w:val="69"/>
                    <w:rPr>
                      <w:rFonts w:hint="eastAsia"/>
                      <w:color w:val="auto"/>
                    </w:rPr>
                  </w:pPr>
                  <w:r>
                    <w:rPr>
                      <w:rFonts w:hint="eastAsia"/>
                      <w:color w:val="auto"/>
                    </w:rPr>
                    <w:t>12</w:t>
                  </w:r>
                </w:p>
              </w:tc>
              <w:tc>
                <w:tcPr>
                  <w:tcW w:w="2088" w:type="pct"/>
                  <w:noWrap w:val="0"/>
                  <w:vAlign w:val="center"/>
                </w:tcPr>
                <w:p>
                  <w:pPr>
                    <w:pStyle w:val="69"/>
                    <w:rPr>
                      <w:rFonts w:hint="eastAsia"/>
                      <w:color w:val="auto"/>
                    </w:rPr>
                  </w:pPr>
                  <w:r>
                    <w:rPr>
                      <w:rFonts w:hint="eastAsia"/>
                      <w:color w:val="auto"/>
                    </w:rPr>
                    <w:t>注射泵</w:t>
                  </w:r>
                </w:p>
              </w:tc>
              <w:tc>
                <w:tcPr>
                  <w:tcW w:w="1560" w:type="pct"/>
                  <w:noWrap w:val="0"/>
                  <w:vAlign w:val="center"/>
                </w:tcPr>
                <w:p>
                  <w:pPr>
                    <w:pStyle w:val="69"/>
                    <w:rPr>
                      <w:rFonts w:hint="eastAsia"/>
                      <w:color w:val="auto"/>
                    </w:rPr>
                  </w:pPr>
                  <w:r>
                    <w:rPr>
                      <w:rFonts w:hint="eastAsia"/>
                      <w:color w:val="auto"/>
                    </w:rPr>
                    <w:t>/</w:t>
                  </w:r>
                </w:p>
              </w:tc>
              <w:tc>
                <w:tcPr>
                  <w:tcW w:w="1064" w:type="pct"/>
                  <w:noWrap w:val="0"/>
                  <w:vAlign w:val="center"/>
                </w:tcPr>
                <w:p>
                  <w:pPr>
                    <w:pStyle w:val="69"/>
                    <w:rPr>
                      <w:rFonts w:hint="eastAsia"/>
                      <w:color w:val="auto"/>
                    </w:rPr>
                  </w:pPr>
                  <w:r>
                    <w:rPr>
                      <w:rFonts w:hint="eastAsia"/>
                      <w:color w:val="auto"/>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2" w:hRule="atLeast"/>
              </w:trPr>
              <w:tc>
                <w:tcPr>
                  <w:tcW w:w="287" w:type="pct"/>
                  <w:noWrap w:val="0"/>
                  <w:vAlign w:val="center"/>
                </w:tcPr>
                <w:p>
                  <w:pPr>
                    <w:pStyle w:val="69"/>
                    <w:rPr>
                      <w:rFonts w:hint="eastAsia"/>
                      <w:color w:val="auto"/>
                    </w:rPr>
                  </w:pPr>
                  <w:r>
                    <w:rPr>
                      <w:rFonts w:hint="eastAsia"/>
                      <w:color w:val="auto"/>
                    </w:rPr>
                    <w:t>13</w:t>
                  </w:r>
                </w:p>
              </w:tc>
              <w:tc>
                <w:tcPr>
                  <w:tcW w:w="2088" w:type="pct"/>
                  <w:noWrap w:val="0"/>
                  <w:vAlign w:val="center"/>
                </w:tcPr>
                <w:p>
                  <w:pPr>
                    <w:pStyle w:val="69"/>
                    <w:rPr>
                      <w:rFonts w:hint="eastAsia"/>
                      <w:color w:val="auto"/>
                    </w:rPr>
                  </w:pPr>
                  <w:r>
                    <w:rPr>
                      <w:rFonts w:hint="eastAsia"/>
                      <w:color w:val="auto"/>
                    </w:rPr>
                    <w:t>宠物专用听诊器</w:t>
                  </w:r>
                </w:p>
              </w:tc>
              <w:tc>
                <w:tcPr>
                  <w:tcW w:w="1560" w:type="pct"/>
                  <w:noWrap w:val="0"/>
                  <w:vAlign w:val="center"/>
                </w:tcPr>
                <w:p>
                  <w:pPr>
                    <w:pStyle w:val="69"/>
                    <w:rPr>
                      <w:rFonts w:hint="eastAsia"/>
                      <w:color w:val="auto"/>
                    </w:rPr>
                  </w:pPr>
                  <w:r>
                    <w:rPr>
                      <w:rFonts w:hint="eastAsia"/>
                      <w:color w:val="auto"/>
                    </w:rPr>
                    <w:t>/</w:t>
                  </w:r>
                </w:p>
              </w:tc>
              <w:tc>
                <w:tcPr>
                  <w:tcW w:w="1064" w:type="pct"/>
                  <w:noWrap w:val="0"/>
                  <w:vAlign w:val="center"/>
                </w:tcPr>
                <w:p>
                  <w:pPr>
                    <w:pStyle w:val="69"/>
                    <w:rPr>
                      <w:rFonts w:hint="eastAsia"/>
                      <w:color w:val="auto"/>
                    </w:rPr>
                  </w:pPr>
                  <w:r>
                    <w:rPr>
                      <w:rFonts w:hint="eastAsia"/>
                      <w:color w:val="auto"/>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2" w:hRule="atLeast"/>
              </w:trPr>
              <w:tc>
                <w:tcPr>
                  <w:tcW w:w="287" w:type="pct"/>
                  <w:noWrap w:val="0"/>
                  <w:vAlign w:val="center"/>
                </w:tcPr>
                <w:p>
                  <w:pPr>
                    <w:pStyle w:val="69"/>
                    <w:rPr>
                      <w:rFonts w:hint="eastAsia"/>
                      <w:color w:val="auto"/>
                    </w:rPr>
                  </w:pPr>
                  <w:r>
                    <w:rPr>
                      <w:rFonts w:hint="eastAsia"/>
                      <w:color w:val="auto"/>
                    </w:rPr>
                    <w:t>14</w:t>
                  </w:r>
                </w:p>
              </w:tc>
              <w:tc>
                <w:tcPr>
                  <w:tcW w:w="2088" w:type="pct"/>
                  <w:noWrap w:val="0"/>
                  <w:vAlign w:val="center"/>
                </w:tcPr>
                <w:p>
                  <w:pPr>
                    <w:pStyle w:val="69"/>
                    <w:rPr>
                      <w:rFonts w:hint="eastAsia"/>
                      <w:color w:val="auto"/>
                    </w:rPr>
                  </w:pPr>
                  <w:r>
                    <w:rPr>
                      <w:rFonts w:hint="eastAsia"/>
                      <w:color w:val="auto"/>
                    </w:rPr>
                    <w:t>X光机</w:t>
                  </w:r>
                </w:p>
              </w:tc>
              <w:tc>
                <w:tcPr>
                  <w:tcW w:w="1560" w:type="pct"/>
                  <w:noWrap w:val="0"/>
                  <w:vAlign w:val="center"/>
                </w:tcPr>
                <w:p>
                  <w:pPr>
                    <w:pStyle w:val="69"/>
                    <w:rPr>
                      <w:rFonts w:hint="eastAsia"/>
                      <w:color w:val="auto"/>
                    </w:rPr>
                  </w:pPr>
                  <w:r>
                    <w:rPr>
                      <w:rFonts w:hint="eastAsia"/>
                      <w:color w:val="auto"/>
                    </w:rPr>
                    <w:t>/</w:t>
                  </w:r>
                </w:p>
              </w:tc>
              <w:tc>
                <w:tcPr>
                  <w:tcW w:w="1064" w:type="pct"/>
                  <w:noWrap w:val="0"/>
                  <w:vAlign w:val="center"/>
                </w:tcPr>
                <w:p>
                  <w:pPr>
                    <w:pStyle w:val="69"/>
                    <w:rPr>
                      <w:rFonts w:hint="eastAsia"/>
                      <w:color w:val="auto"/>
                    </w:rPr>
                  </w:pPr>
                  <w:r>
                    <w:rPr>
                      <w:rFonts w:hint="eastAsia"/>
                      <w:color w:val="auto"/>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2" w:hRule="atLeast"/>
              </w:trPr>
              <w:tc>
                <w:tcPr>
                  <w:tcW w:w="287" w:type="pct"/>
                  <w:noWrap w:val="0"/>
                  <w:vAlign w:val="center"/>
                </w:tcPr>
                <w:p>
                  <w:pPr>
                    <w:pStyle w:val="69"/>
                    <w:rPr>
                      <w:rFonts w:hint="eastAsia"/>
                      <w:color w:val="auto"/>
                    </w:rPr>
                  </w:pPr>
                  <w:r>
                    <w:rPr>
                      <w:rFonts w:hint="eastAsia"/>
                      <w:color w:val="auto"/>
                    </w:rPr>
                    <w:t>15</w:t>
                  </w:r>
                </w:p>
              </w:tc>
              <w:tc>
                <w:tcPr>
                  <w:tcW w:w="2088" w:type="pct"/>
                  <w:noWrap w:val="0"/>
                  <w:vAlign w:val="center"/>
                </w:tcPr>
                <w:p>
                  <w:pPr>
                    <w:pStyle w:val="69"/>
                    <w:rPr>
                      <w:rFonts w:hint="eastAsia"/>
                      <w:color w:val="auto"/>
                    </w:rPr>
                  </w:pPr>
                  <w:r>
                    <w:rPr>
                      <w:rFonts w:hint="eastAsia"/>
                      <w:color w:val="auto"/>
                    </w:rPr>
                    <w:t>B超</w:t>
                  </w:r>
                </w:p>
              </w:tc>
              <w:tc>
                <w:tcPr>
                  <w:tcW w:w="1560" w:type="pct"/>
                  <w:noWrap w:val="0"/>
                  <w:vAlign w:val="center"/>
                </w:tcPr>
                <w:p>
                  <w:pPr>
                    <w:pStyle w:val="69"/>
                    <w:rPr>
                      <w:rFonts w:hint="eastAsia"/>
                      <w:color w:val="auto"/>
                    </w:rPr>
                  </w:pPr>
                  <w:r>
                    <w:rPr>
                      <w:rFonts w:hint="eastAsia"/>
                      <w:color w:val="auto"/>
                    </w:rPr>
                    <w:t>祥生QBit-5</w:t>
                  </w:r>
                </w:p>
              </w:tc>
              <w:tc>
                <w:tcPr>
                  <w:tcW w:w="1064" w:type="pct"/>
                  <w:noWrap w:val="0"/>
                  <w:vAlign w:val="center"/>
                </w:tcPr>
                <w:p>
                  <w:pPr>
                    <w:pStyle w:val="69"/>
                    <w:rPr>
                      <w:rFonts w:hint="eastAsia"/>
                      <w:color w:val="auto"/>
                    </w:rPr>
                  </w:pPr>
                  <w:r>
                    <w:rPr>
                      <w:rFonts w:hint="eastAsia"/>
                      <w:color w:val="auto"/>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2" w:hRule="atLeast"/>
              </w:trPr>
              <w:tc>
                <w:tcPr>
                  <w:tcW w:w="287" w:type="pct"/>
                  <w:noWrap w:val="0"/>
                  <w:vAlign w:val="center"/>
                </w:tcPr>
                <w:p>
                  <w:pPr>
                    <w:pStyle w:val="69"/>
                    <w:rPr>
                      <w:rFonts w:hint="eastAsia"/>
                      <w:color w:val="auto"/>
                    </w:rPr>
                  </w:pPr>
                  <w:r>
                    <w:rPr>
                      <w:rFonts w:hint="eastAsia"/>
                      <w:color w:val="auto"/>
                    </w:rPr>
                    <w:t>16</w:t>
                  </w:r>
                </w:p>
              </w:tc>
              <w:tc>
                <w:tcPr>
                  <w:tcW w:w="2088" w:type="pct"/>
                  <w:noWrap w:val="0"/>
                  <w:vAlign w:val="center"/>
                </w:tcPr>
                <w:p>
                  <w:pPr>
                    <w:pStyle w:val="69"/>
                    <w:rPr>
                      <w:rFonts w:hint="eastAsia"/>
                      <w:color w:val="auto"/>
                    </w:rPr>
                  </w:pPr>
                  <w:r>
                    <w:rPr>
                      <w:rFonts w:hint="eastAsia"/>
                      <w:color w:val="auto"/>
                    </w:rPr>
                    <w:t>呼吸麻醉机</w:t>
                  </w:r>
                </w:p>
              </w:tc>
              <w:tc>
                <w:tcPr>
                  <w:tcW w:w="1560" w:type="pct"/>
                  <w:noWrap w:val="0"/>
                  <w:vAlign w:val="center"/>
                </w:tcPr>
                <w:p>
                  <w:pPr>
                    <w:pStyle w:val="69"/>
                    <w:rPr>
                      <w:rFonts w:hint="eastAsia"/>
                      <w:color w:val="auto"/>
                    </w:rPr>
                  </w:pPr>
                  <w:r>
                    <w:rPr>
                      <w:rFonts w:hint="eastAsia"/>
                      <w:color w:val="auto"/>
                    </w:rPr>
                    <w:t>/</w:t>
                  </w:r>
                </w:p>
              </w:tc>
              <w:tc>
                <w:tcPr>
                  <w:tcW w:w="1064" w:type="pct"/>
                  <w:noWrap w:val="0"/>
                  <w:vAlign w:val="center"/>
                </w:tcPr>
                <w:p>
                  <w:pPr>
                    <w:pStyle w:val="69"/>
                    <w:rPr>
                      <w:rFonts w:hint="eastAsia"/>
                      <w:color w:val="auto"/>
                    </w:rPr>
                  </w:pPr>
                  <w:r>
                    <w:rPr>
                      <w:rFonts w:hint="eastAsia"/>
                      <w:color w:val="auto"/>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2" w:hRule="atLeast"/>
              </w:trPr>
              <w:tc>
                <w:tcPr>
                  <w:tcW w:w="287" w:type="pct"/>
                  <w:noWrap w:val="0"/>
                  <w:vAlign w:val="center"/>
                </w:tcPr>
                <w:p>
                  <w:pPr>
                    <w:pStyle w:val="69"/>
                    <w:rPr>
                      <w:rFonts w:hint="eastAsia"/>
                      <w:color w:val="auto"/>
                    </w:rPr>
                  </w:pPr>
                  <w:r>
                    <w:rPr>
                      <w:rFonts w:hint="eastAsia"/>
                      <w:color w:val="auto"/>
                    </w:rPr>
                    <w:t>17</w:t>
                  </w:r>
                </w:p>
              </w:tc>
              <w:tc>
                <w:tcPr>
                  <w:tcW w:w="2088" w:type="pct"/>
                  <w:noWrap w:val="0"/>
                  <w:vAlign w:val="center"/>
                </w:tcPr>
                <w:p>
                  <w:pPr>
                    <w:pStyle w:val="69"/>
                    <w:rPr>
                      <w:rFonts w:hint="eastAsia"/>
                      <w:color w:val="auto"/>
                    </w:rPr>
                  </w:pPr>
                  <w:r>
                    <w:rPr>
                      <w:rFonts w:hint="eastAsia"/>
                      <w:color w:val="auto"/>
                    </w:rPr>
                    <w:t>输液泵</w:t>
                  </w:r>
                </w:p>
              </w:tc>
              <w:tc>
                <w:tcPr>
                  <w:tcW w:w="1560" w:type="pct"/>
                  <w:noWrap w:val="0"/>
                  <w:vAlign w:val="center"/>
                </w:tcPr>
                <w:p>
                  <w:pPr>
                    <w:pStyle w:val="69"/>
                    <w:rPr>
                      <w:rFonts w:hint="eastAsia"/>
                      <w:color w:val="auto"/>
                    </w:rPr>
                  </w:pPr>
                  <w:r>
                    <w:rPr>
                      <w:rFonts w:hint="eastAsia"/>
                      <w:color w:val="auto"/>
                    </w:rPr>
                    <w:t>KJR-Y31W</w:t>
                  </w:r>
                </w:p>
              </w:tc>
              <w:tc>
                <w:tcPr>
                  <w:tcW w:w="1064" w:type="pct"/>
                  <w:noWrap w:val="0"/>
                  <w:vAlign w:val="center"/>
                </w:tcPr>
                <w:p>
                  <w:pPr>
                    <w:pStyle w:val="69"/>
                    <w:rPr>
                      <w:rFonts w:hint="eastAsia"/>
                      <w:color w:val="auto"/>
                    </w:rPr>
                  </w:pPr>
                  <w:r>
                    <w:rPr>
                      <w:rFonts w:hint="eastAsia"/>
                      <w:color w:val="auto"/>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2" w:hRule="atLeast"/>
              </w:trPr>
              <w:tc>
                <w:tcPr>
                  <w:tcW w:w="287" w:type="pct"/>
                  <w:noWrap w:val="0"/>
                  <w:vAlign w:val="center"/>
                </w:tcPr>
                <w:p>
                  <w:pPr>
                    <w:pStyle w:val="69"/>
                    <w:rPr>
                      <w:color w:val="auto"/>
                    </w:rPr>
                  </w:pPr>
                  <w:r>
                    <w:rPr>
                      <w:rFonts w:hint="eastAsia"/>
                      <w:color w:val="auto"/>
                    </w:rPr>
                    <w:t>18</w:t>
                  </w:r>
                </w:p>
              </w:tc>
              <w:tc>
                <w:tcPr>
                  <w:tcW w:w="2088" w:type="pct"/>
                  <w:noWrap w:val="0"/>
                  <w:vAlign w:val="center"/>
                </w:tcPr>
                <w:p>
                  <w:pPr>
                    <w:pStyle w:val="69"/>
                    <w:rPr>
                      <w:color w:val="auto"/>
                    </w:rPr>
                  </w:pPr>
                  <w:r>
                    <w:rPr>
                      <w:rFonts w:hint="eastAsia"/>
                      <w:color w:val="auto"/>
                    </w:rPr>
                    <w:t>全自动PCR核算检测仪</w:t>
                  </w:r>
                </w:p>
              </w:tc>
              <w:tc>
                <w:tcPr>
                  <w:tcW w:w="1560" w:type="pct"/>
                  <w:noWrap w:val="0"/>
                  <w:vAlign w:val="center"/>
                </w:tcPr>
                <w:p>
                  <w:pPr>
                    <w:pStyle w:val="69"/>
                    <w:rPr>
                      <w:rFonts w:hint="eastAsia"/>
                      <w:color w:val="auto"/>
                    </w:rPr>
                  </w:pPr>
                  <w:r>
                    <w:rPr>
                      <w:rFonts w:hint="eastAsia"/>
                      <w:color w:val="auto"/>
                    </w:rPr>
                    <w:t>钢助、卡尤迪</w:t>
                  </w:r>
                </w:p>
              </w:tc>
              <w:tc>
                <w:tcPr>
                  <w:tcW w:w="1064" w:type="pct"/>
                  <w:noWrap w:val="0"/>
                  <w:vAlign w:val="center"/>
                </w:tcPr>
                <w:p>
                  <w:pPr>
                    <w:pStyle w:val="69"/>
                    <w:rPr>
                      <w:color w:val="auto"/>
                    </w:rPr>
                  </w:pPr>
                  <w:r>
                    <w:rPr>
                      <w:rFonts w:hint="eastAsia"/>
                      <w:color w:val="auto"/>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2" w:hRule="atLeast"/>
              </w:trPr>
              <w:tc>
                <w:tcPr>
                  <w:tcW w:w="287" w:type="pct"/>
                  <w:noWrap w:val="0"/>
                  <w:vAlign w:val="center"/>
                </w:tcPr>
                <w:p>
                  <w:pPr>
                    <w:pStyle w:val="69"/>
                    <w:rPr>
                      <w:color w:val="auto"/>
                    </w:rPr>
                  </w:pPr>
                  <w:r>
                    <w:rPr>
                      <w:rFonts w:hint="eastAsia"/>
                      <w:color w:val="auto"/>
                    </w:rPr>
                    <w:t>19</w:t>
                  </w:r>
                </w:p>
              </w:tc>
              <w:tc>
                <w:tcPr>
                  <w:tcW w:w="2088" w:type="pct"/>
                  <w:noWrap w:val="0"/>
                  <w:vAlign w:val="center"/>
                </w:tcPr>
                <w:p>
                  <w:pPr>
                    <w:pStyle w:val="69"/>
                    <w:rPr>
                      <w:rFonts w:hint="eastAsia"/>
                      <w:color w:val="auto"/>
                    </w:rPr>
                  </w:pPr>
                  <w:r>
                    <w:rPr>
                      <w:rFonts w:hint="eastAsia"/>
                      <w:color w:val="auto"/>
                    </w:rPr>
                    <w:t>全自动血液分析仪</w:t>
                  </w:r>
                </w:p>
              </w:tc>
              <w:tc>
                <w:tcPr>
                  <w:tcW w:w="1560" w:type="pct"/>
                  <w:noWrap w:val="0"/>
                  <w:vAlign w:val="center"/>
                </w:tcPr>
                <w:p>
                  <w:pPr>
                    <w:pStyle w:val="69"/>
                    <w:rPr>
                      <w:color w:val="auto"/>
                    </w:rPr>
                  </w:pPr>
                  <w:r>
                    <w:rPr>
                      <w:rFonts w:hint="eastAsia"/>
                      <w:color w:val="auto"/>
                    </w:rPr>
                    <w:t>麦瑞、NX-102</w:t>
                  </w:r>
                </w:p>
              </w:tc>
              <w:tc>
                <w:tcPr>
                  <w:tcW w:w="1064" w:type="pct"/>
                  <w:noWrap w:val="0"/>
                  <w:vAlign w:val="center"/>
                </w:tcPr>
                <w:p>
                  <w:pPr>
                    <w:pStyle w:val="69"/>
                    <w:rPr>
                      <w:color w:val="auto"/>
                    </w:rPr>
                  </w:pPr>
                  <w:r>
                    <w:rPr>
                      <w:rFonts w:hint="eastAsia"/>
                      <w:color w:val="auto"/>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2" w:hRule="atLeast"/>
              </w:trPr>
              <w:tc>
                <w:tcPr>
                  <w:tcW w:w="287" w:type="pct"/>
                  <w:noWrap w:val="0"/>
                  <w:vAlign w:val="center"/>
                </w:tcPr>
                <w:p>
                  <w:pPr>
                    <w:pStyle w:val="69"/>
                    <w:rPr>
                      <w:color w:val="auto"/>
                    </w:rPr>
                  </w:pPr>
                  <w:r>
                    <w:rPr>
                      <w:rFonts w:hint="eastAsia"/>
                      <w:color w:val="auto"/>
                    </w:rPr>
                    <w:t>20</w:t>
                  </w:r>
                </w:p>
              </w:tc>
              <w:tc>
                <w:tcPr>
                  <w:tcW w:w="2088" w:type="pct"/>
                  <w:noWrap w:val="0"/>
                  <w:vAlign w:val="center"/>
                </w:tcPr>
                <w:p>
                  <w:pPr>
                    <w:pStyle w:val="69"/>
                    <w:rPr>
                      <w:color w:val="auto"/>
                    </w:rPr>
                  </w:pPr>
                  <w:r>
                    <w:rPr>
                      <w:rFonts w:hint="eastAsia"/>
                      <w:color w:val="auto"/>
                    </w:rPr>
                    <w:t>DR</w:t>
                  </w:r>
                </w:p>
              </w:tc>
              <w:tc>
                <w:tcPr>
                  <w:tcW w:w="1560" w:type="pct"/>
                  <w:noWrap w:val="0"/>
                  <w:vAlign w:val="center"/>
                </w:tcPr>
                <w:p>
                  <w:pPr>
                    <w:pStyle w:val="69"/>
                    <w:rPr>
                      <w:color w:val="auto"/>
                    </w:rPr>
                  </w:pPr>
                  <w:r>
                    <w:rPr>
                      <w:rFonts w:hint="eastAsia"/>
                      <w:color w:val="auto"/>
                    </w:rPr>
                    <w:t>舒博尔VT520</w:t>
                  </w:r>
                </w:p>
              </w:tc>
              <w:tc>
                <w:tcPr>
                  <w:tcW w:w="1064" w:type="pct"/>
                  <w:noWrap w:val="0"/>
                  <w:vAlign w:val="center"/>
                </w:tcPr>
                <w:p>
                  <w:pPr>
                    <w:pStyle w:val="69"/>
                    <w:rPr>
                      <w:color w:val="auto"/>
                    </w:rPr>
                  </w:pPr>
                  <w:r>
                    <w:rPr>
                      <w:rFonts w:hint="eastAsia"/>
                      <w:color w:val="auto"/>
                    </w:rPr>
                    <w:t>1</w:t>
                  </w:r>
                </w:p>
              </w:tc>
            </w:tr>
          </w:tbl>
          <w:p>
            <w:pPr>
              <w:pStyle w:val="4"/>
              <w:numPr>
                <w:ilvl w:val="0"/>
                <w:numId w:val="10"/>
              </w:numPr>
              <w:rPr>
                <w:rFonts w:hint="eastAsia"/>
                <w:color w:val="auto"/>
              </w:rPr>
            </w:pPr>
            <w:r>
              <w:rPr>
                <w:rFonts w:hint="eastAsia"/>
                <w:color w:val="auto"/>
              </w:rPr>
              <w:t>主要原辅材料及能耗</w:t>
            </w:r>
          </w:p>
          <w:p>
            <w:pPr>
              <w:ind w:firstLine="480"/>
              <w:rPr>
                <w:color w:val="auto"/>
              </w:rPr>
            </w:pPr>
            <w:r>
              <w:rPr>
                <w:rFonts w:hint="eastAsia"/>
                <w:color w:val="auto"/>
              </w:rPr>
              <w:t>项目消耗的原辅材料主要为各类药品及一次性医用材料，如口罩、注射器、输液器等。</w:t>
            </w:r>
            <w:r>
              <w:rPr>
                <w:color w:val="auto"/>
              </w:rPr>
              <w:t>项目运营期所使用的原辅材料及消耗量见下表：</w:t>
            </w:r>
          </w:p>
          <w:p>
            <w:pPr>
              <w:pStyle w:val="117"/>
              <w:rPr>
                <w:rFonts w:hint="eastAsia"/>
                <w:color w:val="auto"/>
              </w:rPr>
            </w:pPr>
            <w:r>
              <w:rPr>
                <w:color w:val="auto"/>
              </w:rPr>
              <w:t>表 2-</w:t>
            </w:r>
            <w:r>
              <w:rPr>
                <w:rFonts w:hint="eastAsia"/>
                <w:color w:val="auto"/>
              </w:rPr>
              <w:t>3</w:t>
            </w:r>
            <w:r>
              <w:rPr>
                <w:color w:val="auto"/>
              </w:rPr>
              <w:t xml:space="preserve">  </w:t>
            </w:r>
            <w:r>
              <w:rPr>
                <w:rFonts w:hint="eastAsia"/>
                <w:color w:val="auto"/>
              </w:rPr>
              <w:t>原辅材料年耗情况表</w:t>
            </w:r>
          </w:p>
          <w:tbl>
            <w:tblPr>
              <w:tblStyle w:val="38"/>
              <w:tblW w:w="4995"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8"/>
              <w:gridCol w:w="3426"/>
              <w:gridCol w:w="1459"/>
              <w:gridCol w:w="981"/>
              <w:gridCol w:w="13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noWrap/>
                  <w:vAlign w:val="center"/>
                </w:tcPr>
                <w:p>
                  <w:pPr>
                    <w:pStyle w:val="69"/>
                    <w:rPr>
                      <w:rFonts w:hint="eastAsia"/>
                      <w:color w:val="auto"/>
                    </w:rPr>
                  </w:pPr>
                  <w:r>
                    <w:rPr>
                      <w:rFonts w:hint="eastAsia"/>
                      <w:color w:val="auto"/>
                    </w:rPr>
                    <w:t>分类</w:t>
                  </w:r>
                </w:p>
              </w:tc>
              <w:tc>
                <w:tcPr>
                  <w:tcW w:w="2085" w:type="pct"/>
                  <w:noWrap/>
                  <w:vAlign w:val="center"/>
                </w:tcPr>
                <w:p>
                  <w:pPr>
                    <w:pStyle w:val="69"/>
                    <w:rPr>
                      <w:rFonts w:hint="eastAsia"/>
                      <w:color w:val="auto"/>
                    </w:rPr>
                  </w:pPr>
                  <w:r>
                    <w:rPr>
                      <w:rFonts w:hint="eastAsia"/>
                      <w:color w:val="auto"/>
                    </w:rPr>
                    <w:t>商品名</w:t>
                  </w:r>
                </w:p>
              </w:tc>
              <w:tc>
                <w:tcPr>
                  <w:tcW w:w="888" w:type="pct"/>
                  <w:noWrap/>
                  <w:vAlign w:val="center"/>
                </w:tcPr>
                <w:p>
                  <w:pPr>
                    <w:pStyle w:val="69"/>
                    <w:rPr>
                      <w:rFonts w:hint="eastAsia"/>
                      <w:color w:val="auto"/>
                    </w:rPr>
                  </w:pPr>
                  <w:r>
                    <w:rPr>
                      <w:rFonts w:hint="eastAsia"/>
                      <w:color w:val="auto"/>
                    </w:rPr>
                    <w:t>数量</w:t>
                  </w:r>
                </w:p>
              </w:tc>
              <w:tc>
                <w:tcPr>
                  <w:tcW w:w="597" w:type="pct"/>
                  <w:noWrap/>
                  <w:vAlign w:val="center"/>
                </w:tcPr>
                <w:p>
                  <w:pPr>
                    <w:pStyle w:val="69"/>
                    <w:rPr>
                      <w:rFonts w:hint="eastAsia"/>
                      <w:color w:val="auto"/>
                    </w:rPr>
                  </w:pPr>
                  <w:r>
                    <w:rPr>
                      <w:rFonts w:hint="eastAsia"/>
                      <w:color w:val="auto"/>
                    </w:rPr>
                    <w:t>单位</w:t>
                  </w:r>
                </w:p>
              </w:tc>
              <w:tc>
                <w:tcPr>
                  <w:tcW w:w="802" w:type="pct"/>
                  <w:noWrap/>
                  <w:vAlign w:val="center"/>
                </w:tcPr>
                <w:p>
                  <w:pPr>
                    <w:pStyle w:val="69"/>
                    <w:rPr>
                      <w:rFonts w:hint="eastAsia"/>
                      <w:color w:val="auto"/>
                    </w:rPr>
                  </w:pPr>
                  <w:r>
                    <w:rPr>
                      <w:rFonts w:hint="eastAsia"/>
                      <w:color w:val="auto"/>
                    </w:rPr>
                    <w:t>来源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restart"/>
                  <w:noWrap/>
                  <w:vAlign w:val="center"/>
                </w:tcPr>
                <w:p>
                  <w:pPr>
                    <w:pStyle w:val="69"/>
                    <w:rPr>
                      <w:rFonts w:hint="eastAsia"/>
                      <w:color w:val="auto"/>
                    </w:rPr>
                  </w:pPr>
                </w:p>
                <w:p>
                  <w:pPr>
                    <w:pStyle w:val="69"/>
                    <w:rPr>
                      <w:rFonts w:hint="eastAsia"/>
                      <w:color w:val="auto"/>
                    </w:rPr>
                  </w:pPr>
                  <w:r>
                    <w:rPr>
                      <w:rFonts w:hint="eastAsia"/>
                      <w:color w:val="auto"/>
                    </w:rPr>
                    <w:t>药品</w:t>
                  </w:r>
                </w:p>
                <w:p>
                  <w:pPr>
                    <w:pStyle w:val="69"/>
                    <w:rPr>
                      <w:rFonts w:hint="eastAsia"/>
                      <w:color w:val="auto"/>
                    </w:rPr>
                  </w:pPr>
                </w:p>
              </w:tc>
              <w:tc>
                <w:tcPr>
                  <w:tcW w:w="2085" w:type="pct"/>
                  <w:noWrap/>
                  <w:vAlign w:val="center"/>
                </w:tcPr>
                <w:p>
                  <w:pPr>
                    <w:pStyle w:val="69"/>
                    <w:rPr>
                      <w:rFonts w:hint="eastAsia"/>
                      <w:color w:val="auto"/>
                    </w:rPr>
                  </w:pPr>
                  <w:r>
                    <w:rPr>
                      <w:rFonts w:hint="eastAsia"/>
                      <w:color w:val="auto"/>
                    </w:rPr>
                    <w:t>0.9%氯化钠注射液</w:t>
                  </w:r>
                </w:p>
              </w:tc>
              <w:tc>
                <w:tcPr>
                  <w:tcW w:w="888" w:type="pct"/>
                  <w:noWrap/>
                  <w:vAlign w:val="center"/>
                </w:tcPr>
                <w:p>
                  <w:pPr>
                    <w:pStyle w:val="69"/>
                    <w:rPr>
                      <w:rFonts w:hint="eastAsia"/>
                      <w:color w:val="auto"/>
                    </w:rPr>
                  </w:pPr>
                  <w:r>
                    <w:rPr>
                      <w:rFonts w:hint="eastAsia"/>
                      <w:color w:val="auto"/>
                    </w:rPr>
                    <w:t>500</w:t>
                  </w:r>
                </w:p>
              </w:tc>
              <w:tc>
                <w:tcPr>
                  <w:tcW w:w="597" w:type="pct"/>
                  <w:noWrap/>
                  <w:vAlign w:val="center"/>
                </w:tcPr>
                <w:p>
                  <w:pPr>
                    <w:pStyle w:val="69"/>
                    <w:rPr>
                      <w:rFonts w:hint="eastAsia"/>
                      <w:color w:val="auto"/>
                    </w:rPr>
                  </w:pPr>
                  <w:r>
                    <w:rPr>
                      <w:rFonts w:hint="eastAsia"/>
                      <w:color w:val="auto"/>
                    </w:rPr>
                    <w:t>袋</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5%葡萄糖注射液</w:t>
                  </w:r>
                </w:p>
              </w:tc>
              <w:tc>
                <w:tcPr>
                  <w:tcW w:w="888" w:type="pct"/>
                  <w:noWrap/>
                  <w:vAlign w:val="center"/>
                </w:tcPr>
                <w:p>
                  <w:pPr>
                    <w:pStyle w:val="69"/>
                    <w:rPr>
                      <w:rFonts w:hint="eastAsia"/>
                      <w:color w:val="auto"/>
                    </w:rPr>
                  </w:pPr>
                  <w:r>
                    <w:rPr>
                      <w:rFonts w:hint="eastAsia"/>
                      <w:color w:val="auto"/>
                    </w:rPr>
                    <w:t>200</w:t>
                  </w:r>
                </w:p>
              </w:tc>
              <w:tc>
                <w:tcPr>
                  <w:tcW w:w="597" w:type="pct"/>
                  <w:noWrap/>
                  <w:vAlign w:val="center"/>
                </w:tcPr>
                <w:p>
                  <w:pPr>
                    <w:pStyle w:val="69"/>
                    <w:rPr>
                      <w:rFonts w:hint="eastAsia"/>
                      <w:color w:val="auto"/>
                    </w:rPr>
                  </w:pPr>
                  <w:r>
                    <w:rPr>
                      <w:rFonts w:hint="eastAsia"/>
                      <w:color w:val="auto"/>
                    </w:rPr>
                    <w:t>袋</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50%葡萄糖注射液</w:t>
                  </w:r>
                </w:p>
              </w:tc>
              <w:tc>
                <w:tcPr>
                  <w:tcW w:w="888" w:type="pct"/>
                  <w:noWrap/>
                  <w:vAlign w:val="center"/>
                </w:tcPr>
                <w:p>
                  <w:pPr>
                    <w:pStyle w:val="69"/>
                    <w:rPr>
                      <w:rFonts w:hint="eastAsia"/>
                      <w:color w:val="auto"/>
                    </w:rPr>
                  </w:pPr>
                  <w:r>
                    <w:rPr>
                      <w:rFonts w:hint="eastAsia"/>
                      <w:color w:val="auto"/>
                    </w:rPr>
                    <w:t>50</w:t>
                  </w:r>
                </w:p>
              </w:tc>
              <w:tc>
                <w:tcPr>
                  <w:tcW w:w="597" w:type="pct"/>
                  <w:noWrap/>
                  <w:vAlign w:val="center"/>
                </w:tcPr>
                <w:p>
                  <w:pPr>
                    <w:pStyle w:val="69"/>
                    <w:rPr>
                      <w:rFonts w:hint="eastAsia"/>
                      <w:color w:val="auto"/>
                    </w:rPr>
                  </w:pPr>
                  <w:r>
                    <w:rPr>
                      <w:rFonts w:hint="eastAsia"/>
                      <w:color w:val="auto"/>
                    </w:rPr>
                    <w:t>盒</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惠可宁</w:t>
                  </w:r>
                </w:p>
              </w:tc>
              <w:tc>
                <w:tcPr>
                  <w:tcW w:w="888" w:type="pct"/>
                  <w:noWrap/>
                  <w:vAlign w:val="center"/>
                </w:tcPr>
                <w:p>
                  <w:pPr>
                    <w:pStyle w:val="69"/>
                    <w:rPr>
                      <w:rFonts w:hint="eastAsia"/>
                      <w:color w:val="auto"/>
                    </w:rPr>
                  </w:pPr>
                  <w:r>
                    <w:rPr>
                      <w:rFonts w:hint="eastAsia"/>
                      <w:color w:val="auto"/>
                    </w:rPr>
                    <w:t>20</w:t>
                  </w:r>
                </w:p>
              </w:tc>
              <w:tc>
                <w:tcPr>
                  <w:tcW w:w="597" w:type="pct"/>
                  <w:noWrap/>
                  <w:vAlign w:val="center"/>
                </w:tcPr>
                <w:p>
                  <w:pPr>
                    <w:pStyle w:val="69"/>
                    <w:rPr>
                      <w:rFonts w:hint="eastAsia"/>
                      <w:color w:val="auto"/>
                    </w:rPr>
                  </w:pPr>
                  <w:r>
                    <w:rPr>
                      <w:rFonts w:hint="eastAsia"/>
                      <w:color w:val="auto"/>
                    </w:rPr>
                    <w:t>盒</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替奥福</w:t>
                  </w:r>
                </w:p>
              </w:tc>
              <w:tc>
                <w:tcPr>
                  <w:tcW w:w="888" w:type="pct"/>
                  <w:noWrap/>
                  <w:vAlign w:val="center"/>
                </w:tcPr>
                <w:p>
                  <w:pPr>
                    <w:pStyle w:val="69"/>
                    <w:rPr>
                      <w:rFonts w:hint="eastAsia"/>
                      <w:color w:val="auto"/>
                    </w:rPr>
                  </w:pPr>
                  <w:r>
                    <w:rPr>
                      <w:rFonts w:hint="eastAsia"/>
                      <w:color w:val="auto"/>
                    </w:rPr>
                    <w:t>50</w:t>
                  </w:r>
                </w:p>
              </w:tc>
              <w:tc>
                <w:tcPr>
                  <w:tcW w:w="597" w:type="pct"/>
                  <w:noWrap/>
                  <w:vAlign w:val="center"/>
                </w:tcPr>
                <w:p>
                  <w:pPr>
                    <w:pStyle w:val="69"/>
                    <w:rPr>
                      <w:rFonts w:hint="eastAsia"/>
                      <w:color w:val="auto"/>
                    </w:rPr>
                  </w:pPr>
                  <w:r>
                    <w:rPr>
                      <w:rFonts w:hint="eastAsia"/>
                      <w:color w:val="auto"/>
                    </w:rPr>
                    <w:t>盒</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缩宫素注射液</w:t>
                  </w:r>
                </w:p>
              </w:tc>
              <w:tc>
                <w:tcPr>
                  <w:tcW w:w="888" w:type="pct"/>
                  <w:noWrap/>
                  <w:vAlign w:val="center"/>
                </w:tcPr>
                <w:p>
                  <w:pPr>
                    <w:pStyle w:val="69"/>
                    <w:rPr>
                      <w:rFonts w:hint="eastAsia"/>
                      <w:color w:val="auto"/>
                    </w:rPr>
                  </w:pPr>
                  <w:r>
                    <w:rPr>
                      <w:rFonts w:hint="eastAsia"/>
                      <w:color w:val="auto"/>
                    </w:rPr>
                    <w:t>1</w:t>
                  </w:r>
                </w:p>
              </w:tc>
              <w:tc>
                <w:tcPr>
                  <w:tcW w:w="597" w:type="pct"/>
                  <w:noWrap/>
                  <w:vAlign w:val="center"/>
                </w:tcPr>
                <w:p>
                  <w:pPr>
                    <w:pStyle w:val="69"/>
                    <w:rPr>
                      <w:rFonts w:hint="eastAsia"/>
                      <w:color w:val="auto"/>
                    </w:rPr>
                  </w:pPr>
                  <w:r>
                    <w:rPr>
                      <w:rFonts w:hint="eastAsia"/>
                      <w:color w:val="auto"/>
                    </w:rPr>
                    <w:t>盒</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地塞米松注射液</w:t>
                  </w:r>
                </w:p>
              </w:tc>
              <w:tc>
                <w:tcPr>
                  <w:tcW w:w="888" w:type="pct"/>
                  <w:noWrap/>
                  <w:vAlign w:val="center"/>
                </w:tcPr>
                <w:p>
                  <w:pPr>
                    <w:pStyle w:val="69"/>
                    <w:rPr>
                      <w:rFonts w:hint="eastAsia"/>
                      <w:color w:val="auto"/>
                    </w:rPr>
                  </w:pPr>
                  <w:r>
                    <w:rPr>
                      <w:rFonts w:hint="eastAsia"/>
                      <w:color w:val="auto"/>
                    </w:rPr>
                    <w:t>2</w:t>
                  </w:r>
                </w:p>
              </w:tc>
              <w:tc>
                <w:tcPr>
                  <w:tcW w:w="597" w:type="pct"/>
                  <w:noWrap/>
                  <w:vAlign w:val="center"/>
                </w:tcPr>
                <w:p>
                  <w:pPr>
                    <w:pStyle w:val="69"/>
                    <w:rPr>
                      <w:rFonts w:hint="eastAsia"/>
                      <w:color w:val="auto"/>
                    </w:rPr>
                  </w:pPr>
                  <w:r>
                    <w:rPr>
                      <w:rFonts w:hint="eastAsia"/>
                      <w:color w:val="auto"/>
                    </w:rPr>
                    <w:t>盒</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拜耳拜有利注射液</w:t>
                  </w:r>
                </w:p>
              </w:tc>
              <w:tc>
                <w:tcPr>
                  <w:tcW w:w="888" w:type="pct"/>
                  <w:noWrap/>
                  <w:vAlign w:val="center"/>
                </w:tcPr>
                <w:p>
                  <w:pPr>
                    <w:pStyle w:val="69"/>
                    <w:rPr>
                      <w:rFonts w:hint="eastAsia"/>
                      <w:color w:val="auto"/>
                    </w:rPr>
                  </w:pPr>
                  <w:r>
                    <w:rPr>
                      <w:rFonts w:hint="eastAsia"/>
                      <w:color w:val="auto"/>
                    </w:rPr>
                    <w:t>10</w:t>
                  </w:r>
                </w:p>
              </w:tc>
              <w:tc>
                <w:tcPr>
                  <w:tcW w:w="597" w:type="pct"/>
                  <w:noWrap/>
                  <w:vAlign w:val="center"/>
                </w:tcPr>
                <w:p>
                  <w:pPr>
                    <w:pStyle w:val="69"/>
                    <w:rPr>
                      <w:rFonts w:hint="eastAsia"/>
                      <w:color w:val="auto"/>
                    </w:rPr>
                  </w:pPr>
                  <w:r>
                    <w:rPr>
                      <w:rFonts w:hint="eastAsia"/>
                      <w:color w:val="auto"/>
                    </w:rPr>
                    <w:t>瓶</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速诺注射液</w:t>
                  </w:r>
                </w:p>
              </w:tc>
              <w:tc>
                <w:tcPr>
                  <w:tcW w:w="888" w:type="pct"/>
                  <w:noWrap/>
                  <w:vAlign w:val="center"/>
                </w:tcPr>
                <w:p>
                  <w:pPr>
                    <w:pStyle w:val="69"/>
                    <w:rPr>
                      <w:rFonts w:hint="eastAsia"/>
                      <w:color w:val="auto"/>
                    </w:rPr>
                  </w:pPr>
                  <w:r>
                    <w:rPr>
                      <w:rFonts w:hint="eastAsia"/>
                      <w:color w:val="auto"/>
                    </w:rPr>
                    <w:t>50</w:t>
                  </w:r>
                </w:p>
              </w:tc>
              <w:tc>
                <w:tcPr>
                  <w:tcW w:w="597" w:type="pct"/>
                  <w:noWrap/>
                  <w:vAlign w:val="center"/>
                </w:tcPr>
                <w:p>
                  <w:pPr>
                    <w:pStyle w:val="69"/>
                    <w:rPr>
                      <w:rFonts w:hint="eastAsia"/>
                      <w:color w:val="auto"/>
                    </w:rPr>
                  </w:pPr>
                  <w:r>
                    <w:rPr>
                      <w:rFonts w:hint="eastAsia"/>
                      <w:color w:val="auto"/>
                    </w:rPr>
                    <w:t>瓶</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康卫宁</w:t>
                  </w:r>
                </w:p>
              </w:tc>
              <w:tc>
                <w:tcPr>
                  <w:tcW w:w="888" w:type="pct"/>
                  <w:noWrap/>
                  <w:vAlign w:val="center"/>
                </w:tcPr>
                <w:p>
                  <w:pPr>
                    <w:pStyle w:val="69"/>
                    <w:rPr>
                      <w:rFonts w:hint="eastAsia"/>
                      <w:color w:val="auto"/>
                    </w:rPr>
                  </w:pPr>
                  <w:r>
                    <w:rPr>
                      <w:rFonts w:hint="eastAsia"/>
                      <w:color w:val="auto"/>
                    </w:rPr>
                    <w:t>10</w:t>
                  </w:r>
                </w:p>
              </w:tc>
              <w:tc>
                <w:tcPr>
                  <w:tcW w:w="597" w:type="pct"/>
                  <w:noWrap/>
                  <w:vAlign w:val="center"/>
                </w:tcPr>
                <w:p>
                  <w:pPr>
                    <w:pStyle w:val="69"/>
                    <w:rPr>
                      <w:rFonts w:hint="eastAsia"/>
                      <w:color w:val="auto"/>
                    </w:rPr>
                  </w:pPr>
                  <w:r>
                    <w:rPr>
                      <w:rFonts w:hint="eastAsia"/>
                      <w:color w:val="auto"/>
                    </w:rPr>
                    <w:t>瓶</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科特壮注射液</w:t>
                  </w:r>
                </w:p>
              </w:tc>
              <w:tc>
                <w:tcPr>
                  <w:tcW w:w="888" w:type="pct"/>
                  <w:noWrap/>
                  <w:vAlign w:val="center"/>
                </w:tcPr>
                <w:p>
                  <w:pPr>
                    <w:pStyle w:val="69"/>
                    <w:rPr>
                      <w:rFonts w:hint="eastAsia"/>
                      <w:color w:val="auto"/>
                    </w:rPr>
                  </w:pPr>
                  <w:r>
                    <w:rPr>
                      <w:rFonts w:hint="eastAsia"/>
                      <w:color w:val="auto"/>
                    </w:rPr>
                    <w:t>10</w:t>
                  </w:r>
                </w:p>
              </w:tc>
              <w:tc>
                <w:tcPr>
                  <w:tcW w:w="597" w:type="pct"/>
                  <w:noWrap/>
                  <w:vAlign w:val="center"/>
                </w:tcPr>
                <w:p>
                  <w:pPr>
                    <w:pStyle w:val="69"/>
                    <w:rPr>
                      <w:rFonts w:hint="eastAsia"/>
                      <w:color w:val="auto"/>
                    </w:rPr>
                  </w:pPr>
                  <w:r>
                    <w:rPr>
                      <w:rFonts w:hint="eastAsia"/>
                      <w:color w:val="auto"/>
                    </w:rPr>
                    <w:t>瓶</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氯化钾注射液</w:t>
                  </w:r>
                </w:p>
              </w:tc>
              <w:tc>
                <w:tcPr>
                  <w:tcW w:w="888" w:type="pct"/>
                  <w:noWrap/>
                  <w:vAlign w:val="center"/>
                </w:tcPr>
                <w:p>
                  <w:pPr>
                    <w:pStyle w:val="69"/>
                    <w:rPr>
                      <w:rFonts w:hint="eastAsia"/>
                      <w:color w:val="auto"/>
                    </w:rPr>
                  </w:pPr>
                  <w:r>
                    <w:rPr>
                      <w:rFonts w:hint="eastAsia"/>
                      <w:color w:val="auto"/>
                    </w:rPr>
                    <w:t>50</w:t>
                  </w:r>
                </w:p>
              </w:tc>
              <w:tc>
                <w:tcPr>
                  <w:tcW w:w="597" w:type="pct"/>
                  <w:noWrap/>
                  <w:vAlign w:val="center"/>
                </w:tcPr>
                <w:p>
                  <w:pPr>
                    <w:pStyle w:val="69"/>
                    <w:rPr>
                      <w:rFonts w:hint="eastAsia"/>
                      <w:color w:val="auto"/>
                    </w:rPr>
                  </w:pPr>
                  <w:r>
                    <w:rPr>
                      <w:rFonts w:hint="eastAsia"/>
                      <w:color w:val="auto"/>
                    </w:rPr>
                    <w:t>盒</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美洛昔康注射液</w:t>
                  </w:r>
                </w:p>
              </w:tc>
              <w:tc>
                <w:tcPr>
                  <w:tcW w:w="888" w:type="pct"/>
                  <w:noWrap/>
                  <w:vAlign w:val="center"/>
                </w:tcPr>
                <w:p>
                  <w:pPr>
                    <w:pStyle w:val="69"/>
                    <w:rPr>
                      <w:rFonts w:hint="eastAsia"/>
                      <w:color w:val="auto"/>
                    </w:rPr>
                  </w:pPr>
                  <w:r>
                    <w:rPr>
                      <w:rFonts w:hint="eastAsia"/>
                      <w:color w:val="auto"/>
                    </w:rPr>
                    <w:t>10</w:t>
                  </w:r>
                </w:p>
              </w:tc>
              <w:tc>
                <w:tcPr>
                  <w:tcW w:w="597" w:type="pct"/>
                  <w:noWrap/>
                  <w:vAlign w:val="center"/>
                </w:tcPr>
                <w:p>
                  <w:pPr>
                    <w:pStyle w:val="69"/>
                    <w:rPr>
                      <w:rFonts w:hint="eastAsia"/>
                      <w:color w:val="auto"/>
                    </w:rPr>
                  </w:pPr>
                  <w:r>
                    <w:rPr>
                      <w:rFonts w:hint="eastAsia"/>
                      <w:color w:val="auto"/>
                    </w:rPr>
                    <w:t>瓶</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灭菌注水</w:t>
                  </w:r>
                </w:p>
              </w:tc>
              <w:tc>
                <w:tcPr>
                  <w:tcW w:w="888" w:type="pct"/>
                  <w:noWrap/>
                  <w:vAlign w:val="center"/>
                </w:tcPr>
                <w:p>
                  <w:pPr>
                    <w:pStyle w:val="69"/>
                    <w:rPr>
                      <w:rFonts w:hint="eastAsia"/>
                      <w:color w:val="auto"/>
                    </w:rPr>
                  </w:pPr>
                  <w:r>
                    <w:rPr>
                      <w:rFonts w:hint="eastAsia"/>
                      <w:color w:val="auto"/>
                    </w:rPr>
                    <w:t>100</w:t>
                  </w:r>
                </w:p>
              </w:tc>
              <w:tc>
                <w:tcPr>
                  <w:tcW w:w="597" w:type="pct"/>
                  <w:noWrap/>
                  <w:vAlign w:val="center"/>
                </w:tcPr>
                <w:p>
                  <w:pPr>
                    <w:pStyle w:val="69"/>
                    <w:rPr>
                      <w:rFonts w:hint="eastAsia"/>
                      <w:color w:val="auto"/>
                    </w:rPr>
                  </w:pPr>
                  <w:r>
                    <w:rPr>
                      <w:rFonts w:hint="eastAsia"/>
                      <w:color w:val="auto"/>
                    </w:rPr>
                    <w:t>盒</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赛瑞宁</w:t>
                  </w:r>
                </w:p>
              </w:tc>
              <w:tc>
                <w:tcPr>
                  <w:tcW w:w="888" w:type="pct"/>
                  <w:noWrap/>
                  <w:vAlign w:val="center"/>
                </w:tcPr>
                <w:p>
                  <w:pPr>
                    <w:pStyle w:val="69"/>
                    <w:rPr>
                      <w:rFonts w:hint="eastAsia"/>
                      <w:color w:val="auto"/>
                    </w:rPr>
                  </w:pPr>
                  <w:r>
                    <w:rPr>
                      <w:rFonts w:hint="eastAsia"/>
                      <w:color w:val="auto"/>
                    </w:rPr>
                    <w:t>10</w:t>
                  </w:r>
                </w:p>
              </w:tc>
              <w:tc>
                <w:tcPr>
                  <w:tcW w:w="597" w:type="pct"/>
                  <w:noWrap/>
                  <w:vAlign w:val="center"/>
                </w:tcPr>
                <w:p>
                  <w:pPr>
                    <w:pStyle w:val="69"/>
                    <w:rPr>
                      <w:rFonts w:hint="eastAsia"/>
                      <w:color w:val="auto"/>
                    </w:rPr>
                  </w:pPr>
                  <w:r>
                    <w:rPr>
                      <w:rFonts w:hint="eastAsia"/>
                      <w:color w:val="auto"/>
                    </w:rPr>
                    <w:t>瓶</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葡萄糖酸钙注射液</w:t>
                  </w:r>
                </w:p>
              </w:tc>
              <w:tc>
                <w:tcPr>
                  <w:tcW w:w="888" w:type="pct"/>
                  <w:noWrap/>
                  <w:vAlign w:val="center"/>
                </w:tcPr>
                <w:p>
                  <w:pPr>
                    <w:pStyle w:val="69"/>
                    <w:rPr>
                      <w:rFonts w:hint="eastAsia"/>
                      <w:color w:val="auto"/>
                    </w:rPr>
                  </w:pPr>
                  <w:r>
                    <w:rPr>
                      <w:rFonts w:hint="eastAsia"/>
                      <w:color w:val="auto"/>
                    </w:rPr>
                    <w:t>15</w:t>
                  </w:r>
                </w:p>
              </w:tc>
              <w:tc>
                <w:tcPr>
                  <w:tcW w:w="597" w:type="pct"/>
                  <w:noWrap/>
                  <w:vAlign w:val="center"/>
                </w:tcPr>
                <w:p>
                  <w:pPr>
                    <w:pStyle w:val="69"/>
                    <w:rPr>
                      <w:rFonts w:hint="eastAsia"/>
                      <w:color w:val="auto"/>
                    </w:rPr>
                  </w:pPr>
                  <w:r>
                    <w:rPr>
                      <w:rFonts w:hint="eastAsia"/>
                      <w:color w:val="auto"/>
                    </w:rPr>
                    <w:t>盒</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呋塞米注射液</w:t>
                  </w:r>
                </w:p>
              </w:tc>
              <w:tc>
                <w:tcPr>
                  <w:tcW w:w="888" w:type="pct"/>
                  <w:noWrap/>
                  <w:vAlign w:val="center"/>
                </w:tcPr>
                <w:p>
                  <w:pPr>
                    <w:pStyle w:val="69"/>
                    <w:rPr>
                      <w:rFonts w:hint="eastAsia"/>
                      <w:color w:val="auto"/>
                    </w:rPr>
                  </w:pPr>
                  <w:r>
                    <w:rPr>
                      <w:rFonts w:hint="eastAsia"/>
                      <w:color w:val="auto"/>
                    </w:rPr>
                    <w:t>5</w:t>
                  </w:r>
                </w:p>
              </w:tc>
              <w:tc>
                <w:tcPr>
                  <w:tcW w:w="597" w:type="pct"/>
                  <w:noWrap/>
                  <w:vAlign w:val="center"/>
                </w:tcPr>
                <w:p>
                  <w:pPr>
                    <w:pStyle w:val="69"/>
                    <w:rPr>
                      <w:rFonts w:hint="eastAsia"/>
                      <w:color w:val="auto"/>
                    </w:rPr>
                  </w:pPr>
                  <w:r>
                    <w:rPr>
                      <w:rFonts w:hint="eastAsia"/>
                      <w:color w:val="auto"/>
                    </w:rPr>
                    <w:t>盒</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盐酸肾上腺素注射液</w:t>
                  </w:r>
                </w:p>
              </w:tc>
              <w:tc>
                <w:tcPr>
                  <w:tcW w:w="888" w:type="pct"/>
                  <w:noWrap/>
                  <w:vAlign w:val="center"/>
                </w:tcPr>
                <w:p>
                  <w:pPr>
                    <w:pStyle w:val="69"/>
                    <w:rPr>
                      <w:rFonts w:hint="eastAsia"/>
                      <w:color w:val="auto"/>
                    </w:rPr>
                  </w:pPr>
                  <w:r>
                    <w:rPr>
                      <w:rFonts w:hint="eastAsia"/>
                      <w:color w:val="auto"/>
                    </w:rPr>
                    <w:t>2</w:t>
                  </w:r>
                </w:p>
              </w:tc>
              <w:tc>
                <w:tcPr>
                  <w:tcW w:w="597" w:type="pct"/>
                  <w:noWrap/>
                  <w:vAlign w:val="center"/>
                </w:tcPr>
                <w:p>
                  <w:pPr>
                    <w:pStyle w:val="69"/>
                    <w:rPr>
                      <w:rFonts w:hint="eastAsia"/>
                      <w:color w:val="auto"/>
                    </w:rPr>
                  </w:pPr>
                  <w:r>
                    <w:rPr>
                      <w:rFonts w:hint="eastAsia"/>
                      <w:color w:val="auto"/>
                    </w:rPr>
                    <w:t>盒</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酚磺乙胺注射液</w:t>
                  </w:r>
                </w:p>
              </w:tc>
              <w:tc>
                <w:tcPr>
                  <w:tcW w:w="888" w:type="pct"/>
                  <w:noWrap/>
                  <w:vAlign w:val="center"/>
                </w:tcPr>
                <w:p>
                  <w:pPr>
                    <w:pStyle w:val="69"/>
                    <w:rPr>
                      <w:rFonts w:hint="eastAsia"/>
                      <w:color w:val="auto"/>
                    </w:rPr>
                  </w:pPr>
                  <w:r>
                    <w:rPr>
                      <w:rFonts w:hint="eastAsia"/>
                      <w:color w:val="auto"/>
                    </w:rPr>
                    <w:t>10</w:t>
                  </w:r>
                </w:p>
              </w:tc>
              <w:tc>
                <w:tcPr>
                  <w:tcW w:w="597" w:type="pct"/>
                  <w:noWrap/>
                  <w:vAlign w:val="center"/>
                </w:tcPr>
                <w:p>
                  <w:pPr>
                    <w:pStyle w:val="69"/>
                    <w:rPr>
                      <w:rFonts w:hint="eastAsia"/>
                      <w:color w:val="auto"/>
                    </w:rPr>
                  </w:pPr>
                  <w:r>
                    <w:rPr>
                      <w:rFonts w:hint="eastAsia"/>
                      <w:color w:val="auto"/>
                    </w:rPr>
                    <w:t>盒</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维生素B12注射液</w:t>
                  </w:r>
                </w:p>
              </w:tc>
              <w:tc>
                <w:tcPr>
                  <w:tcW w:w="888" w:type="pct"/>
                  <w:noWrap/>
                  <w:vAlign w:val="center"/>
                </w:tcPr>
                <w:p>
                  <w:pPr>
                    <w:pStyle w:val="69"/>
                    <w:rPr>
                      <w:rFonts w:hint="eastAsia"/>
                      <w:color w:val="auto"/>
                    </w:rPr>
                  </w:pPr>
                  <w:r>
                    <w:rPr>
                      <w:rFonts w:hint="eastAsia"/>
                      <w:color w:val="auto"/>
                    </w:rPr>
                    <w:t>10</w:t>
                  </w:r>
                </w:p>
              </w:tc>
              <w:tc>
                <w:tcPr>
                  <w:tcW w:w="597" w:type="pct"/>
                  <w:noWrap/>
                  <w:vAlign w:val="center"/>
                </w:tcPr>
                <w:p>
                  <w:pPr>
                    <w:pStyle w:val="69"/>
                    <w:rPr>
                      <w:rFonts w:hint="eastAsia"/>
                      <w:color w:val="auto"/>
                    </w:rPr>
                  </w:pPr>
                  <w:r>
                    <w:rPr>
                      <w:rFonts w:hint="eastAsia"/>
                      <w:color w:val="auto"/>
                    </w:rPr>
                    <w:t>盒</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复合维生素B注射液</w:t>
                  </w:r>
                </w:p>
              </w:tc>
              <w:tc>
                <w:tcPr>
                  <w:tcW w:w="888" w:type="pct"/>
                  <w:noWrap/>
                  <w:vAlign w:val="center"/>
                </w:tcPr>
                <w:p>
                  <w:pPr>
                    <w:pStyle w:val="69"/>
                    <w:rPr>
                      <w:rFonts w:hint="eastAsia"/>
                      <w:color w:val="auto"/>
                    </w:rPr>
                  </w:pPr>
                  <w:r>
                    <w:rPr>
                      <w:rFonts w:hint="eastAsia"/>
                      <w:color w:val="auto"/>
                    </w:rPr>
                    <w:t>5</w:t>
                  </w:r>
                </w:p>
              </w:tc>
              <w:tc>
                <w:tcPr>
                  <w:tcW w:w="597" w:type="pct"/>
                  <w:noWrap/>
                  <w:vAlign w:val="center"/>
                </w:tcPr>
                <w:p>
                  <w:pPr>
                    <w:pStyle w:val="69"/>
                    <w:rPr>
                      <w:rFonts w:hint="eastAsia"/>
                      <w:color w:val="auto"/>
                    </w:rPr>
                  </w:pPr>
                  <w:r>
                    <w:rPr>
                      <w:rFonts w:hint="eastAsia"/>
                      <w:color w:val="auto"/>
                    </w:rPr>
                    <w:t>盒</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维生素B6注射液</w:t>
                  </w:r>
                </w:p>
              </w:tc>
              <w:tc>
                <w:tcPr>
                  <w:tcW w:w="888" w:type="pct"/>
                  <w:noWrap/>
                  <w:vAlign w:val="center"/>
                </w:tcPr>
                <w:p>
                  <w:pPr>
                    <w:pStyle w:val="69"/>
                    <w:rPr>
                      <w:rFonts w:hint="eastAsia"/>
                      <w:color w:val="auto"/>
                    </w:rPr>
                  </w:pPr>
                  <w:r>
                    <w:rPr>
                      <w:rFonts w:hint="eastAsia"/>
                      <w:color w:val="auto"/>
                    </w:rPr>
                    <w:t>5</w:t>
                  </w:r>
                </w:p>
              </w:tc>
              <w:tc>
                <w:tcPr>
                  <w:tcW w:w="597" w:type="pct"/>
                  <w:noWrap/>
                  <w:vAlign w:val="center"/>
                </w:tcPr>
                <w:p>
                  <w:pPr>
                    <w:pStyle w:val="69"/>
                    <w:rPr>
                      <w:rFonts w:hint="eastAsia"/>
                      <w:color w:val="auto"/>
                    </w:rPr>
                  </w:pPr>
                  <w:r>
                    <w:rPr>
                      <w:rFonts w:hint="eastAsia"/>
                      <w:color w:val="auto"/>
                    </w:rPr>
                    <w:t>盒</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维生素C注射液</w:t>
                  </w:r>
                </w:p>
              </w:tc>
              <w:tc>
                <w:tcPr>
                  <w:tcW w:w="888" w:type="pct"/>
                  <w:noWrap/>
                  <w:vAlign w:val="center"/>
                </w:tcPr>
                <w:p>
                  <w:pPr>
                    <w:pStyle w:val="69"/>
                    <w:rPr>
                      <w:rFonts w:hint="eastAsia"/>
                      <w:color w:val="auto"/>
                    </w:rPr>
                  </w:pPr>
                  <w:r>
                    <w:rPr>
                      <w:rFonts w:hint="eastAsia"/>
                      <w:color w:val="auto"/>
                    </w:rPr>
                    <w:t>20</w:t>
                  </w:r>
                </w:p>
              </w:tc>
              <w:tc>
                <w:tcPr>
                  <w:tcW w:w="597" w:type="pct"/>
                  <w:noWrap/>
                  <w:vAlign w:val="center"/>
                </w:tcPr>
                <w:p>
                  <w:pPr>
                    <w:pStyle w:val="69"/>
                    <w:rPr>
                      <w:rFonts w:hint="eastAsia"/>
                      <w:color w:val="auto"/>
                    </w:rPr>
                  </w:pPr>
                  <w:r>
                    <w:rPr>
                      <w:rFonts w:hint="eastAsia"/>
                      <w:color w:val="auto"/>
                    </w:rPr>
                    <w:t>盒</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硫酸阿托品注射液</w:t>
                  </w:r>
                </w:p>
              </w:tc>
              <w:tc>
                <w:tcPr>
                  <w:tcW w:w="888" w:type="pct"/>
                  <w:noWrap/>
                  <w:vAlign w:val="center"/>
                </w:tcPr>
                <w:p>
                  <w:pPr>
                    <w:pStyle w:val="69"/>
                    <w:rPr>
                      <w:rFonts w:hint="eastAsia"/>
                      <w:color w:val="auto"/>
                    </w:rPr>
                  </w:pPr>
                  <w:r>
                    <w:rPr>
                      <w:rFonts w:hint="eastAsia"/>
                      <w:color w:val="auto"/>
                    </w:rPr>
                    <w:t>2</w:t>
                  </w:r>
                </w:p>
              </w:tc>
              <w:tc>
                <w:tcPr>
                  <w:tcW w:w="597" w:type="pct"/>
                  <w:noWrap/>
                  <w:vAlign w:val="center"/>
                </w:tcPr>
                <w:p>
                  <w:pPr>
                    <w:pStyle w:val="69"/>
                    <w:rPr>
                      <w:rFonts w:hint="eastAsia"/>
                      <w:color w:val="auto"/>
                    </w:rPr>
                  </w:pPr>
                  <w:r>
                    <w:rPr>
                      <w:rFonts w:hint="eastAsia"/>
                      <w:color w:val="auto"/>
                    </w:rPr>
                    <w:t>盒</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英特威二联疫苗</w:t>
                  </w:r>
                </w:p>
              </w:tc>
              <w:tc>
                <w:tcPr>
                  <w:tcW w:w="888" w:type="pct"/>
                  <w:noWrap/>
                  <w:vAlign w:val="center"/>
                </w:tcPr>
                <w:p>
                  <w:pPr>
                    <w:pStyle w:val="69"/>
                    <w:rPr>
                      <w:rFonts w:hint="eastAsia"/>
                      <w:color w:val="auto"/>
                    </w:rPr>
                  </w:pPr>
                  <w:r>
                    <w:rPr>
                      <w:rFonts w:hint="eastAsia"/>
                      <w:color w:val="auto"/>
                    </w:rPr>
                    <w:t>50</w:t>
                  </w:r>
                </w:p>
              </w:tc>
              <w:tc>
                <w:tcPr>
                  <w:tcW w:w="597" w:type="pct"/>
                  <w:noWrap/>
                  <w:vAlign w:val="center"/>
                </w:tcPr>
                <w:p>
                  <w:pPr>
                    <w:pStyle w:val="69"/>
                    <w:rPr>
                      <w:rFonts w:hint="eastAsia"/>
                      <w:color w:val="auto"/>
                    </w:rPr>
                  </w:pPr>
                  <w:r>
                    <w:rPr>
                      <w:rFonts w:hint="eastAsia"/>
                      <w:color w:val="auto"/>
                    </w:rPr>
                    <w:t>支</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英特威四联疫苗</w:t>
                  </w:r>
                </w:p>
              </w:tc>
              <w:tc>
                <w:tcPr>
                  <w:tcW w:w="888" w:type="pct"/>
                  <w:noWrap/>
                  <w:vAlign w:val="center"/>
                </w:tcPr>
                <w:p>
                  <w:pPr>
                    <w:pStyle w:val="69"/>
                    <w:rPr>
                      <w:rFonts w:hint="eastAsia"/>
                      <w:color w:val="auto"/>
                    </w:rPr>
                  </w:pPr>
                  <w:r>
                    <w:rPr>
                      <w:rFonts w:hint="eastAsia"/>
                      <w:color w:val="auto"/>
                    </w:rPr>
                    <w:t>300</w:t>
                  </w:r>
                </w:p>
              </w:tc>
              <w:tc>
                <w:tcPr>
                  <w:tcW w:w="597" w:type="pct"/>
                  <w:noWrap/>
                  <w:vAlign w:val="center"/>
                </w:tcPr>
                <w:p>
                  <w:pPr>
                    <w:pStyle w:val="69"/>
                    <w:rPr>
                      <w:rFonts w:hint="eastAsia"/>
                      <w:color w:val="auto"/>
                    </w:rPr>
                  </w:pPr>
                  <w:r>
                    <w:rPr>
                      <w:rFonts w:hint="eastAsia"/>
                      <w:color w:val="auto"/>
                    </w:rPr>
                    <w:t>支</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妙三多</w:t>
                  </w:r>
                </w:p>
              </w:tc>
              <w:tc>
                <w:tcPr>
                  <w:tcW w:w="888" w:type="pct"/>
                  <w:noWrap/>
                  <w:vAlign w:val="center"/>
                </w:tcPr>
                <w:p>
                  <w:pPr>
                    <w:pStyle w:val="69"/>
                    <w:rPr>
                      <w:rFonts w:hint="eastAsia"/>
                      <w:color w:val="auto"/>
                    </w:rPr>
                  </w:pPr>
                  <w:r>
                    <w:rPr>
                      <w:rFonts w:hint="eastAsia"/>
                      <w:color w:val="auto"/>
                    </w:rPr>
                    <w:t>500</w:t>
                  </w:r>
                </w:p>
              </w:tc>
              <w:tc>
                <w:tcPr>
                  <w:tcW w:w="597" w:type="pct"/>
                  <w:noWrap/>
                  <w:vAlign w:val="center"/>
                </w:tcPr>
                <w:p>
                  <w:pPr>
                    <w:pStyle w:val="69"/>
                    <w:rPr>
                      <w:rFonts w:hint="eastAsia"/>
                      <w:color w:val="auto"/>
                    </w:rPr>
                  </w:pPr>
                  <w:r>
                    <w:rPr>
                      <w:rFonts w:hint="eastAsia"/>
                      <w:color w:val="auto"/>
                    </w:rPr>
                    <w:t>支</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硕腾狂犬单苗（瑞比克）</w:t>
                  </w:r>
                </w:p>
              </w:tc>
              <w:tc>
                <w:tcPr>
                  <w:tcW w:w="888" w:type="pct"/>
                  <w:noWrap/>
                  <w:vAlign w:val="center"/>
                </w:tcPr>
                <w:p>
                  <w:pPr>
                    <w:pStyle w:val="69"/>
                    <w:rPr>
                      <w:rFonts w:hint="eastAsia"/>
                      <w:color w:val="auto"/>
                    </w:rPr>
                  </w:pPr>
                  <w:r>
                    <w:rPr>
                      <w:rFonts w:hint="eastAsia"/>
                      <w:color w:val="auto"/>
                    </w:rPr>
                    <w:t>500</w:t>
                  </w:r>
                </w:p>
              </w:tc>
              <w:tc>
                <w:tcPr>
                  <w:tcW w:w="597" w:type="pct"/>
                  <w:noWrap/>
                  <w:vAlign w:val="center"/>
                </w:tcPr>
                <w:p>
                  <w:pPr>
                    <w:pStyle w:val="69"/>
                    <w:rPr>
                      <w:rFonts w:hint="eastAsia"/>
                      <w:color w:val="auto"/>
                    </w:rPr>
                  </w:pPr>
                  <w:r>
                    <w:rPr>
                      <w:rFonts w:hint="eastAsia"/>
                      <w:color w:val="auto"/>
                    </w:rPr>
                    <w:t>支</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卫佳5</w:t>
                  </w:r>
                </w:p>
              </w:tc>
              <w:tc>
                <w:tcPr>
                  <w:tcW w:w="888" w:type="pct"/>
                  <w:noWrap/>
                  <w:vAlign w:val="center"/>
                </w:tcPr>
                <w:p>
                  <w:pPr>
                    <w:pStyle w:val="69"/>
                    <w:rPr>
                      <w:rFonts w:hint="eastAsia"/>
                      <w:color w:val="auto"/>
                    </w:rPr>
                  </w:pPr>
                  <w:r>
                    <w:rPr>
                      <w:rFonts w:hint="eastAsia"/>
                      <w:color w:val="auto"/>
                    </w:rPr>
                    <w:t>500</w:t>
                  </w:r>
                </w:p>
              </w:tc>
              <w:tc>
                <w:tcPr>
                  <w:tcW w:w="597" w:type="pct"/>
                  <w:noWrap/>
                  <w:vAlign w:val="center"/>
                </w:tcPr>
                <w:p>
                  <w:pPr>
                    <w:pStyle w:val="69"/>
                    <w:rPr>
                      <w:rFonts w:hint="eastAsia"/>
                      <w:color w:val="auto"/>
                    </w:rPr>
                  </w:pPr>
                  <w:r>
                    <w:rPr>
                      <w:rFonts w:hint="eastAsia"/>
                      <w:color w:val="auto"/>
                    </w:rPr>
                    <w:t>支</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卫佳8疫苗</w:t>
                  </w:r>
                </w:p>
              </w:tc>
              <w:tc>
                <w:tcPr>
                  <w:tcW w:w="888" w:type="pct"/>
                  <w:noWrap/>
                  <w:vAlign w:val="center"/>
                </w:tcPr>
                <w:p>
                  <w:pPr>
                    <w:pStyle w:val="69"/>
                    <w:rPr>
                      <w:rFonts w:hint="eastAsia"/>
                      <w:color w:val="auto"/>
                    </w:rPr>
                  </w:pPr>
                  <w:r>
                    <w:rPr>
                      <w:rFonts w:hint="eastAsia"/>
                      <w:color w:val="auto"/>
                    </w:rPr>
                    <w:t>150</w:t>
                  </w:r>
                </w:p>
              </w:tc>
              <w:tc>
                <w:tcPr>
                  <w:tcW w:w="597" w:type="pct"/>
                  <w:noWrap/>
                  <w:vAlign w:val="center"/>
                </w:tcPr>
                <w:p>
                  <w:pPr>
                    <w:pStyle w:val="69"/>
                    <w:rPr>
                      <w:rFonts w:hint="eastAsia"/>
                      <w:color w:val="auto"/>
                    </w:rPr>
                  </w:pPr>
                  <w:r>
                    <w:rPr>
                      <w:rFonts w:hint="eastAsia"/>
                      <w:color w:val="auto"/>
                    </w:rPr>
                    <w:t>支</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GFC利尿通</w:t>
                  </w:r>
                </w:p>
              </w:tc>
              <w:tc>
                <w:tcPr>
                  <w:tcW w:w="888" w:type="pct"/>
                  <w:noWrap/>
                  <w:vAlign w:val="center"/>
                </w:tcPr>
                <w:p>
                  <w:pPr>
                    <w:pStyle w:val="69"/>
                    <w:rPr>
                      <w:rFonts w:hint="eastAsia"/>
                      <w:color w:val="auto"/>
                    </w:rPr>
                  </w:pPr>
                  <w:r>
                    <w:rPr>
                      <w:rFonts w:hint="eastAsia"/>
                      <w:color w:val="auto"/>
                    </w:rPr>
                    <w:t>100</w:t>
                  </w:r>
                </w:p>
              </w:tc>
              <w:tc>
                <w:tcPr>
                  <w:tcW w:w="597" w:type="pct"/>
                  <w:noWrap/>
                  <w:vAlign w:val="center"/>
                </w:tcPr>
                <w:p>
                  <w:pPr>
                    <w:pStyle w:val="69"/>
                    <w:rPr>
                      <w:rFonts w:hint="eastAsia"/>
                      <w:color w:val="auto"/>
                    </w:rPr>
                  </w:pPr>
                  <w:r>
                    <w:rPr>
                      <w:rFonts w:hint="eastAsia"/>
                      <w:color w:val="auto"/>
                    </w:rPr>
                    <w:t>瓶</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GFC益畅</w:t>
                  </w:r>
                </w:p>
              </w:tc>
              <w:tc>
                <w:tcPr>
                  <w:tcW w:w="888" w:type="pct"/>
                  <w:noWrap/>
                  <w:vAlign w:val="center"/>
                </w:tcPr>
                <w:p>
                  <w:pPr>
                    <w:pStyle w:val="69"/>
                    <w:rPr>
                      <w:rFonts w:hint="eastAsia"/>
                      <w:color w:val="auto"/>
                    </w:rPr>
                  </w:pPr>
                  <w:r>
                    <w:rPr>
                      <w:rFonts w:hint="eastAsia"/>
                      <w:color w:val="auto"/>
                    </w:rPr>
                    <w:t>50</w:t>
                  </w:r>
                </w:p>
              </w:tc>
              <w:tc>
                <w:tcPr>
                  <w:tcW w:w="597" w:type="pct"/>
                  <w:noWrap/>
                  <w:vAlign w:val="center"/>
                </w:tcPr>
                <w:p>
                  <w:pPr>
                    <w:pStyle w:val="69"/>
                    <w:rPr>
                      <w:rFonts w:hint="eastAsia"/>
                      <w:color w:val="auto"/>
                    </w:rPr>
                  </w:pPr>
                  <w:r>
                    <w:rPr>
                      <w:rFonts w:hint="eastAsia"/>
                      <w:color w:val="auto"/>
                    </w:rPr>
                    <w:t>瓶</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GFC益血维</w:t>
                  </w:r>
                </w:p>
              </w:tc>
              <w:tc>
                <w:tcPr>
                  <w:tcW w:w="888" w:type="pct"/>
                  <w:noWrap/>
                  <w:vAlign w:val="center"/>
                </w:tcPr>
                <w:p>
                  <w:pPr>
                    <w:pStyle w:val="69"/>
                    <w:rPr>
                      <w:rFonts w:hint="eastAsia"/>
                      <w:color w:val="auto"/>
                    </w:rPr>
                  </w:pPr>
                  <w:r>
                    <w:rPr>
                      <w:rFonts w:hint="eastAsia"/>
                      <w:color w:val="auto"/>
                    </w:rPr>
                    <w:t>200</w:t>
                  </w:r>
                </w:p>
              </w:tc>
              <w:tc>
                <w:tcPr>
                  <w:tcW w:w="597" w:type="pct"/>
                  <w:noWrap/>
                  <w:vAlign w:val="center"/>
                </w:tcPr>
                <w:p>
                  <w:pPr>
                    <w:pStyle w:val="69"/>
                    <w:rPr>
                      <w:rFonts w:hint="eastAsia"/>
                      <w:color w:val="auto"/>
                    </w:rPr>
                  </w:pPr>
                  <w:r>
                    <w:rPr>
                      <w:rFonts w:hint="eastAsia"/>
                      <w:color w:val="auto"/>
                    </w:rPr>
                    <w:t>瓶</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肯的斯DH3000</w:t>
                  </w:r>
                </w:p>
              </w:tc>
              <w:tc>
                <w:tcPr>
                  <w:tcW w:w="888" w:type="pct"/>
                  <w:noWrap/>
                  <w:vAlign w:val="center"/>
                </w:tcPr>
                <w:p>
                  <w:pPr>
                    <w:pStyle w:val="69"/>
                    <w:rPr>
                      <w:rFonts w:hint="eastAsia"/>
                      <w:color w:val="auto"/>
                    </w:rPr>
                  </w:pPr>
                  <w:r>
                    <w:rPr>
                      <w:rFonts w:hint="eastAsia"/>
                      <w:color w:val="auto"/>
                    </w:rPr>
                    <w:t>30</w:t>
                  </w:r>
                </w:p>
              </w:tc>
              <w:tc>
                <w:tcPr>
                  <w:tcW w:w="597" w:type="pct"/>
                  <w:noWrap/>
                  <w:vAlign w:val="center"/>
                </w:tcPr>
                <w:p>
                  <w:pPr>
                    <w:pStyle w:val="69"/>
                    <w:rPr>
                      <w:rFonts w:hint="eastAsia"/>
                      <w:color w:val="auto"/>
                    </w:rPr>
                  </w:pPr>
                  <w:r>
                    <w:rPr>
                      <w:rFonts w:hint="eastAsia"/>
                      <w:color w:val="auto"/>
                    </w:rPr>
                    <w:t>盒</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脸谱处方罐头</w:t>
                  </w:r>
                </w:p>
              </w:tc>
              <w:tc>
                <w:tcPr>
                  <w:tcW w:w="888" w:type="pct"/>
                  <w:noWrap/>
                  <w:vAlign w:val="center"/>
                </w:tcPr>
                <w:p>
                  <w:pPr>
                    <w:pStyle w:val="69"/>
                    <w:rPr>
                      <w:rFonts w:hint="eastAsia"/>
                      <w:color w:val="auto"/>
                    </w:rPr>
                  </w:pPr>
                  <w:r>
                    <w:rPr>
                      <w:rFonts w:hint="eastAsia"/>
                      <w:color w:val="auto"/>
                    </w:rPr>
                    <w:t>200</w:t>
                  </w:r>
                </w:p>
              </w:tc>
              <w:tc>
                <w:tcPr>
                  <w:tcW w:w="597" w:type="pct"/>
                  <w:noWrap/>
                  <w:vAlign w:val="center"/>
                </w:tcPr>
                <w:p>
                  <w:pPr>
                    <w:pStyle w:val="69"/>
                    <w:rPr>
                      <w:rFonts w:hint="eastAsia"/>
                      <w:color w:val="auto"/>
                    </w:rPr>
                  </w:pPr>
                  <w:r>
                    <w:rPr>
                      <w:rFonts w:hint="eastAsia"/>
                      <w:color w:val="auto"/>
                    </w:rPr>
                    <w:t>罐</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美洛昔康口服液</w:t>
                  </w:r>
                </w:p>
              </w:tc>
              <w:tc>
                <w:tcPr>
                  <w:tcW w:w="888" w:type="pct"/>
                  <w:noWrap/>
                  <w:vAlign w:val="center"/>
                </w:tcPr>
                <w:p>
                  <w:pPr>
                    <w:pStyle w:val="69"/>
                    <w:rPr>
                      <w:rFonts w:hint="eastAsia"/>
                      <w:color w:val="auto"/>
                    </w:rPr>
                  </w:pPr>
                  <w:r>
                    <w:rPr>
                      <w:rFonts w:hint="eastAsia"/>
                      <w:color w:val="auto"/>
                    </w:rPr>
                    <w:t>10</w:t>
                  </w:r>
                </w:p>
              </w:tc>
              <w:tc>
                <w:tcPr>
                  <w:tcW w:w="597" w:type="pct"/>
                  <w:noWrap/>
                  <w:vAlign w:val="center"/>
                </w:tcPr>
                <w:p>
                  <w:pPr>
                    <w:pStyle w:val="69"/>
                    <w:rPr>
                      <w:rFonts w:hint="eastAsia"/>
                      <w:color w:val="auto"/>
                    </w:rPr>
                  </w:pPr>
                  <w:r>
                    <w:rPr>
                      <w:rFonts w:hint="eastAsia"/>
                      <w:color w:val="auto"/>
                    </w:rPr>
                    <w:t>瓶</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巧乐林</w:t>
                  </w:r>
                </w:p>
              </w:tc>
              <w:tc>
                <w:tcPr>
                  <w:tcW w:w="888" w:type="pct"/>
                  <w:noWrap/>
                  <w:vAlign w:val="center"/>
                </w:tcPr>
                <w:p>
                  <w:pPr>
                    <w:pStyle w:val="69"/>
                    <w:rPr>
                      <w:rFonts w:hint="eastAsia"/>
                      <w:color w:val="auto"/>
                    </w:rPr>
                  </w:pPr>
                  <w:r>
                    <w:rPr>
                      <w:rFonts w:hint="eastAsia"/>
                      <w:color w:val="auto"/>
                    </w:rPr>
                    <w:t>50</w:t>
                  </w:r>
                </w:p>
              </w:tc>
              <w:tc>
                <w:tcPr>
                  <w:tcW w:w="597" w:type="pct"/>
                  <w:noWrap/>
                  <w:vAlign w:val="center"/>
                </w:tcPr>
                <w:p>
                  <w:pPr>
                    <w:pStyle w:val="69"/>
                    <w:rPr>
                      <w:rFonts w:hint="eastAsia"/>
                      <w:color w:val="auto"/>
                    </w:rPr>
                  </w:pPr>
                  <w:r>
                    <w:rPr>
                      <w:rFonts w:hint="eastAsia"/>
                      <w:color w:val="auto"/>
                    </w:rPr>
                    <w:t>盒</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舒畅（猫）</w:t>
                  </w:r>
                </w:p>
              </w:tc>
              <w:tc>
                <w:tcPr>
                  <w:tcW w:w="888" w:type="pct"/>
                  <w:noWrap/>
                  <w:vAlign w:val="center"/>
                </w:tcPr>
                <w:p>
                  <w:pPr>
                    <w:pStyle w:val="69"/>
                    <w:rPr>
                      <w:rFonts w:hint="eastAsia"/>
                      <w:color w:val="auto"/>
                    </w:rPr>
                  </w:pPr>
                  <w:r>
                    <w:rPr>
                      <w:rFonts w:hint="eastAsia"/>
                      <w:color w:val="auto"/>
                    </w:rPr>
                    <w:t>20</w:t>
                  </w:r>
                </w:p>
              </w:tc>
              <w:tc>
                <w:tcPr>
                  <w:tcW w:w="597" w:type="pct"/>
                  <w:noWrap/>
                  <w:vAlign w:val="center"/>
                </w:tcPr>
                <w:p>
                  <w:pPr>
                    <w:pStyle w:val="69"/>
                    <w:rPr>
                      <w:rFonts w:hint="eastAsia"/>
                      <w:color w:val="auto"/>
                    </w:rPr>
                  </w:pPr>
                  <w:r>
                    <w:rPr>
                      <w:rFonts w:hint="eastAsia"/>
                      <w:color w:val="auto"/>
                    </w:rPr>
                    <w:t>盒</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舒畅（犬）</w:t>
                  </w:r>
                </w:p>
              </w:tc>
              <w:tc>
                <w:tcPr>
                  <w:tcW w:w="888" w:type="pct"/>
                  <w:noWrap/>
                  <w:vAlign w:val="center"/>
                </w:tcPr>
                <w:p>
                  <w:pPr>
                    <w:pStyle w:val="69"/>
                    <w:rPr>
                      <w:rFonts w:hint="eastAsia"/>
                      <w:color w:val="auto"/>
                    </w:rPr>
                  </w:pPr>
                  <w:r>
                    <w:rPr>
                      <w:rFonts w:hint="eastAsia"/>
                      <w:color w:val="auto"/>
                    </w:rPr>
                    <w:t>20</w:t>
                  </w:r>
                </w:p>
              </w:tc>
              <w:tc>
                <w:tcPr>
                  <w:tcW w:w="597" w:type="pct"/>
                  <w:noWrap/>
                  <w:vAlign w:val="center"/>
                </w:tcPr>
                <w:p>
                  <w:pPr>
                    <w:pStyle w:val="69"/>
                    <w:rPr>
                      <w:rFonts w:hint="eastAsia"/>
                      <w:color w:val="auto"/>
                    </w:rPr>
                  </w:pPr>
                  <w:r>
                    <w:rPr>
                      <w:rFonts w:hint="eastAsia"/>
                      <w:color w:val="auto"/>
                    </w:rPr>
                    <w:t>盒</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布维林（猫专用）</w:t>
                  </w:r>
                </w:p>
              </w:tc>
              <w:tc>
                <w:tcPr>
                  <w:tcW w:w="888" w:type="pct"/>
                  <w:noWrap/>
                  <w:vAlign w:val="center"/>
                </w:tcPr>
                <w:p>
                  <w:pPr>
                    <w:pStyle w:val="69"/>
                    <w:rPr>
                      <w:rFonts w:hint="eastAsia"/>
                      <w:color w:val="auto"/>
                    </w:rPr>
                  </w:pPr>
                  <w:r>
                    <w:rPr>
                      <w:rFonts w:hint="eastAsia"/>
                      <w:color w:val="auto"/>
                    </w:rPr>
                    <w:t>100</w:t>
                  </w:r>
                </w:p>
              </w:tc>
              <w:tc>
                <w:tcPr>
                  <w:tcW w:w="597" w:type="pct"/>
                  <w:noWrap/>
                  <w:vAlign w:val="center"/>
                </w:tcPr>
                <w:p>
                  <w:pPr>
                    <w:pStyle w:val="69"/>
                    <w:rPr>
                      <w:rFonts w:hint="eastAsia"/>
                      <w:color w:val="auto"/>
                    </w:rPr>
                  </w:pPr>
                  <w:r>
                    <w:rPr>
                      <w:rFonts w:hint="eastAsia"/>
                      <w:color w:val="auto"/>
                    </w:rPr>
                    <w:t>盒</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布维林（犬）</w:t>
                  </w:r>
                </w:p>
              </w:tc>
              <w:tc>
                <w:tcPr>
                  <w:tcW w:w="888" w:type="pct"/>
                  <w:noWrap/>
                  <w:vAlign w:val="center"/>
                </w:tcPr>
                <w:p>
                  <w:pPr>
                    <w:pStyle w:val="69"/>
                    <w:rPr>
                      <w:rFonts w:hint="eastAsia"/>
                      <w:color w:val="auto"/>
                    </w:rPr>
                  </w:pPr>
                  <w:r>
                    <w:rPr>
                      <w:rFonts w:hint="eastAsia"/>
                      <w:color w:val="auto"/>
                    </w:rPr>
                    <w:t>30</w:t>
                  </w:r>
                </w:p>
              </w:tc>
              <w:tc>
                <w:tcPr>
                  <w:tcW w:w="597" w:type="pct"/>
                  <w:noWrap/>
                  <w:vAlign w:val="center"/>
                </w:tcPr>
                <w:p>
                  <w:pPr>
                    <w:pStyle w:val="69"/>
                    <w:rPr>
                      <w:rFonts w:hint="eastAsia"/>
                      <w:color w:val="auto"/>
                    </w:rPr>
                  </w:pPr>
                  <w:r>
                    <w:rPr>
                      <w:rFonts w:hint="eastAsia"/>
                      <w:color w:val="auto"/>
                    </w:rPr>
                    <w:t>盒</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宠儿香益生菌</w:t>
                  </w:r>
                </w:p>
              </w:tc>
              <w:tc>
                <w:tcPr>
                  <w:tcW w:w="888" w:type="pct"/>
                  <w:noWrap/>
                  <w:vAlign w:val="center"/>
                </w:tcPr>
                <w:p>
                  <w:pPr>
                    <w:pStyle w:val="69"/>
                    <w:rPr>
                      <w:rFonts w:hint="eastAsia"/>
                      <w:color w:val="auto"/>
                    </w:rPr>
                  </w:pPr>
                  <w:r>
                    <w:rPr>
                      <w:rFonts w:hint="eastAsia"/>
                      <w:color w:val="auto"/>
                    </w:rPr>
                    <w:t>100</w:t>
                  </w:r>
                </w:p>
              </w:tc>
              <w:tc>
                <w:tcPr>
                  <w:tcW w:w="597" w:type="pct"/>
                  <w:noWrap/>
                  <w:vAlign w:val="center"/>
                </w:tcPr>
                <w:p>
                  <w:pPr>
                    <w:pStyle w:val="69"/>
                    <w:rPr>
                      <w:rFonts w:hint="eastAsia"/>
                      <w:color w:val="auto"/>
                    </w:rPr>
                  </w:pPr>
                  <w:r>
                    <w:rPr>
                      <w:rFonts w:hint="eastAsia"/>
                      <w:color w:val="auto"/>
                    </w:rPr>
                    <w:t>盒</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爱波克16毫克</w:t>
                  </w:r>
                </w:p>
              </w:tc>
              <w:tc>
                <w:tcPr>
                  <w:tcW w:w="888" w:type="pct"/>
                  <w:noWrap/>
                  <w:vAlign w:val="center"/>
                </w:tcPr>
                <w:p>
                  <w:pPr>
                    <w:pStyle w:val="69"/>
                    <w:rPr>
                      <w:rFonts w:hint="eastAsia"/>
                      <w:color w:val="auto"/>
                    </w:rPr>
                  </w:pPr>
                  <w:r>
                    <w:rPr>
                      <w:rFonts w:hint="eastAsia"/>
                      <w:color w:val="auto"/>
                    </w:rPr>
                    <w:t>2</w:t>
                  </w:r>
                </w:p>
              </w:tc>
              <w:tc>
                <w:tcPr>
                  <w:tcW w:w="597" w:type="pct"/>
                  <w:noWrap/>
                  <w:vAlign w:val="center"/>
                </w:tcPr>
                <w:p>
                  <w:pPr>
                    <w:pStyle w:val="69"/>
                    <w:rPr>
                      <w:rFonts w:hint="eastAsia"/>
                      <w:color w:val="auto"/>
                    </w:rPr>
                  </w:pPr>
                  <w:r>
                    <w:rPr>
                      <w:rFonts w:hint="eastAsia"/>
                      <w:color w:val="auto"/>
                    </w:rPr>
                    <w:t>瓶</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爱波克3.6毫克</w:t>
                  </w:r>
                </w:p>
              </w:tc>
              <w:tc>
                <w:tcPr>
                  <w:tcW w:w="888" w:type="pct"/>
                  <w:noWrap/>
                  <w:vAlign w:val="center"/>
                </w:tcPr>
                <w:p>
                  <w:pPr>
                    <w:pStyle w:val="69"/>
                    <w:rPr>
                      <w:rFonts w:hint="eastAsia"/>
                      <w:color w:val="auto"/>
                    </w:rPr>
                  </w:pPr>
                  <w:r>
                    <w:rPr>
                      <w:rFonts w:hint="eastAsia"/>
                      <w:color w:val="auto"/>
                    </w:rPr>
                    <w:t>1</w:t>
                  </w:r>
                </w:p>
              </w:tc>
              <w:tc>
                <w:tcPr>
                  <w:tcW w:w="597" w:type="pct"/>
                  <w:noWrap/>
                  <w:vAlign w:val="center"/>
                </w:tcPr>
                <w:p>
                  <w:pPr>
                    <w:pStyle w:val="69"/>
                    <w:rPr>
                      <w:rFonts w:hint="eastAsia"/>
                      <w:color w:val="auto"/>
                    </w:rPr>
                  </w:pPr>
                  <w:r>
                    <w:rPr>
                      <w:rFonts w:hint="eastAsia"/>
                      <w:color w:val="auto"/>
                    </w:rPr>
                    <w:t>瓶</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爱波克5.4毫克</w:t>
                  </w:r>
                </w:p>
              </w:tc>
              <w:tc>
                <w:tcPr>
                  <w:tcW w:w="888" w:type="pct"/>
                  <w:noWrap/>
                  <w:vAlign w:val="center"/>
                </w:tcPr>
                <w:p>
                  <w:pPr>
                    <w:pStyle w:val="69"/>
                    <w:rPr>
                      <w:rFonts w:hint="eastAsia"/>
                      <w:color w:val="auto"/>
                    </w:rPr>
                  </w:pPr>
                  <w:r>
                    <w:rPr>
                      <w:rFonts w:hint="eastAsia"/>
                      <w:color w:val="auto"/>
                    </w:rPr>
                    <w:t>2</w:t>
                  </w:r>
                </w:p>
              </w:tc>
              <w:tc>
                <w:tcPr>
                  <w:tcW w:w="597" w:type="pct"/>
                  <w:noWrap/>
                  <w:vAlign w:val="center"/>
                </w:tcPr>
                <w:p>
                  <w:pPr>
                    <w:pStyle w:val="69"/>
                    <w:rPr>
                      <w:rFonts w:hint="eastAsia"/>
                      <w:color w:val="auto"/>
                    </w:rPr>
                  </w:pPr>
                  <w:r>
                    <w:rPr>
                      <w:rFonts w:hint="eastAsia"/>
                      <w:color w:val="auto"/>
                    </w:rPr>
                    <w:t>瓶</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汉肤欣</w:t>
                  </w:r>
                </w:p>
              </w:tc>
              <w:tc>
                <w:tcPr>
                  <w:tcW w:w="888" w:type="pct"/>
                  <w:noWrap/>
                  <w:vAlign w:val="center"/>
                </w:tcPr>
                <w:p>
                  <w:pPr>
                    <w:pStyle w:val="69"/>
                    <w:rPr>
                      <w:rFonts w:hint="eastAsia"/>
                      <w:color w:val="auto"/>
                    </w:rPr>
                  </w:pPr>
                  <w:r>
                    <w:rPr>
                      <w:rFonts w:hint="eastAsia"/>
                      <w:color w:val="auto"/>
                    </w:rPr>
                    <w:t>30</w:t>
                  </w:r>
                </w:p>
              </w:tc>
              <w:tc>
                <w:tcPr>
                  <w:tcW w:w="597" w:type="pct"/>
                  <w:noWrap/>
                  <w:vAlign w:val="center"/>
                </w:tcPr>
                <w:p>
                  <w:pPr>
                    <w:pStyle w:val="69"/>
                    <w:rPr>
                      <w:rFonts w:hint="eastAsia"/>
                      <w:color w:val="auto"/>
                    </w:rPr>
                  </w:pPr>
                  <w:r>
                    <w:rPr>
                      <w:rFonts w:hint="eastAsia"/>
                      <w:color w:val="auto"/>
                    </w:rPr>
                    <w:t>瓶</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速诺片剂50mg</w:t>
                  </w:r>
                </w:p>
              </w:tc>
              <w:tc>
                <w:tcPr>
                  <w:tcW w:w="888" w:type="pct"/>
                  <w:noWrap/>
                  <w:vAlign w:val="center"/>
                </w:tcPr>
                <w:p>
                  <w:pPr>
                    <w:pStyle w:val="69"/>
                    <w:rPr>
                      <w:rFonts w:hint="eastAsia"/>
                      <w:color w:val="auto"/>
                    </w:rPr>
                  </w:pPr>
                  <w:r>
                    <w:rPr>
                      <w:rFonts w:hint="eastAsia"/>
                      <w:color w:val="auto"/>
                    </w:rPr>
                    <w:t>10</w:t>
                  </w:r>
                </w:p>
              </w:tc>
              <w:tc>
                <w:tcPr>
                  <w:tcW w:w="597" w:type="pct"/>
                  <w:noWrap/>
                  <w:vAlign w:val="center"/>
                </w:tcPr>
                <w:p>
                  <w:pPr>
                    <w:pStyle w:val="69"/>
                    <w:rPr>
                      <w:rFonts w:hint="eastAsia"/>
                      <w:color w:val="auto"/>
                    </w:rPr>
                  </w:pPr>
                  <w:r>
                    <w:rPr>
                      <w:rFonts w:hint="eastAsia"/>
                      <w:color w:val="auto"/>
                    </w:rPr>
                    <w:t>盒</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速诺片剂250mg</w:t>
                  </w:r>
                </w:p>
              </w:tc>
              <w:tc>
                <w:tcPr>
                  <w:tcW w:w="888" w:type="pct"/>
                  <w:noWrap/>
                  <w:vAlign w:val="center"/>
                </w:tcPr>
                <w:p>
                  <w:pPr>
                    <w:pStyle w:val="69"/>
                    <w:rPr>
                      <w:rFonts w:hint="eastAsia"/>
                      <w:color w:val="auto"/>
                    </w:rPr>
                  </w:pPr>
                  <w:r>
                    <w:rPr>
                      <w:rFonts w:hint="eastAsia"/>
                      <w:color w:val="auto"/>
                    </w:rPr>
                    <w:t>5</w:t>
                  </w:r>
                </w:p>
              </w:tc>
              <w:tc>
                <w:tcPr>
                  <w:tcW w:w="597" w:type="pct"/>
                  <w:noWrap/>
                  <w:vAlign w:val="center"/>
                </w:tcPr>
                <w:p>
                  <w:pPr>
                    <w:pStyle w:val="69"/>
                    <w:rPr>
                      <w:rFonts w:hint="eastAsia"/>
                      <w:color w:val="auto"/>
                    </w:rPr>
                  </w:pPr>
                  <w:r>
                    <w:rPr>
                      <w:rFonts w:hint="eastAsia"/>
                      <w:color w:val="auto"/>
                    </w:rPr>
                    <w:t>盒</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速诺片剂500mg</w:t>
                  </w:r>
                </w:p>
              </w:tc>
              <w:tc>
                <w:tcPr>
                  <w:tcW w:w="888" w:type="pct"/>
                  <w:noWrap/>
                  <w:vAlign w:val="center"/>
                </w:tcPr>
                <w:p>
                  <w:pPr>
                    <w:pStyle w:val="69"/>
                    <w:rPr>
                      <w:rFonts w:hint="eastAsia"/>
                      <w:color w:val="auto"/>
                    </w:rPr>
                  </w:pPr>
                  <w:r>
                    <w:rPr>
                      <w:rFonts w:hint="eastAsia"/>
                      <w:color w:val="auto"/>
                    </w:rPr>
                    <w:t>5</w:t>
                  </w:r>
                </w:p>
              </w:tc>
              <w:tc>
                <w:tcPr>
                  <w:tcW w:w="597" w:type="pct"/>
                  <w:noWrap/>
                  <w:vAlign w:val="center"/>
                </w:tcPr>
                <w:p>
                  <w:pPr>
                    <w:pStyle w:val="69"/>
                    <w:rPr>
                      <w:rFonts w:hint="eastAsia"/>
                      <w:color w:val="auto"/>
                    </w:rPr>
                  </w:pPr>
                  <w:r>
                    <w:rPr>
                      <w:rFonts w:hint="eastAsia"/>
                      <w:color w:val="auto"/>
                    </w:rPr>
                    <w:t>盒</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远福乐</w:t>
                  </w:r>
                </w:p>
              </w:tc>
              <w:tc>
                <w:tcPr>
                  <w:tcW w:w="888" w:type="pct"/>
                  <w:noWrap/>
                  <w:vAlign w:val="center"/>
                </w:tcPr>
                <w:p>
                  <w:pPr>
                    <w:pStyle w:val="69"/>
                    <w:rPr>
                      <w:rFonts w:hint="eastAsia"/>
                      <w:color w:val="auto"/>
                    </w:rPr>
                  </w:pPr>
                  <w:r>
                    <w:rPr>
                      <w:rFonts w:hint="eastAsia"/>
                      <w:color w:val="auto"/>
                    </w:rPr>
                    <w:t>2</w:t>
                  </w:r>
                </w:p>
              </w:tc>
              <w:tc>
                <w:tcPr>
                  <w:tcW w:w="597" w:type="pct"/>
                  <w:noWrap/>
                  <w:vAlign w:val="center"/>
                </w:tcPr>
                <w:p>
                  <w:pPr>
                    <w:pStyle w:val="69"/>
                    <w:rPr>
                      <w:rFonts w:hint="eastAsia"/>
                      <w:color w:val="auto"/>
                    </w:rPr>
                  </w:pPr>
                  <w:r>
                    <w:rPr>
                      <w:rFonts w:hint="eastAsia"/>
                      <w:color w:val="auto"/>
                    </w:rPr>
                    <w:t>盒</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锐趣美毛护肤软咀嚼</w:t>
                  </w:r>
                </w:p>
              </w:tc>
              <w:tc>
                <w:tcPr>
                  <w:tcW w:w="888" w:type="pct"/>
                  <w:noWrap/>
                  <w:vAlign w:val="center"/>
                </w:tcPr>
                <w:p>
                  <w:pPr>
                    <w:pStyle w:val="69"/>
                    <w:rPr>
                      <w:rFonts w:hint="eastAsia"/>
                      <w:color w:val="auto"/>
                    </w:rPr>
                  </w:pPr>
                  <w:r>
                    <w:rPr>
                      <w:rFonts w:hint="eastAsia"/>
                      <w:color w:val="auto"/>
                    </w:rPr>
                    <w:t>100</w:t>
                  </w:r>
                </w:p>
              </w:tc>
              <w:tc>
                <w:tcPr>
                  <w:tcW w:w="597" w:type="pct"/>
                  <w:noWrap/>
                  <w:vAlign w:val="center"/>
                </w:tcPr>
                <w:p>
                  <w:pPr>
                    <w:pStyle w:val="69"/>
                    <w:rPr>
                      <w:rFonts w:hint="eastAsia"/>
                      <w:color w:val="auto"/>
                    </w:rPr>
                  </w:pPr>
                  <w:r>
                    <w:rPr>
                      <w:rFonts w:hint="eastAsia"/>
                      <w:color w:val="auto"/>
                    </w:rPr>
                    <w:t>盒</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宠儿香保肤康</w:t>
                  </w:r>
                </w:p>
              </w:tc>
              <w:tc>
                <w:tcPr>
                  <w:tcW w:w="888" w:type="pct"/>
                  <w:noWrap/>
                  <w:vAlign w:val="center"/>
                </w:tcPr>
                <w:p>
                  <w:pPr>
                    <w:pStyle w:val="69"/>
                    <w:rPr>
                      <w:rFonts w:hint="eastAsia"/>
                      <w:color w:val="auto"/>
                    </w:rPr>
                  </w:pPr>
                  <w:r>
                    <w:rPr>
                      <w:rFonts w:hint="eastAsia"/>
                      <w:color w:val="auto"/>
                    </w:rPr>
                    <w:t>100</w:t>
                  </w:r>
                </w:p>
              </w:tc>
              <w:tc>
                <w:tcPr>
                  <w:tcW w:w="597" w:type="pct"/>
                  <w:noWrap/>
                  <w:vAlign w:val="center"/>
                </w:tcPr>
                <w:p>
                  <w:pPr>
                    <w:pStyle w:val="69"/>
                    <w:rPr>
                      <w:rFonts w:hint="eastAsia"/>
                      <w:color w:val="auto"/>
                    </w:rPr>
                  </w:pPr>
                  <w:r>
                    <w:rPr>
                      <w:rFonts w:hint="eastAsia"/>
                      <w:color w:val="auto"/>
                    </w:rPr>
                    <w:t>盒</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派固威</w:t>
                  </w:r>
                </w:p>
              </w:tc>
              <w:tc>
                <w:tcPr>
                  <w:tcW w:w="888" w:type="pct"/>
                  <w:noWrap/>
                  <w:vAlign w:val="center"/>
                </w:tcPr>
                <w:p>
                  <w:pPr>
                    <w:pStyle w:val="69"/>
                    <w:rPr>
                      <w:rFonts w:hint="eastAsia"/>
                      <w:color w:val="auto"/>
                    </w:rPr>
                  </w:pPr>
                  <w:r>
                    <w:rPr>
                      <w:rFonts w:hint="eastAsia"/>
                      <w:color w:val="auto"/>
                    </w:rPr>
                    <w:t>20</w:t>
                  </w:r>
                </w:p>
              </w:tc>
              <w:tc>
                <w:tcPr>
                  <w:tcW w:w="597" w:type="pct"/>
                  <w:noWrap/>
                  <w:vAlign w:val="center"/>
                </w:tcPr>
                <w:p>
                  <w:pPr>
                    <w:pStyle w:val="69"/>
                    <w:rPr>
                      <w:rFonts w:hint="eastAsia"/>
                      <w:color w:val="auto"/>
                    </w:rPr>
                  </w:pPr>
                  <w:r>
                    <w:rPr>
                      <w:rFonts w:hint="eastAsia"/>
                      <w:color w:val="auto"/>
                    </w:rPr>
                    <w:t>瓶</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维克营养膏</w:t>
                  </w:r>
                </w:p>
              </w:tc>
              <w:tc>
                <w:tcPr>
                  <w:tcW w:w="888" w:type="pct"/>
                  <w:noWrap/>
                  <w:vAlign w:val="center"/>
                </w:tcPr>
                <w:p>
                  <w:pPr>
                    <w:pStyle w:val="69"/>
                    <w:rPr>
                      <w:rFonts w:hint="eastAsia"/>
                      <w:color w:val="auto"/>
                    </w:rPr>
                  </w:pPr>
                  <w:r>
                    <w:rPr>
                      <w:rFonts w:hint="eastAsia"/>
                      <w:color w:val="auto"/>
                    </w:rPr>
                    <w:t>50</w:t>
                  </w:r>
                </w:p>
              </w:tc>
              <w:tc>
                <w:tcPr>
                  <w:tcW w:w="597" w:type="pct"/>
                  <w:noWrap/>
                  <w:vAlign w:val="center"/>
                </w:tcPr>
                <w:p>
                  <w:pPr>
                    <w:pStyle w:val="69"/>
                    <w:rPr>
                      <w:rFonts w:hint="eastAsia"/>
                      <w:color w:val="auto"/>
                    </w:rPr>
                  </w:pPr>
                  <w:r>
                    <w:rPr>
                      <w:rFonts w:hint="eastAsia"/>
                      <w:color w:val="auto"/>
                    </w:rPr>
                    <w:t>支</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西咪替丁</w:t>
                  </w:r>
                </w:p>
              </w:tc>
              <w:tc>
                <w:tcPr>
                  <w:tcW w:w="888" w:type="pct"/>
                  <w:noWrap/>
                  <w:vAlign w:val="center"/>
                </w:tcPr>
                <w:p>
                  <w:pPr>
                    <w:pStyle w:val="69"/>
                    <w:rPr>
                      <w:rFonts w:hint="eastAsia"/>
                      <w:color w:val="auto"/>
                    </w:rPr>
                  </w:pPr>
                  <w:r>
                    <w:rPr>
                      <w:rFonts w:hint="eastAsia"/>
                      <w:color w:val="auto"/>
                    </w:rPr>
                    <w:t>20</w:t>
                  </w:r>
                </w:p>
              </w:tc>
              <w:tc>
                <w:tcPr>
                  <w:tcW w:w="597" w:type="pct"/>
                  <w:noWrap/>
                  <w:vAlign w:val="center"/>
                </w:tcPr>
                <w:p>
                  <w:pPr>
                    <w:pStyle w:val="69"/>
                    <w:rPr>
                      <w:rFonts w:hint="eastAsia"/>
                      <w:color w:val="auto"/>
                    </w:rPr>
                  </w:pPr>
                  <w:r>
                    <w:rPr>
                      <w:rFonts w:hint="eastAsia"/>
                      <w:color w:val="auto"/>
                    </w:rPr>
                    <w:t>盒</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贝卫多</w:t>
                  </w:r>
                </w:p>
              </w:tc>
              <w:tc>
                <w:tcPr>
                  <w:tcW w:w="888" w:type="pct"/>
                  <w:noWrap/>
                  <w:vAlign w:val="center"/>
                </w:tcPr>
                <w:p>
                  <w:pPr>
                    <w:pStyle w:val="69"/>
                    <w:rPr>
                      <w:rFonts w:hint="eastAsia"/>
                      <w:color w:val="auto"/>
                    </w:rPr>
                  </w:pPr>
                  <w:r>
                    <w:rPr>
                      <w:rFonts w:hint="eastAsia"/>
                      <w:color w:val="auto"/>
                    </w:rPr>
                    <w:t>100</w:t>
                  </w:r>
                </w:p>
              </w:tc>
              <w:tc>
                <w:tcPr>
                  <w:tcW w:w="597" w:type="pct"/>
                  <w:noWrap/>
                  <w:vAlign w:val="center"/>
                </w:tcPr>
                <w:p>
                  <w:pPr>
                    <w:pStyle w:val="69"/>
                    <w:rPr>
                      <w:rFonts w:hint="eastAsia"/>
                      <w:color w:val="auto"/>
                    </w:rPr>
                  </w:pPr>
                  <w:r>
                    <w:rPr>
                      <w:rFonts w:hint="eastAsia"/>
                      <w:color w:val="auto"/>
                    </w:rPr>
                    <w:t>盒</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欣宠克</w:t>
                  </w:r>
                </w:p>
              </w:tc>
              <w:tc>
                <w:tcPr>
                  <w:tcW w:w="888" w:type="pct"/>
                  <w:noWrap/>
                  <w:vAlign w:val="center"/>
                </w:tcPr>
                <w:p>
                  <w:pPr>
                    <w:pStyle w:val="69"/>
                    <w:rPr>
                      <w:rFonts w:hint="eastAsia"/>
                      <w:color w:val="auto"/>
                    </w:rPr>
                  </w:pPr>
                  <w:r>
                    <w:rPr>
                      <w:rFonts w:hint="eastAsia"/>
                      <w:color w:val="auto"/>
                    </w:rPr>
                    <w:t>100</w:t>
                  </w:r>
                </w:p>
              </w:tc>
              <w:tc>
                <w:tcPr>
                  <w:tcW w:w="597" w:type="pct"/>
                  <w:noWrap/>
                  <w:vAlign w:val="center"/>
                </w:tcPr>
                <w:p>
                  <w:pPr>
                    <w:pStyle w:val="69"/>
                    <w:rPr>
                      <w:rFonts w:hint="eastAsia"/>
                      <w:color w:val="auto"/>
                    </w:rPr>
                  </w:pPr>
                  <w:r>
                    <w:rPr>
                      <w:rFonts w:hint="eastAsia"/>
                      <w:color w:val="auto"/>
                    </w:rPr>
                    <w:t>盒</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欣宠克（20mg)</w:t>
                  </w:r>
                </w:p>
              </w:tc>
              <w:tc>
                <w:tcPr>
                  <w:tcW w:w="888" w:type="pct"/>
                  <w:noWrap/>
                  <w:vAlign w:val="center"/>
                </w:tcPr>
                <w:p>
                  <w:pPr>
                    <w:pStyle w:val="69"/>
                    <w:rPr>
                      <w:rFonts w:hint="eastAsia"/>
                      <w:color w:val="auto"/>
                    </w:rPr>
                  </w:pPr>
                  <w:r>
                    <w:rPr>
                      <w:rFonts w:hint="eastAsia"/>
                      <w:color w:val="auto"/>
                    </w:rPr>
                    <w:t>80</w:t>
                  </w:r>
                </w:p>
              </w:tc>
              <w:tc>
                <w:tcPr>
                  <w:tcW w:w="597" w:type="pct"/>
                  <w:noWrap/>
                  <w:vAlign w:val="center"/>
                </w:tcPr>
                <w:p>
                  <w:pPr>
                    <w:pStyle w:val="69"/>
                    <w:rPr>
                      <w:rFonts w:hint="eastAsia"/>
                      <w:color w:val="auto"/>
                    </w:rPr>
                  </w:pPr>
                  <w:r>
                    <w:rPr>
                      <w:rFonts w:hint="eastAsia"/>
                      <w:color w:val="auto"/>
                    </w:rPr>
                    <w:t>片</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爱沃克猫滴</w:t>
                  </w:r>
                </w:p>
              </w:tc>
              <w:tc>
                <w:tcPr>
                  <w:tcW w:w="888" w:type="pct"/>
                  <w:noWrap/>
                  <w:vAlign w:val="center"/>
                </w:tcPr>
                <w:p>
                  <w:pPr>
                    <w:pStyle w:val="69"/>
                    <w:rPr>
                      <w:rFonts w:hint="eastAsia"/>
                      <w:color w:val="auto"/>
                    </w:rPr>
                  </w:pPr>
                  <w:r>
                    <w:rPr>
                      <w:rFonts w:hint="eastAsia"/>
                      <w:color w:val="auto"/>
                    </w:rPr>
                    <w:t>200</w:t>
                  </w:r>
                </w:p>
              </w:tc>
              <w:tc>
                <w:tcPr>
                  <w:tcW w:w="597" w:type="pct"/>
                  <w:noWrap/>
                  <w:vAlign w:val="center"/>
                </w:tcPr>
                <w:p>
                  <w:pPr>
                    <w:pStyle w:val="69"/>
                    <w:rPr>
                      <w:rFonts w:hint="eastAsia"/>
                      <w:color w:val="auto"/>
                    </w:rPr>
                  </w:pPr>
                  <w:r>
                    <w:rPr>
                      <w:rFonts w:hint="eastAsia"/>
                      <w:color w:val="auto"/>
                    </w:rPr>
                    <w:t>盒</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大宠爱</w:t>
                  </w:r>
                </w:p>
              </w:tc>
              <w:tc>
                <w:tcPr>
                  <w:tcW w:w="888" w:type="pct"/>
                  <w:noWrap/>
                  <w:vAlign w:val="center"/>
                </w:tcPr>
                <w:p>
                  <w:pPr>
                    <w:pStyle w:val="69"/>
                    <w:rPr>
                      <w:rFonts w:hint="eastAsia"/>
                      <w:color w:val="auto"/>
                    </w:rPr>
                  </w:pPr>
                  <w:r>
                    <w:rPr>
                      <w:rFonts w:hint="eastAsia"/>
                      <w:color w:val="auto"/>
                    </w:rPr>
                    <w:t>20</w:t>
                  </w:r>
                </w:p>
              </w:tc>
              <w:tc>
                <w:tcPr>
                  <w:tcW w:w="597" w:type="pct"/>
                  <w:noWrap/>
                  <w:vAlign w:val="center"/>
                </w:tcPr>
                <w:p>
                  <w:pPr>
                    <w:pStyle w:val="69"/>
                    <w:rPr>
                      <w:rFonts w:hint="eastAsia"/>
                      <w:color w:val="auto"/>
                    </w:rPr>
                  </w:pPr>
                  <w:r>
                    <w:rPr>
                      <w:rFonts w:hint="eastAsia"/>
                      <w:color w:val="auto"/>
                    </w:rPr>
                    <w:t>盒</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汉宠欣</w:t>
                  </w:r>
                </w:p>
              </w:tc>
              <w:tc>
                <w:tcPr>
                  <w:tcW w:w="888" w:type="pct"/>
                  <w:noWrap/>
                  <w:vAlign w:val="center"/>
                </w:tcPr>
                <w:p>
                  <w:pPr>
                    <w:pStyle w:val="69"/>
                    <w:rPr>
                      <w:rFonts w:hint="eastAsia"/>
                      <w:color w:val="auto"/>
                    </w:rPr>
                  </w:pPr>
                  <w:r>
                    <w:rPr>
                      <w:rFonts w:hint="eastAsia"/>
                      <w:color w:val="auto"/>
                    </w:rPr>
                    <w:t>60</w:t>
                  </w:r>
                </w:p>
              </w:tc>
              <w:tc>
                <w:tcPr>
                  <w:tcW w:w="597" w:type="pct"/>
                  <w:noWrap/>
                  <w:vAlign w:val="center"/>
                </w:tcPr>
                <w:p>
                  <w:pPr>
                    <w:pStyle w:val="69"/>
                    <w:rPr>
                      <w:rFonts w:hint="eastAsia"/>
                      <w:color w:val="auto"/>
                    </w:rPr>
                  </w:pPr>
                  <w:r>
                    <w:rPr>
                      <w:rFonts w:hint="eastAsia"/>
                      <w:color w:val="auto"/>
                    </w:rPr>
                    <w:t>盒</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海乐妙14毫克</w:t>
                  </w:r>
                </w:p>
              </w:tc>
              <w:tc>
                <w:tcPr>
                  <w:tcW w:w="888" w:type="pct"/>
                  <w:noWrap/>
                  <w:vAlign w:val="center"/>
                </w:tcPr>
                <w:p>
                  <w:pPr>
                    <w:pStyle w:val="69"/>
                    <w:rPr>
                      <w:rFonts w:hint="eastAsia"/>
                      <w:color w:val="auto"/>
                    </w:rPr>
                  </w:pPr>
                  <w:r>
                    <w:rPr>
                      <w:rFonts w:hint="eastAsia"/>
                      <w:color w:val="auto"/>
                    </w:rPr>
                    <w:t>45</w:t>
                  </w:r>
                </w:p>
              </w:tc>
              <w:tc>
                <w:tcPr>
                  <w:tcW w:w="597" w:type="pct"/>
                  <w:noWrap/>
                  <w:vAlign w:val="center"/>
                </w:tcPr>
                <w:p>
                  <w:pPr>
                    <w:pStyle w:val="69"/>
                    <w:rPr>
                      <w:rFonts w:hint="eastAsia"/>
                      <w:color w:val="auto"/>
                    </w:rPr>
                  </w:pPr>
                  <w:r>
                    <w:rPr>
                      <w:rFonts w:hint="eastAsia"/>
                      <w:color w:val="auto"/>
                    </w:rPr>
                    <w:t>盒</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海乐妙56毫克</w:t>
                  </w:r>
                </w:p>
              </w:tc>
              <w:tc>
                <w:tcPr>
                  <w:tcW w:w="888" w:type="pct"/>
                  <w:noWrap/>
                  <w:vAlign w:val="center"/>
                </w:tcPr>
                <w:p>
                  <w:pPr>
                    <w:pStyle w:val="69"/>
                    <w:rPr>
                      <w:rFonts w:hint="eastAsia"/>
                      <w:color w:val="auto"/>
                    </w:rPr>
                  </w:pPr>
                  <w:r>
                    <w:rPr>
                      <w:rFonts w:hint="eastAsia"/>
                      <w:color w:val="auto"/>
                    </w:rPr>
                    <w:t>58</w:t>
                  </w:r>
                </w:p>
              </w:tc>
              <w:tc>
                <w:tcPr>
                  <w:tcW w:w="597" w:type="pct"/>
                  <w:noWrap/>
                  <w:vAlign w:val="center"/>
                </w:tcPr>
                <w:p>
                  <w:pPr>
                    <w:pStyle w:val="69"/>
                    <w:rPr>
                      <w:rFonts w:hint="eastAsia"/>
                      <w:color w:val="auto"/>
                    </w:rPr>
                  </w:pPr>
                  <w:r>
                    <w:rPr>
                      <w:rFonts w:hint="eastAsia"/>
                      <w:color w:val="auto"/>
                    </w:rPr>
                    <w:t>盒</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海乐旺</w:t>
                  </w:r>
                </w:p>
              </w:tc>
              <w:tc>
                <w:tcPr>
                  <w:tcW w:w="888" w:type="pct"/>
                  <w:noWrap/>
                  <w:vAlign w:val="center"/>
                </w:tcPr>
                <w:p>
                  <w:pPr>
                    <w:pStyle w:val="69"/>
                    <w:rPr>
                      <w:rFonts w:hint="eastAsia"/>
                      <w:color w:val="auto"/>
                    </w:rPr>
                  </w:pPr>
                  <w:r>
                    <w:rPr>
                      <w:rFonts w:hint="eastAsia"/>
                      <w:color w:val="auto"/>
                    </w:rPr>
                    <w:t>75</w:t>
                  </w:r>
                </w:p>
              </w:tc>
              <w:tc>
                <w:tcPr>
                  <w:tcW w:w="597" w:type="pct"/>
                  <w:noWrap/>
                  <w:vAlign w:val="center"/>
                </w:tcPr>
                <w:p>
                  <w:pPr>
                    <w:pStyle w:val="69"/>
                    <w:rPr>
                      <w:rFonts w:hint="eastAsia"/>
                      <w:color w:val="auto"/>
                    </w:rPr>
                  </w:pPr>
                  <w:r>
                    <w:rPr>
                      <w:rFonts w:hint="eastAsia"/>
                      <w:color w:val="auto"/>
                    </w:rPr>
                    <w:t>盒</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法国威隆耳肤灵</w:t>
                  </w:r>
                </w:p>
              </w:tc>
              <w:tc>
                <w:tcPr>
                  <w:tcW w:w="888" w:type="pct"/>
                  <w:noWrap/>
                  <w:vAlign w:val="center"/>
                </w:tcPr>
                <w:p>
                  <w:pPr>
                    <w:pStyle w:val="69"/>
                    <w:rPr>
                      <w:rFonts w:hint="eastAsia"/>
                      <w:color w:val="auto"/>
                    </w:rPr>
                  </w:pPr>
                  <w:r>
                    <w:rPr>
                      <w:rFonts w:hint="eastAsia"/>
                      <w:color w:val="auto"/>
                    </w:rPr>
                    <w:t>130</w:t>
                  </w:r>
                </w:p>
              </w:tc>
              <w:tc>
                <w:tcPr>
                  <w:tcW w:w="597" w:type="pct"/>
                  <w:noWrap/>
                  <w:vAlign w:val="center"/>
                </w:tcPr>
                <w:p>
                  <w:pPr>
                    <w:pStyle w:val="69"/>
                    <w:rPr>
                      <w:rFonts w:hint="eastAsia"/>
                      <w:color w:val="auto"/>
                    </w:rPr>
                  </w:pPr>
                  <w:r>
                    <w:rPr>
                      <w:rFonts w:hint="eastAsia"/>
                      <w:color w:val="auto"/>
                    </w:rPr>
                    <w:t>支</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法国威隆耳舒</w:t>
                  </w:r>
                </w:p>
              </w:tc>
              <w:tc>
                <w:tcPr>
                  <w:tcW w:w="888" w:type="pct"/>
                  <w:noWrap/>
                  <w:vAlign w:val="center"/>
                </w:tcPr>
                <w:p>
                  <w:pPr>
                    <w:pStyle w:val="69"/>
                    <w:rPr>
                      <w:rFonts w:hint="eastAsia"/>
                      <w:color w:val="auto"/>
                    </w:rPr>
                  </w:pPr>
                  <w:r>
                    <w:rPr>
                      <w:rFonts w:hint="eastAsia"/>
                      <w:color w:val="auto"/>
                    </w:rPr>
                    <w:t>120</w:t>
                  </w:r>
                </w:p>
              </w:tc>
              <w:tc>
                <w:tcPr>
                  <w:tcW w:w="597" w:type="pct"/>
                  <w:noWrap/>
                  <w:vAlign w:val="center"/>
                </w:tcPr>
                <w:p>
                  <w:pPr>
                    <w:pStyle w:val="69"/>
                    <w:rPr>
                      <w:rFonts w:hint="eastAsia"/>
                      <w:color w:val="auto"/>
                    </w:rPr>
                  </w:pPr>
                  <w:r>
                    <w:rPr>
                      <w:rFonts w:hint="eastAsia"/>
                      <w:color w:val="auto"/>
                    </w:rPr>
                    <w:t>瓶</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一宠眼康</w:t>
                  </w:r>
                </w:p>
              </w:tc>
              <w:tc>
                <w:tcPr>
                  <w:tcW w:w="888" w:type="pct"/>
                  <w:noWrap/>
                  <w:vAlign w:val="center"/>
                </w:tcPr>
                <w:p>
                  <w:pPr>
                    <w:pStyle w:val="69"/>
                    <w:rPr>
                      <w:rFonts w:hint="eastAsia"/>
                      <w:color w:val="auto"/>
                    </w:rPr>
                  </w:pPr>
                  <w:r>
                    <w:rPr>
                      <w:rFonts w:hint="eastAsia"/>
                      <w:color w:val="auto"/>
                    </w:rPr>
                    <w:t>50</w:t>
                  </w:r>
                </w:p>
              </w:tc>
              <w:tc>
                <w:tcPr>
                  <w:tcW w:w="597" w:type="pct"/>
                  <w:noWrap/>
                  <w:vAlign w:val="center"/>
                </w:tcPr>
                <w:p>
                  <w:pPr>
                    <w:pStyle w:val="69"/>
                    <w:rPr>
                      <w:rFonts w:hint="eastAsia"/>
                      <w:color w:val="auto"/>
                    </w:rPr>
                  </w:pPr>
                  <w:r>
                    <w:rPr>
                      <w:rFonts w:hint="eastAsia"/>
                      <w:color w:val="auto"/>
                    </w:rPr>
                    <w:t>瓶</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维克康泰乐药浴液</w:t>
                  </w:r>
                </w:p>
              </w:tc>
              <w:tc>
                <w:tcPr>
                  <w:tcW w:w="888" w:type="pct"/>
                  <w:noWrap/>
                  <w:vAlign w:val="center"/>
                </w:tcPr>
                <w:p>
                  <w:pPr>
                    <w:pStyle w:val="69"/>
                    <w:rPr>
                      <w:rFonts w:hint="eastAsia"/>
                      <w:color w:val="auto"/>
                    </w:rPr>
                  </w:pPr>
                  <w:r>
                    <w:rPr>
                      <w:rFonts w:hint="eastAsia"/>
                      <w:color w:val="auto"/>
                    </w:rPr>
                    <w:t>20</w:t>
                  </w:r>
                </w:p>
              </w:tc>
              <w:tc>
                <w:tcPr>
                  <w:tcW w:w="597" w:type="pct"/>
                  <w:noWrap/>
                  <w:vAlign w:val="center"/>
                </w:tcPr>
                <w:p>
                  <w:pPr>
                    <w:pStyle w:val="69"/>
                    <w:rPr>
                      <w:rFonts w:hint="eastAsia"/>
                      <w:color w:val="auto"/>
                    </w:rPr>
                  </w:pPr>
                  <w:r>
                    <w:rPr>
                      <w:rFonts w:hint="eastAsia"/>
                      <w:color w:val="auto"/>
                    </w:rPr>
                    <w:t>瓶</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维克爱乐美药浴液</w:t>
                  </w:r>
                </w:p>
              </w:tc>
              <w:tc>
                <w:tcPr>
                  <w:tcW w:w="888" w:type="pct"/>
                  <w:noWrap/>
                  <w:vAlign w:val="center"/>
                </w:tcPr>
                <w:p>
                  <w:pPr>
                    <w:pStyle w:val="69"/>
                    <w:rPr>
                      <w:rFonts w:hint="eastAsia"/>
                      <w:color w:val="auto"/>
                    </w:rPr>
                  </w:pPr>
                  <w:r>
                    <w:rPr>
                      <w:rFonts w:hint="eastAsia"/>
                      <w:color w:val="auto"/>
                    </w:rPr>
                    <w:t>20</w:t>
                  </w:r>
                </w:p>
              </w:tc>
              <w:tc>
                <w:tcPr>
                  <w:tcW w:w="597" w:type="pct"/>
                  <w:noWrap/>
                  <w:vAlign w:val="center"/>
                </w:tcPr>
                <w:p>
                  <w:pPr>
                    <w:pStyle w:val="69"/>
                    <w:rPr>
                      <w:rFonts w:hint="eastAsia"/>
                      <w:color w:val="auto"/>
                    </w:rPr>
                  </w:pPr>
                  <w:r>
                    <w:rPr>
                      <w:rFonts w:hint="eastAsia"/>
                      <w:color w:val="auto"/>
                    </w:rPr>
                    <w:t>瓶</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百灵金方抑菌液</w:t>
                  </w:r>
                </w:p>
              </w:tc>
              <w:tc>
                <w:tcPr>
                  <w:tcW w:w="888" w:type="pct"/>
                  <w:noWrap/>
                  <w:vAlign w:val="center"/>
                </w:tcPr>
                <w:p>
                  <w:pPr>
                    <w:pStyle w:val="69"/>
                    <w:rPr>
                      <w:rFonts w:hint="eastAsia"/>
                      <w:color w:val="auto"/>
                    </w:rPr>
                  </w:pPr>
                  <w:r>
                    <w:rPr>
                      <w:rFonts w:hint="eastAsia"/>
                      <w:color w:val="auto"/>
                    </w:rPr>
                    <w:t>300</w:t>
                  </w:r>
                </w:p>
              </w:tc>
              <w:tc>
                <w:tcPr>
                  <w:tcW w:w="597" w:type="pct"/>
                  <w:noWrap/>
                  <w:vAlign w:val="center"/>
                </w:tcPr>
                <w:p>
                  <w:pPr>
                    <w:pStyle w:val="69"/>
                    <w:rPr>
                      <w:rFonts w:hint="eastAsia"/>
                      <w:color w:val="auto"/>
                    </w:rPr>
                  </w:pPr>
                  <w:r>
                    <w:rPr>
                      <w:rFonts w:hint="eastAsia"/>
                      <w:color w:val="auto"/>
                    </w:rPr>
                    <w:t>瓶</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restart"/>
                  <w:noWrap/>
                  <w:vAlign w:val="center"/>
                </w:tcPr>
                <w:p>
                  <w:pPr>
                    <w:pStyle w:val="69"/>
                    <w:rPr>
                      <w:rFonts w:hint="eastAsia"/>
                      <w:color w:val="auto"/>
                    </w:rPr>
                  </w:pPr>
                  <w:r>
                    <w:rPr>
                      <w:rFonts w:hint="eastAsia"/>
                      <w:color w:val="auto"/>
                    </w:rPr>
                    <w:t>消毒</w:t>
                  </w:r>
                </w:p>
              </w:tc>
              <w:tc>
                <w:tcPr>
                  <w:tcW w:w="2085" w:type="pct"/>
                  <w:noWrap/>
                  <w:vAlign w:val="center"/>
                </w:tcPr>
                <w:p>
                  <w:pPr>
                    <w:pStyle w:val="69"/>
                    <w:rPr>
                      <w:rFonts w:hint="eastAsia"/>
                      <w:color w:val="auto"/>
                    </w:rPr>
                  </w:pPr>
                  <w:r>
                    <w:rPr>
                      <w:rFonts w:hint="eastAsia"/>
                      <w:color w:val="auto"/>
                    </w:rPr>
                    <w:t>奥福健</w:t>
                  </w:r>
                </w:p>
              </w:tc>
              <w:tc>
                <w:tcPr>
                  <w:tcW w:w="888" w:type="pct"/>
                  <w:noWrap/>
                  <w:vAlign w:val="center"/>
                </w:tcPr>
                <w:p>
                  <w:pPr>
                    <w:pStyle w:val="69"/>
                    <w:rPr>
                      <w:rFonts w:hint="eastAsia"/>
                      <w:color w:val="auto"/>
                    </w:rPr>
                  </w:pPr>
                  <w:r>
                    <w:rPr>
                      <w:rFonts w:hint="eastAsia"/>
                      <w:color w:val="auto"/>
                    </w:rPr>
                    <w:t>80</w:t>
                  </w:r>
                </w:p>
              </w:tc>
              <w:tc>
                <w:tcPr>
                  <w:tcW w:w="597" w:type="pct"/>
                  <w:noWrap/>
                  <w:vAlign w:val="center"/>
                </w:tcPr>
                <w:p>
                  <w:pPr>
                    <w:pStyle w:val="69"/>
                    <w:rPr>
                      <w:rFonts w:hint="eastAsia"/>
                      <w:color w:val="auto"/>
                    </w:rPr>
                  </w:pPr>
                  <w:r>
                    <w:rPr>
                      <w:rFonts w:hint="eastAsia"/>
                      <w:color w:val="auto"/>
                    </w:rPr>
                    <w:t>瓶</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清欢</w:t>
                  </w:r>
                </w:p>
              </w:tc>
              <w:tc>
                <w:tcPr>
                  <w:tcW w:w="888" w:type="pct"/>
                  <w:noWrap/>
                  <w:vAlign w:val="center"/>
                </w:tcPr>
                <w:p>
                  <w:pPr>
                    <w:pStyle w:val="69"/>
                    <w:rPr>
                      <w:rFonts w:hint="eastAsia"/>
                      <w:color w:val="auto"/>
                    </w:rPr>
                  </w:pPr>
                  <w:r>
                    <w:rPr>
                      <w:rFonts w:hint="eastAsia"/>
                      <w:color w:val="auto"/>
                    </w:rPr>
                    <w:t>80</w:t>
                  </w:r>
                </w:p>
              </w:tc>
              <w:tc>
                <w:tcPr>
                  <w:tcW w:w="597" w:type="pct"/>
                  <w:noWrap/>
                  <w:vAlign w:val="center"/>
                </w:tcPr>
                <w:p>
                  <w:pPr>
                    <w:pStyle w:val="69"/>
                    <w:rPr>
                      <w:rFonts w:hint="eastAsia"/>
                      <w:color w:val="auto"/>
                    </w:rPr>
                  </w:pPr>
                  <w:r>
                    <w:rPr>
                      <w:rFonts w:hint="eastAsia"/>
                      <w:color w:val="auto"/>
                    </w:rPr>
                    <w:t>盒</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restart"/>
                  <w:noWrap/>
                  <w:vAlign w:val="center"/>
                </w:tcPr>
                <w:p>
                  <w:pPr>
                    <w:pStyle w:val="69"/>
                    <w:rPr>
                      <w:rFonts w:hint="eastAsia"/>
                      <w:color w:val="auto"/>
                    </w:rPr>
                  </w:pPr>
                  <w:r>
                    <w:rPr>
                      <w:rFonts w:hint="eastAsia"/>
                      <w:color w:val="auto"/>
                    </w:rPr>
                    <w:t>耗材</w:t>
                  </w:r>
                </w:p>
              </w:tc>
              <w:tc>
                <w:tcPr>
                  <w:tcW w:w="2085" w:type="pct"/>
                  <w:noWrap/>
                  <w:vAlign w:val="center"/>
                </w:tcPr>
                <w:p>
                  <w:pPr>
                    <w:pStyle w:val="69"/>
                    <w:rPr>
                      <w:rFonts w:hint="eastAsia"/>
                      <w:color w:val="auto"/>
                    </w:rPr>
                  </w:pPr>
                  <w:r>
                    <w:rPr>
                      <w:rFonts w:hint="eastAsia"/>
                      <w:color w:val="auto"/>
                    </w:rPr>
                    <w:t>狗导尿管1.6</w:t>
                  </w:r>
                </w:p>
              </w:tc>
              <w:tc>
                <w:tcPr>
                  <w:tcW w:w="888" w:type="pct"/>
                  <w:noWrap/>
                  <w:vAlign w:val="center"/>
                </w:tcPr>
                <w:p>
                  <w:pPr>
                    <w:pStyle w:val="69"/>
                    <w:rPr>
                      <w:rFonts w:hint="eastAsia"/>
                      <w:color w:val="auto"/>
                    </w:rPr>
                  </w:pPr>
                  <w:r>
                    <w:rPr>
                      <w:rFonts w:hint="eastAsia"/>
                      <w:color w:val="auto"/>
                    </w:rPr>
                    <w:t>80</w:t>
                  </w:r>
                </w:p>
              </w:tc>
              <w:tc>
                <w:tcPr>
                  <w:tcW w:w="597" w:type="pct"/>
                  <w:noWrap/>
                  <w:vAlign w:val="center"/>
                </w:tcPr>
                <w:p>
                  <w:pPr>
                    <w:pStyle w:val="69"/>
                    <w:rPr>
                      <w:rFonts w:hint="eastAsia"/>
                      <w:color w:val="auto"/>
                    </w:rPr>
                  </w:pPr>
                  <w:r>
                    <w:rPr>
                      <w:rFonts w:hint="eastAsia"/>
                      <w:color w:val="auto"/>
                    </w:rPr>
                    <w:t>根</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狗用导尿管2.0</w:t>
                  </w:r>
                </w:p>
              </w:tc>
              <w:tc>
                <w:tcPr>
                  <w:tcW w:w="888" w:type="pct"/>
                  <w:noWrap/>
                  <w:vAlign w:val="center"/>
                </w:tcPr>
                <w:p>
                  <w:pPr>
                    <w:pStyle w:val="69"/>
                    <w:rPr>
                      <w:rFonts w:hint="eastAsia"/>
                      <w:color w:val="auto"/>
                    </w:rPr>
                  </w:pPr>
                  <w:r>
                    <w:rPr>
                      <w:rFonts w:hint="eastAsia"/>
                      <w:color w:val="auto"/>
                    </w:rPr>
                    <w:t>5</w:t>
                  </w:r>
                </w:p>
              </w:tc>
              <w:tc>
                <w:tcPr>
                  <w:tcW w:w="597" w:type="pct"/>
                  <w:noWrap/>
                  <w:vAlign w:val="center"/>
                </w:tcPr>
                <w:p>
                  <w:pPr>
                    <w:pStyle w:val="69"/>
                    <w:rPr>
                      <w:rFonts w:hint="eastAsia"/>
                      <w:color w:val="auto"/>
                    </w:rPr>
                  </w:pPr>
                  <w:r>
                    <w:rPr>
                      <w:rFonts w:hint="eastAsia"/>
                      <w:color w:val="auto"/>
                    </w:rPr>
                    <w:t>根</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狗用导尿管2.6</w:t>
                  </w:r>
                </w:p>
              </w:tc>
              <w:tc>
                <w:tcPr>
                  <w:tcW w:w="888" w:type="pct"/>
                  <w:noWrap/>
                  <w:vAlign w:val="center"/>
                </w:tcPr>
                <w:p>
                  <w:pPr>
                    <w:pStyle w:val="69"/>
                    <w:rPr>
                      <w:rFonts w:hint="eastAsia"/>
                      <w:color w:val="auto"/>
                    </w:rPr>
                  </w:pPr>
                  <w:r>
                    <w:rPr>
                      <w:rFonts w:hint="eastAsia"/>
                      <w:color w:val="auto"/>
                    </w:rPr>
                    <w:t>5</w:t>
                  </w:r>
                </w:p>
              </w:tc>
              <w:tc>
                <w:tcPr>
                  <w:tcW w:w="597" w:type="pct"/>
                  <w:noWrap/>
                  <w:vAlign w:val="center"/>
                </w:tcPr>
                <w:p>
                  <w:pPr>
                    <w:pStyle w:val="69"/>
                    <w:rPr>
                      <w:rFonts w:hint="eastAsia"/>
                      <w:color w:val="auto"/>
                    </w:rPr>
                  </w:pPr>
                  <w:r>
                    <w:rPr>
                      <w:rFonts w:hint="eastAsia"/>
                      <w:color w:val="auto"/>
                    </w:rPr>
                    <w:t>根</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静脉留置针22G</w:t>
                  </w:r>
                </w:p>
              </w:tc>
              <w:tc>
                <w:tcPr>
                  <w:tcW w:w="888" w:type="pct"/>
                  <w:noWrap/>
                  <w:vAlign w:val="center"/>
                </w:tcPr>
                <w:p>
                  <w:pPr>
                    <w:pStyle w:val="69"/>
                    <w:rPr>
                      <w:rFonts w:hint="eastAsia"/>
                      <w:color w:val="auto"/>
                    </w:rPr>
                  </w:pPr>
                  <w:r>
                    <w:rPr>
                      <w:rFonts w:hint="eastAsia"/>
                      <w:color w:val="auto"/>
                    </w:rPr>
                    <w:t>50</w:t>
                  </w:r>
                </w:p>
              </w:tc>
              <w:tc>
                <w:tcPr>
                  <w:tcW w:w="597" w:type="pct"/>
                  <w:noWrap/>
                  <w:vAlign w:val="center"/>
                </w:tcPr>
                <w:p>
                  <w:pPr>
                    <w:pStyle w:val="69"/>
                    <w:rPr>
                      <w:rFonts w:hint="eastAsia"/>
                      <w:color w:val="auto"/>
                    </w:rPr>
                  </w:pPr>
                  <w:r>
                    <w:rPr>
                      <w:rFonts w:hint="eastAsia"/>
                      <w:color w:val="auto"/>
                    </w:rPr>
                    <w:t>个</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静脉留置针24G</w:t>
                  </w:r>
                </w:p>
              </w:tc>
              <w:tc>
                <w:tcPr>
                  <w:tcW w:w="888" w:type="pct"/>
                  <w:noWrap/>
                  <w:vAlign w:val="center"/>
                </w:tcPr>
                <w:p>
                  <w:pPr>
                    <w:pStyle w:val="69"/>
                    <w:rPr>
                      <w:rFonts w:hint="eastAsia"/>
                      <w:color w:val="auto"/>
                    </w:rPr>
                  </w:pPr>
                  <w:r>
                    <w:rPr>
                      <w:rFonts w:hint="eastAsia"/>
                      <w:color w:val="auto"/>
                    </w:rPr>
                    <w:t>500</w:t>
                  </w:r>
                </w:p>
              </w:tc>
              <w:tc>
                <w:tcPr>
                  <w:tcW w:w="597" w:type="pct"/>
                  <w:noWrap/>
                  <w:vAlign w:val="center"/>
                </w:tcPr>
                <w:p>
                  <w:pPr>
                    <w:pStyle w:val="69"/>
                    <w:rPr>
                      <w:rFonts w:hint="eastAsia"/>
                      <w:color w:val="auto"/>
                    </w:rPr>
                  </w:pPr>
                  <w:r>
                    <w:rPr>
                      <w:rFonts w:hint="eastAsia"/>
                      <w:color w:val="auto"/>
                    </w:rPr>
                    <w:t>个</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静脉留置针26G</w:t>
                  </w:r>
                </w:p>
              </w:tc>
              <w:tc>
                <w:tcPr>
                  <w:tcW w:w="888" w:type="pct"/>
                  <w:noWrap/>
                  <w:vAlign w:val="center"/>
                </w:tcPr>
                <w:p>
                  <w:pPr>
                    <w:pStyle w:val="69"/>
                    <w:rPr>
                      <w:rFonts w:hint="eastAsia"/>
                      <w:color w:val="auto"/>
                    </w:rPr>
                  </w:pPr>
                  <w:r>
                    <w:rPr>
                      <w:rFonts w:hint="eastAsia"/>
                      <w:color w:val="auto"/>
                    </w:rPr>
                    <w:t>300</w:t>
                  </w:r>
                </w:p>
              </w:tc>
              <w:tc>
                <w:tcPr>
                  <w:tcW w:w="597" w:type="pct"/>
                  <w:noWrap/>
                  <w:vAlign w:val="center"/>
                </w:tcPr>
                <w:p>
                  <w:pPr>
                    <w:pStyle w:val="69"/>
                    <w:rPr>
                      <w:rFonts w:hint="eastAsia"/>
                      <w:color w:val="auto"/>
                    </w:rPr>
                  </w:pPr>
                  <w:r>
                    <w:rPr>
                      <w:rFonts w:hint="eastAsia"/>
                      <w:color w:val="auto"/>
                    </w:rPr>
                    <w:t>个</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猫导尿管1.3*130</w:t>
                  </w:r>
                </w:p>
              </w:tc>
              <w:tc>
                <w:tcPr>
                  <w:tcW w:w="888" w:type="pct"/>
                  <w:noWrap/>
                  <w:vAlign w:val="center"/>
                </w:tcPr>
                <w:p>
                  <w:pPr>
                    <w:pStyle w:val="69"/>
                    <w:rPr>
                      <w:rFonts w:hint="eastAsia"/>
                      <w:color w:val="auto"/>
                    </w:rPr>
                  </w:pPr>
                  <w:r>
                    <w:rPr>
                      <w:rFonts w:hint="eastAsia"/>
                      <w:color w:val="auto"/>
                    </w:rPr>
                    <w:t>50</w:t>
                  </w:r>
                </w:p>
              </w:tc>
              <w:tc>
                <w:tcPr>
                  <w:tcW w:w="597" w:type="pct"/>
                  <w:noWrap/>
                  <w:vAlign w:val="center"/>
                </w:tcPr>
                <w:p>
                  <w:pPr>
                    <w:pStyle w:val="69"/>
                    <w:rPr>
                      <w:rFonts w:hint="eastAsia"/>
                      <w:color w:val="auto"/>
                    </w:rPr>
                  </w:pPr>
                  <w:r>
                    <w:rPr>
                      <w:rFonts w:hint="eastAsia"/>
                      <w:color w:val="auto"/>
                    </w:rPr>
                    <w:t>根</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注射器1ML</w:t>
                  </w:r>
                </w:p>
              </w:tc>
              <w:tc>
                <w:tcPr>
                  <w:tcW w:w="888" w:type="pct"/>
                  <w:noWrap/>
                  <w:vAlign w:val="center"/>
                </w:tcPr>
                <w:p>
                  <w:pPr>
                    <w:pStyle w:val="69"/>
                    <w:rPr>
                      <w:rFonts w:hint="eastAsia"/>
                      <w:color w:val="auto"/>
                    </w:rPr>
                  </w:pPr>
                  <w:r>
                    <w:rPr>
                      <w:rFonts w:hint="eastAsia"/>
                      <w:color w:val="auto"/>
                    </w:rPr>
                    <w:t>3000</w:t>
                  </w:r>
                </w:p>
              </w:tc>
              <w:tc>
                <w:tcPr>
                  <w:tcW w:w="597" w:type="pct"/>
                  <w:noWrap/>
                  <w:vAlign w:val="center"/>
                </w:tcPr>
                <w:p>
                  <w:pPr>
                    <w:pStyle w:val="69"/>
                    <w:rPr>
                      <w:rFonts w:hint="eastAsia"/>
                      <w:color w:val="auto"/>
                    </w:rPr>
                  </w:pPr>
                  <w:r>
                    <w:rPr>
                      <w:rFonts w:hint="eastAsia"/>
                      <w:color w:val="auto"/>
                    </w:rPr>
                    <w:t>个</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注射器2ML</w:t>
                  </w:r>
                </w:p>
              </w:tc>
              <w:tc>
                <w:tcPr>
                  <w:tcW w:w="888" w:type="pct"/>
                  <w:noWrap/>
                  <w:vAlign w:val="center"/>
                </w:tcPr>
                <w:p>
                  <w:pPr>
                    <w:pStyle w:val="69"/>
                    <w:rPr>
                      <w:rFonts w:hint="eastAsia"/>
                      <w:color w:val="auto"/>
                    </w:rPr>
                  </w:pPr>
                  <w:r>
                    <w:rPr>
                      <w:rFonts w:hint="eastAsia"/>
                      <w:color w:val="auto"/>
                    </w:rPr>
                    <w:t>3000</w:t>
                  </w:r>
                </w:p>
              </w:tc>
              <w:tc>
                <w:tcPr>
                  <w:tcW w:w="597" w:type="pct"/>
                  <w:noWrap/>
                  <w:vAlign w:val="center"/>
                </w:tcPr>
                <w:p>
                  <w:pPr>
                    <w:pStyle w:val="69"/>
                    <w:rPr>
                      <w:rFonts w:hint="eastAsia"/>
                      <w:color w:val="auto"/>
                    </w:rPr>
                  </w:pPr>
                  <w:r>
                    <w:rPr>
                      <w:rFonts w:hint="eastAsia"/>
                      <w:color w:val="auto"/>
                    </w:rPr>
                    <w:t>个</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注射器5ML</w:t>
                  </w:r>
                </w:p>
              </w:tc>
              <w:tc>
                <w:tcPr>
                  <w:tcW w:w="888" w:type="pct"/>
                  <w:noWrap/>
                  <w:vAlign w:val="center"/>
                </w:tcPr>
                <w:p>
                  <w:pPr>
                    <w:pStyle w:val="69"/>
                    <w:rPr>
                      <w:rFonts w:hint="eastAsia"/>
                      <w:color w:val="auto"/>
                    </w:rPr>
                  </w:pPr>
                  <w:r>
                    <w:rPr>
                      <w:rFonts w:hint="eastAsia"/>
                      <w:color w:val="auto"/>
                    </w:rPr>
                    <w:t>1000</w:t>
                  </w:r>
                </w:p>
              </w:tc>
              <w:tc>
                <w:tcPr>
                  <w:tcW w:w="597" w:type="pct"/>
                  <w:noWrap/>
                  <w:vAlign w:val="center"/>
                </w:tcPr>
                <w:p>
                  <w:pPr>
                    <w:pStyle w:val="69"/>
                    <w:rPr>
                      <w:rFonts w:hint="eastAsia"/>
                      <w:color w:val="auto"/>
                    </w:rPr>
                  </w:pPr>
                  <w:r>
                    <w:rPr>
                      <w:rFonts w:hint="eastAsia"/>
                      <w:color w:val="auto"/>
                    </w:rPr>
                    <w:t>个</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注射器20ML</w:t>
                  </w:r>
                </w:p>
              </w:tc>
              <w:tc>
                <w:tcPr>
                  <w:tcW w:w="888" w:type="pct"/>
                  <w:noWrap/>
                  <w:vAlign w:val="center"/>
                </w:tcPr>
                <w:p>
                  <w:pPr>
                    <w:pStyle w:val="69"/>
                    <w:rPr>
                      <w:rFonts w:hint="eastAsia"/>
                      <w:color w:val="auto"/>
                    </w:rPr>
                  </w:pPr>
                  <w:r>
                    <w:rPr>
                      <w:rFonts w:hint="eastAsia"/>
                      <w:color w:val="auto"/>
                    </w:rPr>
                    <w:t>500</w:t>
                  </w:r>
                </w:p>
              </w:tc>
              <w:tc>
                <w:tcPr>
                  <w:tcW w:w="597" w:type="pct"/>
                  <w:noWrap/>
                  <w:vAlign w:val="center"/>
                </w:tcPr>
                <w:p>
                  <w:pPr>
                    <w:pStyle w:val="69"/>
                    <w:rPr>
                      <w:rFonts w:hint="eastAsia"/>
                      <w:color w:val="auto"/>
                    </w:rPr>
                  </w:pPr>
                  <w:r>
                    <w:rPr>
                      <w:rFonts w:hint="eastAsia"/>
                      <w:color w:val="auto"/>
                    </w:rPr>
                    <w:t>个</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输液袋</w:t>
                  </w:r>
                </w:p>
              </w:tc>
              <w:tc>
                <w:tcPr>
                  <w:tcW w:w="888" w:type="pct"/>
                  <w:noWrap/>
                  <w:vAlign w:val="center"/>
                </w:tcPr>
                <w:p>
                  <w:pPr>
                    <w:pStyle w:val="69"/>
                    <w:rPr>
                      <w:rFonts w:hint="eastAsia"/>
                      <w:color w:val="auto"/>
                    </w:rPr>
                  </w:pPr>
                  <w:r>
                    <w:rPr>
                      <w:rFonts w:hint="eastAsia"/>
                      <w:color w:val="auto"/>
                    </w:rPr>
                    <w:t>1000</w:t>
                  </w:r>
                </w:p>
              </w:tc>
              <w:tc>
                <w:tcPr>
                  <w:tcW w:w="597" w:type="pct"/>
                  <w:noWrap/>
                  <w:vAlign w:val="center"/>
                </w:tcPr>
                <w:p>
                  <w:pPr>
                    <w:pStyle w:val="69"/>
                    <w:rPr>
                      <w:rFonts w:hint="eastAsia"/>
                      <w:color w:val="auto"/>
                    </w:rPr>
                  </w:pPr>
                  <w:r>
                    <w:rPr>
                      <w:rFonts w:hint="eastAsia"/>
                      <w:color w:val="auto"/>
                    </w:rPr>
                    <w:t>个</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头皮针</w:t>
                  </w:r>
                </w:p>
              </w:tc>
              <w:tc>
                <w:tcPr>
                  <w:tcW w:w="888" w:type="pct"/>
                  <w:noWrap/>
                  <w:vAlign w:val="center"/>
                </w:tcPr>
                <w:p>
                  <w:pPr>
                    <w:pStyle w:val="69"/>
                    <w:rPr>
                      <w:rFonts w:hint="eastAsia"/>
                      <w:color w:val="auto"/>
                    </w:rPr>
                  </w:pPr>
                  <w:r>
                    <w:rPr>
                      <w:rFonts w:hint="eastAsia"/>
                      <w:color w:val="auto"/>
                    </w:rPr>
                    <w:t>1000</w:t>
                  </w:r>
                </w:p>
              </w:tc>
              <w:tc>
                <w:tcPr>
                  <w:tcW w:w="597" w:type="pct"/>
                  <w:noWrap/>
                  <w:vAlign w:val="center"/>
                </w:tcPr>
                <w:p>
                  <w:pPr>
                    <w:pStyle w:val="69"/>
                    <w:rPr>
                      <w:rFonts w:hint="eastAsia"/>
                      <w:color w:val="auto"/>
                    </w:rPr>
                  </w:pPr>
                  <w:r>
                    <w:rPr>
                      <w:rFonts w:hint="eastAsia"/>
                      <w:color w:val="auto"/>
                    </w:rPr>
                    <w:t>个</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手术衣</w:t>
                  </w:r>
                </w:p>
              </w:tc>
              <w:tc>
                <w:tcPr>
                  <w:tcW w:w="888" w:type="pct"/>
                  <w:noWrap/>
                  <w:vAlign w:val="center"/>
                </w:tcPr>
                <w:p>
                  <w:pPr>
                    <w:pStyle w:val="69"/>
                    <w:rPr>
                      <w:rFonts w:hint="eastAsia"/>
                      <w:color w:val="auto"/>
                    </w:rPr>
                  </w:pPr>
                  <w:r>
                    <w:rPr>
                      <w:rFonts w:hint="eastAsia"/>
                      <w:color w:val="auto"/>
                    </w:rPr>
                    <w:t>800</w:t>
                  </w:r>
                </w:p>
              </w:tc>
              <w:tc>
                <w:tcPr>
                  <w:tcW w:w="597" w:type="pct"/>
                  <w:noWrap/>
                  <w:vAlign w:val="center"/>
                </w:tcPr>
                <w:p>
                  <w:pPr>
                    <w:pStyle w:val="69"/>
                    <w:rPr>
                      <w:rFonts w:hint="eastAsia"/>
                      <w:color w:val="auto"/>
                    </w:rPr>
                  </w:pPr>
                  <w:r>
                    <w:rPr>
                      <w:rFonts w:hint="eastAsia"/>
                      <w:color w:val="auto"/>
                    </w:rPr>
                    <w:t>件</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纱布块</w:t>
                  </w:r>
                </w:p>
              </w:tc>
              <w:tc>
                <w:tcPr>
                  <w:tcW w:w="888" w:type="pct"/>
                  <w:noWrap/>
                  <w:vAlign w:val="center"/>
                </w:tcPr>
                <w:p>
                  <w:pPr>
                    <w:pStyle w:val="69"/>
                    <w:rPr>
                      <w:rFonts w:hint="eastAsia"/>
                      <w:color w:val="auto"/>
                    </w:rPr>
                  </w:pPr>
                  <w:r>
                    <w:rPr>
                      <w:rFonts w:hint="eastAsia"/>
                      <w:color w:val="auto"/>
                    </w:rPr>
                    <w:t>100</w:t>
                  </w:r>
                </w:p>
              </w:tc>
              <w:tc>
                <w:tcPr>
                  <w:tcW w:w="597" w:type="pct"/>
                  <w:noWrap/>
                  <w:vAlign w:val="center"/>
                </w:tcPr>
                <w:p>
                  <w:pPr>
                    <w:pStyle w:val="69"/>
                    <w:rPr>
                      <w:rFonts w:hint="eastAsia"/>
                      <w:color w:val="auto"/>
                    </w:rPr>
                  </w:pPr>
                  <w:r>
                    <w:rPr>
                      <w:rFonts w:hint="eastAsia"/>
                      <w:color w:val="auto"/>
                    </w:rPr>
                    <w:t>包</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胶带</w:t>
                  </w:r>
                </w:p>
              </w:tc>
              <w:tc>
                <w:tcPr>
                  <w:tcW w:w="888" w:type="pct"/>
                  <w:noWrap/>
                  <w:vAlign w:val="center"/>
                </w:tcPr>
                <w:p>
                  <w:pPr>
                    <w:pStyle w:val="69"/>
                    <w:rPr>
                      <w:rFonts w:hint="eastAsia"/>
                      <w:color w:val="auto"/>
                    </w:rPr>
                  </w:pPr>
                  <w:r>
                    <w:rPr>
                      <w:rFonts w:hint="eastAsia"/>
                      <w:color w:val="auto"/>
                    </w:rPr>
                    <w:t>200</w:t>
                  </w:r>
                </w:p>
              </w:tc>
              <w:tc>
                <w:tcPr>
                  <w:tcW w:w="597" w:type="pct"/>
                  <w:noWrap/>
                  <w:vAlign w:val="center"/>
                </w:tcPr>
                <w:p>
                  <w:pPr>
                    <w:pStyle w:val="69"/>
                    <w:rPr>
                      <w:rFonts w:hint="eastAsia"/>
                      <w:color w:val="auto"/>
                    </w:rPr>
                  </w:pPr>
                  <w:r>
                    <w:rPr>
                      <w:rFonts w:hint="eastAsia"/>
                      <w:color w:val="auto"/>
                    </w:rPr>
                    <w:t>卷</w:t>
                  </w:r>
                </w:p>
              </w:tc>
              <w:tc>
                <w:tcPr>
                  <w:tcW w:w="802"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restart"/>
                  <w:noWrap/>
                  <w:vAlign w:val="center"/>
                </w:tcPr>
                <w:p>
                  <w:pPr>
                    <w:pStyle w:val="69"/>
                    <w:rPr>
                      <w:rFonts w:hint="eastAsia"/>
                      <w:color w:val="auto"/>
                    </w:rPr>
                  </w:pPr>
                  <w:r>
                    <w:rPr>
                      <w:rFonts w:hint="eastAsia"/>
                      <w:color w:val="auto"/>
                    </w:rPr>
                    <w:t>能耗</w:t>
                  </w:r>
                </w:p>
              </w:tc>
              <w:tc>
                <w:tcPr>
                  <w:tcW w:w="2085" w:type="pct"/>
                  <w:noWrap/>
                  <w:vAlign w:val="center"/>
                </w:tcPr>
                <w:p>
                  <w:pPr>
                    <w:pStyle w:val="69"/>
                    <w:rPr>
                      <w:rFonts w:hint="eastAsia"/>
                      <w:color w:val="auto"/>
                    </w:rPr>
                  </w:pPr>
                  <w:r>
                    <w:rPr>
                      <w:rFonts w:hint="eastAsia"/>
                      <w:color w:val="auto"/>
                    </w:rPr>
                    <w:t>电</w:t>
                  </w:r>
                </w:p>
              </w:tc>
              <w:tc>
                <w:tcPr>
                  <w:tcW w:w="888" w:type="pct"/>
                  <w:noWrap/>
                  <w:vAlign w:val="center"/>
                </w:tcPr>
                <w:p>
                  <w:pPr>
                    <w:pStyle w:val="69"/>
                    <w:rPr>
                      <w:color w:val="auto"/>
                    </w:rPr>
                  </w:pPr>
                  <w:r>
                    <w:rPr>
                      <w:rFonts w:hint="eastAsia"/>
                      <w:color w:val="auto"/>
                    </w:rPr>
                    <w:t>8000</w:t>
                  </w:r>
                </w:p>
              </w:tc>
              <w:tc>
                <w:tcPr>
                  <w:tcW w:w="597" w:type="pct"/>
                  <w:noWrap/>
                  <w:vAlign w:val="center"/>
                </w:tcPr>
                <w:p>
                  <w:pPr>
                    <w:pStyle w:val="69"/>
                    <w:rPr>
                      <w:color w:val="auto"/>
                    </w:rPr>
                  </w:pPr>
                  <w:r>
                    <w:rPr>
                      <w:rFonts w:hint="eastAsia"/>
                      <w:color w:val="auto"/>
                    </w:rPr>
                    <w:t>Kw.h</w:t>
                  </w:r>
                </w:p>
              </w:tc>
              <w:tc>
                <w:tcPr>
                  <w:tcW w:w="802" w:type="pct"/>
                  <w:noWrap/>
                  <w:vAlign w:val="center"/>
                </w:tcPr>
                <w:p>
                  <w:pPr>
                    <w:pStyle w:val="69"/>
                    <w:rPr>
                      <w:rFonts w:hint="eastAsia"/>
                      <w:color w:val="auto"/>
                    </w:rPr>
                  </w:pPr>
                  <w:r>
                    <w:rPr>
                      <w:rFonts w:hint="eastAsia"/>
                      <w:color w:val="auto"/>
                    </w:rPr>
                    <w:t>市政电网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626" w:type="pct"/>
                  <w:vMerge w:val="continue"/>
                  <w:noWrap/>
                  <w:vAlign w:val="center"/>
                </w:tcPr>
                <w:p>
                  <w:pPr>
                    <w:pStyle w:val="69"/>
                    <w:rPr>
                      <w:rFonts w:hint="eastAsia"/>
                      <w:color w:val="auto"/>
                    </w:rPr>
                  </w:pPr>
                </w:p>
              </w:tc>
              <w:tc>
                <w:tcPr>
                  <w:tcW w:w="2085" w:type="pct"/>
                  <w:noWrap/>
                  <w:vAlign w:val="center"/>
                </w:tcPr>
                <w:p>
                  <w:pPr>
                    <w:pStyle w:val="69"/>
                    <w:rPr>
                      <w:rFonts w:hint="eastAsia"/>
                      <w:color w:val="auto"/>
                    </w:rPr>
                  </w:pPr>
                  <w:r>
                    <w:rPr>
                      <w:rFonts w:hint="eastAsia"/>
                      <w:color w:val="auto"/>
                    </w:rPr>
                    <w:t>水</w:t>
                  </w:r>
                </w:p>
              </w:tc>
              <w:tc>
                <w:tcPr>
                  <w:tcW w:w="888" w:type="pct"/>
                  <w:noWrap/>
                  <w:vAlign w:val="center"/>
                </w:tcPr>
                <w:p>
                  <w:pPr>
                    <w:pStyle w:val="69"/>
                    <w:rPr>
                      <w:color w:val="auto"/>
                    </w:rPr>
                  </w:pPr>
                  <w:r>
                    <w:rPr>
                      <w:rFonts w:hint="eastAsia"/>
                      <w:color w:val="auto"/>
                    </w:rPr>
                    <w:t>510</w:t>
                  </w:r>
                </w:p>
              </w:tc>
              <w:tc>
                <w:tcPr>
                  <w:tcW w:w="597" w:type="pct"/>
                  <w:noWrap/>
                  <w:vAlign w:val="center"/>
                </w:tcPr>
                <w:p>
                  <w:pPr>
                    <w:pStyle w:val="69"/>
                    <w:rPr>
                      <w:color w:val="auto"/>
                    </w:rPr>
                  </w:pPr>
                  <w:r>
                    <w:rPr>
                      <w:rFonts w:hint="eastAsia"/>
                      <w:color w:val="auto"/>
                    </w:rPr>
                    <w:t>m</w:t>
                  </w:r>
                  <w:r>
                    <w:rPr>
                      <w:rFonts w:hint="eastAsia"/>
                      <w:color w:val="auto"/>
                      <w:vertAlign w:val="superscript"/>
                    </w:rPr>
                    <w:t>3</w:t>
                  </w:r>
                  <w:r>
                    <w:rPr>
                      <w:rFonts w:hint="eastAsia"/>
                      <w:color w:val="auto"/>
                    </w:rPr>
                    <w:t>/a</w:t>
                  </w:r>
                </w:p>
              </w:tc>
              <w:tc>
                <w:tcPr>
                  <w:tcW w:w="802" w:type="pct"/>
                  <w:noWrap/>
                  <w:vAlign w:val="center"/>
                </w:tcPr>
                <w:p>
                  <w:pPr>
                    <w:pStyle w:val="69"/>
                    <w:rPr>
                      <w:rFonts w:hint="eastAsia"/>
                      <w:color w:val="auto"/>
                    </w:rPr>
                  </w:pPr>
                  <w:r>
                    <w:rPr>
                      <w:rFonts w:hint="eastAsia"/>
                      <w:color w:val="auto"/>
                    </w:rPr>
                    <w:t>市政自来水</w:t>
                  </w:r>
                </w:p>
              </w:tc>
            </w:tr>
          </w:tbl>
          <w:p>
            <w:pPr>
              <w:numPr>
                <w:ilvl w:val="0"/>
                <w:numId w:val="10"/>
              </w:numPr>
              <w:ind w:firstLine="0" w:firstLineChars="0"/>
              <w:rPr>
                <w:rFonts w:hint="eastAsia"/>
                <w:b/>
                <w:bCs/>
                <w:color w:val="auto"/>
              </w:rPr>
            </w:pPr>
            <w:r>
              <w:rPr>
                <w:b/>
                <w:bCs/>
                <w:color w:val="auto"/>
                <w:szCs w:val="21"/>
              </w:rPr>
              <w:t>工作制度及劳动定员</w:t>
            </w:r>
          </w:p>
          <w:p>
            <w:pPr>
              <w:ind w:firstLine="480"/>
              <w:rPr>
                <w:rFonts w:hint="eastAsia"/>
                <w:color w:val="auto"/>
              </w:rPr>
            </w:pPr>
            <w:r>
              <w:rPr>
                <w:rFonts w:hint="eastAsia"/>
                <w:color w:val="auto"/>
              </w:rPr>
              <w:t>本项目劳动定员为3人，采用1班制，9:00~17:00，年工作300天。</w:t>
            </w:r>
          </w:p>
          <w:p>
            <w:pPr>
              <w:pStyle w:val="4"/>
              <w:rPr>
                <w:rFonts w:hint="eastAsia"/>
                <w:color w:val="auto"/>
              </w:rPr>
            </w:pPr>
            <w:r>
              <w:rPr>
                <w:rFonts w:hint="eastAsia"/>
                <w:color w:val="auto"/>
              </w:rPr>
              <w:t>七、公用工程</w:t>
            </w:r>
          </w:p>
          <w:p>
            <w:pPr>
              <w:pStyle w:val="101"/>
              <w:ind w:firstLine="482"/>
              <w:rPr>
                <w:b/>
                <w:bCs/>
                <w:color w:val="auto"/>
              </w:rPr>
            </w:pPr>
            <w:r>
              <w:rPr>
                <w:b/>
                <w:bCs/>
                <w:color w:val="auto"/>
              </w:rPr>
              <w:t>1</w:t>
            </w:r>
            <w:r>
              <w:rPr>
                <w:rFonts w:hint="eastAsia"/>
                <w:b/>
                <w:bCs/>
                <w:color w:val="auto"/>
              </w:rPr>
              <w:t>、</w:t>
            </w:r>
            <w:r>
              <w:rPr>
                <w:b/>
                <w:bCs/>
                <w:color w:val="auto"/>
              </w:rPr>
              <w:t>供电</w:t>
            </w:r>
          </w:p>
          <w:p>
            <w:pPr>
              <w:pStyle w:val="101"/>
              <w:ind w:firstLine="480"/>
              <w:rPr>
                <w:rFonts w:hint="eastAsia"/>
                <w:color w:val="auto"/>
              </w:rPr>
            </w:pPr>
            <w:r>
              <w:rPr>
                <w:rFonts w:hint="eastAsia"/>
                <w:color w:val="auto"/>
              </w:rPr>
              <w:t>本项目用电采用市政电网供电，不设置备用发电机。</w:t>
            </w:r>
          </w:p>
          <w:p>
            <w:pPr>
              <w:pStyle w:val="101"/>
              <w:ind w:firstLine="482"/>
              <w:rPr>
                <w:b/>
                <w:bCs/>
                <w:color w:val="auto"/>
              </w:rPr>
            </w:pPr>
            <w:r>
              <w:rPr>
                <w:b/>
                <w:bCs/>
                <w:color w:val="auto"/>
              </w:rPr>
              <w:t>2</w:t>
            </w:r>
            <w:r>
              <w:rPr>
                <w:rFonts w:hint="eastAsia"/>
                <w:b/>
                <w:bCs/>
                <w:color w:val="auto"/>
              </w:rPr>
              <w:t>、</w:t>
            </w:r>
            <w:r>
              <w:rPr>
                <w:b/>
                <w:bCs/>
                <w:color w:val="auto"/>
              </w:rPr>
              <w:t>供水</w:t>
            </w:r>
          </w:p>
          <w:p>
            <w:pPr>
              <w:pStyle w:val="101"/>
              <w:ind w:firstLine="480"/>
              <w:rPr>
                <w:rFonts w:hint="eastAsia"/>
                <w:color w:val="auto"/>
              </w:rPr>
            </w:pPr>
            <w:r>
              <w:rPr>
                <w:rFonts w:hint="eastAsia"/>
                <w:color w:val="auto"/>
              </w:rPr>
              <w:t>本项目以市政自来水为水源，由市政给水管网给水管供水，供水能力能満足本项目的需要。</w:t>
            </w:r>
          </w:p>
          <w:p>
            <w:pPr>
              <w:pStyle w:val="101"/>
              <w:ind w:firstLine="480"/>
              <w:rPr>
                <w:rFonts w:hint="eastAsia"/>
                <w:color w:val="auto"/>
              </w:rPr>
            </w:pPr>
            <w:r>
              <w:rPr>
                <w:rFonts w:hint="eastAsia"/>
                <w:color w:val="auto"/>
              </w:rPr>
              <w:t>项目运营期，其用水主要为工作人员生活用水、医疗用水（包含宠物诊疗、住院、宠物清洗和地面清洁用水等）。按照《建筑给水排水设计规范》(GB500520090)及《四川省用水定额》所制定的各项用水定额，并参照同等规模的宠物医院用水量，本项目用水情况具体见下表。</w:t>
            </w:r>
          </w:p>
          <w:p>
            <w:pPr>
              <w:pStyle w:val="102"/>
              <w:ind w:left="422" w:hanging="422"/>
              <w:rPr>
                <w:color w:val="auto"/>
              </w:rPr>
            </w:pPr>
            <w:r>
              <w:rPr>
                <w:color w:val="auto"/>
              </w:rPr>
              <w:t>表2-</w:t>
            </w:r>
            <w:r>
              <w:rPr>
                <w:rFonts w:hint="eastAsia"/>
                <w:color w:val="auto"/>
              </w:rPr>
              <w:t>5</w:t>
            </w:r>
            <w:r>
              <w:rPr>
                <w:color w:val="auto"/>
              </w:rPr>
              <w:t xml:space="preserve">   项目用水</w:t>
            </w:r>
            <w:r>
              <w:rPr>
                <w:rFonts w:hint="eastAsia"/>
                <w:color w:val="auto"/>
              </w:rPr>
              <w:t>及排水</w:t>
            </w:r>
            <w:r>
              <w:rPr>
                <w:color w:val="auto"/>
              </w:rPr>
              <w:t>情况汇总表</w:t>
            </w:r>
          </w:p>
          <w:tbl>
            <w:tblPr>
              <w:tblStyle w:val="3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57" w:type="dxa"/>
                <w:bottom w:w="0" w:type="dxa"/>
                <w:right w:w="57" w:type="dxa"/>
              </w:tblCellMar>
            </w:tblPr>
            <w:tblGrid>
              <w:gridCol w:w="511"/>
              <w:gridCol w:w="1508"/>
              <w:gridCol w:w="1342"/>
              <w:gridCol w:w="1417"/>
              <w:gridCol w:w="1265"/>
              <w:gridCol w:w="970"/>
              <w:gridCol w:w="12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07" w:hRule="atLeast"/>
                <w:jc w:val="center"/>
              </w:trPr>
              <w:tc>
                <w:tcPr>
                  <w:tcW w:w="311" w:type="pct"/>
                  <w:noWrap w:val="0"/>
                  <w:vAlign w:val="center"/>
                </w:tcPr>
                <w:p>
                  <w:pPr>
                    <w:pStyle w:val="118"/>
                    <w:rPr>
                      <w:color w:val="auto"/>
                    </w:rPr>
                  </w:pPr>
                  <w:r>
                    <w:rPr>
                      <w:color w:val="auto"/>
                    </w:rPr>
                    <w:t>序号</w:t>
                  </w:r>
                </w:p>
              </w:tc>
              <w:tc>
                <w:tcPr>
                  <w:tcW w:w="916" w:type="pct"/>
                  <w:noWrap w:val="0"/>
                  <w:vAlign w:val="center"/>
                </w:tcPr>
                <w:p>
                  <w:pPr>
                    <w:pStyle w:val="118"/>
                    <w:rPr>
                      <w:rFonts w:hint="eastAsia"/>
                      <w:color w:val="auto"/>
                    </w:rPr>
                  </w:pPr>
                  <w:r>
                    <w:rPr>
                      <w:rFonts w:hint="eastAsia"/>
                      <w:color w:val="auto"/>
                    </w:rPr>
                    <w:t>用水项目</w:t>
                  </w:r>
                </w:p>
              </w:tc>
              <w:tc>
                <w:tcPr>
                  <w:tcW w:w="816" w:type="pct"/>
                  <w:noWrap w:val="0"/>
                  <w:tcMar>
                    <w:left w:w="57" w:type="dxa"/>
                    <w:right w:w="57" w:type="dxa"/>
                  </w:tcMar>
                  <w:vAlign w:val="center"/>
                </w:tcPr>
                <w:p>
                  <w:pPr>
                    <w:pStyle w:val="118"/>
                    <w:rPr>
                      <w:color w:val="auto"/>
                    </w:rPr>
                  </w:pPr>
                  <w:r>
                    <w:rPr>
                      <w:color w:val="auto"/>
                    </w:rPr>
                    <w:t>规模</w:t>
                  </w:r>
                </w:p>
              </w:tc>
              <w:tc>
                <w:tcPr>
                  <w:tcW w:w="862" w:type="pct"/>
                  <w:noWrap w:val="0"/>
                  <w:tcMar>
                    <w:left w:w="57" w:type="dxa"/>
                    <w:right w:w="57" w:type="dxa"/>
                  </w:tcMar>
                  <w:vAlign w:val="center"/>
                </w:tcPr>
                <w:p>
                  <w:pPr>
                    <w:pStyle w:val="118"/>
                    <w:rPr>
                      <w:color w:val="auto"/>
                    </w:rPr>
                  </w:pPr>
                  <w:r>
                    <w:rPr>
                      <w:color w:val="auto"/>
                    </w:rPr>
                    <w:t>用水定额</w:t>
                  </w:r>
                </w:p>
              </w:tc>
              <w:tc>
                <w:tcPr>
                  <w:tcW w:w="769" w:type="pct"/>
                  <w:noWrap w:val="0"/>
                  <w:tcMar>
                    <w:left w:w="57" w:type="dxa"/>
                    <w:right w:w="57" w:type="dxa"/>
                  </w:tcMar>
                  <w:vAlign w:val="center"/>
                </w:tcPr>
                <w:p>
                  <w:pPr>
                    <w:pStyle w:val="118"/>
                    <w:rPr>
                      <w:color w:val="auto"/>
                    </w:rPr>
                  </w:pPr>
                  <w:r>
                    <w:rPr>
                      <w:color w:val="auto"/>
                    </w:rPr>
                    <w:t>用水量</w:t>
                  </w:r>
                </w:p>
                <w:p>
                  <w:pPr>
                    <w:pStyle w:val="118"/>
                    <w:rPr>
                      <w:color w:val="auto"/>
                    </w:rPr>
                  </w:pPr>
                  <w:r>
                    <w:rPr>
                      <w:color w:val="auto"/>
                    </w:rPr>
                    <w:t>（m</w:t>
                  </w:r>
                  <w:r>
                    <w:rPr>
                      <w:color w:val="auto"/>
                      <w:vertAlign w:val="superscript"/>
                    </w:rPr>
                    <w:t>3</w:t>
                  </w:r>
                  <w:r>
                    <w:rPr>
                      <w:color w:val="auto"/>
                    </w:rPr>
                    <w:t>/d）</w:t>
                  </w:r>
                </w:p>
              </w:tc>
              <w:tc>
                <w:tcPr>
                  <w:tcW w:w="590" w:type="pct"/>
                  <w:noWrap w:val="0"/>
                  <w:vAlign w:val="center"/>
                </w:tcPr>
                <w:p>
                  <w:pPr>
                    <w:pStyle w:val="118"/>
                    <w:rPr>
                      <w:color w:val="auto"/>
                    </w:rPr>
                  </w:pPr>
                  <w:r>
                    <w:rPr>
                      <w:color w:val="auto"/>
                    </w:rPr>
                    <w:t>排污系数</w:t>
                  </w:r>
                </w:p>
              </w:tc>
              <w:tc>
                <w:tcPr>
                  <w:tcW w:w="734" w:type="pct"/>
                  <w:noWrap w:val="0"/>
                  <w:vAlign w:val="center"/>
                </w:tcPr>
                <w:p>
                  <w:pPr>
                    <w:pStyle w:val="118"/>
                    <w:rPr>
                      <w:color w:val="auto"/>
                    </w:rPr>
                  </w:pPr>
                  <w:r>
                    <w:rPr>
                      <w:color w:val="auto"/>
                    </w:rPr>
                    <w:t>排水量</w:t>
                  </w:r>
                </w:p>
                <w:p>
                  <w:pPr>
                    <w:pStyle w:val="118"/>
                    <w:rPr>
                      <w:color w:val="auto"/>
                    </w:rPr>
                  </w:pPr>
                  <w:r>
                    <w:rPr>
                      <w:color w:val="auto"/>
                    </w:rPr>
                    <w:t>（m</w:t>
                  </w:r>
                  <w:r>
                    <w:rPr>
                      <w:color w:val="auto"/>
                      <w:vertAlign w:val="superscript"/>
                    </w:rPr>
                    <w:t>3</w:t>
                  </w:r>
                  <w:r>
                    <w:rPr>
                      <w:color w:val="auto"/>
                    </w:rPr>
                    <w:t>/d）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65" w:hRule="atLeast"/>
                <w:jc w:val="center"/>
              </w:trPr>
              <w:tc>
                <w:tcPr>
                  <w:tcW w:w="311" w:type="pct"/>
                  <w:noWrap w:val="0"/>
                  <w:vAlign w:val="center"/>
                </w:tcPr>
                <w:p>
                  <w:pPr>
                    <w:pStyle w:val="118"/>
                    <w:rPr>
                      <w:color w:val="auto"/>
                    </w:rPr>
                  </w:pPr>
                  <w:r>
                    <w:rPr>
                      <w:color w:val="auto"/>
                    </w:rPr>
                    <w:t>1</w:t>
                  </w:r>
                </w:p>
              </w:tc>
              <w:tc>
                <w:tcPr>
                  <w:tcW w:w="916" w:type="pct"/>
                  <w:noWrap w:val="0"/>
                  <w:vAlign w:val="center"/>
                </w:tcPr>
                <w:p>
                  <w:pPr>
                    <w:pStyle w:val="118"/>
                    <w:rPr>
                      <w:rFonts w:hint="eastAsia"/>
                      <w:color w:val="auto"/>
                    </w:rPr>
                  </w:pPr>
                  <w:r>
                    <w:rPr>
                      <w:rFonts w:hint="eastAsia"/>
                      <w:color w:val="auto"/>
                    </w:rPr>
                    <w:t>职工生活用水</w:t>
                  </w:r>
                </w:p>
              </w:tc>
              <w:tc>
                <w:tcPr>
                  <w:tcW w:w="816" w:type="pct"/>
                  <w:noWrap w:val="0"/>
                  <w:tcMar>
                    <w:left w:w="57" w:type="dxa"/>
                    <w:right w:w="57" w:type="dxa"/>
                  </w:tcMar>
                  <w:vAlign w:val="center"/>
                </w:tcPr>
                <w:p>
                  <w:pPr>
                    <w:pStyle w:val="118"/>
                    <w:rPr>
                      <w:rFonts w:hint="eastAsia"/>
                      <w:color w:val="auto"/>
                    </w:rPr>
                  </w:pPr>
                  <w:r>
                    <w:rPr>
                      <w:rFonts w:hint="eastAsia"/>
                      <w:color w:val="auto"/>
                    </w:rPr>
                    <w:t>3人</w:t>
                  </w:r>
                </w:p>
              </w:tc>
              <w:tc>
                <w:tcPr>
                  <w:tcW w:w="862" w:type="pct"/>
                  <w:noWrap w:val="0"/>
                  <w:tcMar>
                    <w:left w:w="57" w:type="dxa"/>
                    <w:right w:w="57" w:type="dxa"/>
                  </w:tcMar>
                  <w:vAlign w:val="center"/>
                </w:tcPr>
                <w:p>
                  <w:pPr>
                    <w:pStyle w:val="118"/>
                    <w:rPr>
                      <w:color w:val="auto"/>
                    </w:rPr>
                  </w:pPr>
                  <w:r>
                    <w:rPr>
                      <w:rFonts w:hint="eastAsia"/>
                      <w:color w:val="auto"/>
                    </w:rPr>
                    <w:t>50L/人·d</w:t>
                  </w:r>
                </w:p>
              </w:tc>
              <w:tc>
                <w:tcPr>
                  <w:tcW w:w="769" w:type="pct"/>
                  <w:noWrap w:val="0"/>
                  <w:tcMar>
                    <w:left w:w="57" w:type="dxa"/>
                    <w:right w:w="57" w:type="dxa"/>
                  </w:tcMar>
                  <w:vAlign w:val="center"/>
                </w:tcPr>
                <w:p>
                  <w:pPr>
                    <w:pStyle w:val="118"/>
                    <w:rPr>
                      <w:color w:val="auto"/>
                    </w:rPr>
                  </w:pPr>
                  <w:r>
                    <w:rPr>
                      <w:rFonts w:hint="eastAsia"/>
                      <w:color w:val="auto"/>
                    </w:rPr>
                    <w:t>0.15</w:t>
                  </w:r>
                </w:p>
              </w:tc>
              <w:tc>
                <w:tcPr>
                  <w:tcW w:w="590" w:type="pct"/>
                  <w:vMerge w:val="restart"/>
                  <w:noWrap w:val="0"/>
                  <w:vAlign w:val="center"/>
                </w:tcPr>
                <w:p>
                  <w:pPr>
                    <w:pStyle w:val="118"/>
                    <w:rPr>
                      <w:color w:val="auto"/>
                    </w:rPr>
                  </w:pPr>
                  <w:r>
                    <w:rPr>
                      <w:rFonts w:hint="eastAsia"/>
                      <w:color w:val="auto"/>
                    </w:rPr>
                    <w:t>0.8</w:t>
                  </w:r>
                </w:p>
              </w:tc>
              <w:tc>
                <w:tcPr>
                  <w:tcW w:w="734" w:type="pct"/>
                  <w:noWrap w:val="0"/>
                  <w:vAlign w:val="center"/>
                </w:tcPr>
                <w:p>
                  <w:pPr>
                    <w:pStyle w:val="118"/>
                    <w:rPr>
                      <w:color w:val="auto"/>
                    </w:rPr>
                  </w:pPr>
                  <w:r>
                    <w:rPr>
                      <w:rFonts w:hint="eastAsia"/>
                      <w:color w:val="auto"/>
                    </w:rPr>
                    <w:t>0.12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65" w:hRule="atLeast"/>
                <w:jc w:val="center"/>
              </w:trPr>
              <w:tc>
                <w:tcPr>
                  <w:tcW w:w="311" w:type="pct"/>
                  <w:noWrap w:val="0"/>
                  <w:vAlign w:val="center"/>
                </w:tcPr>
                <w:p>
                  <w:pPr>
                    <w:pStyle w:val="118"/>
                    <w:rPr>
                      <w:rFonts w:hint="eastAsia"/>
                      <w:color w:val="auto"/>
                    </w:rPr>
                  </w:pPr>
                  <w:r>
                    <w:rPr>
                      <w:rFonts w:hint="eastAsia"/>
                      <w:color w:val="auto"/>
                    </w:rPr>
                    <w:t>2</w:t>
                  </w:r>
                </w:p>
              </w:tc>
              <w:tc>
                <w:tcPr>
                  <w:tcW w:w="916" w:type="pct"/>
                  <w:noWrap w:val="0"/>
                  <w:vAlign w:val="center"/>
                </w:tcPr>
                <w:p>
                  <w:pPr>
                    <w:pStyle w:val="118"/>
                    <w:rPr>
                      <w:rFonts w:hint="eastAsia"/>
                      <w:color w:val="auto"/>
                    </w:rPr>
                  </w:pPr>
                  <w:r>
                    <w:rPr>
                      <w:rFonts w:hint="eastAsia"/>
                      <w:color w:val="auto"/>
                    </w:rPr>
                    <w:t>顾客生活用水</w:t>
                  </w:r>
                </w:p>
              </w:tc>
              <w:tc>
                <w:tcPr>
                  <w:tcW w:w="816" w:type="pct"/>
                  <w:noWrap w:val="0"/>
                  <w:tcMar>
                    <w:left w:w="57" w:type="dxa"/>
                    <w:right w:w="57" w:type="dxa"/>
                  </w:tcMar>
                  <w:vAlign w:val="center"/>
                </w:tcPr>
                <w:p>
                  <w:pPr>
                    <w:pStyle w:val="118"/>
                    <w:rPr>
                      <w:color w:val="auto"/>
                    </w:rPr>
                  </w:pPr>
                  <w:r>
                    <w:rPr>
                      <w:rFonts w:hint="eastAsia"/>
                      <w:color w:val="auto"/>
                    </w:rPr>
                    <w:t>10人</w:t>
                  </w:r>
                </w:p>
              </w:tc>
              <w:tc>
                <w:tcPr>
                  <w:tcW w:w="862" w:type="pct"/>
                  <w:noWrap w:val="0"/>
                  <w:tcMar>
                    <w:left w:w="57" w:type="dxa"/>
                    <w:right w:w="57" w:type="dxa"/>
                  </w:tcMar>
                  <w:vAlign w:val="center"/>
                </w:tcPr>
                <w:p>
                  <w:pPr>
                    <w:pStyle w:val="118"/>
                    <w:rPr>
                      <w:color w:val="auto"/>
                    </w:rPr>
                  </w:pPr>
                  <w:r>
                    <w:rPr>
                      <w:rFonts w:hint="eastAsia"/>
                      <w:color w:val="auto"/>
                    </w:rPr>
                    <w:t>20L/人·d</w:t>
                  </w:r>
                </w:p>
              </w:tc>
              <w:tc>
                <w:tcPr>
                  <w:tcW w:w="769" w:type="pct"/>
                  <w:noWrap w:val="0"/>
                  <w:tcMar>
                    <w:left w:w="57" w:type="dxa"/>
                    <w:right w:w="57" w:type="dxa"/>
                  </w:tcMar>
                  <w:vAlign w:val="center"/>
                </w:tcPr>
                <w:p>
                  <w:pPr>
                    <w:pStyle w:val="118"/>
                    <w:rPr>
                      <w:color w:val="auto"/>
                    </w:rPr>
                  </w:pPr>
                  <w:r>
                    <w:rPr>
                      <w:rFonts w:hint="eastAsia"/>
                      <w:color w:val="auto"/>
                    </w:rPr>
                    <w:t>0.2</w:t>
                  </w:r>
                </w:p>
              </w:tc>
              <w:tc>
                <w:tcPr>
                  <w:tcW w:w="590" w:type="pct"/>
                  <w:vMerge w:val="continue"/>
                  <w:noWrap w:val="0"/>
                  <w:vAlign w:val="center"/>
                </w:tcPr>
                <w:p>
                  <w:pPr>
                    <w:pStyle w:val="118"/>
                    <w:rPr>
                      <w:rFonts w:hint="eastAsia"/>
                      <w:color w:val="auto"/>
                    </w:rPr>
                  </w:pPr>
                </w:p>
              </w:tc>
              <w:tc>
                <w:tcPr>
                  <w:tcW w:w="734" w:type="pct"/>
                  <w:noWrap w:val="0"/>
                  <w:vAlign w:val="center"/>
                </w:tcPr>
                <w:p>
                  <w:pPr>
                    <w:pStyle w:val="118"/>
                    <w:rPr>
                      <w:color w:val="auto"/>
                    </w:rPr>
                  </w:pPr>
                  <w:r>
                    <w:rPr>
                      <w:rFonts w:hint="eastAsia"/>
                      <w:color w:val="auto"/>
                    </w:rPr>
                    <w:t>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65" w:hRule="atLeast"/>
                <w:jc w:val="center"/>
              </w:trPr>
              <w:tc>
                <w:tcPr>
                  <w:tcW w:w="311" w:type="pct"/>
                  <w:noWrap w:val="0"/>
                  <w:vAlign w:val="center"/>
                </w:tcPr>
                <w:p>
                  <w:pPr>
                    <w:pStyle w:val="118"/>
                    <w:rPr>
                      <w:rFonts w:hint="eastAsia"/>
                      <w:color w:val="auto"/>
                    </w:rPr>
                  </w:pPr>
                  <w:r>
                    <w:rPr>
                      <w:rFonts w:hint="eastAsia"/>
                      <w:color w:val="auto"/>
                    </w:rPr>
                    <w:t>3</w:t>
                  </w:r>
                </w:p>
              </w:tc>
              <w:tc>
                <w:tcPr>
                  <w:tcW w:w="916" w:type="pct"/>
                  <w:noWrap w:val="0"/>
                  <w:vAlign w:val="center"/>
                </w:tcPr>
                <w:p>
                  <w:pPr>
                    <w:pStyle w:val="118"/>
                    <w:rPr>
                      <w:rFonts w:hint="eastAsia"/>
                      <w:color w:val="auto"/>
                    </w:rPr>
                  </w:pPr>
                  <w:r>
                    <w:rPr>
                      <w:rFonts w:hint="eastAsia"/>
                      <w:color w:val="auto"/>
                    </w:rPr>
                    <w:t>宠物诊疗用水</w:t>
                  </w:r>
                </w:p>
              </w:tc>
              <w:tc>
                <w:tcPr>
                  <w:tcW w:w="816" w:type="pct"/>
                  <w:noWrap w:val="0"/>
                  <w:tcMar>
                    <w:left w:w="57" w:type="dxa"/>
                    <w:right w:w="57" w:type="dxa"/>
                  </w:tcMar>
                  <w:vAlign w:val="center"/>
                </w:tcPr>
                <w:p>
                  <w:pPr>
                    <w:pStyle w:val="118"/>
                    <w:rPr>
                      <w:color w:val="auto"/>
                    </w:rPr>
                  </w:pPr>
                  <w:r>
                    <w:rPr>
                      <w:rFonts w:hint="eastAsia"/>
                      <w:color w:val="auto"/>
                    </w:rPr>
                    <w:t>10只</w:t>
                  </w:r>
                </w:p>
              </w:tc>
              <w:tc>
                <w:tcPr>
                  <w:tcW w:w="862" w:type="pct"/>
                  <w:noWrap w:val="0"/>
                  <w:tcMar>
                    <w:left w:w="57" w:type="dxa"/>
                    <w:right w:w="57" w:type="dxa"/>
                  </w:tcMar>
                  <w:vAlign w:val="center"/>
                </w:tcPr>
                <w:p>
                  <w:pPr>
                    <w:pStyle w:val="170"/>
                    <w:rPr>
                      <w:color w:val="auto"/>
                    </w:rPr>
                  </w:pPr>
                  <w:r>
                    <w:rPr>
                      <w:rFonts w:hint="eastAsia"/>
                      <w:color w:val="auto"/>
                    </w:rPr>
                    <w:t>50L/只·d</w:t>
                  </w:r>
                </w:p>
              </w:tc>
              <w:tc>
                <w:tcPr>
                  <w:tcW w:w="769" w:type="pct"/>
                  <w:noWrap w:val="0"/>
                  <w:tcMar>
                    <w:left w:w="57" w:type="dxa"/>
                    <w:right w:w="57" w:type="dxa"/>
                  </w:tcMar>
                  <w:vAlign w:val="center"/>
                </w:tcPr>
                <w:p>
                  <w:pPr>
                    <w:pStyle w:val="118"/>
                    <w:rPr>
                      <w:color w:val="auto"/>
                    </w:rPr>
                  </w:pPr>
                  <w:r>
                    <w:rPr>
                      <w:rFonts w:hint="eastAsia"/>
                      <w:color w:val="auto"/>
                    </w:rPr>
                    <w:t>0.5</w:t>
                  </w:r>
                </w:p>
              </w:tc>
              <w:tc>
                <w:tcPr>
                  <w:tcW w:w="590" w:type="pct"/>
                  <w:vMerge w:val="continue"/>
                  <w:noWrap w:val="0"/>
                  <w:vAlign w:val="center"/>
                </w:tcPr>
                <w:p>
                  <w:pPr>
                    <w:pStyle w:val="118"/>
                    <w:rPr>
                      <w:color w:val="auto"/>
                    </w:rPr>
                  </w:pPr>
                </w:p>
              </w:tc>
              <w:tc>
                <w:tcPr>
                  <w:tcW w:w="734" w:type="pct"/>
                  <w:noWrap w:val="0"/>
                  <w:vAlign w:val="center"/>
                </w:tcPr>
                <w:p>
                  <w:pPr>
                    <w:pStyle w:val="118"/>
                    <w:rPr>
                      <w:color w:val="auto"/>
                    </w:rPr>
                  </w:pPr>
                  <w:r>
                    <w:rPr>
                      <w:rFonts w:hint="eastAsia"/>
                      <w:color w:val="auto"/>
                    </w:rPr>
                    <w:t>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65" w:hRule="atLeast"/>
                <w:jc w:val="center"/>
              </w:trPr>
              <w:tc>
                <w:tcPr>
                  <w:tcW w:w="311" w:type="pct"/>
                  <w:noWrap w:val="0"/>
                  <w:vAlign w:val="center"/>
                </w:tcPr>
                <w:p>
                  <w:pPr>
                    <w:pStyle w:val="118"/>
                    <w:rPr>
                      <w:rFonts w:hint="eastAsia"/>
                      <w:color w:val="auto"/>
                    </w:rPr>
                  </w:pPr>
                  <w:r>
                    <w:rPr>
                      <w:rFonts w:hint="eastAsia"/>
                      <w:color w:val="auto"/>
                    </w:rPr>
                    <w:t>4</w:t>
                  </w:r>
                </w:p>
              </w:tc>
              <w:tc>
                <w:tcPr>
                  <w:tcW w:w="916" w:type="pct"/>
                  <w:noWrap w:val="0"/>
                  <w:vAlign w:val="center"/>
                </w:tcPr>
                <w:p>
                  <w:pPr>
                    <w:pStyle w:val="118"/>
                    <w:rPr>
                      <w:rFonts w:hint="eastAsia"/>
                      <w:color w:val="auto"/>
                    </w:rPr>
                  </w:pPr>
                  <w:r>
                    <w:rPr>
                      <w:rFonts w:hint="eastAsia"/>
                      <w:color w:val="auto"/>
                    </w:rPr>
                    <w:t>宠物住院用水</w:t>
                  </w:r>
                </w:p>
              </w:tc>
              <w:tc>
                <w:tcPr>
                  <w:tcW w:w="816" w:type="pct"/>
                  <w:noWrap w:val="0"/>
                  <w:tcMar>
                    <w:left w:w="57" w:type="dxa"/>
                    <w:right w:w="57" w:type="dxa"/>
                  </w:tcMar>
                  <w:vAlign w:val="center"/>
                </w:tcPr>
                <w:p>
                  <w:pPr>
                    <w:pStyle w:val="118"/>
                    <w:rPr>
                      <w:color w:val="auto"/>
                    </w:rPr>
                  </w:pPr>
                  <w:r>
                    <w:rPr>
                      <w:rFonts w:hint="eastAsia"/>
                      <w:color w:val="auto"/>
                    </w:rPr>
                    <w:t>10只</w:t>
                  </w:r>
                </w:p>
              </w:tc>
              <w:tc>
                <w:tcPr>
                  <w:tcW w:w="862" w:type="pct"/>
                  <w:noWrap w:val="0"/>
                  <w:tcMar>
                    <w:left w:w="57" w:type="dxa"/>
                    <w:right w:w="57" w:type="dxa"/>
                  </w:tcMar>
                  <w:vAlign w:val="center"/>
                </w:tcPr>
                <w:p>
                  <w:pPr>
                    <w:pStyle w:val="170"/>
                    <w:rPr>
                      <w:color w:val="auto"/>
                    </w:rPr>
                  </w:pPr>
                  <w:r>
                    <w:rPr>
                      <w:rFonts w:hint="eastAsia"/>
                      <w:color w:val="auto"/>
                    </w:rPr>
                    <w:t>50L/只·d</w:t>
                  </w:r>
                </w:p>
              </w:tc>
              <w:tc>
                <w:tcPr>
                  <w:tcW w:w="769" w:type="pct"/>
                  <w:noWrap w:val="0"/>
                  <w:tcMar>
                    <w:left w:w="57" w:type="dxa"/>
                    <w:right w:w="57" w:type="dxa"/>
                  </w:tcMar>
                  <w:vAlign w:val="center"/>
                </w:tcPr>
                <w:p>
                  <w:pPr>
                    <w:pStyle w:val="118"/>
                    <w:rPr>
                      <w:color w:val="auto"/>
                    </w:rPr>
                  </w:pPr>
                  <w:r>
                    <w:rPr>
                      <w:rFonts w:hint="eastAsia"/>
                      <w:color w:val="auto"/>
                    </w:rPr>
                    <w:t>0.5</w:t>
                  </w:r>
                </w:p>
              </w:tc>
              <w:tc>
                <w:tcPr>
                  <w:tcW w:w="590" w:type="pct"/>
                  <w:vMerge w:val="continue"/>
                  <w:noWrap w:val="0"/>
                  <w:vAlign w:val="center"/>
                </w:tcPr>
                <w:p>
                  <w:pPr>
                    <w:pStyle w:val="118"/>
                    <w:rPr>
                      <w:color w:val="auto"/>
                    </w:rPr>
                  </w:pPr>
                </w:p>
              </w:tc>
              <w:tc>
                <w:tcPr>
                  <w:tcW w:w="734" w:type="pct"/>
                  <w:noWrap w:val="0"/>
                  <w:vAlign w:val="center"/>
                </w:tcPr>
                <w:p>
                  <w:pPr>
                    <w:pStyle w:val="118"/>
                    <w:rPr>
                      <w:rFonts w:hint="eastAsia"/>
                      <w:color w:val="auto"/>
                    </w:rPr>
                  </w:pPr>
                  <w:r>
                    <w:rPr>
                      <w:rFonts w:hint="eastAsia"/>
                      <w:color w:val="auto"/>
                    </w:rPr>
                    <w:t>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65" w:hRule="atLeast"/>
                <w:jc w:val="center"/>
              </w:trPr>
              <w:tc>
                <w:tcPr>
                  <w:tcW w:w="311" w:type="pct"/>
                  <w:noWrap w:val="0"/>
                  <w:vAlign w:val="center"/>
                </w:tcPr>
                <w:p>
                  <w:pPr>
                    <w:pStyle w:val="118"/>
                    <w:rPr>
                      <w:rFonts w:hint="eastAsia"/>
                      <w:color w:val="auto"/>
                    </w:rPr>
                  </w:pPr>
                  <w:r>
                    <w:rPr>
                      <w:rFonts w:hint="eastAsia"/>
                      <w:color w:val="auto"/>
                    </w:rPr>
                    <w:t>5</w:t>
                  </w:r>
                </w:p>
              </w:tc>
              <w:tc>
                <w:tcPr>
                  <w:tcW w:w="916" w:type="pct"/>
                  <w:noWrap w:val="0"/>
                  <w:vAlign w:val="center"/>
                </w:tcPr>
                <w:p>
                  <w:pPr>
                    <w:pStyle w:val="118"/>
                    <w:rPr>
                      <w:rFonts w:hint="eastAsia"/>
                      <w:color w:val="auto"/>
                    </w:rPr>
                  </w:pPr>
                  <w:r>
                    <w:rPr>
                      <w:rFonts w:hint="eastAsia"/>
                      <w:color w:val="auto"/>
                    </w:rPr>
                    <w:t>宠物清洗和地面清洁用水</w:t>
                  </w:r>
                </w:p>
              </w:tc>
              <w:tc>
                <w:tcPr>
                  <w:tcW w:w="816" w:type="pct"/>
                  <w:noWrap w:val="0"/>
                  <w:tcMar>
                    <w:left w:w="57" w:type="dxa"/>
                    <w:right w:w="57" w:type="dxa"/>
                  </w:tcMar>
                  <w:vAlign w:val="center"/>
                </w:tcPr>
                <w:p>
                  <w:pPr>
                    <w:pStyle w:val="118"/>
                    <w:rPr>
                      <w:rFonts w:hint="eastAsia"/>
                      <w:color w:val="auto"/>
                    </w:rPr>
                  </w:pPr>
                  <w:r>
                    <w:rPr>
                      <w:rFonts w:hint="eastAsia"/>
                      <w:color w:val="auto"/>
                    </w:rPr>
                    <w:t>/</w:t>
                  </w:r>
                </w:p>
              </w:tc>
              <w:tc>
                <w:tcPr>
                  <w:tcW w:w="862" w:type="pct"/>
                  <w:noWrap w:val="0"/>
                  <w:tcMar>
                    <w:left w:w="57" w:type="dxa"/>
                    <w:right w:w="57" w:type="dxa"/>
                  </w:tcMar>
                  <w:vAlign w:val="center"/>
                </w:tcPr>
                <w:p>
                  <w:pPr>
                    <w:pStyle w:val="118"/>
                    <w:rPr>
                      <w:rFonts w:hint="eastAsia"/>
                      <w:color w:val="auto"/>
                    </w:rPr>
                  </w:pPr>
                  <w:r>
                    <w:rPr>
                      <w:rFonts w:hint="eastAsia"/>
                      <w:color w:val="auto"/>
                    </w:rPr>
                    <w:t>/</w:t>
                  </w:r>
                </w:p>
              </w:tc>
              <w:tc>
                <w:tcPr>
                  <w:tcW w:w="769" w:type="pct"/>
                  <w:noWrap w:val="0"/>
                  <w:tcMar>
                    <w:left w:w="57" w:type="dxa"/>
                    <w:right w:w="57" w:type="dxa"/>
                  </w:tcMar>
                  <w:vAlign w:val="center"/>
                </w:tcPr>
                <w:p>
                  <w:pPr>
                    <w:pStyle w:val="118"/>
                    <w:rPr>
                      <w:color w:val="auto"/>
                    </w:rPr>
                  </w:pPr>
                  <w:r>
                    <w:rPr>
                      <w:rFonts w:hint="eastAsia"/>
                      <w:color w:val="auto"/>
                    </w:rPr>
                    <w:t>0.2</w:t>
                  </w:r>
                </w:p>
              </w:tc>
              <w:tc>
                <w:tcPr>
                  <w:tcW w:w="590" w:type="pct"/>
                  <w:vMerge w:val="continue"/>
                  <w:noWrap w:val="0"/>
                  <w:vAlign w:val="center"/>
                </w:tcPr>
                <w:p>
                  <w:pPr>
                    <w:pStyle w:val="118"/>
                    <w:rPr>
                      <w:color w:val="auto"/>
                    </w:rPr>
                  </w:pPr>
                </w:p>
              </w:tc>
              <w:tc>
                <w:tcPr>
                  <w:tcW w:w="734" w:type="pct"/>
                  <w:noWrap w:val="0"/>
                  <w:vAlign w:val="center"/>
                </w:tcPr>
                <w:p>
                  <w:pPr>
                    <w:pStyle w:val="118"/>
                    <w:rPr>
                      <w:color w:val="auto"/>
                    </w:rPr>
                  </w:pPr>
                  <w:r>
                    <w:rPr>
                      <w:rFonts w:hint="eastAsia"/>
                      <w:color w:val="auto"/>
                    </w:rPr>
                    <w:t>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90" w:hRule="atLeast"/>
                <w:jc w:val="center"/>
              </w:trPr>
              <w:tc>
                <w:tcPr>
                  <w:tcW w:w="1228" w:type="pct"/>
                  <w:gridSpan w:val="2"/>
                  <w:noWrap w:val="0"/>
                  <w:vAlign w:val="center"/>
                </w:tcPr>
                <w:p>
                  <w:pPr>
                    <w:pStyle w:val="118"/>
                    <w:rPr>
                      <w:rFonts w:hint="eastAsia"/>
                      <w:color w:val="auto"/>
                    </w:rPr>
                  </w:pPr>
                  <w:r>
                    <w:rPr>
                      <w:rFonts w:hint="eastAsia"/>
                      <w:color w:val="auto"/>
                    </w:rPr>
                    <w:t>未预见用水</w:t>
                  </w:r>
                </w:p>
              </w:tc>
              <w:tc>
                <w:tcPr>
                  <w:tcW w:w="1678" w:type="pct"/>
                  <w:gridSpan w:val="2"/>
                  <w:noWrap w:val="0"/>
                  <w:tcMar>
                    <w:left w:w="57" w:type="dxa"/>
                    <w:right w:w="57" w:type="dxa"/>
                  </w:tcMar>
                  <w:vAlign w:val="center"/>
                </w:tcPr>
                <w:p>
                  <w:pPr>
                    <w:pStyle w:val="118"/>
                    <w:rPr>
                      <w:rFonts w:hint="eastAsia"/>
                      <w:color w:val="auto"/>
                    </w:rPr>
                  </w:pPr>
                  <w:r>
                    <w:rPr>
                      <w:rFonts w:hint="eastAsia"/>
                      <w:color w:val="auto"/>
                    </w:rPr>
                    <w:t>按总用水量 10%计</w:t>
                  </w:r>
                </w:p>
              </w:tc>
              <w:tc>
                <w:tcPr>
                  <w:tcW w:w="769" w:type="pct"/>
                  <w:noWrap w:val="0"/>
                  <w:tcMar>
                    <w:left w:w="57" w:type="dxa"/>
                    <w:right w:w="57" w:type="dxa"/>
                  </w:tcMar>
                  <w:vAlign w:val="center"/>
                </w:tcPr>
                <w:p>
                  <w:pPr>
                    <w:pStyle w:val="118"/>
                    <w:rPr>
                      <w:rFonts w:hint="eastAsia"/>
                      <w:color w:val="auto"/>
                    </w:rPr>
                  </w:pPr>
                  <w:r>
                    <w:rPr>
                      <w:rFonts w:hint="eastAsia"/>
                      <w:color w:val="auto"/>
                    </w:rPr>
                    <w:t>0.145</w:t>
                  </w:r>
                </w:p>
              </w:tc>
              <w:tc>
                <w:tcPr>
                  <w:tcW w:w="590" w:type="pct"/>
                  <w:noWrap w:val="0"/>
                  <w:vAlign w:val="center"/>
                </w:tcPr>
                <w:p>
                  <w:pPr>
                    <w:pStyle w:val="118"/>
                    <w:rPr>
                      <w:rFonts w:hint="eastAsia"/>
                      <w:color w:val="auto"/>
                    </w:rPr>
                  </w:pPr>
                  <w:r>
                    <w:rPr>
                      <w:rFonts w:hint="eastAsia"/>
                      <w:color w:val="auto"/>
                    </w:rPr>
                    <w:t>/</w:t>
                  </w:r>
                </w:p>
              </w:tc>
              <w:tc>
                <w:tcPr>
                  <w:tcW w:w="734" w:type="pct"/>
                  <w:noWrap w:val="0"/>
                  <w:vAlign w:val="center"/>
                </w:tcPr>
                <w:p>
                  <w:pPr>
                    <w:pStyle w:val="118"/>
                    <w:rPr>
                      <w:rFonts w:hint="eastAsia"/>
                      <w:color w:val="auto"/>
                    </w:rPr>
                  </w:pPr>
                  <w:r>
                    <w:rPr>
                      <w:rFonts w:hint="eastAsia"/>
                      <w:color w:val="aut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65" w:hRule="atLeast"/>
                <w:jc w:val="center"/>
              </w:trPr>
              <w:tc>
                <w:tcPr>
                  <w:tcW w:w="2906" w:type="pct"/>
                  <w:gridSpan w:val="4"/>
                  <w:noWrap w:val="0"/>
                  <w:vAlign w:val="center"/>
                </w:tcPr>
                <w:p>
                  <w:pPr>
                    <w:pStyle w:val="118"/>
                    <w:rPr>
                      <w:color w:val="auto"/>
                    </w:rPr>
                  </w:pPr>
                  <w:r>
                    <w:rPr>
                      <w:color w:val="auto"/>
                    </w:rPr>
                    <w:t>合计</w:t>
                  </w:r>
                </w:p>
              </w:tc>
              <w:tc>
                <w:tcPr>
                  <w:tcW w:w="769" w:type="pct"/>
                  <w:noWrap w:val="0"/>
                  <w:tcMar>
                    <w:left w:w="57" w:type="dxa"/>
                    <w:right w:w="57" w:type="dxa"/>
                  </w:tcMar>
                  <w:vAlign w:val="center"/>
                </w:tcPr>
                <w:p>
                  <w:pPr>
                    <w:pStyle w:val="118"/>
                    <w:rPr>
                      <w:color w:val="auto"/>
                    </w:rPr>
                  </w:pPr>
                  <w:r>
                    <w:rPr>
                      <w:rFonts w:hint="eastAsia"/>
                      <w:color w:val="auto"/>
                    </w:rPr>
                    <w:t>1.695</w:t>
                  </w:r>
                </w:p>
              </w:tc>
              <w:tc>
                <w:tcPr>
                  <w:tcW w:w="590" w:type="pct"/>
                  <w:noWrap w:val="0"/>
                  <w:vAlign w:val="center"/>
                </w:tcPr>
                <w:p>
                  <w:pPr>
                    <w:pStyle w:val="118"/>
                    <w:rPr>
                      <w:rFonts w:hint="eastAsia"/>
                      <w:color w:val="auto"/>
                    </w:rPr>
                  </w:pPr>
                  <w:r>
                    <w:rPr>
                      <w:rFonts w:hint="eastAsia"/>
                      <w:color w:val="auto"/>
                    </w:rPr>
                    <w:t>/</w:t>
                  </w:r>
                </w:p>
              </w:tc>
              <w:tc>
                <w:tcPr>
                  <w:tcW w:w="734" w:type="pct"/>
                  <w:noWrap w:val="0"/>
                  <w:vAlign w:val="center"/>
                </w:tcPr>
                <w:p>
                  <w:pPr>
                    <w:pStyle w:val="118"/>
                    <w:rPr>
                      <w:color w:val="auto"/>
                    </w:rPr>
                  </w:pPr>
                  <w:r>
                    <w:rPr>
                      <w:rFonts w:hint="eastAsia"/>
                      <w:color w:val="auto"/>
                    </w:rPr>
                    <w:t>1.24</w:t>
                  </w:r>
                </w:p>
              </w:tc>
            </w:tr>
          </w:tbl>
          <w:p>
            <w:pPr>
              <w:ind w:left="480" w:leftChars="200" w:firstLine="0" w:firstLineChars="0"/>
              <w:rPr>
                <w:b/>
                <w:bCs/>
                <w:color w:val="auto"/>
              </w:rPr>
            </w:pPr>
            <w:r>
              <w:rPr>
                <w:rFonts w:hint="eastAsia"/>
                <w:b/>
                <w:bCs/>
                <w:color w:val="auto"/>
              </w:rPr>
              <w:t>3、</w:t>
            </w:r>
            <w:r>
              <w:rPr>
                <w:b/>
                <w:bCs/>
                <w:color w:val="auto"/>
              </w:rPr>
              <w:t>排水</w:t>
            </w:r>
          </w:p>
          <w:p>
            <w:pPr>
              <w:pStyle w:val="104"/>
              <w:ind w:firstLine="480"/>
              <w:rPr>
                <w:rFonts w:hint="eastAsia"/>
                <w:color w:val="auto"/>
              </w:rPr>
            </w:pPr>
            <w:r>
              <w:rPr>
                <w:rFonts w:hint="eastAsia"/>
                <w:color w:val="auto"/>
              </w:rPr>
              <w:t>项目排水实行“雨污分流”制，雨水经屋面雨水漏斗收集，经雨水管道排入城市雨水管网；生活污水经春天花园小区预处理池处理后进入市政污水管网；动物诊疗过程中产生的医疗废水收集后经一体化污水处理设备采用“过滤沉淀+消毒”处理，消毒采用二氧化氯泡腾片，医疗废水经处理后进入春天花园小区预处理池处理后排入市政污水管网，最终进入乐山市第一污水处理厂处理后排放。本项目水平衡图如下：</w:t>
            </w:r>
          </w:p>
          <w:p>
            <w:pPr>
              <w:pStyle w:val="69"/>
              <w:rPr>
                <w:rFonts w:hint="eastAsia"/>
                <w:color w:val="auto"/>
              </w:rPr>
            </w:pPr>
            <w:r>
              <w:rPr>
                <w:color w:val="auto"/>
              </w:rPr>
              <w:object>
                <v:shape id="_x0000_i1040" o:spt="75" type="#_x0000_t75" style="height:216.05pt;width:410.3pt;" o:ole="t" filled="f" o:preferrelative="t" stroked="f" coordsize="21600,21600">
                  <v:path/>
                  <v:fill on="f" focussize="0,0"/>
                  <v:stroke on="f"/>
                  <v:imagedata r:id="rId90" o:title=""/>
                  <o:lock v:ext="edit" aspectratio="f"/>
                  <w10:wrap type="none"/>
                  <w10:anchorlock/>
                </v:shape>
                <o:OLEObject Type="Embed" ProgID="Visio.Drawing.15" ShapeID="_x0000_i1040" DrawAspect="Content" ObjectID="_1468075741" r:id="rId89">
                  <o:LockedField>false</o:LockedField>
                </o:OLEObject>
              </w:object>
            </w:r>
          </w:p>
          <w:p>
            <w:pPr>
              <w:pStyle w:val="102"/>
              <w:ind w:left="422" w:hanging="422"/>
              <w:rPr>
                <w:rFonts w:hint="eastAsia"/>
                <w:color w:val="auto"/>
              </w:rPr>
            </w:pPr>
            <w:r>
              <w:rPr>
                <w:rFonts w:hint="eastAsia"/>
                <w:color w:val="auto"/>
              </w:rPr>
              <w:t>图2-1 项目水平衡图（m³/d）</w:t>
            </w:r>
          </w:p>
          <w:p>
            <w:pPr>
              <w:pStyle w:val="104"/>
              <w:ind w:left="720" w:firstLine="0" w:firstLineChars="0"/>
              <w:rPr>
                <w:rFonts w:hint="eastAsia"/>
                <w:b/>
                <w:bCs/>
                <w:color w:val="auto"/>
              </w:rPr>
            </w:pPr>
            <w:r>
              <w:rPr>
                <w:rFonts w:hint="eastAsia"/>
                <w:b/>
                <w:bCs/>
                <w:color w:val="auto"/>
              </w:rPr>
              <w:t>4、消毒供应</w:t>
            </w:r>
          </w:p>
          <w:p>
            <w:pPr>
              <w:pStyle w:val="104"/>
              <w:ind w:firstLine="480"/>
              <w:rPr>
                <w:rFonts w:hint="eastAsia"/>
                <w:color w:val="auto"/>
              </w:rPr>
            </w:pPr>
            <w:r>
              <w:rPr>
                <w:rFonts w:hint="eastAsia"/>
                <w:color w:val="auto"/>
              </w:rPr>
              <w:t>医疗废水消毒采用二氧化氯泡腾片消毒；医院环境消毒采用过移动式紫外线灯杀菌消毒；手术室仪器设备消毒采用高压蒸汽灭菌锅。</w:t>
            </w:r>
          </w:p>
          <w:p>
            <w:pPr>
              <w:pStyle w:val="104"/>
              <w:ind w:firstLine="482"/>
              <w:rPr>
                <w:rFonts w:hint="eastAsia"/>
                <w:b/>
                <w:bCs/>
                <w:color w:val="auto"/>
              </w:rPr>
            </w:pPr>
            <w:r>
              <w:rPr>
                <w:rFonts w:hint="eastAsia"/>
                <w:b/>
                <w:bCs/>
                <w:color w:val="auto"/>
              </w:rPr>
              <w:t>关于本项目具体情况说明如下：</w:t>
            </w:r>
          </w:p>
          <w:p>
            <w:pPr>
              <w:pStyle w:val="104"/>
              <w:ind w:firstLine="482"/>
              <w:rPr>
                <w:rFonts w:hint="eastAsia"/>
                <w:b/>
                <w:bCs/>
                <w:color w:val="auto"/>
              </w:rPr>
            </w:pPr>
            <w:r>
              <w:rPr>
                <w:rFonts w:hint="eastAsia"/>
                <w:b/>
                <w:bCs/>
                <w:color w:val="auto"/>
              </w:rPr>
              <w:t xml:space="preserve">（1）项目医学影像科采用数码打印方式，无洗印废水产生和排放； </w:t>
            </w:r>
          </w:p>
          <w:p>
            <w:pPr>
              <w:pStyle w:val="104"/>
              <w:ind w:firstLine="482"/>
              <w:rPr>
                <w:rFonts w:hint="eastAsia"/>
                <w:b/>
                <w:bCs/>
                <w:color w:val="auto"/>
              </w:rPr>
            </w:pPr>
            <w:r>
              <w:rPr>
                <w:rFonts w:hint="eastAsia"/>
                <w:b/>
                <w:bCs/>
                <w:color w:val="auto"/>
              </w:rPr>
              <w:t xml:space="preserve">（2）项目不设置食堂，职工就餐已自带和外卖的形式，因此无餐饮废水产生； </w:t>
            </w:r>
          </w:p>
          <w:p>
            <w:pPr>
              <w:pStyle w:val="104"/>
              <w:ind w:firstLine="482"/>
              <w:rPr>
                <w:rFonts w:hint="eastAsia"/>
                <w:b/>
                <w:bCs/>
                <w:color w:val="auto"/>
              </w:rPr>
            </w:pPr>
            <w:r>
              <w:rPr>
                <w:rFonts w:hint="eastAsia"/>
                <w:b/>
                <w:bCs/>
                <w:color w:val="auto"/>
              </w:rPr>
              <w:t>（3）本项目不接收传染病宠物;</w:t>
            </w:r>
          </w:p>
          <w:p>
            <w:pPr>
              <w:pStyle w:val="104"/>
              <w:ind w:firstLine="482"/>
              <w:rPr>
                <w:rFonts w:hint="eastAsia"/>
                <w:b/>
                <w:bCs/>
                <w:color w:val="auto"/>
              </w:rPr>
            </w:pPr>
            <w:r>
              <w:rPr>
                <w:rFonts w:hint="eastAsia"/>
                <w:b/>
                <w:bCs/>
                <w:color w:val="auto"/>
              </w:rPr>
              <w:t>（4）另外，本项目化验区采用成品试剂进行血常规检验，不使用水，此类检查产生的污染物主要为沾有血液的棉签、棉球、采血针、针简、量杯等，全部作为医疗垃圾处理，因此，本项目无检验废水的产生。</w:t>
            </w:r>
          </w:p>
          <w:p>
            <w:pPr>
              <w:pStyle w:val="4"/>
              <w:rPr>
                <w:color w:val="auto"/>
              </w:rPr>
            </w:pPr>
            <w:bookmarkStart w:id="53" w:name="_Toc7242"/>
            <w:bookmarkStart w:id="54" w:name="_Toc30601"/>
            <w:r>
              <w:rPr>
                <w:color w:val="auto"/>
              </w:rPr>
              <w:t>八、项目</w:t>
            </w:r>
            <w:r>
              <w:rPr>
                <w:rFonts w:hint="eastAsia"/>
                <w:color w:val="auto"/>
              </w:rPr>
              <w:t>总</w:t>
            </w:r>
            <w:r>
              <w:rPr>
                <w:color w:val="auto"/>
              </w:rPr>
              <w:t>平面布置</w:t>
            </w:r>
            <w:bookmarkEnd w:id="53"/>
            <w:bookmarkEnd w:id="54"/>
          </w:p>
          <w:p>
            <w:pPr>
              <w:ind w:firstLine="480"/>
              <w:rPr>
                <w:color w:val="auto"/>
              </w:rPr>
            </w:pPr>
            <w:r>
              <w:rPr>
                <w:color w:val="auto"/>
              </w:rPr>
              <w:t>本项目</w:t>
            </w:r>
            <w:r>
              <w:rPr>
                <w:rFonts w:hint="eastAsia"/>
                <w:color w:val="auto"/>
              </w:rPr>
              <w:t>已建成运营，根据现场踏勘，项目</w:t>
            </w:r>
            <w:r>
              <w:rPr>
                <w:color w:val="auto"/>
              </w:rPr>
              <w:t>设置一个独立的出入口（项目专用），区域内主要接纳宠物猫狗，猫与狗分区域进行诊治，项目设置有</w:t>
            </w:r>
            <w:r>
              <w:rPr>
                <w:rFonts w:hint="eastAsia"/>
                <w:color w:val="auto"/>
              </w:rPr>
              <w:t>2</w:t>
            </w:r>
            <w:r>
              <w:rPr>
                <w:color w:val="auto"/>
              </w:rPr>
              <w:t>间</w:t>
            </w:r>
            <w:r>
              <w:rPr>
                <w:rFonts w:hint="eastAsia"/>
                <w:color w:val="auto"/>
              </w:rPr>
              <w:t>诊疗</w:t>
            </w:r>
            <w:r>
              <w:rPr>
                <w:color w:val="auto"/>
              </w:rPr>
              <w:t>室、</w:t>
            </w:r>
            <w:r>
              <w:rPr>
                <w:rFonts w:hint="eastAsia"/>
                <w:color w:val="auto"/>
              </w:rPr>
              <w:t>1</w:t>
            </w:r>
            <w:r>
              <w:rPr>
                <w:color w:val="auto"/>
              </w:rPr>
              <w:t>间手术室、</w:t>
            </w:r>
            <w:r>
              <w:rPr>
                <w:rFonts w:hint="eastAsia"/>
                <w:color w:val="auto"/>
              </w:rPr>
              <w:t>3</w:t>
            </w:r>
            <w:r>
              <w:rPr>
                <w:color w:val="auto"/>
              </w:rPr>
              <w:t>间住院室、1间</w:t>
            </w:r>
            <w:r>
              <w:rPr>
                <w:rFonts w:hint="eastAsia"/>
                <w:color w:val="auto"/>
              </w:rPr>
              <w:t>辐射</w:t>
            </w:r>
            <w:r>
              <w:rPr>
                <w:color w:val="auto"/>
              </w:rPr>
              <w:t>室、1间</w:t>
            </w:r>
            <w:r>
              <w:rPr>
                <w:rFonts w:hint="eastAsia"/>
                <w:color w:val="auto"/>
              </w:rPr>
              <w:t>化验</w:t>
            </w:r>
            <w:r>
              <w:rPr>
                <w:color w:val="auto"/>
              </w:rPr>
              <w:t>室和1间卫生间等，另设置</w:t>
            </w:r>
            <w:r>
              <w:rPr>
                <w:rFonts w:hint="eastAsia"/>
                <w:color w:val="auto"/>
              </w:rPr>
              <w:t>一体化污水处理设备1</w:t>
            </w:r>
            <w:r>
              <w:rPr>
                <w:color w:val="auto"/>
              </w:rPr>
              <w:t>套，</w:t>
            </w:r>
            <w:r>
              <w:rPr>
                <w:rFonts w:hint="eastAsia"/>
                <w:color w:val="auto"/>
              </w:rPr>
              <w:t>医废暂存间</w:t>
            </w:r>
            <w:r>
              <w:rPr>
                <w:color w:val="auto"/>
              </w:rPr>
              <w:t>1</w:t>
            </w:r>
            <w:r>
              <w:rPr>
                <w:rFonts w:hint="eastAsia"/>
                <w:color w:val="auto"/>
              </w:rPr>
              <w:t>间</w:t>
            </w:r>
            <w:r>
              <w:rPr>
                <w:color w:val="auto"/>
              </w:rPr>
              <w:t>。</w:t>
            </w:r>
          </w:p>
          <w:p>
            <w:pPr>
              <w:pStyle w:val="104"/>
              <w:ind w:firstLine="480"/>
              <w:rPr>
                <w:rFonts w:hint="eastAsia"/>
                <w:color w:val="auto"/>
              </w:rPr>
            </w:pPr>
            <w:r>
              <w:rPr>
                <w:color w:val="auto"/>
              </w:rPr>
              <w:t>项目</w:t>
            </w:r>
            <w:r>
              <w:rPr>
                <w:rFonts w:hint="eastAsia"/>
                <w:color w:val="auto"/>
              </w:rPr>
              <w:t>医废暂存间</w:t>
            </w:r>
            <w:r>
              <w:rPr>
                <w:color w:val="auto"/>
              </w:rPr>
              <w:t>置于项目</w:t>
            </w:r>
            <w:r>
              <w:rPr>
                <w:rFonts w:hint="eastAsia"/>
                <w:color w:val="auto"/>
              </w:rPr>
              <w:t>东</w:t>
            </w:r>
            <w:r>
              <w:rPr>
                <w:color w:val="auto"/>
              </w:rPr>
              <w:t>北侧</w:t>
            </w:r>
            <w:r>
              <w:rPr>
                <w:rFonts w:hint="eastAsia"/>
                <w:color w:val="auto"/>
              </w:rPr>
              <w:t>走廊右侧，离手术室最近，临近手术室，能满足手术过程中产生的医疗废物短距离收集，减少了交叉感染和环境污染的风险。医废暂存间</w:t>
            </w:r>
            <w:r>
              <w:rPr>
                <w:color w:val="auto"/>
              </w:rPr>
              <w:t>平时密封，采用专用密闭</w:t>
            </w:r>
            <w:r>
              <w:rPr>
                <w:rFonts w:hint="eastAsia"/>
                <w:color w:val="auto"/>
              </w:rPr>
              <w:t>医疗废物专用袋</w:t>
            </w:r>
            <w:r>
              <w:rPr>
                <w:color w:val="auto"/>
              </w:rPr>
              <w:t>收集</w:t>
            </w:r>
            <w:r>
              <w:rPr>
                <w:rFonts w:hint="eastAsia"/>
                <w:color w:val="auto"/>
              </w:rPr>
              <w:t>、</w:t>
            </w:r>
            <w:r>
              <w:rPr>
                <w:color w:val="auto"/>
              </w:rPr>
              <w:t>暂存后交由有资质单位处置，</w:t>
            </w:r>
            <w:r>
              <w:rPr>
                <w:rFonts w:hint="eastAsia"/>
                <w:color w:val="auto"/>
              </w:rPr>
              <w:t>医废暂存间</w:t>
            </w:r>
            <w:r>
              <w:rPr>
                <w:color w:val="auto"/>
              </w:rPr>
              <w:t>暂存</w:t>
            </w:r>
            <w:r>
              <w:rPr>
                <w:rFonts w:hint="eastAsia"/>
                <w:color w:val="auto"/>
              </w:rPr>
              <w:t>（暂存时间常温下不得超过1天，5℃以下冷藏不得超过7天）</w:t>
            </w:r>
            <w:r>
              <w:rPr>
                <w:color w:val="auto"/>
              </w:rPr>
              <w:t>且加强消毒和管理，并在避开高峰时段外运，对周围环境影响较小</w:t>
            </w:r>
            <w:r>
              <w:rPr>
                <w:rFonts w:hint="eastAsia"/>
                <w:color w:val="auto"/>
              </w:rPr>
              <w:t>；宠物手术室设置于项目北侧走廊尽头，动物发出的声音在经过墙体、门窗等隔声之后不会对周围环境造成较大影响；项目一体化污水处理设施位于西侧走廊左侧第四间卫生间处，离手术室较近，能有效的保证医疗废水的短距离收集，减少了废水泄露的风险；项目医院内废气采用移动式紫外线灯+（过硫酸氢钾复合粉兑水喷入空气）环境消毒+新风系统，能交替合并使用且满足各个功能房的消毒要求；</w:t>
            </w:r>
          </w:p>
          <w:p>
            <w:pPr>
              <w:pStyle w:val="104"/>
              <w:ind w:firstLine="480"/>
              <w:rPr>
                <w:rFonts w:hint="eastAsia"/>
                <w:color w:val="auto"/>
              </w:rPr>
            </w:pPr>
            <w:r>
              <w:rPr>
                <w:rFonts w:hint="eastAsia"/>
                <w:color w:val="auto"/>
              </w:rPr>
              <w:t>综上所述，项目总平面设计合理，功能分区明确，各种环保设施布置较为合理，满足医疗卫生的要求和环境保护的要求，项目平面布置总体可行。</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122" w:hRule="atLeast"/>
          <w:jc w:val="center"/>
        </w:trPr>
        <w:tc>
          <w:tcPr>
            <w:tcW w:w="538" w:type="dxa"/>
            <w:noWrap w:val="0"/>
            <w:vAlign w:val="center"/>
          </w:tcPr>
          <w:p>
            <w:pPr>
              <w:pStyle w:val="33"/>
              <w:adjustRightInd w:val="0"/>
              <w:snapToGrid w:val="0"/>
              <w:spacing w:before="0" w:beforeAutospacing="0" w:after="0" w:afterAutospacing="0"/>
              <w:ind w:firstLine="0" w:firstLineChars="0"/>
              <w:jc w:val="both"/>
              <w:rPr>
                <w:rFonts w:cs="宋体"/>
                <w:color w:val="auto"/>
                <w:szCs w:val="24"/>
              </w:rPr>
            </w:pPr>
            <w:r>
              <w:rPr>
                <w:rFonts w:hint="eastAsia" w:cs="宋体"/>
                <w:color w:val="auto"/>
                <w:szCs w:val="24"/>
              </w:rPr>
              <w:t>工艺流程和产排污环 节</w:t>
            </w:r>
          </w:p>
        </w:tc>
        <w:tc>
          <w:tcPr>
            <w:tcW w:w="8446" w:type="dxa"/>
            <w:noWrap w:val="0"/>
            <w:vAlign w:val="top"/>
          </w:tcPr>
          <w:p>
            <w:pPr>
              <w:pStyle w:val="4"/>
              <w:rPr>
                <w:color w:val="auto"/>
              </w:rPr>
            </w:pPr>
            <w:bookmarkStart w:id="55" w:name="_Toc11371"/>
            <w:r>
              <w:rPr>
                <w:rFonts w:hint="eastAsia"/>
                <w:color w:val="auto"/>
              </w:rPr>
              <w:t>一、</w:t>
            </w:r>
            <w:r>
              <w:rPr>
                <w:color w:val="auto"/>
              </w:rPr>
              <w:t>施工期</w:t>
            </w:r>
            <w:bookmarkEnd w:id="55"/>
          </w:p>
          <w:p>
            <w:pPr>
              <w:pStyle w:val="104"/>
              <w:ind w:firstLine="480"/>
              <w:rPr>
                <w:rFonts w:hint="eastAsia"/>
                <w:color w:val="auto"/>
              </w:rPr>
            </w:pPr>
            <w:r>
              <w:rPr>
                <w:rFonts w:hint="eastAsia"/>
                <w:color w:val="auto"/>
              </w:rPr>
              <w:t>本项目系租用已建商业用房用于建设宠物医院，仅对房间进行简单装修和医疗设备安装，施工期污染物产生量少。施工过程中将产生噪声、粉尘、固体废物、废水、废气等污染物，随着工程的完工和投入使用，施工期间产生的各种污染物也将随之消失。根据现场踏查，目前项目施工期已经结束，未发现环境遗留问题。</w:t>
            </w:r>
          </w:p>
          <w:p>
            <w:pPr>
              <w:pStyle w:val="104"/>
              <w:ind w:firstLine="480"/>
              <w:rPr>
                <w:rFonts w:hint="eastAsia"/>
                <w:color w:val="auto"/>
              </w:rPr>
            </w:pPr>
            <w:r>
              <w:rPr>
                <w:rFonts w:hint="eastAsia"/>
                <w:color w:val="auto"/>
              </w:rPr>
              <w:t>1、简单装修</w:t>
            </w:r>
          </w:p>
          <w:p>
            <w:pPr>
              <w:pStyle w:val="104"/>
              <w:ind w:firstLine="480"/>
              <w:rPr>
                <w:rFonts w:hint="eastAsia"/>
                <w:color w:val="auto"/>
              </w:rPr>
            </w:pPr>
            <w:r>
              <w:rPr>
                <w:rFonts w:hint="eastAsia"/>
                <w:color w:val="auto"/>
              </w:rPr>
              <w:t>简单装修主要为室内水、电、墙体墙面粉刷、地面铺砖等，施工工程量较小，施工时间较短。</w:t>
            </w:r>
          </w:p>
          <w:p>
            <w:pPr>
              <w:pStyle w:val="104"/>
              <w:ind w:firstLine="480"/>
              <w:rPr>
                <w:rFonts w:hint="eastAsia"/>
                <w:color w:val="auto"/>
              </w:rPr>
            </w:pPr>
            <w:r>
              <w:rPr>
                <w:rFonts w:hint="eastAsia"/>
                <w:color w:val="auto"/>
              </w:rPr>
              <w:t>该过程产生的污染物主要为扬尘、建筑垃圾、机械噪声以及施工人员产生的生活垃圾和生产废水。</w:t>
            </w:r>
          </w:p>
          <w:p>
            <w:pPr>
              <w:pStyle w:val="104"/>
              <w:ind w:firstLine="480"/>
              <w:rPr>
                <w:rFonts w:hint="eastAsia"/>
                <w:color w:val="auto"/>
              </w:rPr>
            </w:pPr>
            <w:r>
              <w:rPr>
                <w:rFonts w:hint="eastAsia"/>
                <w:color w:val="auto"/>
              </w:rPr>
              <w:t>2、设备安装</w:t>
            </w:r>
          </w:p>
          <w:p>
            <w:pPr>
              <w:pStyle w:val="104"/>
              <w:ind w:firstLine="480"/>
              <w:rPr>
                <w:rFonts w:hint="eastAsia"/>
                <w:color w:val="auto"/>
              </w:rPr>
            </w:pPr>
            <w:r>
              <w:rPr>
                <w:rFonts w:hint="eastAsia"/>
                <w:color w:val="auto"/>
              </w:rPr>
              <w:t>项目设备安装主要为检测机、麻醉机、血液分析仪等设备的安装，工程安装一般由设备生产厂家实施。</w:t>
            </w:r>
          </w:p>
          <w:p>
            <w:pPr>
              <w:pStyle w:val="104"/>
              <w:ind w:firstLine="480"/>
              <w:rPr>
                <w:rFonts w:hint="eastAsia"/>
                <w:color w:val="auto"/>
              </w:rPr>
            </w:pPr>
            <w:r>
              <w:rPr>
                <w:rFonts w:hint="eastAsia"/>
                <w:color w:val="auto"/>
              </w:rPr>
              <w:t>该过程产生的污染物主要为少量扬尘、噪声和设备包装固废以及安装人员的生活污水等。</w:t>
            </w:r>
          </w:p>
          <w:p>
            <w:pPr>
              <w:pStyle w:val="104"/>
              <w:ind w:firstLine="480"/>
              <w:rPr>
                <w:rFonts w:hint="eastAsia"/>
                <w:color w:val="auto"/>
              </w:rPr>
            </w:pPr>
            <w:r>
              <w:rPr>
                <w:rFonts w:hint="eastAsia"/>
                <w:color w:val="auto"/>
              </w:rPr>
              <w:t>本项目施工期基本工艺流程及产污位置如下图：</w:t>
            </w:r>
          </w:p>
          <w:p>
            <w:pPr>
              <w:pStyle w:val="69"/>
              <w:rPr>
                <w:rFonts w:hint="eastAsia"/>
                <w:color w:val="auto"/>
              </w:rPr>
            </w:pPr>
            <w:r>
              <w:rPr>
                <w:rFonts w:hint="eastAsia"/>
                <w:color w:val="auto"/>
              </w:rPr>
              <w:object>
                <v:shape id="_x0000_i1041" o:spt="75" type="#_x0000_t75" style="height:201.15pt;width:375.3pt;" o:ole="t" filled="f" o:preferrelative="t" stroked="f" coordsize="21600,21600">
                  <v:path/>
                  <v:fill on="f" focussize="0,0"/>
                  <v:stroke on="f"/>
                  <v:imagedata r:id="rId92" o:title=""/>
                  <o:lock v:ext="edit" aspectratio="f"/>
                  <w10:wrap type="none"/>
                  <w10:anchorlock/>
                </v:shape>
                <o:OLEObject Type="Embed" ProgID="Visio.Drawing.15" ShapeID="_x0000_i1041" DrawAspect="Content" ObjectID="_1468075742" r:id="rId91">
                  <o:LockedField>false</o:LockedField>
                </o:OLEObject>
              </w:object>
            </w:r>
          </w:p>
          <w:p>
            <w:pPr>
              <w:pStyle w:val="102"/>
              <w:ind w:left="422" w:hanging="422"/>
              <w:rPr>
                <w:rFonts w:hint="eastAsia"/>
                <w:color w:val="auto"/>
              </w:rPr>
            </w:pPr>
            <w:r>
              <w:rPr>
                <w:rFonts w:hint="eastAsia"/>
                <w:color w:val="auto"/>
              </w:rPr>
              <w:t>图2-2 施工期工艺流程及产排污分布图</w:t>
            </w:r>
          </w:p>
          <w:p>
            <w:pPr>
              <w:pStyle w:val="4"/>
              <w:rPr>
                <w:color w:val="auto"/>
              </w:rPr>
            </w:pPr>
            <w:bookmarkStart w:id="56" w:name="_Toc1765"/>
            <w:r>
              <w:rPr>
                <w:rFonts w:hint="eastAsia"/>
                <w:color w:val="auto"/>
              </w:rPr>
              <w:t>二、运营</w:t>
            </w:r>
            <w:r>
              <w:rPr>
                <w:color w:val="auto"/>
              </w:rPr>
              <w:t>期</w:t>
            </w:r>
            <w:bookmarkEnd w:id="56"/>
          </w:p>
          <w:p>
            <w:pPr>
              <w:ind w:firstLine="480"/>
              <w:rPr>
                <w:rFonts w:hint="eastAsia"/>
                <w:color w:val="auto"/>
              </w:rPr>
            </w:pPr>
            <w:r>
              <w:rPr>
                <w:rFonts w:hint="eastAsia"/>
                <w:color w:val="auto"/>
              </w:rPr>
              <w:t>本项目为宠物医院项目，年运营日为300天/年，员工共3人，项目不提住宿、不设食堂。项目运营后，其主要为宠物医疗服务。其工作流程及主要排污节点详如图2-3所示。</w:t>
            </w:r>
          </w:p>
          <w:p>
            <w:pPr>
              <w:pStyle w:val="14"/>
              <w:ind w:firstLine="360"/>
              <w:rPr>
                <w:rFonts w:hint="eastAsia"/>
                <w:color w:val="auto"/>
              </w:rPr>
            </w:pPr>
            <w:r>
              <w:rPr>
                <w:color w:val="auto"/>
              </w:rPr>
              <w:drawing>
                <wp:inline distT="0" distB="0" distL="114300" distR="114300">
                  <wp:extent cx="4357370" cy="1983105"/>
                  <wp:effectExtent l="0" t="0" r="5080" b="17145"/>
                  <wp:docPr id="22" name="图片 23"/>
                  <wp:cNvGraphicFramePr/>
                  <a:graphic xmlns:a="http://schemas.openxmlformats.org/drawingml/2006/main">
                    <a:graphicData uri="http://schemas.openxmlformats.org/drawingml/2006/picture">
                      <pic:pic xmlns:pic="http://schemas.openxmlformats.org/drawingml/2006/picture">
                        <pic:nvPicPr>
                          <pic:cNvPr id="22" name="图片 23"/>
                          <pic:cNvPicPr/>
                        </pic:nvPicPr>
                        <pic:blipFill>
                          <a:blip r:embed="rId93"/>
                          <a:stretch>
                            <a:fillRect/>
                          </a:stretch>
                        </pic:blipFill>
                        <pic:spPr>
                          <a:xfrm>
                            <a:off x="0" y="0"/>
                            <a:ext cx="4357370" cy="1983105"/>
                          </a:xfrm>
                          <a:prstGeom prst="rect">
                            <a:avLst/>
                          </a:prstGeom>
                          <a:noFill/>
                          <a:ln>
                            <a:noFill/>
                          </a:ln>
                        </pic:spPr>
                      </pic:pic>
                    </a:graphicData>
                  </a:graphic>
                </wp:inline>
              </w:drawing>
            </w:r>
          </w:p>
          <w:p>
            <w:pPr>
              <w:pStyle w:val="117"/>
              <w:rPr>
                <w:rFonts w:hint="eastAsia"/>
                <w:color w:val="auto"/>
              </w:rPr>
            </w:pPr>
            <w:r>
              <w:rPr>
                <w:rFonts w:hint="eastAsia"/>
                <w:color w:val="auto"/>
              </w:rPr>
              <w:t>图2-3  运营期基本工艺流程及产污环节图</w:t>
            </w:r>
          </w:p>
          <w:p>
            <w:pPr>
              <w:ind w:firstLine="480"/>
              <w:rPr>
                <w:rFonts w:hint="eastAsia"/>
                <w:color w:val="auto"/>
              </w:rPr>
            </w:pPr>
            <w:r>
              <w:rPr>
                <w:rFonts w:hint="eastAsia"/>
                <w:color w:val="auto"/>
              </w:rPr>
              <w:t>各科室进行诊断流程简述：</w:t>
            </w:r>
          </w:p>
          <w:p>
            <w:pPr>
              <w:ind w:firstLine="480"/>
              <w:rPr>
                <w:rFonts w:hint="eastAsia"/>
                <w:color w:val="auto"/>
              </w:rPr>
            </w:pPr>
            <w:r>
              <w:rPr>
                <w:rFonts w:hint="eastAsia"/>
                <w:color w:val="auto"/>
              </w:rPr>
              <w:t>诊疗室：主要对宠物进行常见疾病的治疗，产生的污染物主要为棉球、药品等医疗废物和医疗废水，为宠物进行换药，产生的污染物主要为棉球、纱布等医疗废弃物。</w:t>
            </w:r>
          </w:p>
          <w:p>
            <w:pPr>
              <w:ind w:firstLine="480"/>
              <w:rPr>
                <w:rFonts w:hint="eastAsia"/>
                <w:color w:val="auto"/>
              </w:rPr>
            </w:pPr>
            <w:r>
              <w:rPr>
                <w:rFonts w:hint="eastAsia"/>
                <w:color w:val="auto"/>
              </w:rPr>
              <w:t>化验室：主要为宠物进行血常规检查，且采用成品试剂，产生的污染物主要为带有宠物血液的棉球、试管等医疗废物。</w:t>
            </w:r>
          </w:p>
          <w:p>
            <w:pPr>
              <w:ind w:firstLine="480"/>
              <w:rPr>
                <w:rFonts w:hint="eastAsia"/>
                <w:color w:val="auto"/>
              </w:rPr>
            </w:pPr>
            <w:r>
              <w:rPr>
                <w:rFonts w:hint="eastAsia"/>
                <w:color w:val="auto"/>
              </w:rPr>
              <w:t>手术室：主要开展宠物常规骨科手术和绝育手术等，产生的污染物主要为宠物病理组织、棉球、纱布等医疗废物和手术过程产生的医疗废水。</w:t>
            </w:r>
          </w:p>
          <w:p>
            <w:pPr>
              <w:ind w:firstLine="480"/>
              <w:rPr>
                <w:color w:val="auto"/>
              </w:rPr>
            </w:pPr>
            <w:r>
              <w:rPr>
                <w:rFonts w:hint="eastAsia"/>
                <w:color w:val="auto"/>
              </w:rPr>
              <w:t>DR室：所使用宠物数字X光机为辐射设备，根据《医用诊断X线卫生防护标准》、《中华人民共和国放射性污染防治法》，本项目所设的X射线影像系统应按相关环保要求另行申报，办理相关手续，不在本次评价范围内。</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404" w:hRule="atLeast"/>
          <w:jc w:val="center"/>
        </w:trPr>
        <w:tc>
          <w:tcPr>
            <w:tcW w:w="538" w:type="dxa"/>
            <w:noWrap w:val="0"/>
            <w:vAlign w:val="center"/>
          </w:tcPr>
          <w:p>
            <w:pPr>
              <w:pStyle w:val="33"/>
              <w:adjustRightInd w:val="0"/>
              <w:snapToGrid w:val="0"/>
              <w:spacing w:before="0" w:beforeAutospacing="0" w:after="0" w:afterAutospacing="0"/>
              <w:ind w:firstLine="0" w:firstLineChars="0"/>
              <w:jc w:val="both"/>
              <w:rPr>
                <w:rFonts w:cs="宋体"/>
                <w:color w:val="auto"/>
                <w:szCs w:val="24"/>
              </w:rPr>
            </w:pPr>
            <w:r>
              <w:rPr>
                <w:rFonts w:hint="eastAsia" w:cs="宋体"/>
                <w:bCs/>
                <w:color w:val="auto"/>
                <w:kern w:val="2"/>
                <w:szCs w:val="24"/>
              </w:rPr>
              <w:t>与项目有关的原有环境污染问题</w:t>
            </w:r>
          </w:p>
        </w:tc>
        <w:tc>
          <w:tcPr>
            <w:tcW w:w="8446" w:type="dxa"/>
            <w:noWrap w:val="0"/>
            <w:vAlign w:val="top"/>
          </w:tcPr>
          <w:p>
            <w:pPr>
              <w:pStyle w:val="101"/>
              <w:ind w:firstLine="480"/>
              <w:rPr>
                <w:rFonts w:hint="eastAsia"/>
                <w:color w:val="auto"/>
              </w:rPr>
            </w:pPr>
            <w:r>
              <w:rPr>
                <w:rFonts w:hint="eastAsia"/>
                <w:color w:val="auto"/>
              </w:rPr>
              <w:t>本项目为新建项目，系租用乐山市市中区春华路中段656号闲置的商铺来进行建设，构筑物的主体框架已形成，经走访调查，该商铺原作为商业性用途使用，不涉及环境污染问题，项目地址无环境遗留问题。</w:t>
            </w:r>
          </w:p>
          <w:p>
            <w:pPr>
              <w:pStyle w:val="4"/>
              <w:numPr>
                <w:ilvl w:val="0"/>
                <w:numId w:val="14"/>
              </w:numPr>
              <w:rPr>
                <w:rFonts w:hint="eastAsia"/>
                <w:color w:val="auto"/>
              </w:rPr>
            </w:pPr>
            <w:r>
              <w:rPr>
                <w:rFonts w:hint="eastAsia"/>
                <w:color w:val="auto"/>
              </w:rPr>
              <w:t>本次环评之前项目现状污染物排放及治理情况</w:t>
            </w:r>
          </w:p>
          <w:p>
            <w:pPr>
              <w:pStyle w:val="104"/>
              <w:numPr>
                <w:ilvl w:val="0"/>
                <w:numId w:val="15"/>
              </w:numPr>
              <w:ind w:firstLine="480" w:firstLineChars="0"/>
              <w:rPr>
                <w:rFonts w:hint="eastAsia"/>
                <w:color w:val="auto"/>
              </w:rPr>
            </w:pPr>
            <w:r>
              <w:rPr>
                <w:rFonts w:hint="eastAsia"/>
                <w:color w:val="auto"/>
              </w:rPr>
              <w:t>现状废水排放情况</w:t>
            </w:r>
          </w:p>
          <w:p>
            <w:pPr>
              <w:pStyle w:val="104"/>
              <w:ind w:firstLine="480"/>
              <w:rPr>
                <w:rFonts w:hint="eastAsia"/>
                <w:color w:val="auto"/>
              </w:rPr>
            </w:pPr>
            <w:r>
              <w:rPr>
                <w:rFonts w:hint="eastAsia"/>
                <w:color w:val="auto"/>
              </w:rPr>
              <w:t>项目现状产生的废水主要为生活污水（0.28m</w:t>
            </w:r>
            <w:r>
              <w:rPr>
                <w:rFonts w:hint="eastAsia"/>
                <w:color w:val="auto"/>
                <w:vertAlign w:val="superscript"/>
              </w:rPr>
              <w:t>3</w:t>
            </w:r>
            <w:r>
              <w:rPr>
                <w:rFonts w:hint="eastAsia"/>
                <w:color w:val="auto"/>
              </w:rPr>
              <w:t>/d）和医疗废水（0.96m</w:t>
            </w:r>
            <w:r>
              <w:rPr>
                <w:rFonts w:hint="eastAsia"/>
                <w:color w:val="auto"/>
                <w:vertAlign w:val="superscript"/>
              </w:rPr>
              <w:t>3</w:t>
            </w:r>
            <w:r>
              <w:rPr>
                <w:rFonts w:hint="eastAsia"/>
                <w:color w:val="auto"/>
              </w:rPr>
              <w:t>/d），其中医疗废水包括了动物门诊废水、住院废水和院内地面清洁废水，项目废水总的排放量为1.24m</w:t>
            </w:r>
            <w:r>
              <w:rPr>
                <w:rFonts w:hint="eastAsia"/>
                <w:color w:val="auto"/>
                <w:vertAlign w:val="superscript"/>
              </w:rPr>
              <w:t>3</w:t>
            </w:r>
            <w:r>
              <w:rPr>
                <w:rFonts w:hint="eastAsia"/>
                <w:color w:val="auto"/>
              </w:rPr>
              <w:t>/d（372m</w:t>
            </w:r>
            <w:r>
              <w:rPr>
                <w:rFonts w:hint="eastAsia"/>
                <w:color w:val="auto"/>
                <w:vertAlign w:val="superscript"/>
              </w:rPr>
              <w:t>3</w:t>
            </w:r>
            <w:r>
              <w:rPr>
                <w:rFonts w:hint="eastAsia"/>
                <w:color w:val="auto"/>
              </w:rPr>
              <w:t>/a）。</w:t>
            </w:r>
          </w:p>
          <w:p>
            <w:pPr>
              <w:ind w:firstLine="480"/>
              <w:rPr>
                <w:rFonts w:hint="eastAsia"/>
                <w:color w:val="auto"/>
              </w:rPr>
            </w:pPr>
            <w:r>
              <w:rPr>
                <w:rFonts w:hint="eastAsia"/>
                <w:color w:val="auto"/>
              </w:rPr>
              <w:t>项目医疗废水通过一体化污水处理设备收集后采用“过滤沉淀+消毒”处理，消毒采用的二氧化氯泡腾片，处理后排入春天花园小区预处理池，经市政管网流入乐山第一污水处理厂。</w:t>
            </w:r>
            <w:r>
              <w:rPr>
                <w:color w:val="auto"/>
              </w:rPr>
              <w:t>处理达到《四川省岷江、沱江流域水污染物排放标准》（DB51/2311-2016）</w:t>
            </w:r>
            <w:r>
              <w:rPr>
                <w:rFonts w:hint="eastAsia"/>
                <w:color w:val="auto"/>
              </w:rPr>
              <w:t>的</w:t>
            </w:r>
            <w:r>
              <w:rPr>
                <w:color w:val="auto"/>
              </w:rPr>
              <w:t>要求后排入</w:t>
            </w:r>
            <w:r>
              <w:rPr>
                <w:rFonts w:hint="eastAsia"/>
                <w:color w:val="auto"/>
              </w:rPr>
              <w:t>岷江。</w:t>
            </w:r>
          </w:p>
          <w:p>
            <w:pPr>
              <w:ind w:firstLine="480"/>
              <w:rPr>
                <w:rFonts w:hint="eastAsia"/>
                <w:color w:val="auto"/>
              </w:rPr>
            </w:pPr>
            <w:r>
              <w:rPr>
                <w:rFonts w:hint="eastAsia"/>
                <w:color w:val="auto"/>
              </w:rPr>
              <w:t>（2）现状废气排放情况</w:t>
            </w:r>
          </w:p>
          <w:p>
            <w:pPr>
              <w:ind w:firstLine="480"/>
              <w:rPr>
                <w:color w:val="auto"/>
              </w:rPr>
            </w:pPr>
            <w:r>
              <w:rPr>
                <w:color w:val="auto"/>
              </w:rPr>
              <w:t>项目运营期产生的废气主要来源于就诊区域宠物散发的异味、</w:t>
            </w:r>
            <w:r>
              <w:rPr>
                <w:rFonts w:hint="eastAsia"/>
                <w:color w:val="auto"/>
              </w:rPr>
              <w:t>医废暂存间废气、</w:t>
            </w:r>
            <w:r>
              <w:rPr>
                <w:color w:val="auto"/>
              </w:rPr>
              <w:t>院内带菌空气，均为无组织形式排放。</w:t>
            </w:r>
            <w:r>
              <w:rPr>
                <w:rFonts w:hint="eastAsia"/>
                <w:color w:val="auto"/>
              </w:rPr>
              <w:t>其中</w:t>
            </w:r>
            <w:r>
              <w:rPr>
                <w:color w:val="auto"/>
              </w:rPr>
              <w:t>就诊区域宠物散发的异味</w:t>
            </w:r>
            <w:r>
              <w:rPr>
                <w:rFonts w:hint="eastAsia"/>
                <w:color w:val="auto"/>
              </w:rPr>
              <w:t>通过</w:t>
            </w:r>
            <w:r>
              <w:rPr>
                <w:color w:val="auto"/>
              </w:rPr>
              <w:t>定时清洁、消毒，</w:t>
            </w:r>
            <w:r>
              <w:rPr>
                <w:rFonts w:hint="eastAsia"/>
                <w:color w:val="auto"/>
              </w:rPr>
              <w:t>通过紫外线灯照射+环境空气消毒净化空气，日常开窗通风等措施对废气进行处理。</w:t>
            </w:r>
            <w:r>
              <w:rPr>
                <w:color w:val="auto"/>
              </w:rPr>
              <w:t>可以消除难闻、有害的气体，预防由细菌和寄生虫引起的疾病。</w:t>
            </w:r>
          </w:p>
          <w:p>
            <w:pPr>
              <w:ind w:firstLine="480"/>
              <w:rPr>
                <w:rFonts w:hint="eastAsia"/>
                <w:color w:val="auto"/>
              </w:rPr>
            </w:pPr>
            <w:r>
              <w:rPr>
                <w:rFonts w:hint="eastAsia"/>
                <w:color w:val="auto"/>
              </w:rPr>
              <w:t>（3）现状噪声排放情况</w:t>
            </w:r>
          </w:p>
          <w:p>
            <w:pPr>
              <w:ind w:firstLine="480"/>
              <w:rPr>
                <w:rFonts w:hint="eastAsia"/>
                <w:color w:val="auto"/>
              </w:rPr>
            </w:pPr>
            <w:r>
              <w:rPr>
                <w:rFonts w:hint="eastAsia"/>
                <w:color w:val="auto"/>
              </w:rPr>
              <w:t>本项目运营过程中产生的噪声主要为空调外机噪声和宠物叫声，项目噪声源强约60~75dB（A），通过对厂界噪声监测结果表明，</w:t>
            </w:r>
            <w:r>
              <w:rPr>
                <w:color w:val="auto"/>
              </w:rPr>
              <w:t>本项目</w:t>
            </w:r>
            <w:r>
              <w:rPr>
                <w:rFonts w:hint="eastAsia"/>
                <w:color w:val="auto"/>
              </w:rPr>
              <w:t>厂界及周边敏感点处声环境质量满足《声环境质量标准》（GB3096-2008）中2类标准限值要求，区域声环境质量现状良好。</w:t>
            </w:r>
          </w:p>
          <w:p>
            <w:pPr>
              <w:ind w:firstLine="480"/>
              <w:rPr>
                <w:rFonts w:hint="eastAsia"/>
                <w:color w:val="auto"/>
              </w:rPr>
            </w:pPr>
            <w:r>
              <w:rPr>
                <w:rFonts w:hint="eastAsia"/>
                <w:color w:val="auto"/>
              </w:rPr>
              <w:t>（4）现状固废排放情况分析</w:t>
            </w:r>
          </w:p>
          <w:p>
            <w:pPr>
              <w:ind w:firstLine="480"/>
              <w:rPr>
                <w:color w:val="auto"/>
              </w:rPr>
            </w:pPr>
            <w:r>
              <w:rPr>
                <w:color w:val="auto"/>
              </w:rPr>
              <w:t>项目</w:t>
            </w:r>
            <w:r>
              <w:rPr>
                <w:rFonts w:hint="eastAsia"/>
                <w:color w:val="auto"/>
              </w:rPr>
              <w:t>现状</w:t>
            </w:r>
            <w:r>
              <w:rPr>
                <w:color w:val="auto"/>
              </w:rPr>
              <w:t>所产生的固废主要为生活垃圾、宠物粪便、宠物尸体、宠物毛发、医疗垃圾</w:t>
            </w:r>
            <w:r>
              <w:rPr>
                <w:rFonts w:hint="eastAsia"/>
                <w:color w:val="auto"/>
              </w:rPr>
              <w:t>。其中生活垃圾统一收集后放置于社区生活垃圾暂存点待环卫部门转运处置；宠物粪便进行消毒灭活后交由环卫部门收运处置；宠物毛发：经喷洒消毒剂处理后可作为一般固废与生活垃圾一起交由环卫部门处理；宠物尸体及医疗垃圾交由成都市科农动物无害化处置有限公司。</w:t>
            </w:r>
          </w:p>
          <w:p>
            <w:pPr>
              <w:pStyle w:val="4"/>
              <w:rPr>
                <w:rFonts w:hint="eastAsia"/>
                <w:color w:val="auto"/>
              </w:rPr>
            </w:pPr>
            <w:r>
              <w:rPr>
                <w:rFonts w:hint="eastAsia"/>
                <w:color w:val="auto"/>
              </w:rPr>
              <w:t>2、本次环评之前存在的主要环境问题及整改要求</w:t>
            </w:r>
          </w:p>
          <w:p>
            <w:pPr>
              <w:pStyle w:val="104"/>
              <w:ind w:firstLine="480"/>
              <w:rPr>
                <w:rFonts w:hint="eastAsia"/>
                <w:color w:val="auto"/>
              </w:rPr>
            </w:pPr>
            <w:r>
              <w:rPr>
                <w:rFonts w:hint="eastAsia"/>
                <w:color w:val="auto"/>
              </w:rPr>
              <w:t>项目涉及未批先建，本项目已建成投产，本次环评为补评手续，环评工作开展之前，针对项目已建成的现场情况进行了详细调查。根据现场调查情况，本次评价将针对项目存在的问题进行汇总，并提出针对性的整改措施。根据现场调查，本项目存在的主要环境问题及整改要求。</w:t>
            </w:r>
          </w:p>
          <w:p>
            <w:pPr>
              <w:pStyle w:val="117"/>
              <w:rPr>
                <w:rFonts w:hint="eastAsia"/>
                <w:color w:val="auto"/>
              </w:rPr>
            </w:pPr>
            <w:r>
              <w:rPr>
                <w:rFonts w:hint="eastAsia"/>
                <w:color w:val="auto"/>
              </w:rPr>
              <w:t>表2-6  本项目整改问题一览表</w:t>
            </w:r>
          </w:p>
          <w:tbl>
            <w:tblPr>
              <w:tblStyle w:val="3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8"/>
              <w:gridCol w:w="2610"/>
              <w:gridCol w:w="47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08" w:type="dxa"/>
                  <w:noWrap w:val="0"/>
                  <w:vAlign w:val="center"/>
                </w:tcPr>
                <w:p>
                  <w:pPr>
                    <w:pStyle w:val="170"/>
                    <w:rPr>
                      <w:rFonts w:hint="eastAsia"/>
                      <w:b/>
                      <w:bCs/>
                      <w:color w:val="auto"/>
                    </w:rPr>
                  </w:pPr>
                  <w:r>
                    <w:rPr>
                      <w:rFonts w:hint="eastAsia"/>
                      <w:b/>
                      <w:bCs/>
                      <w:color w:val="auto"/>
                    </w:rPr>
                    <w:t>序号</w:t>
                  </w:r>
                </w:p>
              </w:tc>
              <w:tc>
                <w:tcPr>
                  <w:tcW w:w="2610" w:type="dxa"/>
                  <w:noWrap w:val="0"/>
                  <w:vAlign w:val="center"/>
                </w:tcPr>
                <w:p>
                  <w:pPr>
                    <w:pStyle w:val="170"/>
                    <w:rPr>
                      <w:rFonts w:hint="eastAsia"/>
                      <w:b/>
                      <w:bCs/>
                      <w:color w:val="auto"/>
                    </w:rPr>
                  </w:pPr>
                  <w:r>
                    <w:rPr>
                      <w:rFonts w:hint="eastAsia"/>
                      <w:b/>
                      <w:bCs/>
                      <w:color w:val="auto"/>
                    </w:rPr>
                    <w:t>现存问题</w:t>
                  </w:r>
                </w:p>
              </w:tc>
              <w:tc>
                <w:tcPr>
                  <w:tcW w:w="4798" w:type="dxa"/>
                  <w:noWrap w:val="0"/>
                  <w:vAlign w:val="center"/>
                </w:tcPr>
                <w:p>
                  <w:pPr>
                    <w:pStyle w:val="170"/>
                    <w:rPr>
                      <w:rFonts w:hint="eastAsia"/>
                      <w:b/>
                      <w:bCs/>
                      <w:color w:val="auto"/>
                    </w:rPr>
                  </w:pPr>
                  <w:r>
                    <w:rPr>
                      <w:rFonts w:hint="eastAsia"/>
                      <w:b/>
                      <w:bCs/>
                      <w:color w:val="auto"/>
                    </w:rPr>
                    <w:t>整改措施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8" w:type="dxa"/>
                  <w:noWrap w:val="0"/>
                  <w:vAlign w:val="center"/>
                </w:tcPr>
                <w:p>
                  <w:pPr>
                    <w:pStyle w:val="170"/>
                    <w:rPr>
                      <w:rFonts w:hint="eastAsia"/>
                      <w:color w:val="auto"/>
                    </w:rPr>
                  </w:pPr>
                  <w:r>
                    <w:rPr>
                      <w:rFonts w:hint="eastAsia"/>
                      <w:color w:val="auto"/>
                    </w:rPr>
                    <w:t>1</w:t>
                  </w:r>
                </w:p>
              </w:tc>
              <w:tc>
                <w:tcPr>
                  <w:tcW w:w="2610" w:type="dxa"/>
                  <w:noWrap w:val="0"/>
                  <w:vAlign w:val="center"/>
                </w:tcPr>
                <w:p>
                  <w:pPr>
                    <w:pStyle w:val="170"/>
                    <w:rPr>
                      <w:rFonts w:hint="eastAsia"/>
                      <w:color w:val="auto"/>
                    </w:rPr>
                  </w:pPr>
                  <w:r>
                    <w:rPr>
                      <w:rFonts w:hint="eastAsia"/>
                      <w:color w:val="auto"/>
                    </w:rPr>
                    <w:t>医院内无规范的医疗废物暂存间</w:t>
                  </w:r>
                </w:p>
              </w:tc>
              <w:tc>
                <w:tcPr>
                  <w:tcW w:w="4798" w:type="dxa"/>
                  <w:noWrap w:val="0"/>
                  <w:vAlign w:val="center"/>
                </w:tcPr>
                <w:p>
                  <w:pPr>
                    <w:pStyle w:val="170"/>
                    <w:rPr>
                      <w:rFonts w:hint="eastAsia"/>
                      <w:color w:val="auto"/>
                    </w:rPr>
                  </w:pPr>
                  <w:r>
                    <w:rPr>
                      <w:rFonts w:hint="eastAsia"/>
                      <w:color w:val="auto"/>
                    </w:rPr>
                    <w:t>按照《危险废物贮存污染控制标准》（GB18597-2001）要求进行设置医疗废物暂存间，张贴标示标牌，采取重点防渗措施：在原有地面硬化的基础上，铺设 2mm 厚环氧树脂地坪漆+不锈钢金属托盘进行防渗，满足等效黏土层 Mb≥6.0m，渗透系数 K≤1.0×10</w:t>
                  </w:r>
                  <w:r>
                    <w:rPr>
                      <w:rFonts w:hint="eastAsia"/>
                      <w:color w:val="auto"/>
                      <w:vertAlign w:val="superscript"/>
                    </w:rPr>
                    <w:t>-10</w:t>
                  </w:r>
                  <w:r>
                    <w:rPr>
                      <w:rFonts w:hint="eastAsia"/>
                      <w:color w:val="auto"/>
                    </w:rPr>
                    <w:t>cm/s 的要求。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8" w:type="dxa"/>
                  <w:noWrap w:val="0"/>
                  <w:vAlign w:val="center"/>
                </w:tcPr>
                <w:p>
                  <w:pPr>
                    <w:pStyle w:val="170"/>
                    <w:rPr>
                      <w:color w:val="auto"/>
                    </w:rPr>
                  </w:pPr>
                  <w:r>
                    <w:rPr>
                      <w:rFonts w:hint="eastAsia"/>
                      <w:color w:val="auto"/>
                    </w:rPr>
                    <w:t>2</w:t>
                  </w:r>
                </w:p>
              </w:tc>
              <w:tc>
                <w:tcPr>
                  <w:tcW w:w="2610" w:type="dxa"/>
                  <w:noWrap w:val="0"/>
                  <w:vAlign w:val="center"/>
                </w:tcPr>
                <w:p>
                  <w:pPr>
                    <w:pStyle w:val="170"/>
                    <w:rPr>
                      <w:rFonts w:hint="eastAsia"/>
                      <w:color w:val="auto"/>
                    </w:rPr>
                  </w:pPr>
                  <w:r>
                    <w:rPr>
                      <w:rFonts w:hint="eastAsia"/>
                      <w:color w:val="auto"/>
                    </w:rPr>
                    <w:t>医疗废物的转运台账</w:t>
                  </w:r>
                </w:p>
              </w:tc>
              <w:tc>
                <w:tcPr>
                  <w:tcW w:w="4798" w:type="dxa"/>
                  <w:noWrap w:val="0"/>
                  <w:vAlign w:val="center"/>
                </w:tcPr>
                <w:p>
                  <w:pPr>
                    <w:pStyle w:val="170"/>
                    <w:rPr>
                      <w:rFonts w:hint="eastAsia"/>
                      <w:color w:val="auto"/>
                    </w:rPr>
                  </w:pPr>
                  <w:r>
                    <w:rPr>
                      <w:rFonts w:hint="eastAsia"/>
                      <w:color w:val="auto"/>
                    </w:rPr>
                    <w:t>对每一批次转运处置的医疗废物做好台账记录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8" w:type="dxa"/>
                  <w:noWrap w:val="0"/>
                  <w:vAlign w:val="center"/>
                </w:tcPr>
                <w:p>
                  <w:pPr>
                    <w:pStyle w:val="170"/>
                    <w:rPr>
                      <w:color w:val="auto"/>
                    </w:rPr>
                  </w:pPr>
                  <w:r>
                    <w:rPr>
                      <w:rFonts w:hint="eastAsia"/>
                      <w:color w:val="auto"/>
                    </w:rPr>
                    <w:t>3</w:t>
                  </w:r>
                </w:p>
              </w:tc>
              <w:tc>
                <w:tcPr>
                  <w:tcW w:w="2610" w:type="dxa"/>
                  <w:noWrap w:val="0"/>
                  <w:vAlign w:val="center"/>
                </w:tcPr>
                <w:p>
                  <w:pPr>
                    <w:pStyle w:val="170"/>
                    <w:rPr>
                      <w:rFonts w:hint="eastAsia"/>
                      <w:color w:val="auto"/>
                    </w:rPr>
                  </w:pPr>
                  <w:r>
                    <w:rPr>
                      <w:rFonts w:hint="eastAsia"/>
                      <w:color w:val="auto"/>
                    </w:rPr>
                    <w:t>无废水事故收集设施</w:t>
                  </w:r>
                </w:p>
              </w:tc>
              <w:tc>
                <w:tcPr>
                  <w:tcW w:w="4798" w:type="dxa"/>
                  <w:noWrap w:val="0"/>
                  <w:vAlign w:val="center"/>
                </w:tcPr>
                <w:p>
                  <w:pPr>
                    <w:pStyle w:val="170"/>
                    <w:rPr>
                      <w:rFonts w:hint="eastAsia"/>
                      <w:color w:val="auto"/>
                    </w:rPr>
                  </w:pPr>
                  <w:r>
                    <w:rPr>
                      <w:rFonts w:hint="eastAsia"/>
                      <w:color w:val="auto"/>
                    </w:rPr>
                    <w:t>设置事故废水应急收集池（桶）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8" w:type="dxa"/>
                  <w:noWrap w:val="0"/>
                  <w:vAlign w:val="center"/>
                </w:tcPr>
                <w:p>
                  <w:pPr>
                    <w:pStyle w:val="170"/>
                    <w:rPr>
                      <w:rFonts w:hint="eastAsia"/>
                      <w:color w:val="auto"/>
                    </w:rPr>
                  </w:pPr>
                  <w:r>
                    <w:rPr>
                      <w:rFonts w:hint="eastAsia"/>
                      <w:color w:val="auto"/>
                    </w:rPr>
                    <w:t>4</w:t>
                  </w:r>
                </w:p>
              </w:tc>
              <w:tc>
                <w:tcPr>
                  <w:tcW w:w="2610" w:type="dxa"/>
                  <w:noWrap w:val="0"/>
                  <w:vAlign w:val="center"/>
                </w:tcPr>
                <w:p>
                  <w:pPr>
                    <w:pStyle w:val="170"/>
                    <w:rPr>
                      <w:rFonts w:hint="eastAsia"/>
                      <w:color w:val="auto"/>
                    </w:rPr>
                  </w:pPr>
                  <w:r>
                    <w:rPr>
                      <w:rFonts w:hint="eastAsia"/>
                      <w:color w:val="auto"/>
                    </w:rPr>
                    <w:t>废紫外线灯管的处置去向不明确</w:t>
                  </w:r>
                </w:p>
              </w:tc>
              <w:tc>
                <w:tcPr>
                  <w:tcW w:w="4798" w:type="dxa"/>
                  <w:noWrap w:val="0"/>
                  <w:vAlign w:val="center"/>
                </w:tcPr>
                <w:p>
                  <w:pPr>
                    <w:pStyle w:val="170"/>
                    <w:rPr>
                      <w:rFonts w:hint="eastAsia"/>
                      <w:color w:val="auto"/>
                    </w:rPr>
                  </w:pPr>
                  <w:r>
                    <w:rPr>
                      <w:rFonts w:hint="eastAsia"/>
                      <w:color w:val="auto"/>
                    </w:rPr>
                    <w:t>补充废紫外线灯管的危废处置协议</w:t>
                  </w:r>
                </w:p>
              </w:tc>
            </w:tr>
          </w:tbl>
          <w:p>
            <w:pPr>
              <w:adjustRightInd w:val="0"/>
              <w:snapToGrid w:val="0"/>
              <w:ind w:firstLine="0" w:firstLineChars="0"/>
              <w:rPr>
                <w:rFonts w:hint="eastAsia" w:ascii="宋体" w:hAnsi="宋体"/>
                <w:bCs/>
                <w:color w:val="auto"/>
              </w:rPr>
            </w:pPr>
          </w:p>
        </w:tc>
      </w:tr>
    </w:tbl>
    <w:p>
      <w:pPr>
        <w:pStyle w:val="33"/>
        <w:jc w:val="center"/>
        <w:rPr>
          <w:rFonts w:ascii="黑体" w:hAnsi="黑体" w:eastAsia="黑体"/>
          <w:snapToGrid w:val="0"/>
          <w:color w:val="auto"/>
          <w:sz w:val="36"/>
          <w:szCs w:val="36"/>
        </w:rPr>
        <w:sectPr>
          <w:headerReference r:id="rId29" w:type="default"/>
          <w:pgSz w:w="11906" w:h="16838"/>
          <w:pgMar w:top="1701" w:right="1531" w:bottom="1701" w:left="1531" w:header="851" w:footer="851" w:gutter="0"/>
          <w:pgNumType w:fmt="decimal"/>
          <w:cols w:space="720" w:num="1"/>
          <w:docGrid w:linePitch="312" w:charSpace="0"/>
        </w:sectPr>
      </w:pPr>
    </w:p>
    <w:p>
      <w:pPr>
        <w:pStyle w:val="33"/>
        <w:adjustRightInd w:val="0"/>
        <w:snapToGrid w:val="0"/>
        <w:spacing w:before="0" w:beforeAutospacing="0" w:after="0" w:afterAutospacing="0" w:line="14" w:lineRule="auto"/>
        <w:ind w:firstLine="600"/>
        <w:jc w:val="center"/>
        <w:rPr>
          <w:rFonts w:hint="eastAsia" w:ascii="黑体" w:hAnsi="黑体" w:eastAsia="黑体"/>
          <w:snapToGrid w:val="0"/>
          <w:color w:val="auto"/>
          <w:sz w:val="30"/>
          <w:szCs w:val="30"/>
        </w:rPr>
      </w:pPr>
    </w:p>
    <w:p>
      <w:pPr>
        <w:pStyle w:val="3"/>
        <w:rPr>
          <w:color w:val="auto"/>
        </w:rPr>
      </w:pPr>
      <w:bookmarkStart w:id="57" w:name="_Toc8477"/>
      <w:bookmarkStart w:id="58" w:name="_Toc14705"/>
      <w:bookmarkStart w:id="59" w:name="_Toc31945"/>
      <w:bookmarkStart w:id="60" w:name="_Toc19415"/>
      <w:r>
        <w:rPr>
          <w:rFonts w:hint="eastAsia"/>
          <w:color w:val="auto"/>
        </w:rPr>
        <w:t>三、区域环境质量现状、环境保护目标及评价标准</w:t>
      </w:r>
      <w:bookmarkEnd w:id="57"/>
      <w:bookmarkEnd w:id="58"/>
      <w:bookmarkEnd w:id="59"/>
      <w:bookmarkEnd w:id="60"/>
    </w:p>
    <w:tbl>
      <w:tblPr>
        <w:tblStyle w:val="3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548"/>
        <w:gridCol w:w="851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251" w:hRule="atLeast"/>
          <w:jc w:val="center"/>
        </w:trPr>
        <w:tc>
          <w:tcPr>
            <w:tcW w:w="548" w:type="dxa"/>
            <w:noWrap w:val="0"/>
            <w:vAlign w:val="center"/>
          </w:tcPr>
          <w:p>
            <w:pPr>
              <w:ind w:firstLine="0" w:firstLineChars="0"/>
              <w:rPr>
                <w:rFonts w:hint="eastAsia"/>
                <w:color w:val="auto"/>
              </w:rPr>
            </w:pPr>
            <w:r>
              <w:rPr>
                <w:rFonts w:hint="eastAsia"/>
                <w:color w:val="auto"/>
              </w:rPr>
              <w:t>区域</w:t>
            </w:r>
          </w:p>
          <w:p>
            <w:pPr>
              <w:adjustRightInd w:val="0"/>
              <w:snapToGrid w:val="0"/>
              <w:ind w:firstLine="0" w:firstLineChars="0"/>
              <w:jc w:val="center"/>
              <w:rPr>
                <w:rFonts w:hint="eastAsia" w:ascii="宋体" w:hAnsi="宋体" w:cs="宋体"/>
                <w:color w:val="auto"/>
                <w:kern w:val="0"/>
              </w:rPr>
            </w:pPr>
            <w:r>
              <w:rPr>
                <w:rFonts w:hint="eastAsia" w:ascii="宋体" w:hAnsi="宋体" w:cs="宋体"/>
                <w:color w:val="auto"/>
                <w:kern w:val="0"/>
              </w:rPr>
              <w:t>环境</w:t>
            </w:r>
          </w:p>
          <w:p>
            <w:pPr>
              <w:adjustRightInd w:val="0"/>
              <w:snapToGrid w:val="0"/>
              <w:ind w:firstLine="0" w:firstLineChars="0"/>
              <w:jc w:val="center"/>
              <w:rPr>
                <w:rFonts w:hint="eastAsia" w:ascii="宋体" w:hAnsi="宋体" w:cs="宋体"/>
                <w:color w:val="auto"/>
                <w:kern w:val="0"/>
              </w:rPr>
            </w:pPr>
            <w:r>
              <w:rPr>
                <w:rFonts w:hint="eastAsia" w:ascii="宋体" w:hAnsi="宋体" w:cs="宋体"/>
                <w:color w:val="auto"/>
                <w:kern w:val="0"/>
              </w:rPr>
              <w:t>质量</w:t>
            </w:r>
          </w:p>
          <w:p>
            <w:pPr>
              <w:adjustRightInd w:val="0"/>
              <w:snapToGrid w:val="0"/>
              <w:ind w:firstLine="0" w:firstLineChars="0"/>
              <w:jc w:val="center"/>
              <w:rPr>
                <w:rFonts w:ascii="宋体" w:hAnsi="宋体" w:cs="宋体"/>
                <w:color w:val="auto"/>
                <w:kern w:val="0"/>
              </w:rPr>
            </w:pPr>
            <w:r>
              <w:rPr>
                <w:rFonts w:hint="eastAsia" w:ascii="宋体" w:hAnsi="宋体" w:cs="宋体"/>
                <w:color w:val="auto"/>
                <w:kern w:val="0"/>
              </w:rPr>
              <w:t>现状</w:t>
            </w:r>
          </w:p>
        </w:tc>
        <w:tc>
          <w:tcPr>
            <w:tcW w:w="8513" w:type="dxa"/>
            <w:noWrap w:val="0"/>
            <w:vAlign w:val="center"/>
          </w:tcPr>
          <w:p>
            <w:pPr>
              <w:pStyle w:val="104"/>
              <w:ind w:firstLine="480"/>
              <w:rPr>
                <w:rFonts w:hint="eastAsia"/>
                <w:color w:val="auto"/>
              </w:rPr>
            </w:pPr>
            <w:r>
              <w:rPr>
                <w:color w:val="auto"/>
              </w:rPr>
              <w:t>本项目为</w:t>
            </w:r>
            <w:r>
              <w:rPr>
                <w:rFonts w:hint="eastAsia"/>
                <w:color w:val="auto"/>
              </w:rPr>
              <w:t>新</w:t>
            </w:r>
            <w:r>
              <w:rPr>
                <w:color w:val="auto"/>
              </w:rPr>
              <w:t>建项目，</w:t>
            </w:r>
            <w:r>
              <w:rPr>
                <w:rFonts w:hint="eastAsia"/>
                <w:color w:val="auto"/>
              </w:rPr>
              <w:t>建设地点</w:t>
            </w:r>
            <w:r>
              <w:rPr>
                <w:color w:val="auto"/>
              </w:rPr>
              <w:t>位于</w:t>
            </w:r>
            <w:r>
              <w:rPr>
                <w:rFonts w:hint="eastAsia"/>
                <w:color w:val="auto"/>
              </w:rPr>
              <w:t>四川省乐山市市中区春华路中段656号</w:t>
            </w:r>
            <w:r>
              <w:rPr>
                <w:color w:val="auto"/>
              </w:rPr>
              <w:t>，</w:t>
            </w:r>
            <w:r>
              <w:rPr>
                <w:rFonts w:hint="eastAsia"/>
                <w:color w:val="auto"/>
              </w:rPr>
              <w:t>为了解当地空气环境质量现状，本次评价采用现场监测与资料复用法相结合的方式，对本项目所在区域地块的环境质量现状进行分析。项目特委托四川清蓝检测科技有限责任公司对项目建设所在地进行了环境现状监测。</w:t>
            </w:r>
          </w:p>
          <w:p>
            <w:pPr>
              <w:pStyle w:val="4"/>
              <w:rPr>
                <w:rFonts w:hint="eastAsia"/>
                <w:color w:val="auto"/>
              </w:rPr>
            </w:pPr>
            <w:r>
              <w:rPr>
                <w:rFonts w:hint="eastAsia"/>
                <w:color w:val="auto"/>
              </w:rPr>
              <w:t>一、大气环境质量现状</w:t>
            </w:r>
          </w:p>
          <w:p>
            <w:pPr>
              <w:ind w:firstLine="480"/>
              <w:jc w:val="left"/>
              <w:rPr>
                <w:rFonts w:hint="eastAsia"/>
                <w:color w:val="auto"/>
              </w:rPr>
            </w:pPr>
            <w:r>
              <w:rPr>
                <w:rFonts w:hint="eastAsia"/>
                <w:color w:val="auto"/>
              </w:rPr>
              <w:t>1、根据乐山市生态环境局2020年乐山市环境质量公报，2020年乐山市环境空气中二氧化硫、二氧化氮、可吸入颗粒物和细颗粒物年均浓度分别为11ug/m</w:t>
            </w:r>
            <w:r>
              <w:rPr>
                <w:rFonts w:hint="eastAsia"/>
                <w:color w:val="auto"/>
                <w:vertAlign w:val="superscript"/>
              </w:rPr>
              <w:t>3</w:t>
            </w:r>
            <w:r>
              <w:rPr>
                <w:rFonts w:hint="eastAsia"/>
                <w:color w:val="auto"/>
              </w:rPr>
              <w:t>、23ug/m</w:t>
            </w:r>
            <w:r>
              <w:rPr>
                <w:rFonts w:hint="eastAsia"/>
                <w:color w:val="auto"/>
                <w:vertAlign w:val="superscript"/>
              </w:rPr>
              <w:t>3</w:t>
            </w:r>
            <w:r>
              <w:rPr>
                <w:rFonts w:hint="eastAsia"/>
                <w:color w:val="auto"/>
              </w:rPr>
              <w:t>、55ug/m</w:t>
            </w:r>
            <w:r>
              <w:rPr>
                <w:rFonts w:hint="eastAsia"/>
                <w:color w:val="auto"/>
                <w:vertAlign w:val="superscript"/>
              </w:rPr>
              <w:t>3</w:t>
            </w:r>
            <w:r>
              <w:rPr>
                <w:rFonts w:hint="eastAsia"/>
                <w:color w:val="auto"/>
              </w:rPr>
              <w:t>和34ug/m</w:t>
            </w:r>
            <w:r>
              <w:rPr>
                <w:rFonts w:hint="eastAsia"/>
                <w:color w:val="auto"/>
                <w:vertAlign w:val="superscript"/>
              </w:rPr>
              <w:t>3</w:t>
            </w:r>
            <w:r>
              <w:rPr>
                <w:rFonts w:hint="eastAsia"/>
                <w:color w:val="auto"/>
              </w:rPr>
              <w:t>，均达到国家环境空气质量二级标准；一氧化碳24小时平均第95百分位数浓度均值为1.1mg/m</w:t>
            </w:r>
            <w:r>
              <w:rPr>
                <w:rFonts w:hint="eastAsia"/>
                <w:color w:val="auto"/>
                <w:vertAlign w:val="superscript"/>
              </w:rPr>
              <w:t>3</w:t>
            </w:r>
            <w:r>
              <w:rPr>
                <w:rFonts w:hint="eastAsia"/>
                <w:color w:val="auto"/>
              </w:rPr>
              <w:t>，达到国家环境空气质量二级标准；臭氧日最大8小时滑动平均浓度为126ug/m</w:t>
            </w:r>
            <w:r>
              <w:rPr>
                <w:rFonts w:hint="eastAsia"/>
                <w:color w:val="auto"/>
                <w:vertAlign w:val="superscript"/>
              </w:rPr>
              <w:t>3</w:t>
            </w:r>
            <w:r>
              <w:rPr>
                <w:rFonts w:hint="eastAsia"/>
                <w:color w:val="auto"/>
              </w:rPr>
              <w:t>，达到国家环境空气质量二级标准。</w:t>
            </w:r>
          </w:p>
          <w:p>
            <w:pPr>
              <w:ind w:firstLine="480"/>
              <w:jc w:val="left"/>
              <w:rPr>
                <w:rFonts w:hint="eastAsia"/>
                <w:color w:val="auto"/>
              </w:rPr>
            </w:pPr>
            <w:r>
              <w:rPr>
                <w:rFonts w:hint="eastAsia"/>
                <w:color w:val="auto"/>
              </w:rPr>
              <w:t>环境空气质量报告数据见下表：</w:t>
            </w:r>
          </w:p>
          <w:p>
            <w:pPr>
              <w:pStyle w:val="117"/>
              <w:rPr>
                <w:color w:val="auto"/>
              </w:rPr>
            </w:pPr>
            <w:r>
              <w:rPr>
                <w:rFonts w:hint="eastAsia"/>
                <w:color w:val="auto"/>
              </w:rPr>
              <w:t>表</w:t>
            </w:r>
            <w:r>
              <w:rPr>
                <w:color w:val="auto"/>
              </w:rPr>
              <w:t>3-1</w:t>
            </w:r>
            <w:r>
              <w:rPr>
                <w:rFonts w:hint="eastAsia"/>
                <w:color w:val="auto"/>
              </w:rPr>
              <w:t xml:space="preserve">  2020年环境空气质量现状评价表   单位：ug/m³</w:t>
            </w:r>
          </w:p>
          <w:tbl>
            <w:tblPr>
              <w:tblStyle w:val="38"/>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1"/>
              <w:gridCol w:w="1815"/>
              <w:gridCol w:w="1416"/>
              <w:gridCol w:w="1469"/>
              <w:gridCol w:w="1245"/>
              <w:gridCol w:w="12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2" w:type="pct"/>
                  <w:noWrap w:val="0"/>
                  <w:vAlign w:val="center"/>
                </w:tcPr>
                <w:p>
                  <w:pPr>
                    <w:pStyle w:val="69"/>
                    <w:rPr>
                      <w:rFonts w:hint="eastAsia"/>
                      <w:color w:val="auto"/>
                    </w:rPr>
                  </w:pPr>
                  <w:r>
                    <w:rPr>
                      <w:rFonts w:hint="eastAsia"/>
                      <w:color w:val="auto"/>
                    </w:rPr>
                    <w:t>污染物</w:t>
                  </w:r>
                </w:p>
              </w:tc>
              <w:tc>
                <w:tcPr>
                  <w:tcW w:w="1095" w:type="pct"/>
                  <w:noWrap w:val="0"/>
                  <w:vAlign w:val="center"/>
                </w:tcPr>
                <w:p>
                  <w:pPr>
                    <w:pStyle w:val="69"/>
                    <w:rPr>
                      <w:rFonts w:hint="eastAsia"/>
                      <w:color w:val="auto"/>
                    </w:rPr>
                  </w:pPr>
                  <w:r>
                    <w:rPr>
                      <w:rFonts w:hint="eastAsia"/>
                      <w:color w:val="auto"/>
                    </w:rPr>
                    <w:t>年评价指标</w:t>
                  </w:r>
                </w:p>
              </w:tc>
              <w:tc>
                <w:tcPr>
                  <w:tcW w:w="854" w:type="pct"/>
                  <w:noWrap w:val="0"/>
                  <w:vAlign w:val="center"/>
                </w:tcPr>
                <w:p>
                  <w:pPr>
                    <w:pStyle w:val="69"/>
                    <w:rPr>
                      <w:rFonts w:hint="eastAsia"/>
                      <w:color w:val="auto"/>
                    </w:rPr>
                  </w:pPr>
                  <w:r>
                    <w:rPr>
                      <w:rFonts w:hint="eastAsia"/>
                      <w:color w:val="auto"/>
                    </w:rPr>
                    <w:t>现状浓度（</w:t>
                  </w:r>
                  <w:r>
                    <w:rPr>
                      <w:color w:val="auto"/>
                    </w:rPr>
                    <w:t>ug/</w:t>
                  </w:r>
                  <w:r>
                    <w:rPr>
                      <w:rFonts w:hint="eastAsia"/>
                      <w:color w:val="auto"/>
                    </w:rPr>
                    <w:t>m</w:t>
                  </w:r>
                  <w:r>
                    <w:rPr>
                      <w:rFonts w:hint="eastAsia"/>
                      <w:color w:val="auto"/>
                      <w:vertAlign w:val="superscript"/>
                    </w:rPr>
                    <w:t>3</w:t>
                  </w:r>
                  <w:r>
                    <w:rPr>
                      <w:rFonts w:hint="eastAsia"/>
                      <w:color w:val="auto"/>
                    </w:rPr>
                    <w:t>）</w:t>
                  </w:r>
                </w:p>
              </w:tc>
              <w:tc>
                <w:tcPr>
                  <w:tcW w:w="886" w:type="pct"/>
                  <w:noWrap w:val="0"/>
                  <w:vAlign w:val="center"/>
                </w:tcPr>
                <w:p>
                  <w:pPr>
                    <w:pStyle w:val="69"/>
                    <w:rPr>
                      <w:rFonts w:hint="eastAsia"/>
                      <w:color w:val="auto"/>
                    </w:rPr>
                  </w:pPr>
                  <w:r>
                    <w:rPr>
                      <w:rFonts w:hint="eastAsia"/>
                      <w:color w:val="auto"/>
                    </w:rPr>
                    <w:t>标准值（</w:t>
                  </w:r>
                  <w:r>
                    <w:rPr>
                      <w:color w:val="auto"/>
                    </w:rPr>
                    <w:t>ug/</w:t>
                  </w:r>
                  <w:r>
                    <w:rPr>
                      <w:rFonts w:hint="eastAsia"/>
                      <w:color w:val="auto"/>
                    </w:rPr>
                    <w:t>m</w:t>
                  </w:r>
                  <w:r>
                    <w:rPr>
                      <w:rFonts w:hint="eastAsia"/>
                      <w:color w:val="auto"/>
                      <w:vertAlign w:val="superscript"/>
                    </w:rPr>
                    <w:t>3</w:t>
                  </w:r>
                  <w:r>
                    <w:rPr>
                      <w:rFonts w:hint="eastAsia"/>
                      <w:color w:val="auto"/>
                    </w:rPr>
                    <w:t>）</w:t>
                  </w:r>
                </w:p>
              </w:tc>
              <w:tc>
                <w:tcPr>
                  <w:tcW w:w="751" w:type="pct"/>
                  <w:noWrap w:val="0"/>
                  <w:vAlign w:val="center"/>
                </w:tcPr>
                <w:p>
                  <w:pPr>
                    <w:pStyle w:val="69"/>
                    <w:rPr>
                      <w:color w:val="auto"/>
                    </w:rPr>
                  </w:pPr>
                  <w:r>
                    <w:rPr>
                      <w:rFonts w:hint="eastAsia"/>
                      <w:color w:val="auto"/>
                    </w:rPr>
                    <w:t>占标率</w:t>
                  </w:r>
                  <w:r>
                    <w:rPr>
                      <w:color w:val="auto"/>
                    </w:rPr>
                    <w:t>%</w:t>
                  </w:r>
                </w:p>
              </w:tc>
              <w:tc>
                <w:tcPr>
                  <w:tcW w:w="759" w:type="pct"/>
                  <w:noWrap w:val="0"/>
                  <w:vAlign w:val="center"/>
                </w:tcPr>
                <w:p>
                  <w:pPr>
                    <w:pStyle w:val="69"/>
                    <w:rPr>
                      <w:rFonts w:hint="eastAsia"/>
                      <w:color w:val="auto"/>
                    </w:rPr>
                  </w:pPr>
                  <w:r>
                    <w:rPr>
                      <w:rFonts w:hint="eastAsia"/>
                      <w:color w:val="auto"/>
                    </w:rPr>
                    <w:t>达标情况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2" w:type="pct"/>
                  <w:noWrap w:val="0"/>
                  <w:vAlign w:val="center"/>
                </w:tcPr>
                <w:p>
                  <w:pPr>
                    <w:pStyle w:val="69"/>
                    <w:rPr>
                      <w:color w:val="auto"/>
                    </w:rPr>
                  </w:pPr>
                  <w:r>
                    <w:rPr>
                      <w:color w:val="auto"/>
                    </w:rPr>
                    <w:t>SO</w:t>
                  </w:r>
                  <w:r>
                    <w:rPr>
                      <w:color w:val="auto"/>
                      <w:vertAlign w:val="subscript"/>
                    </w:rPr>
                    <w:t>2</w:t>
                  </w:r>
                </w:p>
              </w:tc>
              <w:tc>
                <w:tcPr>
                  <w:tcW w:w="1095" w:type="pct"/>
                  <w:noWrap w:val="0"/>
                  <w:vAlign w:val="center"/>
                </w:tcPr>
                <w:p>
                  <w:pPr>
                    <w:pStyle w:val="69"/>
                    <w:rPr>
                      <w:rFonts w:hint="eastAsia"/>
                      <w:color w:val="auto"/>
                    </w:rPr>
                  </w:pPr>
                  <w:r>
                    <w:rPr>
                      <w:rFonts w:hint="eastAsia"/>
                      <w:color w:val="auto"/>
                    </w:rPr>
                    <w:t>年平均浓度</w:t>
                  </w:r>
                </w:p>
              </w:tc>
              <w:tc>
                <w:tcPr>
                  <w:tcW w:w="854" w:type="pct"/>
                  <w:noWrap w:val="0"/>
                  <w:vAlign w:val="center"/>
                </w:tcPr>
                <w:p>
                  <w:pPr>
                    <w:pStyle w:val="69"/>
                    <w:rPr>
                      <w:color w:val="auto"/>
                    </w:rPr>
                  </w:pPr>
                  <w:r>
                    <w:rPr>
                      <w:rFonts w:hint="eastAsia"/>
                      <w:color w:val="auto"/>
                    </w:rPr>
                    <w:t>11</w:t>
                  </w:r>
                </w:p>
              </w:tc>
              <w:tc>
                <w:tcPr>
                  <w:tcW w:w="886" w:type="pct"/>
                  <w:noWrap w:val="0"/>
                  <w:vAlign w:val="center"/>
                </w:tcPr>
                <w:p>
                  <w:pPr>
                    <w:pStyle w:val="69"/>
                    <w:rPr>
                      <w:color w:val="auto"/>
                    </w:rPr>
                  </w:pPr>
                  <w:r>
                    <w:rPr>
                      <w:color w:val="auto"/>
                    </w:rPr>
                    <w:t>60</w:t>
                  </w:r>
                </w:p>
              </w:tc>
              <w:tc>
                <w:tcPr>
                  <w:tcW w:w="751" w:type="pct"/>
                  <w:noWrap w:val="0"/>
                  <w:vAlign w:val="center"/>
                </w:tcPr>
                <w:p>
                  <w:pPr>
                    <w:pStyle w:val="69"/>
                    <w:rPr>
                      <w:color w:val="auto"/>
                    </w:rPr>
                  </w:pPr>
                  <w:r>
                    <w:rPr>
                      <w:rFonts w:hint="eastAsia"/>
                      <w:color w:val="auto"/>
                    </w:rPr>
                    <w:t>18.3</w:t>
                  </w:r>
                </w:p>
              </w:tc>
              <w:tc>
                <w:tcPr>
                  <w:tcW w:w="759" w:type="pct"/>
                  <w:noWrap w:val="0"/>
                  <w:vAlign w:val="center"/>
                </w:tcPr>
                <w:p>
                  <w:pPr>
                    <w:pStyle w:val="69"/>
                    <w:rPr>
                      <w:rFonts w:hint="eastAsia"/>
                      <w:color w:val="auto"/>
                    </w:rPr>
                  </w:pPr>
                  <w:r>
                    <w:rPr>
                      <w:rFonts w:hint="eastAsia"/>
                      <w:color w:val="auto"/>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trPr>
              <w:tc>
                <w:tcPr>
                  <w:tcW w:w="652" w:type="pct"/>
                  <w:noWrap w:val="0"/>
                  <w:vAlign w:val="center"/>
                </w:tcPr>
                <w:p>
                  <w:pPr>
                    <w:pStyle w:val="69"/>
                    <w:rPr>
                      <w:color w:val="auto"/>
                    </w:rPr>
                  </w:pPr>
                  <w:r>
                    <w:rPr>
                      <w:color w:val="auto"/>
                    </w:rPr>
                    <w:t>NO</w:t>
                  </w:r>
                  <w:r>
                    <w:rPr>
                      <w:color w:val="auto"/>
                      <w:vertAlign w:val="subscript"/>
                    </w:rPr>
                    <w:t>2</w:t>
                  </w:r>
                </w:p>
              </w:tc>
              <w:tc>
                <w:tcPr>
                  <w:tcW w:w="1095" w:type="pct"/>
                  <w:noWrap w:val="0"/>
                  <w:vAlign w:val="center"/>
                </w:tcPr>
                <w:p>
                  <w:pPr>
                    <w:pStyle w:val="69"/>
                    <w:rPr>
                      <w:rFonts w:hint="eastAsia"/>
                      <w:color w:val="auto"/>
                    </w:rPr>
                  </w:pPr>
                  <w:r>
                    <w:rPr>
                      <w:rFonts w:hint="eastAsia"/>
                      <w:color w:val="auto"/>
                    </w:rPr>
                    <w:t>年平均浓度</w:t>
                  </w:r>
                </w:p>
              </w:tc>
              <w:tc>
                <w:tcPr>
                  <w:tcW w:w="854" w:type="pct"/>
                  <w:noWrap w:val="0"/>
                  <w:vAlign w:val="center"/>
                </w:tcPr>
                <w:p>
                  <w:pPr>
                    <w:pStyle w:val="69"/>
                    <w:rPr>
                      <w:color w:val="auto"/>
                    </w:rPr>
                  </w:pPr>
                  <w:r>
                    <w:rPr>
                      <w:rFonts w:hint="eastAsia"/>
                      <w:color w:val="auto"/>
                    </w:rPr>
                    <w:t>23</w:t>
                  </w:r>
                </w:p>
              </w:tc>
              <w:tc>
                <w:tcPr>
                  <w:tcW w:w="886" w:type="pct"/>
                  <w:noWrap w:val="0"/>
                  <w:vAlign w:val="center"/>
                </w:tcPr>
                <w:p>
                  <w:pPr>
                    <w:pStyle w:val="69"/>
                    <w:rPr>
                      <w:color w:val="auto"/>
                    </w:rPr>
                  </w:pPr>
                  <w:r>
                    <w:rPr>
                      <w:color w:val="auto"/>
                    </w:rPr>
                    <w:t>40</w:t>
                  </w:r>
                </w:p>
              </w:tc>
              <w:tc>
                <w:tcPr>
                  <w:tcW w:w="751" w:type="pct"/>
                  <w:noWrap w:val="0"/>
                  <w:vAlign w:val="center"/>
                </w:tcPr>
                <w:p>
                  <w:pPr>
                    <w:pStyle w:val="69"/>
                    <w:rPr>
                      <w:color w:val="auto"/>
                    </w:rPr>
                  </w:pPr>
                  <w:r>
                    <w:rPr>
                      <w:rFonts w:hint="eastAsia"/>
                      <w:color w:val="auto"/>
                    </w:rPr>
                    <w:t>57.5</w:t>
                  </w:r>
                </w:p>
              </w:tc>
              <w:tc>
                <w:tcPr>
                  <w:tcW w:w="759" w:type="pct"/>
                  <w:noWrap w:val="0"/>
                  <w:vAlign w:val="center"/>
                </w:tcPr>
                <w:p>
                  <w:pPr>
                    <w:pStyle w:val="69"/>
                    <w:rPr>
                      <w:rFonts w:hint="eastAsia"/>
                      <w:color w:val="auto"/>
                    </w:rPr>
                  </w:pPr>
                  <w:r>
                    <w:rPr>
                      <w:rFonts w:hint="eastAsia"/>
                      <w:color w:val="auto"/>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2" w:type="pct"/>
                  <w:noWrap w:val="0"/>
                  <w:vAlign w:val="center"/>
                </w:tcPr>
                <w:p>
                  <w:pPr>
                    <w:pStyle w:val="69"/>
                    <w:rPr>
                      <w:color w:val="auto"/>
                    </w:rPr>
                  </w:pPr>
                  <w:r>
                    <w:rPr>
                      <w:color w:val="auto"/>
                    </w:rPr>
                    <w:t>PM</w:t>
                  </w:r>
                  <w:r>
                    <w:rPr>
                      <w:color w:val="auto"/>
                      <w:vertAlign w:val="subscript"/>
                    </w:rPr>
                    <w:t>10</w:t>
                  </w:r>
                </w:p>
              </w:tc>
              <w:tc>
                <w:tcPr>
                  <w:tcW w:w="1095" w:type="pct"/>
                  <w:noWrap w:val="0"/>
                  <w:vAlign w:val="center"/>
                </w:tcPr>
                <w:p>
                  <w:pPr>
                    <w:pStyle w:val="69"/>
                    <w:rPr>
                      <w:rFonts w:hint="eastAsia"/>
                      <w:color w:val="auto"/>
                    </w:rPr>
                  </w:pPr>
                  <w:r>
                    <w:rPr>
                      <w:rFonts w:hint="eastAsia"/>
                      <w:color w:val="auto"/>
                    </w:rPr>
                    <w:t>年平均浓度</w:t>
                  </w:r>
                </w:p>
              </w:tc>
              <w:tc>
                <w:tcPr>
                  <w:tcW w:w="854" w:type="pct"/>
                  <w:noWrap w:val="0"/>
                  <w:vAlign w:val="center"/>
                </w:tcPr>
                <w:p>
                  <w:pPr>
                    <w:pStyle w:val="69"/>
                    <w:rPr>
                      <w:color w:val="auto"/>
                    </w:rPr>
                  </w:pPr>
                  <w:r>
                    <w:rPr>
                      <w:rFonts w:hint="eastAsia"/>
                      <w:color w:val="auto"/>
                    </w:rPr>
                    <w:t>55</w:t>
                  </w:r>
                </w:p>
              </w:tc>
              <w:tc>
                <w:tcPr>
                  <w:tcW w:w="886" w:type="pct"/>
                  <w:noWrap w:val="0"/>
                  <w:vAlign w:val="center"/>
                </w:tcPr>
                <w:p>
                  <w:pPr>
                    <w:pStyle w:val="69"/>
                    <w:rPr>
                      <w:color w:val="auto"/>
                    </w:rPr>
                  </w:pPr>
                  <w:r>
                    <w:rPr>
                      <w:color w:val="auto"/>
                    </w:rPr>
                    <w:t>70</w:t>
                  </w:r>
                </w:p>
              </w:tc>
              <w:tc>
                <w:tcPr>
                  <w:tcW w:w="751" w:type="pct"/>
                  <w:noWrap w:val="0"/>
                  <w:vAlign w:val="center"/>
                </w:tcPr>
                <w:p>
                  <w:pPr>
                    <w:pStyle w:val="69"/>
                    <w:rPr>
                      <w:rFonts w:hint="eastAsia"/>
                      <w:color w:val="auto"/>
                    </w:rPr>
                  </w:pPr>
                  <w:r>
                    <w:rPr>
                      <w:color w:val="auto"/>
                    </w:rPr>
                    <w:t>78.</w:t>
                  </w:r>
                  <w:r>
                    <w:rPr>
                      <w:rFonts w:hint="eastAsia"/>
                      <w:color w:val="auto"/>
                    </w:rPr>
                    <w:t>6</w:t>
                  </w:r>
                </w:p>
              </w:tc>
              <w:tc>
                <w:tcPr>
                  <w:tcW w:w="759" w:type="pct"/>
                  <w:noWrap w:val="0"/>
                  <w:vAlign w:val="center"/>
                </w:tcPr>
                <w:p>
                  <w:pPr>
                    <w:pStyle w:val="69"/>
                    <w:rPr>
                      <w:rFonts w:hint="eastAsia"/>
                      <w:color w:val="auto"/>
                    </w:rPr>
                  </w:pPr>
                  <w:r>
                    <w:rPr>
                      <w:rFonts w:hint="eastAsia"/>
                      <w:color w:val="auto"/>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52" w:type="pct"/>
                  <w:noWrap w:val="0"/>
                  <w:vAlign w:val="center"/>
                </w:tcPr>
                <w:p>
                  <w:pPr>
                    <w:pStyle w:val="69"/>
                    <w:rPr>
                      <w:color w:val="auto"/>
                    </w:rPr>
                  </w:pPr>
                  <w:r>
                    <w:rPr>
                      <w:color w:val="auto"/>
                    </w:rPr>
                    <w:t>PM</w:t>
                  </w:r>
                  <w:r>
                    <w:rPr>
                      <w:color w:val="auto"/>
                      <w:vertAlign w:val="subscript"/>
                    </w:rPr>
                    <w:t>2.5</w:t>
                  </w:r>
                </w:p>
              </w:tc>
              <w:tc>
                <w:tcPr>
                  <w:tcW w:w="1095" w:type="pct"/>
                  <w:noWrap w:val="0"/>
                  <w:vAlign w:val="center"/>
                </w:tcPr>
                <w:p>
                  <w:pPr>
                    <w:pStyle w:val="69"/>
                    <w:rPr>
                      <w:rFonts w:hint="eastAsia"/>
                      <w:color w:val="auto"/>
                    </w:rPr>
                  </w:pPr>
                  <w:r>
                    <w:rPr>
                      <w:rFonts w:hint="eastAsia"/>
                      <w:color w:val="auto"/>
                    </w:rPr>
                    <w:t>年平均浓度</w:t>
                  </w:r>
                </w:p>
              </w:tc>
              <w:tc>
                <w:tcPr>
                  <w:tcW w:w="854" w:type="pct"/>
                  <w:noWrap w:val="0"/>
                  <w:vAlign w:val="center"/>
                </w:tcPr>
                <w:p>
                  <w:pPr>
                    <w:pStyle w:val="69"/>
                    <w:rPr>
                      <w:color w:val="auto"/>
                    </w:rPr>
                  </w:pPr>
                  <w:r>
                    <w:rPr>
                      <w:rFonts w:hint="eastAsia"/>
                      <w:color w:val="auto"/>
                    </w:rPr>
                    <w:t>34</w:t>
                  </w:r>
                </w:p>
              </w:tc>
              <w:tc>
                <w:tcPr>
                  <w:tcW w:w="886" w:type="pct"/>
                  <w:noWrap w:val="0"/>
                  <w:vAlign w:val="center"/>
                </w:tcPr>
                <w:p>
                  <w:pPr>
                    <w:pStyle w:val="69"/>
                    <w:rPr>
                      <w:color w:val="auto"/>
                    </w:rPr>
                  </w:pPr>
                  <w:r>
                    <w:rPr>
                      <w:color w:val="auto"/>
                    </w:rPr>
                    <w:t>35</w:t>
                  </w:r>
                </w:p>
              </w:tc>
              <w:tc>
                <w:tcPr>
                  <w:tcW w:w="751" w:type="pct"/>
                  <w:noWrap w:val="0"/>
                  <w:vAlign w:val="center"/>
                </w:tcPr>
                <w:p>
                  <w:pPr>
                    <w:pStyle w:val="69"/>
                    <w:rPr>
                      <w:color w:val="auto"/>
                    </w:rPr>
                  </w:pPr>
                  <w:r>
                    <w:rPr>
                      <w:rFonts w:hint="eastAsia"/>
                      <w:color w:val="auto"/>
                    </w:rPr>
                    <w:t>97.14</w:t>
                  </w:r>
                </w:p>
              </w:tc>
              <w:tc>
                <w:tcPr>
                  <w:tcW w:w="759" w:type="pct"/>
                  <w:noWrap w:val="0"/>
                  <w:vAlign w:val="center"/>
                </w:tcPr>
                <w:p>
                  <w:pPr>
                    <w:pStyle w:val="69"/>
                    <w:rPr>
                      <w:rFonts w:hint="eastAsia"/>
                      <w:color w:val="auto"/>
                    </w:rPr>
                  </w:pPr>
                  <w:r>
                    <w:rPr>
                      <w:rFonts w:hint="eastAsia"/>
                      <w:color w:val="auto"/>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45" w:hRule="atLeast"/>
              </w:trPr>
              <w:tc>
                <w:tcPr>
                  <w:tcW w:w="652" w:type="pct"/>
                  <w:noWrap w:val="0"/>
                  <w:vAlign w:val="center"/>
                </w:tcPr>
                <w:p>
                  <w:pPr>
                    <w:pStyle w:val="69"/>
                    <w:rPr>
                      <w:color w:val="auto"/>
                    </w:rPr>
                  </w:pPr>
                  <w:r>
                    <w:rPr>
                      <w:color w:val="auto"/>
                    </w:rPr>
                    <w:t>CO</w:t>
                  </w:r>
                </w:p>
              </w:tc>
              <w:tc>
                <w:tcPr>
                  <w:tcW w:w="1095" w:type="pct"/>
                  <w:noWrap w:val="0"/>
                  <w:vAlign w:val="center"/>
                </w:tcPr>
                <w:p>
                  <w:pPr>
                    <w:pStyle w:val="69"/>
                    <w:rPr>
                      <w:rFonts w:hint="eastAsia"/>
                      <w:color w:val="auto"/>
                    </w:rPr>
                  </w:pPr>
                  <w:r>
                    <w:rPr>
                      <w:color w:val="auto"/>
                    </w:rPr>
                    <w:t>24</w:t>
                  </w:r>
                  <w:r>
                    <w:rPr>
                      <w:rFonts w:hint="eastAsia"/>
                      <w:color w:val="auto"/>
                    </w:rPr>
                    <w:t>小时平均第</w:t>
                  </w:r>
                  <w:r>
                    <w:rPr>
                      <w:color w:val="auto"/>
                    </w:rPr>
                    <w:t>95</w:t>
                  </w:r>
                  <w:r>
                    <w:rPr>
                      <w:rFonts w:hint="eastAsia"/>
                      <w:color w:val="auto"/>
                    </w:rPr>
                    <w:t>百分位数浓度值</w:t>
                  </w:r>
                </w:p>
              </w:tc>
              <w:tc>
                <w:tcPr>
                  <w:tcW w:w="854" w:type="pct"/>
                  <w:noWrap w:val="0"/>
                  <w:vAlign w:val="center"/>
                </w:tcPr>
                <w:p>
                  <w:pPr>
                    <w:pStyle w:val="69"/>
                    <w:rPr>
                      <w:color w:val="auto"/>
                    </w:rPr>
                  </w:pPr>
                  <w:r>
                    <w:rPr>
                      <w:rFonts w:hint="eastAsia"/>
                      <w:color w:val="auto"/>
                    </w:rPr>
                    <w:t>1.1</w:t>
                  </w:r>
                </w:p>
              </w:tc>
              <w:tc>
                <w:tcPr>
                  <w:tcW w:w="886" w:type="pct"/>
                  <w:noWrap w:val="0"/>
                  <w:vAlign w:val="center"/>
                </w:tcPr>
                <w:p>
                  <w:pPr>
                    <w:pStyle w:val="69"/>
                    <w:rPr>
                      <w:color w:val="auto"/>
                    </w:rPr>
                  </w:pPr>
                  <w:r>
                    <w:rPr>
                      <w:color w:val="auto"/>
                    </w:rPr>
                    <w:t>4</w:t>
                  </w:r>
                </w:p>
              </w:tc>
              <w:tc>
                <w:tcPr>
                  <w:tcW w:w="751" w:type="pct"/>
                  <w:noWrap w:val="0"/>
                  <w:vAlign w:val="center"/>
                </w:tcPr>
                <w:p>
                  <w:pPr>
                    <w:pStyle w:val="69"/>
                    <w:rPr>
                      <w:color w:val="auto"/>
                    </w:rPr>
                  </w:pPr>
                  <w:r>
                    <w:rPr>
                      <w:color w:val="auto"/>
                    </w:rPr>
                    <w:t>27.5</w:t>
                  </w:r>
                </w:p>
              </w:tc>
              <w:tc>
                <w:tcPr>
                  <w:tcW w:w="759" w:type="pct"/>
                  <w:noWrap w:val="0"/>
                  <w:vAlign w:val="center"/>
                </w:tcPr>
                <w:p>
                  <w:pPr>
                    <w:pStyle w:val="69"/>
                    <w:rPr>
                      <w:rFonts w:hint="eastAsia"/>
                      <w:color w:val="auto"/>
                    </w:rPr>
                  </w:pPr>
                  <w:r>
                    <w:rPr>
                      <w:rFonts w:hint="eastAsia"/>
                      <w:color w:val="auto"/>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2" w:type="pct"/>
                  <w:noWrap w:val="0"/>
                  <w:vAlign w:val="center"/>
                </w:tcPr>
                <w:p>
                  <w:pPr>
                    <w:pStyle w:val="69"/>
                    <w:rPr>
                      <w:color w:val="auto"/>
                    </w:rPr>
                  </w:pPr>
                  <w:r>
                    <w:rPr>
                      <w:color w:val="auto"/>
                    </w:rPr>
                    <w:t>O</w:t>
                  </w:r>
                  <w:r>
                    <w:rPr>
                      <w:color w:val="auto"/>
                      <w:vertAlign w:val="subscript"/>
                    </w:rPr>
                    <w:t>3</w:t>
                  </w:r>
                </w:p>
              </w:tc>
              <w:tc>
                <w:tcPr>
                  <w:tcW w:w="1095" w:type="pct"/>
                  <w:noWrap w:val="0"/>
                  <w:vAlign w:val="center"/>
                </w:tcPr>
                <w:p>
                  <w:pPr>
                    <w:pStyle w:val="69"/>
                    <w:rPr>
                      <w:rFonts w:hint="eastAsia"/>
                      <w:color w:val="auto"/>
                    </w:rPr>
                  </w:pPr>
                  <w:r>
                    <w:rPr>
                      <w:rFonts w:hint="eastAsia"/>
                      <w:color w:val="auto"/>
                    </w:rPr>
                    <w:t>最大</w:t>
                  </w:r>
                  <w:r>
                    <w:rPr>
                      <w:color w:val="auto"/>
                    </w:rPr>
                    <w:t>8</w:t>
                  </w:r>
                  <w:r>
                    <w:rPr>
                      <w:rFonts w:hint="eastAsia"/>
                      <w:color w:val="auto"/>
                    </w:rPr>
                    <w:t>小时滑动平均浓度值</w:t>
                  </w:r>
                </w:p>
              </w:tc>
              <w:tc>
                <w:tcPr>
                  <w:tcW w:w="854" w:type="pct"/>
                  <w:noWrap w:val="0"/>
                  <w:vAlign w:val="center"/>
                </w:tcPr>
                <w:p>
                  <w:pPr>
                    <w:pStyle w:val="69"/>
                    <w:rPr>
                      <w:color w:val="auto"/>
                    </w:rPr>
                  </w:pPr>
                  <w:r>
                    <w:rPr>
                      <w:rFonts w:hint="eastAsia"/>
                      <w:color w:val="auto"/>
                    </w:rPr>
                    <w:t>126</w:t>
                  </w:r>
                </w:p>
              </w:tc>
              <w:tc>
                <w:tcPr>
                  <w:tcW w:w="886" w:type="pct"/>
                  <w:noWrap w:val="0"/>
                  <w:vAlign w:val="center"/>
                </w:tcPr>
                <w:p>
                  <w:pPr>
                    <w:pStyle w:val="69"/>
                    <w:rPr>
                      <w:color w:val="auto"/>
                    </w:rPr>
                  </w:pPr>
                  <w:r>
                    <w:rPr>
                      <w:color w:val="auto"/>
                    </w:rPr>
                    <w:t>160</w:t>
                  </w:r>
                </w:p>
              </w:tc>
              <w:tc>
                <w:tcPr>
                  <w:tcW w:w="751" w:type="pct"/>
                  <w:noWrap w:val="0"/>
                  <w:vAlign w:val="center"/>
                </w:tcPr>
                <w:p>
                  <w:pPr>
                    <w:pStyle w:val="69"/>
                    <w:rPr>
                      <w:color w:val="auto"/>
                    </w:rPr>
                  </w:pPr>
                  <w:r>
                    <w:rPr>
                      <w:rFonts w:hint="eastAsia"/>
                      <w:color w:val="auto"/>
                    </w:rPr>
                    <w:t>78.75</w:t>
                  </w:r>
                </w:p>
              </w:tc>
              <w:tc>
                <w:tcPr>
                  <w:tcW w:w="759" w:type="pct"/>
                  <w:noWrap w:val="0"/>
                  <w:vAlign w:val="center"/>
                </w:tcPr>
                <w:p>
                  <w:pPr>
                    <w:pStyle w:val="69"/>
                    <w:rPr>
                      <w:rFonts w:hint="eastAsia"/>
                      <w:color w:val="auto"/>
                    </w:rPr>
                  </w:pPr>
                  <w:r>
                    <w:rPr>
                      <w:rFonts w:hint="eastAsia"/>
                      <w:color w:val="auto"/>
                    </w:rPr>
                    <w:t>达标</w:t>
                  </w:r>
                </w:p>
              </w:tc>
            </w:tr>
          </w:tbl>
          <w:p>
            <w:pPr>
              <w:pStyle w:val="104"/>
              <w:ind w:firstLine="480"/>
              <w:rPr>
                <w:rFonts w:hint="eastAsia"/>
                <w:color w:val="auto"/>
              </w:rPr>
            </w:pPr>
            <w:r>
              <w:rPr>
                <w:rFonts w:hint="eastAsia"/>
                <w:color w:val="auto"/>
              </w:rPr>
              <w:t>2、评价方法和评价标准</w:t>
            </w:r>
          </w:p>
          <w:p>
            <w:pPr>
              <w:pStyle w:val="104"/>
              <w:ind w:firstLine="480"/>
              <w:rPr>
                <w:rFonts w:hint="eastAsia"/>
                <w:color w:val="auto"/>
              </w:rPr>
            </w:pPr>
            <w:r>
              <w:rPr>
                <w:rFonts w:hint="eastAsia"/>
                <w:color w:val="auto"/>
              </w:rPr>
              <w:t>依据《环境空气质量标准》（GB3095-2012）对乐山市2020年二氧化硫(SO</w:t>
            </w:r>
            <w:r>
              <w:rPr>
                <w:rFonts w:hint="eastAsia"/>
                <w:color w:val="auto"/>
                <w:vertAlign w:val="subscript"/>
              </w:rPr>
              <w:t>2</w:t>
            </w:r>
            <w:r>
              <w:rPr>
                <w:rFonts w:hint="eastAsia"/>
                <w:color w:val="auto"/>
              </w:rPr>
              <w:t>)、二氧化氮(NO</w:t>
            </w:r>
            <w:r>
              <w:rPr>
                <w:rFonts w:hint="eastAsia"/>
                <w:color w:val="auto"/>
                <w:vertAlign w:val="subscript"/>
              </w:rPr>
              <w:t>2</w:t>
            </w:r>
            <w:r>
              <w:rPr>
                <w:rFonts w:hint="eastAsia"/>
                <w:color w:val="auto"/>
              </w:rPr>
              <w:t>)、可吸入颗粒物(PM</w:t>
            </w:r>
            <w:r>
              <w:rPr>
                <w:rFonts w:hint="eastAsia"/>
                <w:color w:val="auto"/>
                <w:vertAlign w:val="subscript"/>
              </w:rPr>
              <w:t>10</w:t>
            </w:r>
            <w:r>
              <w:rPr>
                <w:rFonts w:hint="eastAsia"/>
                <w:color w:val="auto"/>
              </w:rPr>
              <w:t>)、细颗粒物(PM</w:t>
            </w:r>
            <w:r>
              <w:rPr>
                <w:rFonts w:hint="eastAsia"/>
                <w:color w:val="auto"/>
                <w:vertAlign w:val="subscript"/>
              </w:rPr>
              <w:t>2.5</w:t>
            </w:r>
            <w:r>
              <w:rPr>
                <w:rFonts w:hint="eastAsia"/>
                <w:color w:val="auto"/>
              </w:rPr>
              <w:t>)、一氧化碳(CO)、臭氧(O</w:t>
            </w:r>
            <w:r>
              <w:rPr>
                <w:rFonts w:hint="eastAsia"/>
                <w:color w:val="auto"/>
                <w:vertAlign w:val="subscript"/>
              </w:rPr>
              <w:t>3</w:t>
            </w:r>
            <w:r>
              <w:rPr>
                <w:rFonts w:hint="eastAsia"/>
                <w:color w:val="auto"/>
              </w:rPr>
              <w:t>)六项污染物进行评价，六项污染物全部达标即为城市环境空气质量达标。SO</w:t>
            </w:r>
            <w:r>
              <w:rPr>
                <w:rFonts w:hint="eastAsia"/>
                <w:color w:val="auto"/>
                <w:vertAlign w:val="subscript"/>
              </w:rPr>
              <w:t>2</w:t>
            </w:r>
            <w:r>
              <w:rPr>
                <w:rFonts w:hint="eastAsia"/>
                <w:color w:val="auto"/>
              </w:rPr>
              <w:t>、NO</w:t>
            </w:r>
            <w:r>
              <w:rPr>
                <w:rFonts w:hint="eastAsia"/>
                <w:color w:val="auto"/>
                <w:vertAlign w:val="subscript"/>
              </w:rPr>
              <w:t>2</w:t>
            </w:r>
            <w:r>
              <w:rPr>
                <w:rFonts w:hint="eastAsia"/>
                <w:color w:val="auto"/>
              </w:rPr>
              <w:t>、PM</w:t>
            </w:r>
            <w:r>
              <w:rPr>
                <w:rFonts w:hint="eastAsia"/>
                <w:color w:val="auto"/>
                <w:vertAlign w:val="subscript"/>
              </w:rPr>
              <w:t>10</w:t>
            </w:r>
            <w:r>
              <w:rPr>
                <w:rFonts w:hint="eastAsia"/>
                <w:color w:val="auto"/>
              </w:rPr>
              <w:t>和PM</w:t>
            </w:r>
            <w:r>
              <w:rPr>
                <w:rFonts w:hint="eastAsia"/>
                <w:color w:val="auto"/>
                <w:vertAlign w:val="subscript"/>
              </w:rPr>
              <w:t>2.5</w:t>
            </w:r>
            <w:r>
              <w:rPr>
                <w:rFonts w:hint="eastAsia"/>
                <w:color w:val="auto"/>
              </w:rPr>
              <w:t>年度达标情况由该项污染物年平均浓度对照年平均标准确定，CO年度达标情况由CO日均值第95百分位数浓度对照24小时平均标准确定，O</w:t>
            </w:r>
            <w:r>
              <w:rPr>
                <w:rFonts w:hint="eastAsia"/>
                <w:color w:val="auto"/>
                <w:vertAlign w:val="subscript"/>
              </w:rPr>
              <w:t>3</w:t>
            </w:r>
            <w:r>
              <w:rPr>
                <w:rFonts w:hint="eastAsia"/>
                <w:color w:val="auto"/>
              </w:rPr>
              <w:t>年度达标情况由O</w:t>
            </w:r>
            <w:r>
              <w:rPr>
                <w:rFonts w:hint="eastAsia"/>
                <w:color w:val="auto"/>
                <w:vertAlign w:val="subscript"/>
              </w:rPr>
              <w:t>3</w:t>
            </w:r>
            <w:r>
              <w:rPr>
                <w:rFonts w:hint="eastAsia"/>
                <w:color w:val="auto"/>
              </w:rPr>
              <w:t>日最大8小时平均第90百分位数浓度对照</w:t>
            </w:r>
            <w:r>
              <w:rPr>
                <w:color w:val="auto"/>
              </w:rPr>
              <w:t>8</w:t>
            </w:r>
            <w:r>
              <w:rPr>
                <w:rFonts w:hint="eastAsia"/>
                <w:color w:val="auto"/>
              </w:rPr>
              <w:t>小时平均标准确定。达到或好于国家</w:t>
            </w:r>
            <w:r>
              <w:rPr>
                <w:color w:val="auto"/>
              </w:rPr>
              <w:t>环境空气质量二级标准为达标，超过二级标准为超标。</w:t>
            </w:r>
            <w:r>
              <w:rPr>
                <w:rFonts w:hint="eastAsia"/>
                <w:color w:val="auto"/>
              </w:rPr>
              <w:t>由表3-1统计结果可知，六项污染物全部达标。因此区域环境空气质量良好。</w:t>
            </w:r>
          </w:p>
          <w:p>
            <w:pPr>
              <w:pStyle w:val="4"/>
              <w:rPr>
                <w:rFonts w:hint="eastAsia"/>
                <w:color w:val="auto"/>
              </w:rPr>
            </w:pPr>
            <w:r>
              <w:rPr>
                <w:rFonts w:hint="eastAsia"/>
                <w:color w:val="auto"/>
              </w:rPr>
              <w:t>二、地表水环境质量现状</w:t>
            </w:r>
          </w:p>
          <w:p>
            <w:pPr>
              <w:ind w:firstLine="480"/>
              <w:rPr>
                <w:rFonts w:hint="eastAsia"/>
                <w:color w:val="auto"/>
              </w:rPr>
            </w:pPr>
            <w:r>
              <w:rPr>
                <w:rFonts w:hint="eastAsia"/>
                <w:color w:val="auto"/>
              </w:rPr>
              <w:t>根据乐山市生态环境局公布的《乐山市2021年环境质量公报》数据显示“</w:t>
            </w:r>
            <w:r>
              <w:rPr>
                <w:rFonts w:hint="eastAsia" w:ascii="宋体" w:hAnsi="宋体" w:cs="宋体"/>
                <w:color w:val="auto"/>
                <w:shd w:val="clear" w:color="auto" w:fill="FFFFFF"/>
              </w:rPr>
              <w:t>乐山市岷江干流及主要支流共设置国考断面6个、省考断面8个。6个国考监测断面水质达标率为100％，Ⅱ类水质断面为4个，占66．7％；Ⅲ类水质断面为2个，占33</w:t>
            </w:r>
            <w:r>
              <w:rPr>
                <w:rFonts w:hint="eastAsia"/>
                <w:color w:val="auto"/>
              </w:rPr>
              <w:t>．3％。8个省考监测断面水质达标率为87．5％。Ⅱ类水质断面为5个，占62．5％；Ⅲ类水质断面为2个，占25．0％；Ⅳ类水质断面为1个，占12．5％。”</w:t>
            </w:r>
          </w:p>
          <w:p>
            <w:pPr>
              <w:ind w:firstLine="480"/>
              <w:rPr>
                <w:rFonts w:hint="eastAsia"/>
                <w:color w:val="auto"/>
              </w:rPr>
            </w:pPr>
            <w:r>
              <w:rPr>
                <w:rFonts w:hint="eastAsia"/>
                <w:color w:val="auto"/>
              </w:rPr>
              <w:t>此外，本项目受纳水体岷江，根据乐山市生态环境局公布的2021年1-12月乐山市地表水质量状况（http://ssthjj.leshan.gov.cn/shbj/szzlyb/list.shtml）,青衣坝断面在2021年年度水质建监测数据，水质状况如下表所示：</w:t>
            </w:r>
          </w:p>
          <w:p>
            <w:pPr>
              <w:pStyle w:val="102"/>
              <w:ind w:left="422" w:hanging="422"/>
              <w:rPr>
                <w:color w:val="auto"/>
              </w:rPr>
            </w:pPr>
            <w:r>
              <w:rPr>
                <w:rFonts w:hint="eastAsia"/>
                <w:color w:val="auto"/>
              </w:rPr>
              <w:t>表3-2   2021年1-12月乐山市地表水水质评价结果一览表</w:t>
            </w:r>
          </w:p>
          <w:tbl>
            <w:tblPr>
              <w:tblStyle w:val="38"/>
              <w:tblW w:w="4997" w:type="pct"/>
              <w:tblInd w:w="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478"/>
              <w:gridCol w:w="1203"/>
              <w:gridCol w:w="2088"/>
              <w:gridCol w:w="1163"/>
              <w:gridCol w:w="1181"/>
              <w:gridCol w:w="1174"/>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5" w:hRule="atLeast"/>
              </w:trPr>
              <w:tc>
                <w:tcPr>
                  <w:tcW w:w="892" w:type="pct"/>
                  <w:tcBorders>
                    <w:top w:val="single" w:color="000000" w:sz="10" w:space="0"/>
                  </w:tcBorders>
                  <w:noWrap w:val="0"/>
                  <w:vAlign w:val="top"/>
                </w:tcPr>
                <w:p>
                  <w:pPr>
                    <w:pStyle w:val="69"/>
                    <w:rPr>
                      <w:rFonts w:hint="eastAsia"/>
                      <w:color w:val="auto"/>
                    </w:rPr>
                  </w:pPr>
                  <w:r>
                    <w:rPr>
                      <w:rFonts w:hint="eastAsia"/>
                      <w:color w:val="auto"/>
                    </w:rPr>
                    <w:t>月份</w:t>
                  </w:r>
                </w:p>
              </w:tc>
              <w:tc>
                <w:tcPr>
                  <w:tcW w:w="726" w:type="pct"/>
                  <w:tcBorders>
                    <w:top w:val="single" w:color="000000" w:sz="10" w:space="0"/>
                  </w:tcBorders>
                  <w:noWrap w:val="0"/>
                  <w:vAlign w:val="top"/>
                </w:tcPr>
                <w:p>
                  <w:pPr>
                    <w:pStyle w:val="69"/>
                    <w:rPr>
                      <w:rFonts w:hint="eastAsia"/>
                      <w:color w:val="auto"/>
                    </w:rPr>
                  </w:pPr>
                  <w:r>
                    <w:rPr>
                      <w:rFonts w:hint="eastAsia"/>
                      <w:color w:val="auto"/>
                    </w:rPr>
                    <w:t>断面名称</w:t>
                  </w:r>
                </w:p>
              </w:tc>
              <w:tc>
                <w:tcPr>
                  <w:tcW w:w="1260" w:type="pct"/>
                  <w:tcBorders>
                    <w:top w:val="single" w:color="000000" w:sz="10" w:space="0"/>
                  </w:tcBorders>
                  <w:noWrap w:val="0"/>
                  <w:vAlign w:val="top"/>
                </w:tcPr>
                <w:p>
                  <w:pPr>
                    <w:pStyle w:val="69"/>
                    <w:rPr>
                      <w:rFonts w:hint="eastAsia"/>
                      <w:color w:val="auto"/>
                    </w:rPr>
                  </w:pPr>
                  <w:r>
                    <w:rPr>
                      <w:rFonts w:hint="eastAsia"/>
                      <w:color w:val="auto"/>
                    </w:rPr>
                    <w:t>所在地</w:t>
                  </w:r>
                </w:p>
              </w:tc>
              <w:tc>
                <w:tcPr>
                  <w:tcW w:w="702" w:type="pct"/>
                  <w:tcBorders>
                    <w:top w:val="single" w:color="000000" w:sz="10" w:space="0"/>
                  </w:tcBorders>
                  <w:noWrap w:val="0"/>
                  <w:vAlign w:val="top"/>
                </w:tcPr>
                <w:p>
                  <w:pPr>
                    <w:pStyle w:val="69"/>
                    <w:rPr>
                      <w:rFonts w:hint="eastAsia"/>
                      <w:color w:val="auto"/>
                    </w:rPr>
                  </w:pPr>
                  <w:r>
                    <w:rPr>
                      <w:rFonts w:hint="eastAsia"/>
                      <w:color w:val="auto"/>
                    </w:rPr>
                    <w:t>规定类别</w:t>
                  </w:r>
                </w:p>
              </w:tc>
              <w:tc>
                <w:tcPr>
                  <w:tcW w:w="712" w:type="pct"/>
                  <w:tcBorders>
                    <w:top w:val="single" w:color="000000" w:sz="10" w:space="0"/>
                  </w:tcBorders>
                  <w:noWrap w:val="0"/>
                  <w:vAlign w:val="top"/>
                </w:tcPr>
                <w:p>
                  <w:pPr>
                    <w:pStyle w:val="69"/>
                    <w:rPr>
                      <w:rFonts w:hint="eastAsia"/>
                      <w:color w:val="auto"/>
                    </w:rPr>
                  </w:pPr>
                  <w:r>
                    <w:rPr>
                      <w:rFonts w:hint="eastAsia"/>
                      <w:color w:val="auto"/>
                    </w:rPr>
                    <w:t>监测结果</w:t>
                  </w:r>
                </w:p>
              </w:tc>
              <w:tc>
                <w:tcPr>
                  <w:tcW w:w="706" w:type="pct"/>
                  <w:tcBorders>
                    <w:top w:val="single" w:color="000000" w:sz="10" w:space="0"/>
                  </w:tcBorders>
                  <w:noWrap w:val="0"/>
                  <w:vAlign w:val="top"/>
                </w:tcPr>
                <w:p>
                  <w:pPr>
                    <w:pStyle w:val="69"/>
                    <w:rPr>
                      <w:rFonts w:hint="eastAsia"/>
                      <w:color w:val="auto"/>
                    </w:rPr>
                  </w:pPr>
                  <w:r>
                    <w:rPr>
                      <w:rFonts w:hint="eastAsia"/>
                      <w:color w:val="auto"/>
                    </w:rPr>
                    <w:t>是否达标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892" w:type="pct"/>
                  <w:noWrap w:val="0"/>
                  <w:vAlign w:val="top"/>
                </w:tcPr>
                <w:p>
                  <w:pPr>
                    <w:pStyle w:val="69"/>
                    <w:rPr>
                      <w:color w:val="auto"/>
                    </w:rPr>
                  </w:pPr>
                  <w:r>
                    <w:rPr>
                      <w:rFonts w:hint="eastAsia"/>
                      <w:color w:val="auto"/>
                    </w:rPr>
                    <w:t>1</w:t>
                  </w:r>
                </w:p>
              </w:tc>
              <w:tc>
                <w:tcPr>
                  <w:tcW w:w="726" w:type="pct"/>
                  <w:noWrap w:val="0"/>
                  <w:vAlign w:val="top"/>
                </w:tcPr>
                <w:p>
                  <w:pPr>
                    <w:pStyle w:val="69"/>
                    <w:rPr>
                      <w:rFonts w:hint="eastAsia"/>
                      <w:color w:val="auto"/>
                    </w:rPr>
                  </w:pPr>
                  <w:r>
                    <w:rPr>
                      <w:rFonts w:hint="eastAsia"/>
                      <w:color w:val="auto"/>
                    </w:rPr>
                    <w:t>青衣坝断面</w:t>
                  </w:r>
                </w:p>
              </w:tc>
              <w:tc>
                <w:tcPr>
                  <w:tcW w:w="1260" w:type="pct"/>
                  <w:noWrap w:val="0"/>
                  <w:vAlign w:val="top"/>
                </w:tcPr>
                <w:p>
                  <w:pPr>
                    <w:pStyle w:val="69"/>
                    <w:rPr>
                      <w:rFonts w:hint="eastAsia"/>
                      <w:color w:val="auto"/>
                    </w:rPr>
                  </w:pPr>
                  <w:r>
                    <w:rPr>
                      <w:rFonts w:hint="eastAsia"/>
                      <w:color w:val="auto"/>
                    </w:rPr>
                    <w:t>岷江</w:t>
                  </w:r>
                </w:p>
              </w:tc>
              <w:tc>
                <w:tcPr>
                  <w:tcW w:w="702" w:type="pct"/>
                  <w:noWrap w:val="0"/>
                  <w:vAlign w:val="top"/>
                </w:tcPr>
                <w:p>
                  <w:pPr>
                    <w:pStyle w:val="69"/>
                    <w:rPr>
                      <w:color w:val="auto"/>
                    </w:rPr>
                  </w:pPr>
                  <w:r>
                    <w:rPr>
                      <w:rFonts w:hint="eastAsia"/>
                      <w:color w:val="auto"/>
                    </w:rPr>
                    <w:t>Ⅲ</w:t>
                  </w:r>
                </w:p>
              </w:tc>
              <w:tc>
                <w:tcPr>
                  <w:tcW w:w="712" w:type="pct"/>
                  <w:noWrap w:val="0"/>
                  <w:vAlign w:val="top"/>
                </w:tcPr>
                <w:p>
                  <w:pPr>
                    <w:pStyle w:val="69"/>
                    <w:rPr>
                      <w:rFonts w:hint="eastAsia"/>
                      <w:color w:val="auto"/>
                    </w:rPr>
                  </w:pPr>
                  <w:r>
                    <w:rPr>
                      <w:rFonts w:hint="eastAsia"/>
                      <w:color w:val="auto"/>
                    </w:rPr>
                    <w:t>Ⅱ</w:t>
                  </w:r>
                </w:p>
              </w:tc>
              <w:tc>
                <w:tcPr>
                  <w:tcW w:w="706" w:type="pct"/>
                  <w:noWrap w:val="0"/>
                  <w:vAlign w:val="top"/>
                </w:tcPr>
                <w:p>
                  <w:pPr>
                    <w:pStyle w:val="69"/>
                    <w:rPr>
                      <w:rFonts w:hint="eastAsia"/>
                      <w:color w:val="auto"/>
                    </w:rPr>
                  </w:pPr>
                  <w:r>
                    <w:rPr>
                      <w:rFonts w:hint="eastAsia"/>
                      <w:color w:val="auto"/>
                    </w:rPr>
                    <w:t>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892" w:type="pct"/>
                  <w:noWrap w:val="0"/>
                  <w:vAlign w:val="top"/>
                </w:tcPr>
                <w:p>
                  <w:pPr>
                    <w:pStyle w:val="69"/>
                    <w:rPr>
                      <w:color w:val="auto"/>
                    </w:rPr>
                  </w:pPr>
                  <w:r>
                    <w:rPr>
                      <w:rFonts w:hint="eastAsia"/>
                      <w:color w:val="auto"/>
                    </w:rPr>
                    <w:t>2</w:t>
                  </w:r>
                </w:p>
              </w:tc>
              <w:tc>
                <w:tcPr>
                  <w:tcW w:w="726" w:type="pct"/>
                  <w:noWrap w:val="0"/>
                  <w:vAlign w:val="top"/>
                </w:tcPr>
                <w:p>
                  <w:pPr>
                    <w:pStyle w:val="69"/>
                    <w:rPr>
                      <w:rFonts w:hint="eastAsia"/>
                      <w:color w:val="auto"/>
                    </w:rPr>
                  </w:pPr>
                  <w:r>
                    <w:rPr>
                      <w:rFonts w:hint="eastAsia"/>
                      <w:color w:val="auto"/>
                    </w:rPr>
                    <w:t>青衣坝断面</w:t>
                  </w:r>
                </w:p>
              </w:tc>
              <w:tc>
                <w:tcPr>
                  <w:tcW w:w="1260" w:type="pct"/>
                  <w:noWrap w:val="0"/>
                  <w:vAlign w:val="top"/>
                </w:tcPr>
                <w:p>
                  <w:pPr>
                    <w:pStyle w:val="69"/>
                    <w:rPr>
                      <w:rFonts w:hint="eastAsia"/>
                      <w:color w:val="auto"/>
                    </w:rPr>
                  </w:pPr>
                  <w:r>
                    <w:rPr>
                      <w:rFonts w:hint="eastAsia"/>
                      <w:color w:val="auto"/>
                    </w:rPr>
                    <w:t>岷江</w:t>
                  </w:r>
                </w:p>
              </w:tc>
              <w:tc>
                <w:tcPr>
                  <w:tcW w:w="702" w:type="pct"/>
                  <w:noWrap w:val="0"/>
                  <w:vAlign w:val="top"/>
                </w:tcPr>
                <w:p>
                  <w:pPr>
                    <w:pStyle w:val="69"/>
                    <w:rPr>
                      <w:color w:val="auto"/>
                    </w:rPr>
                  </w:pPr>
                  <w:r>
                    <w:rPr>
                      <w:rFonts w:hint="eastAsia"/>
                      <w:color w:val="auto"/>
                    </w:rPr>
                    <w:t>Ⅲ</w:t>
                  </w:r>
                </w:p>
              </w:tc>
              <w:tc>
                <w:tcPr>
                  <w:tcW w:w="712" w:type="pct"/>
                  <w:noWrap w:val="0"/>
                  <w:vAlign w:val="top"/>
                </w:tcPr>
                <w:p>
                  <w:pPr>
                    <w:pStyle w:val="69"/>
                    <w:rPr>
                      <w:rFonts w:hint="eastAsia"/>
                      <w:color w:val="auto"/>
                    </w:rPr>
                  </w:pPr>
                  <w:r>
                    <w:rPr>
                      <w:rFonts w:hint="eastAsia"/>
                      <w:color w:val="auto"/>
                    </w:rPr>
                    <w:t>Ⅱ</w:t>
                  </w:r>
                </w:p>
              </w:tc>
              <w:tc>
                <w:tcPr>
                  <w:tcW w:w="706" w:type="pct"/>
                  <w:noWrap w:val="0"/>
                  <w:vAlign w:val="top"/>
                </w:tcPr>
                <w:p>
                  <w:pPr>
                    <w:pStyle w:val="69"/>
                    <w:rPr>
                      <w:rFonts w:hint="eastAsia"/>
                      <w:color w:val="auto"/>
                    </w:rPr>
                  </w:pPr>
                  <w:r>
                    <w:rPr>
                      <w:rFonts w:hint="eastAsia"/>
                      <w:color w:val="auto"/>
                    </w:rPr>
                    <w:t>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892" w:type="pct"/>
                  <w:noWrap w:val="0"/>
                  <w:vAlign w:val="top"/>
                </w:tcPr>
                <w:p>
                  <w:pPr>
                    <w:pStyle w:val="69"/>
                    <w:rPr>
                      <w:color w:val="auto"/>
                    </w:rPr>
                  </w:pPr>
                  <w:r>
                    <w:rPr>
                      <w:rFonts w:hint="eastAsia"/>
                      <w:color w:val="auto"/>
                    </w:rPr>
                    <w:t>3</w:t>
                  </w:r>
                </w:p>
              </w:tc>
              <w:tc>
                <w:tcPr>
                  <w:tcW w:w="726" w:type="pct"/>
                  <w:noWrap w:val="0"/>
                  <w:vAlign w:val="top"/>
                </w:tcPr>
                <w:p>
                  <w:pPr>
                    <w:pStyle w:val="69"/>
                    <w:rPr>
                      <w:rFonts w:hint="eastAsia"/>
                      <w:color w:val="auto"/>
                    </w:rPr>
                  </w:pPr>
                  <w:r>
                    <w:rPr>
                      <w:rFonts w:hint="eastAsia"/>
                      <w:color w:val="auto"/>
                    </w:rPr>
                    <w:t>青衣坝断面</w:t>
                  </w:r>
                </w:p>
              </w:tc>
              <w:tc>
                <w:tcPr>
                  <w:tcW w:w="1260" w:type="pct"/>
                  <w:noWrap w:val="0"/>
                  <w:vAlign w:val="top"/>
                </w:tcPr>
                <w:p>
                  <w:pPr>
                    <w:pStyle w:val="69"/>
                    <w:rPr>
                      <w:rFonts w:hint="eastAsia"/>
                      <w:color w:val="auto"/>
                    </w:rPr>
                  </w:pPr>
                  <w:r>
                    <w:rPr>
                      <w:rFonts w:hint="eastAsia"/>
                      <w:color w:val="auto"/>
                    </w:rPr>
                    <w:t>岷江</w:t>
                  </w:r>
                </w:p>
              </w:tc>
              <w:tc>
                <w:tcPr>
                  <w:tcW w:w="702" w:type="pct"/>
                  <w:noWrap w:val="0"/>
                  <w:vAlign w:val="top"/>
                </w:tcPr>
                <w:p>
                  <w:pPr>
                    <w:pStyle w:val="69"/>
                    <w:rPr>
                      <w:rFonts w:hint="eastAsia"/>
                      <w:color w:val="auto"/>
                    </w:rPr>
                  </w:pPr>
                  <w:r>
                    <w:rPr>
                      <w:rFonts w:hint="eastAsia"/>
                      <w:color w:val="auto"/>
                    </w:rPr>
                    <w:t>Ⅲ</w:t>
                  </w:r>
                </w:p>
              </w:tc>
              <w:tc>
                <w:tcPr>
                  <w:tcW w:w="712" w:type="pct"/>
                  <w:noWrap w:val="0"/>
                  <w:vAlign w:val="top"/>
                </w:tcPr>
                <w:p>
                  <w:pPr>
                    <w:pStyle w:val="69"/>
                    <w:rPr>
                      <w:rFonts w:hint="eastAsia"/>
                      <w:color w:val="auto"/>
                    </w:rPr>
                  </w:pPr>
                  <w:r>
                    <w:rPr>
                      <w:rFonts w:hint="eastAsia"/>
                      <w:color w:val="auto"/>
                    </w:rPr>
                    <w:t>Ⅱ</w:t>
                  </w:r>
                </w:p>
              </w:tc>
              <w:tc>
                <w:tcPr>
                  <w:tcW w:w="706" w:type="pct"/>
                  <w:noWrap w:val="0"/>
                  <w:vAlign w:val="top"/>
                </w:tcPr>
                <w:p>
                  <w:pPr>
                    <w:pStyle w:val="69"/>
                    <w:rPr>
                      <w:rFonts w:hint="eastAsia"/>
                      <w:color w:val="auto"/>
                    </w:rPr>
                  </w:pPr>
                  <w:r>
                    <w:rPr>
                      <w:rFonts w:hint="eastAsia"/>
                      <w:color w:val="auto"/>
                    </w:rPr>
                    <w:t>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892" w:type="pct"/>
                  <w:noWrap w:val="0"/>
                  <w:vAlign w:val="top"/>
                </w:tcPr>
                <w:p>
                  <w:pPr>
                    <w:pStyle w:val="69"/>
                    <w:rPr>
                      <w:color w:val="auto"/>
                    </w:rPr>
                  </w:pPr>
                  <w:r>
                    <w:rPr>
                      <w:rFonts w:hint="eastAsia"/>
                      <w:color w:val="auto"/>
                    </w:rPr>
                    <w:t>4</w:t>
                  </w:r>
                </w:p>
              </w:tc>
              <w:tc>
                <w:tcPr>
                  <w:tcW w:w="726" w:type="pct"/>
                  <w:noWrap w:val="0"/>
                  <w:vAlign w:val="top"/>
                </w:tcPr>
                <w:p>
                  <w:pPr>
                    <w:pStyle w:val="69"/>
                    <w:rPr>
                      <w:rFonts w:hint="eastAsia"/>
                      <w:color w:val="auto"/>
                    </w:rPr>
                  </w:pPr>
                  <w:r>
                    <w:rPr>
                      <w:rFonts w:hint="eastAsia"/>
                      <w:color w:val="auto"/>
                    </w:rPr>
                    <w:t>青衣坝断面</w:t>
                  </w:r>
                </w:p>
              </w:tc>
              <w:tc>
                <w:tcPr>
                  <w:tcW w:w="1260" w:type="pct"/>
                  <w:noWrap w:val="0"/>
                  <w:vAlign w:val="top"/>
                </w:tcPr>
                <w:p>
                  <w:pPr>
                    <w:pStyle w:val="69"/>
                    <w:rPr>
                      <w:rFonts w:hint="eastAsia"/>
                      <w:color w:val="auto"/>
                    </w:rPr>
                  </w:pPr>
                  <w:r>
                    <w:rPr>
                      <w:rFonts w:hint="eastAsia"/>
                      <w:color w:val="auto"/>
                    </w:rPr>
                    <w:t>岷江</w:t>
                  </w:r>
                </w:p>
              </w:tc>
              <w:tc>
                <w:tcPr>
                  <w:tcW w:w="702" w:type="pct"/>
                  <w:noWrap w:val="0"/>
                  <w:vAlign w:val="top"/>
                </w:tcPr>
                <w:p>
                  <w:pPr>
                    <w:pStyle w:val="69"/>
                    <w:rPr>
                      <w:rFonts w:hint="eastAsia"/>
                      <w:color w:val="auto"/>
                    </w:rPr>
                  </w:pPr>
                  <w:r>
                    <w:rPr>
                      <w:rFonts w:hint="eastAsia"/>
                      <w:color w:val="auto"/>
                    </w:rPr>
                    <w:t>Ⅲ</w:t>
                  </w:r>
                </w:p>
              </w:tc>
              <w:tc>
                <w:tcPr>
                  <w:tcW w:w="712" w:type="pct"/>
                  <w:noWrap w:val="0"/>
                  <w:vAlign w:val="top"/>
                </w:tcPr>
                <w:p>
                  <w:pPr>
                    <w:pStyle w:val="69"/>
                    <w:rPr>
                      <w:rFonts w:hint="eastAsia"/>
                      <w:color w:val="auto"/>
                    </w:rPr>
                  </w:pPr>
                  <w:r>
                    <w:rPr>
                      <w:rFonts w:hint="eastAsia"/>
                      <w:color w:val="auto"/>
                    </w:rPr>
                    <w:t>Ⅱ</w:t>
                  </w:r>
                </w:p>
              </w:tc>
              <w:tc>
                <w:tcPr>
                  <w:tcW w:w="706" w:type="pct"/>
                  <w:noWrap w:val="0"/>
                  <w:vAlign w:val="top"/>
                </w:tcPr>
                <w:p>
                  <w:pPr>
                    <w:pStyle w:val="69"/>
                    <w:rPr>
                      <w:rFonts w:hint="eastAsia"/>
                      <w:color w:val="auto"/>
                    </w:rPr>
                  </w:pPr>
                  <w:r>
                    <w:rPr>
                      <w:rFonts w:hint="eastAsia"/>
                      <w:color w:val="auto"/>
                    </w:rPr>
                    <w:t>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892" w:type="pct"/>
                  <w:noWrap w:val="0"/>
                  <w:vAlign w:val="top"/>
                </w:tcPr>
                <w:p>
                  <w:pPr>
                    <w:pStyle w:val="69"/>
                    <w:rPr>
                      <w:color w:val="auto"/>
                    </w:rPr>
                  </w:pPr>
                  <w:r>
                    <w:rPr>
                      <w:rFonts w:hint="eastAsia"/>
                      <w:color w:val="auto"/>
                    </w:rPr>
                    <w:t>5</w:t>
                  </w:r>
                </w:p>
              </w:tc>
              <w:tc>
                <w:tcPr>
                  <w:tcW w:w="726" w:type="pct"/>
                  <w:noWrap w:val="0"/>
                  <w:vAlign w:val="top"/>
                </w:tcPr>
                <w:p>
                  <w:pPr>
                    <w:pStyle w:val="69"/>
                    <w:rPr>
                      <w:rFonts w:hint="eastAsia"/>
                      <w:color w:val="auto"/>
                    </w:rPr>
                  </w:pPr>
                  <w:r>
                    <w:rPr>
                      <w:rFonts w:hint="eastAsia"/>
                      <w:color w:val="auto"/>
                    </w:rPr>
                    <w:t>青衣坝断面</w:t>
                  </w:r>
                </w:p>
              </w:tc>
              <w:tc>
                <w:tcPr>
                  <w:tcW w:w="1260" w:type="pct"/>
                  <w:noWrap w:val="0"/>
                  <w:vAlign w:val="top"/>
                </w:tcPr>
                <w:p>
                  <w:pPr>
                    <w:pStyle w:val="69"/>
                    <w:rPr>
                      <w:rFonts w:hint="eastAsia"/>
                      <w:color w:val="auto"/>
                    </w:rPr>
                  </w:pPr>
                  <w:r>
                    <w:rPr>
                      <w:rFonts w:hint="eastAsia"/>
                      <w:color w:val="auto"/>
                    </w:rPr>
                    <w:t>岷江</w:t>
                  </w:r>
                </w:p>
              </w:tc>
              <w:tc>
                <w:tcPr>
                  <w:tcW w:w="702" w:type="pct"/>
                  <w:noWrap w:val="0"/>
                  <w:vAlign w:val="top"/>
                </w:tcPr>
                <w:p>
                  <w:pPr>
                    <w:pStyle w:val="69"/>
                    <w:rPr>
                      <w:rFonts w:hint="eastAsia"/>
                      <w:color w:val="auto"/>
                    </w:rPr>
                  </w:pPr>
                  <w:r>
                    <w:rPr>
                      <w:rFonts w:hint="eastAsia"/>
                      <w:color w:val="auto"/>
                    </w:rPr>
                    <w:t>Ⅲ</w:t>
                  </w:r>
                </w:p>
              </w:tc>
              <w:tc>
                <w:tcPr>
                  <w:tcW w:w="712" w:type="pct"/>
                  <w:noWrap w:val="0"/>
                  <w:vAlign w:val="top"/>
                </w:tcPr>
                <w:p>
                  <w:pPr>
                    <w:pStyle w:val="69"/>
                    <w:rPr>
                      <w:rFonts w:hint="eastAsia"/>
                      <w:color w:val="auto"/>
                    </w:rPr>
                  </w:pPr>
                  <w:r>
                    <w:rPr>
                      <w:rFonts w:hint="eastAsia"/>
                      <w:color w:val="auto"/>
                    </w:rPr>
                    <w:t>Ⅲ</w:t>
                  </w:r>
                </w:p>
              </w:tc>
              <w:tc>
                <w:tcPr>
                  <w:tcW w:w="706" w:type="pct"/>
                  <w:noWrap w:val="0"/>
                  <w:vAlign w:val="top"/>
                </w:tcPr>
                <w:p>
                  <w:pPr>
                    <w:pStyle w:val="69"/>
                    <w:rPr>
                      <w:rFonts w:hint="eastAsia"/>
                      <w:color w:val="auto"/>
                    </w:rPr>
                  </w:pPr>
                  <w:r>
                    <w:rPr>
                      <w:rFonts w:hint="eastAsia"/>
                      <w:color w:val="auto"/>
                    </w:rPr>
                    <w:t>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892" w:type="pct"/>
                  <w:noWrap w:val="0"/>
                  <w:vAlign w:val="top"/>
                </w:tcPr>
                <w:p>
                  <w:pPr>
                    <w:pStyle w:val="69"/>
                    <w:rPr>
                      <w:color w:val="auto"/>
                    </w:rPr>
                  </w:pPr>
                  <w:r>
                    <w:rPr>
                      <w:rFonts w:hint="eastAsia"/>
                      <w:color w:val="auto"/>
                    </w:rPr>
                    <w:t>6</w:t>
                  </w:r>
                </w:p>
              </w:tc>
              <w:tc>
                <w:tcPr>
                  <w:tcW w:w="726" w:type="pct"/>
                  <w:noWrap w:val="0"/>
                  <w:vAlign w:val="top"/>
                </w:tcPr>
                <w:p>
                  <w:pPr>
                    <w:pStyle w:val="69"/>
                    <w:rPr>
                      <w:rFonts w:hint="eastAsia"/>
                      <w:color w:val="auto"/>
                    </w:rPr>
                  </w:pPr>
                  <w:r>
                    <w:rPr>
                      <w:rFonts w:hint="eastAsia"/>
                      <w:color w:val="auto"/>
                    </w:rPr>
                    <w:t>青衣坝断面</w:t>
                  </w:r>
                </w:p>
              </w:tc>
              <w:tc>
                <w:tcPr>
                  <w:tcW w:w="1260" w:type="pct"/>
                  <w:noWrap w:val="0"/>
                  <w:vAlign w:val="top"/>
                </w:tcPr>
                <w:p>
                  <w:pPr>
                    <w:pStyle w:val="69"/>
                    <w:rPr>
                      <w:rFonts w:hint="eastAsia"/>
                      <w:color w:val="auto"/>
                    </w:rPr>
                  </w:pPr>
                  <w:r>
                    <w:rPr>
                      <w:rFonts w:hint="eastAsia"/>
                      <w:color w:val="auto"/>
                    </w:rPr>
                    <w:t>岷江</w:t>
                  </w:r>
                </w:p>
              </w:tc>
              <w:tc>
                <w:tcPr>
                  <w:tcW w:w="702" w:type="pct"/>
                  <w:noWrap w:val="0"/>
                  <w:vAlign w:val="top"/>
                </w:tcPr>
                <w:p>
                  <w:pPr>
                    <w:pStyle w:val="69"/>
                    <w:rPr>
                      <w:rFonts w:hint="eastAsia"/>
                      <w:color w:val="auto"/>
                    </w:rPr>
                  </w:pPr>
                  <w:r>
                    <w:rPr>
                      <w:rFonts w:hint="eastAsia"/>
                      <w:color w:val="auto"/>
                    </w:rPr>
                    <w:t>Ⅲ</w:t>
                  </w:r>
                </w:p>
              </w:tc>
              <w:tc>
                <w:tcPr>
                  <w:tcW w:w="712" w:type="pct"/>
                  <w:noWrap w:val="0"/>
                  <w:vAlign w:val="top"/>
                </w:tcPr>
                <w:p>
                  <w:pPr>
                    <w:pStyle w:val="69"/>
                    <w:rPr>
                      <w:rFonts w:hint="eastAsia"/>
                      <w:color w:val="auto"/>
                    </w:rPr>
                  </w:pPr>
                  <w:r>
                    <w:rPr>
                      <w:rFonts w:hint="eastAsia"/>
                      <w:color w:val="auto"/>
                    </w:rPr>
                    <w:t>Ⅱ</w:t>
                  </w:r>
                </w:p>
              </w:tc>
              <w:tc>
                <w:tcPr>
                  <w:tcW w:w="706" w:type="pct"/>
                  <w:noWrap w:val="0"/>
                  <w:vAlign w:val="top"/>
                </w:tcPr>
                <w:p>
                  <w:pPr>
                    <w:pStyle w:val="69"/>
                    <w:rPr>
                      <w:rFonts w:hint="eastAsia"/>
                      <w:color w:val="auto"/>
                    </w:rPr>
                  </w:pPr>
                  <w:r>
                    <w:rPr>
                      <w:rFonts w:hint="eastAsia"/>
                      <w:color w:val="auto"/>
                    </w:rPr>
                    <w:t>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892" w:type="pct"/>
                  <w:noWrap w:val="0"/>
                  <w:vAlign w:val="top"/>
                </w:tcPr>
                <w:p>
                  <w:pPr>
                    <w:pStyle w:val="69"/>
                    <w:rPr>
                      <w:color w:val="auto"/>
                    </w:rPr>
                  </w:pPr>
                  <w:r>
                    <w:rPr>
                      <w:rFonts w:hint="eastAsia"/>
                      <w:color w:val="auto"/>
                    </w:rPr>
                    <w:t>7</w:t>
                  </w:r>
                </w:p>
              </w:tc>
              <w:tc>
                <w:tcPr>
                  <w:tcW w:w="726" w:type="pct"/>
                  <w:noWrap w:val="0"/>
                  <w:vAlign w:val="top"/>
                </w:tcPr>
                <w:p>
                  <w:pPr>
                    <w:pStyle w:val="69"/>
                    <w:rPr>
                      <w:rFonts w:hint="eastAsia"/>
                      <w:color w:val="auto"/>
                    </w:rPr>
                  </w:pPr>
                  <w:r>
                    <w:rPr>
                      <w:rFonts w:hint="eastAsia"/>
                      <w:color w:val="auto"/>
                    </w:rPr>
                    <w:t>青衣坝断面</w:t>
                  </w:r>
                </w:p>
              </w:tc>
              <w:tc>
                <w:tcPr>
                  <w:tcW w:w="1260" w:type="pct"/>
                  <w:noWrap w:val="0"/>
                  <w:vAlign w:val="top"/>
                </w:tcPr>
                <w:p>
                  <w:pPr>
                    <w:pStyle w:val="69"/>
                    <w:rPr>
                      <w:rFonts w:hint="eastAsia"/>
                      <w:color w:val="auto"/>
                    </w:rPr>
                  </w:pPr>
                  <w:r>
                    <w:rPr>
                      <w:rFonts w:hint="eastAsia"/>
                      <w:color w:val="auto"/>
                    </w:rPr>
                    <w:t>岷江</w:t>
                  </w:r>
                </w:p>
              </w:tc>
              <w:tc>
                <w:tcPr>
                  <w:tcW w:w="702" w:type="pct"/>
                  <w:noWrap w:val="0"/>
                  <w:vAlign w:val="top"/>
                </w:tcPr>
                <w:p>
                  <w:pPr>
                    <w:pStyle w:val="69"/>
                    <w:rPr>
                      <w:rFonts w:hint="eastAsia"/>
                      <w:color w:val="auto"/>
                    </w:rPr>
                  </w:pPr>
                  <w:r>
                    <w:rPr>
                      <w:rFonts w:hint="eastAsia"/>
                      <w:color w:val="auto"/>
                    </w:rPr>
                    <w:t>Ⅲ</w:t>
                  </w:r>
                </w:p>
              </w:tc>
              <w:tc>
                <w:tcPr>
                  <w:tcW w:w="712" w:type="pct"/>
                  <w:noWrap w:val="0"/>
                  <w:vAlign w:val="top"/>
                </w:tcPr>
                <w:p>
                  <w:pPr>
                    <w:pStyle w:val="69"/>
                    <w:rPr>
                      <w:rFonts w:hint="eastAsia"/>
                      <w:color w:val="auto"/>
                    </w:rPr>
                  </w:pPr>
                  <w:r>
                    <w:rPr>
                      <w:rFonts w:hint="eastAsia"/>
                      <w:color w:val="auto"/>
                    </w:rPr>
                    <w:t>Ⅱ</w:t>
                  </w:r>
                </w:p>
              </w:tc>
              <w:tc>
                <w:tcPr>
                  <w:tcW w:w="706" w:type="pct"/>
                  <w:noWrap w:val="0"/>
                  <w:vAlign w:val="top"/>
                </w:tcPr>
                <w:p>
                  <w:pPr>
                    <w:pStyle w:val="69"/>
                    <w:rPr>
                      <w:rFonts w:hint="eastAsia"/>
                      <w:color w:val="auto"/>
                    </w:rPr>
                  </w:pPr>
                  <w:r>
                    <w:rPr>
                      <w:rFonts w:hint="eastAsia"/>
                      <w:color w:val="auto"/>
                    </w:rPr>
                    <w:t>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892" w:type="pct"/>
                  <w:noWrap w:val="0"/>
                  <w:vAlign w:val="top"/>
                </w:tcPr>
                <w:p>
                  <w:pPr>
                    <w:pStyle w:val="69"/>
                    <w:rPr>
                      <w:color w:val="auto"/>
                    </w:rPr>
                  </w:pPr>
                  <w:r>
                    <w:rPr>
                      <w:rFonts w:hint="eastAsia"/>
                      <w:color w:val="auto"/>
                    </w:rPr>
                    <w:t>8</w:t>
                  </w:r>
                </w:p>
              </w:tc>
              <w:tc>
                <w:tcPr>
                  <w:tcW w:w="726" w:type="pct"/>
                  <w:noWrap w:val="0"/>
                  <w:vAlign w:val="top"/>
                </w:tcPr>
                <w:p>
                  <w:pPr>
                    <w:pStyle w:val="69"/>
                    <w:rPr>
                      <w:rFonts w:hint="eastAsia"/>
                      <w:color w:val="auto"/>
                    </w:rPr>
                  </w:pPr>
                  <w:r>
                    <w:rPr>
                      <w:rFonts w:hint="eastAsia"/>
                      <w:color w:val="auto"/>
                    </w:rPr>
                    <w:t>青衣坝断面</w:t>
                  </w:r>
                </w:p>
              </w:tc>
              <w:tc>
                <w:tcPr>
                  <w:tcW w:w="1260" w:type="pct"/>
                  <w:noWrap w:val="0"/>
                  <w:vAlign w:val="top"/>
                </w:tcPr>
                <w:p>
                  <w:pPr>
                    <w:pStyle w:val="69"/>
                    <w:rPr>
                      <w:rFonts w:hint="eastAsia"/>
                      <w:color w:val="auto"/>
                    </w:rPr>
                  </w:pPr>
                  <w:r>
                    <w:rPr>
                      <w:rFonts w:hint="eastAsia"/>
                      <w:color w:val="auto"/>
                    </w:rPr>
                    <w:t>岷江</w:t>
                  </w:r>
                </w:p>
              </w:tc>
              <w:tc>
                <w:tcPr>
                  <w:tcW w:w="702" w:type="pct"/>
                  <w:noWrap w:val="0"/>
                  <w:vAlign w:val="top"/>
                </w:tcPr>
                <w:p>
                  <w:pPr>
                    <w:pStyle w:val="69"/>
                    <w:rPr>
                      <w:rFonts w:hint="eastAsia"/>
                      <w:color w:val="auto"/>
                    </w:rPr>
                  </w:pPr>
                  <w:r>
                    <w:rPr>
                      <w:rFonts w:hint="eastAsia"/>
                      <w:color w:val="auto"/>
                    </w:rPr>
                    <w:t>Ⅲ</w:t>
                  </w:r>
                </w:p>
              </w:tc>
              <w:tc>
                <w:tcPr>
                  <w:tcW w:w="712" w:type="pct"/>
                  <w:noWrap w:val="0"/>
                  <w:vAlign w:val="top"/>
                </w:tcPr>
                <w:p>
                  <w:pPr>
                    <w:pStyle w:val="69"/>
                    <w:rPr>
                      <w:rFonts w:hint="eastAsia"/>
                      <w:color w:val="auto"/>
                    </w:rPr>
                  </w:pPr>
                  <w:r>
                    <w:rPr>
                      <w:rFonts w:hint="eastAsia"/>
                      <w:color w:val="auto"/>
                    </w:rPr>
                    <w:t>Ⅲ</w:t>
                  </w:r>
                </w:p>
              </w:tc>
              <w:tc>
                <w:tcPr>
                  <w:tcW w:w="706" w:type="pct"/>
                  <w:noWrap w:val="0"/>
                  <w:vAlign w:val="top"/>
                </w:tcPr>
                <w:p>
                  <w:pPr>
                    <w:pStyle w:val="69"/>
                    <w:rPr>
                      <w:rFonts w:hint="eastAsia"/>
                      <w:color w:val="auto"/>
                    </w:rPr>
                  </w:pPr>
                  <w:r>
                    <w:rPr>
                      <w:rFonts w:hint="eastAsia"/>
                      <w:color w:val="auto"/>
                    </w:rPr>
                    <w:t>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892" w:type="pct"/>
                  <w:noWrap w:val="0"/>
                  <w:vAlign w:val="top"/>
                </w:tcPr>
                <w:p>
                  <w:pPr>
                    <w:pStyle w:val="69"/>
                    <w:rPr>
                      <w:color w:val="auto"/>
                    </w:rPr>
                  </w:pPr>
                  <w:r>
                    <w:rPr>
                      <w:rFonts w:hint="eastAsia"/>
                      <w:color w:val="auto"/>
                    </w:rPr>
                    <w:t>9</w:t>
                  </w:r>
                </w:p>
              </w:tc>
              <w:tc>
                <w:tcPr>
                  <w:tcW w:w="726" w:type="pct"/>
                  <w:noWrap w:val="0"/>
                  <w:vAlign w:val="top"/>
                </w:tcPr>
                <w:p>
                  <w:pPr>
                    <w:pStyle w:val="69"/>
                    <w:rPr>
                      <w:rFonts w:hint="eastAsia"/>
                      <w:color w:val="auto"/>
                    </w:rPr>
                  </w:pPr>
                  <w:r>
                    <w:rPr>
                      <w:rFonts w:hint="eastAsia"/>
                      <w:color w:val="auto"/>
                    </w:rPr>
                    <w:t>青衣坝断面</w:t>
                  </w:r>
                </w:p>
              </w:tc>
              <w:tc>
                <w:tcPr>
                  <w:tcW w:w="1260" w:type="pct"/>
                  <w:noWrap w:val="0"/>
                  <w:vAlign w:val="top"/>
                </w:tcPr>
                <w:p>
                  <w:pPr>
                    <w:pStyle w:val="69"/>
                    <w:rPr>
                      <w:rFonts w:hint="eastAsia"/>
                      <w:color w:val="auto"/>
                    </w:rPr>
                  </w:pPr>
                  <w:r>
                    <w:rPr>
                      <w:rFonts w:hint="eastAsia"/>
                      <w:color w:val="auto"/>
                    </w:rPr>
                    <w:t>岷江</w:t>
                  </w:r>
                </w:p>
              </w:tc>
              <w:tc>
                <w:tcPr>
                  <w:tcW w:w="702" w:type="pct"/>
                  <w:noWrap w:val="0"/>
                  <w:vAlign w:val="top"/>
                </w:tcPr>
                <w:p>
                  <w:pPr>
                    <w:pStyle w:val="69"/>
                    <w:rPr>
                      <w:rFonts w:hint="eastAsia"/>
                      <w:color w:val="auto"/>
                    </w:rPr>
                  </w:pPr>
                  <w:r>
                    <w:rPr>
                      <w:rFonts w:hint="eastAsia"/>
                      <w:color w:val="auto"/>
                    </w:rPr>
                    <w:t>Ⅲ</w:t>
                  </w:r>
                </w:p>
              </w:tc>
              <w:tc>
                <w:tcPr>
                  <w:tcW w:w="712" w:type="pct"/>
                  <w:noWrap w:val="0"/>
                  <w:vAlign w:val="top"/>
                </w:tcPr>
                <w:p>
                  <w:pPr>
                    <w:pStyle w:val="69"/>
                    <w:rPr>
                      <w:rFonts w:hint="eastAsia"/>
                      <w:color w:val="auto"/>
                    </w:rPr>
                  </w:pPr>
                  <w:r>
                    <w:rPr>
                      <w:rFonts w:hint="eastAsia"/>
                      <w:color w:val="auto"/>
                    </w:rPr>
                    <w:t>Ⅱ</w:t>
                  </w:r>
                </w:p>
              </w:tc>
              <w:tc>
                <w:tcPr>
                  <w:tcW w:w="706" w:type="pct"/>
                  <w:noWrap w:val="0"/>
                  <w:vAlign w:val="top"/>
                </w:tcPr>
                <w:p>
                  <w:pPr>
                    <w:pStyle w:val="69"/>
                    <w:rPr>
                      <w:rFonts w:hint="eastAsia"/>
                      <w:color w:val="auto"/>
                    </w:rPr>
                  </w:pPr>
                  <w:r>
                    <w:rPr>
                      <w:rFonts w:hint="eastAsia"/>
                      <w:color w:val="auto"/>
                    </w:rPr>
                    <w:t>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6" w:hRule="atLeast"/>
              </w:trPr>
              <w:tc>
                <w:tcPr>
                  <w:tcW w:w="892" w:type="pct"/>
                  <w:noWrap w:val="0"/>
                  <w:vAlign w:val="top"/>
                </w:tcPr>
                <w:p>
                  <w:pPr>
                    <w:pStyle w:val="69"/>
                    <w:rPr>
                      <w:color w:val="auto"/>
                    </w:rPr>
                  </w:pPr>
                  <w:r>
                    <w:rPr>
                      <w:rFonts w:hint="eastAsia"/>
                      <w:color w:val="auto"/>
                    </w:rPr>
                    <w:t>10</w:t>
                  </w:r>
                </w:p>
              </w:tc>
              <w:tc>
                <w:tcPr>
                  <w:tcW w:w="726" w:type="pct"/>
                  <w:noWrap w:val="0"/>
                  <w:vAlign w:val="top"/>
                </w:tcPr>
                <w:p>
                  <w:pPr>
                    <w:pStyle w:val="69"/>
                    <w:rPr>
                      <w:rFonts w:hint="eastAsia"/>
                      <w:color w:val="auto"/>
                    </w:rPr>
                  </w:pPr>
                  <w:r>
                    <w:rPr>
                      <w:rFonts w:hint="eastAsia"/>
                      <w:color w:val="auto"/>
                    </w:rPr>
                    <w:t>青衣坝断面</w:t>
                  </w:r>
                </w:p>
              </w:tc>
              <w:tc>
                <w:tcPr>
                  <w:tcW w:w="1260" w:type="pct"/>
                  <w:noWrap w:val="0"/>
                  <w:vAlign w:val="top"/>
                </w:tcPr>
                <w:p>
                  <w:pPr>
                    <w:pStyle w:val="69"/>
                    <w:rPr>
                      <w:rFonts w:hint="eastAsia"/>
                      <w:color w:val="auto"/>
                    </w:rPr>
                  </w:pPr>
                  <w:r>
                    <w:rPr>
                      <w:rFonts w:hint="eastAsia"/>
                      <w:color w:val="auto"/>
                    </w:rPr>
                    <w:t>岷江</w:t>
                  </w:r>
                </w:p>
              </w:tc>
              <w:tc>
                <w:tcPr>
                  <w:tcW w:w="702" w:type="pct"/>
                  <w:noWrap w:val="0"/>
                  <w:vAlign w:val="top"/>
                </w:tcPr>
                <w:p>
                  <w:pPr>
                    <w:pStyle w:val="69"/>
                    <w:rPr>
                      <w:rFonts w:hint="eastAsia"/>
                      <w:color w:val="auto"/>
                    </w:rPr>
                  </w:pPr>
                  <w:r>
                    <w:rPr>
                      <w:rFonts w:hint="eastAsia"/>
                      <w:color w:val="auto"/>
                    </w:rPr>
                    <w:t>Ⅲ</w:t>
                  </w:r>
                </w:p>
              </w:tc>
              <w:tc>
                <w:tcPr>
                  <w:tcW w:w="712" w:type="pct"/>
                  <w:noWrap w:val="0"/>
                  <w:vAlign w:val="top"/>
                </w:tcPr>
                <w:p>
                  <w:pPr>
                    <w:pStyle w:val="69"/>
                    <w:rPr>
                      <w:rFonts w:hint="eastAsia"/>
                      <w:color w:val="auto"/>
                    </w:rPr>
                  </w:pPr>
                  <w:r>
                    <w:rPr>
                      <w:rFonts w:hint="eastAsia"/>
                      <w:color w:val="auto"/>
                    </w:rPr>
                    <w:t>Ⅲ</w:t>
                  </w:r>
                </w:p>
              </w:tc>
              <w:tc>
                <w:tcPr>
                  <w:tcW w:w="706" w:type="pct"/>
                  <w:noWrap w:val="0"/>
                  <w:vAlign w:val="top"/>
                </w:tcPr>
                <w:p>
                  <w:pPr>
                    <w:pStyle w:val="69"/>
                    <w:rPr>
                      <w:rFonts w:hint="eastAsia"/>
                      <w:color w:val="auto"/>
                    </w:rPr>
                  </w:pPr>
                  <w:r>
                    <w:rPr>
                      <w:rFonts w:hint="eastAsia"/>
                      <w:color w:val="auto"/>
                    </w:rPr>
                    <w:t>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892" w:type="pct"/>
                  <w:noWrap w:val="0"/>
                  <w:vAlign w:val="top"/>
                </w:tcPr>
                <w:p>
                  <w:pPr>
                    <w:pStyle w:val="69"/>
                    <w:rPr>
                      <w:color w:val="auto"/>
                    </w:rPr>
                  </w:pPr>
                  <w:r>
                    <w:rPr>
                      <w:rFonts w:hint="eastAsia"/>
                      <w:color w:val="auto"/>
                    </w:rPr>
                    <w:t>11</w:t>
                  </w:r>
                </w:p>
              </w:tc>
              <w:tc>
                <w:tcPr>
                  <w:tcW w:w="726" w:type="pct"/>
                  <w:noWrap w:val="0"/>
                  <w:vAlign w:val="top"/>
                </w:tcPr>
                <w:p>
                  <w:pPr>
                    <w:pStyle w:val="69"/>
                    <w:rPr>
                      <w:rFonts w:hint="eastAsia"/>
                      <w:color w:val="auto"/>
                    </w:rPr>
                  </w:pPr>
                  <w:r>
                    <w:rPr>
                      <w:rFonts w:hint="eastAsia"/>
                      <w:color w:val="auto"/>
                    </w:rPr>
                    <w:t>青衣坝断面</w:t>
                  </w:r>
                </w:p>
              </w:tc>
              <w:tc>
                <w:tcPr>
                  <w:tcW w:w="1260" w:type="pct"/>
                  <w:noWrap w:val="0"/>
                  <w:vAlign w:val="top"/>
                </w:tcPr>
                <w:p>
                  <w:pPr>
                    <w:pStyle w:val="69"/>
                    <w:rPr>
                      <w:rFonts w:hint="eastAsia"/>
                      <w:color w:val="auto"/>
                    </w:rPr>
                  </w:pPr>
                  <w:r>
                    <w:rPr>
                      <w:rFonts w:hint="eastAsia"/>
                      <w:color w:val="auto"/>
                    </w:rPr>
                    <w:t>岷江</w:t>
                  </w:r>
                </w:p>
              </w:tc>
              <w:tc>
                <w:tcPr>
                  <w:tcW w:w="702" w:type="pct"/>
                  <w:noWrap w:val="0"/>
                  <w:vAlign w:val="top"/>
                </w:tcPr>
                <w:p>
                  <w:pPr>
                    <w:pStyle w:val="69"/>
                    <w:rPr>
                      <w:rFonts w:hint="eastAsia"/>
                      <w:color w:val="auto"/>
                    </w:rPr>
                  </w:pPr>
                  <w:r>
                    <w:rPr>
                      <w:rFonts w:hint="eastAsia"/>
                      <w:color w:val="auto"/>
                    </w:rPr>
                    <w:t>Ⅲ</w:t>
                  </w:r>
                </w:p>
              </w:tc>
              <w:tc>
                <w:tcPr>
                  <w:tcW w:w="712" w:type="pct"/>
                  <w:noWrap w:val="0"/>
                  <w:vAlign w:val="top"/>
                </w:tcPr>
                <w:p>
                  <w:pPr>
                    <w:pStyle w:val="69"/>
                    <w:rPr>
                      <w:rFonts w:hint="eastAsia"/>
                      <w:color w:val="auto"/>
                    </w:rPr>
                  </w:pPr>
                  <w:r>
                    <w:rPr>
                      <w:rFonts w:hint="eastAsia"/>
                      <w:color w:val="auto"/>
                    </w:rPr>
                    <w:t>Ⅱ</w:t>
                  </w:r>
                </w:p>
              </w:tc>
              <w:tc>
                <w:tcPr>
                  <w:tcW w:w="706" w:type="pct"/>
                  <w:noWrap w:val="0"/>
                  <w:vAlign w:val="top"/>
                </w:tcPr>
                <w:p>
                  <w:pPr>
                    <w:pStyle w:val="69"/>
                    <w:rPr>
                      <w:rFonts w:hint="eastAsia"/>
                      <w:color w:val="auto"/>
                    </w:rPr>
                  </w:pPr>
                  <w:r>
                    <w:rPr>
                      <w:rFonts w:hint="eastAsia"/>
                      <w:color w:val="auto"/>
                    </w:rPr>
                    <w:t>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892" w:type="pct"/>
                  <w:noWrap w:val="0"/>
                  <w:vAlign w:val="top"/>
                </w:tcPr>
                <w:p>
                  <w:pPr>
                    <w:pStyle w:val="69"/>
                    <w:rPr>
                      <w:color w:val="auto"/>
                    </w:rPr>
                  </w:pPr>
                  <w:r>
                    <w:rPr>
                      <w:rFonts w:hint="eastAsia"/>
                      <w:color w:val="auto"/>
                    </w:rPr>
                    <w:t>12</w:t>
                  </w:r>
                </w:p>
              </w:tc>
              <w:tc>
                <w:tcPr>
                  <w:tcW w:w="726" w:type="pct"/>
                  <w:noWrap w:val="0"/>
                  <w:vAlign w:val="top"/>
                </w:tcPr>
                <w:p>
                  <w:pPr>
                    <w:pStyle w:val="69"/>
                    <w:rPr>
                      <w:rFonts w:hint="eastAsia"/>
                      <w:color w:val="auto"/>
                    </w:rPr>
                  </w:pPr>
                  <w:r>
                    <w:rPr>
                      <w:rFonts w:hint="eastAsia"/>
                      <w:color w:val="auto"/>
                    </w:rPr>
                    <w:t>青衣坝断面</w:t>
                  </w:r>
                </w:p>
              </w:tc>
              <w:tc>
                <w:tcPr>
                  <w:tcW w:w="1260" w:type="pct"/>
                  <w:noWrap w:val="0"/>
                  <w:vAlign w:val="top"/>
                </w:tcPr>
                <w:p>
                  <w:pPr>
                    <w:pStyle w:val="69"/>
                    <w:rPr>
                      <w:rFonts w:hint="eastAsia"/>
                      <w:color w:val="auto"/>
                    </w:rPr>
                  </w:pPr>
                  <w:r>
                    <w:rPr>
                      <w:rFonts w:hint="eastAsia"/>
                      <w:color w:val="auto"/>
                    </w:rPr>
                    <w:t>岷江</w:t>
                  </w:r>
                </w:p>
              </w:tc>
              <w:tc>
                <w:tcPr>
                  <w:tcW w:w="702" w:type="pct"/>
                  <w:noWrap w:val="0"/>
                  <w:vAlign w:val="top"/>
                </w:tcPr>
                <w:p>
                  <w:pPr>
                    <w:pStyle w:val="69"/>
                    <w:rPr>
                      <w:rFonts w:hint="eastAsia"/>
                      <w:color w:val="auto"/>
                    </w:rPr>
                  </w:pPr>
                  <w:r>
                    <w:rPr>
                      <w:rFonts w:hint="eastAsia"/>
                      <w:color w:val="auto"/>
                    </w:rPr>
                    <w:t>Ⅲ</w:t>
                  </w:r>
                </w:p>
              </w:tc>
              <w:tc>
                <w:tcPr>
                  <w:tcW w:w="712" w:type="pct"/>
                  <w:noWrap w:val="0"/>
                  <w:vAlign w:val="top"/>
                </w:tcPr>
                <w:p>
                  <w:pPr>
                    <w:pStyle w:val="69"/>
                    <w:rPr>
                      <w:rFonts w:hint="eastAsia"/>
                      <w:color w:val="auto"/>
                    </w:rPr>
                  </w:pPr>
                  <w:r>
                    <w:rPr>
                      <w:rFonts w:hint="eastAsia"/>
                      <w:color w:val="auto"/>
                    </w:rPr>
                    <w:t>Ⅱ</w:t>
                  </w:r>
                </w:p>
              </w:tc>
              <w:tc>
                <w:tcPr>
                  <w:tcW w:w="706" w:type="pct"/>
                  <w:noWrap w:val="0"/>
                  <w:vAlign w:val="top"/>
                </w:tcPr>
                <w:p>
                  <w:pPr>
                    <w:pStyle w:val="69"/>
                    <w:rPr>
                      <w:rFonts w:hint="eastAsia"/>
                      <w:color w:val="auto"/>
                    </w:rPr>
                  </w:pPr>
                  <w:r>
                    <w:rPr>
                      <w:rFonts w:hint="eastAsia"/>
                      <w:color w:val="auto"/>
                    </w:rPr>
                    <w:t>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5000" w:type="pct"/>
                  <w:gridSpan w:val="6"/>
                  <w:noWrap w:val="0"/>
                  <w:vAlign w:val="top"/>
                </w:tcPr>
                <w:p>
                  <w:pPr>
                    <w:pStyle w:val="69"/>
                    <w:jc w:val="left"/>
                    <w:rPr>
                      <w:rFonts w:hint="eastAsia"/>
                      <w:color w:val="auto"/>
                    </w:rPr>
                  </w:pPr>
                  <w:r>
                    <w:rPr>
                      <w:rFonts w:hint="eastAsia"/>
                      <w:color w:val="auto"/>
                    </w:rPr>
                    <w:t>注：1.地表水执行《地表水环境质量标准》（GB3838-2002）和《地表水环境质量评价办法（试行）》。</w:t>
                  </w:r>
                </w:p>
                <w:p>
                  <w:pPr>
                    <w:pStyle w:val="69"/>
                    <w:numPr>
                      <w:ilvl w:val="0"/>
                      <w:numId w:val="27"/>
                    </w:numPr>
                    <w:tabs>
                      <w:tab w:val="clear" w:pos="7590"/>
                    </w:tabs>
                    <w:jc w:val="left"/>
                    <w:rPr>
                      <w:rFonts w:hint="eastAsia"/>
                      <w:color w:val="auto"/>
                    </w:rPr>
                  </w:pPr>
                  <w:r>
                    <w:rPr>
                      <w:rFonts w:hint="eastAsia"/>
                      <w:color w:val="auto"/>
                    </w:rPr>
                    <w:t>评价指标为：PH、溶解氧、高锰酸盐指数、五日生化需氧量、氨氮、石油类、酚、汞、铅、镉、阴离子表面活性剂、铬（六价）、氟化物、总磷、氰化物、硫化物、砷、花絮需氧量、铜、锌、硒。</w:t>
                  </w:r>
                </w:p>
                <w:p>
                  <w:pPr>
                    <w:pStyle w:val="69"/>
                    <w:numPr>
                      <w:ilvl w:val="0"/>
                      <w:numId w:val="27"/>
                    </w:numPr>
                    <w:tabs>
                      <w:tab w:val="clear" w:pos="7590"/>
                    </w:tabs>
                    <w:jc w:val="left"/>
                    <w:rPr>
                      <w:color w:val="auto"/>
                    </w:rPr>
                  </w:pPr>
                  <w:r>
                    <w:rPr>
                      <w:rFonts w:hint="eastAsia"/>
                      <w:color w:val="auto"/>
                    </w:rPr>
                    <w:t>规定类别按《四川省生态环境厅关于征求“十四五”国考断面和省考断面目标意见的函》执行</w:t>
                  </w:r>
                </w:p>
              </w:tc>
            </w:tr>
          </w:tbl>
          <w:p>
            <w:pPr>
              <w:pStyle w:val="104"/>
              <w:ind w:firstLine="480"/>
              <w:rPr>
                <w:rFonts w:hint="eastAsia"/>
                <w:color w:val="auto"/>
              </w:rPr>
            </w:pPr>
            <w:r>
              <w:rPr>
                <w:rFonts w:hint="eastAsia"/>
                <w:color w:val="auto"/>
              </w:rPr>
              <w:t>本项目生活污水经春天花园预处理池收集预处理后直接进入市政污水管网；动物诊疗过程中产生的医疗废水（包含院内地面清洁废水）收集后经一体化污水处理设备采用“过滤沉淀+消毒（二氧化氯泡腾片）”工艺处理，处理后的医疗废水进入春天花园预处理池，再进入市政污水管网，最终排入乐山市第一污水处理厂。本项目最终的受纳水体为岷江。</w:t>
            </w:r>
          </w:p>
          <w:p>
            <w:pPr>
              <w:pStyle w:val="104"/>
              <w:ind w:firstLine="480"/>
              <w:rPr>
                <w:rFonts w:hint="eastAsia"/>
                <w:color w:val="auto"/>
              </w:rPr>
            </w:pPr>
            <w:r>
              <w:rPr>
                <w:rFonts w:hint="eastAsia"/>
                <w:color w:val="auto"/>
              </w:rPr>
              <w:t>根据公布的地表水水质监测结果表明，岷江河流各断面监测结果均能够满足《地表水环境质量标准》 （GB3838-2002）中 III 类标准水域标准，因此项目所在区域地表水环境质量现状较好。</w:t>
            </w:r>
          </w:p>
          <w:p>
            <w:pPr>
              <w:pStyle w:val="4"/>
              <w:rPr>
                <w:bCs/>
                <w:color w:val="auto"/>
              </w:rPr>
            </w:pPr>
            <w:r>
              <w:rPr>
                <w:bCs/>
                <w:color w:val="auto"/>
              </w:rPr>
              <w:t>三、声环境</w:t>
            </w:r>
            <w:r>
              <w:rPr>
                <w:rFonts w:hint="eastAsia"/>
                <w:bCs/>
                <w:color w:val="auto"/>
              </w:rPr>
              <w:t>质量现状</w:t>
            </w:r>
          </w:p>
          <w:p>
            <w:pPr>
              <w:pStyle w:val="101"/>
              <w:ind w:firstLine="480"/>
              <w:rPr>
                <w:color w:val="auto"/>
              </w:rPr>
            </w:pPr>
            <w:r>
              <w:rPr>
                <w:color w:val="auto"/>
              </w:rPr>
              <w:t>监测项目：各测声点昼间及夜间的等效连续A声级。</w:t>
            </w:r>
          </w:p>
          <w:p>
            <w:pPr>
              <w:pStyle w:val="101"/>
              <w:ind w:firstLine="480"/>
              <w:rPr>
                <w:color w:val="auto"/>
              </w:rPr>
            </w:pPr>
            <w:r>
              <w:rPr>
                <w:color w:val="auto"/>
              </w:rPr>
              <w:t>监测点位：</w:t>
            </w:r>
            <w:r>
              <w:rPr>
                <w:rFonts w:hint="eastAsia"/>
                <w:color w:val="auto"/>
              </w:rPr>
              <w:t>场界四周50范围内的敏感目标</w:t>
            </w:r>
            <w:r>
              <w:rPr>
                <w:color w:val="auto"/>
              </w:rPr>
              <w:t>。</w:t>
            </w:r>
          </w:p>
          <w:p>
            <w:pPr>
              <w:pStyle w:val="101"/>
              <w:ind w:firstLine="480"/>
              <w:rPr>
                <w:color w:val="auto"/>
              </w:rPr>
            </w:pPr>
            <w:r>
              <w:rPr>
                <w:color w:val="auto"/>
              </w:rPr>
              <w:t>监测频次：监测</w:t>
            </w:r>
            <w:r>
              <w:rPr>
                <w:rFonts w:hint="eastAsia"/>
                <w:color w:val="auto"/>
              </w:rPr>
              <w:t>1</w:t>
            </w:r>
            <w:r>
              <w:rPr>
                <w:color w:val="auto"/>
              </w:rPr>
              <w:t>天，昼间、夜间各测一次，昼间：6：00~22：00，夜间：22:00~6:00。</w:t>
            </w:r>
          </w:p>
          <w:p>
            <w:pPr>
              <w:pStyle w:val="22"/>
              <w:rPr>
                <w:rFonts w:ascii="Times New Roman" w:hAnsi="Times New Roman"/>
                <w:snapToGrid/>
                <w:color w:val="auto"/>
                <w:kern w:val="2"/>
              </w:rPr>
            </w:pPr>
            <w:r>
              <w:rPr>
                <w:rFonts w:ascii="Times New Roman" w:hAnsi="Times New Roman"/>
                <w:snapToGrid/>
                <w:color w:val="auto"/>
                <w:kern w:val="2"/>
              </w:rPr>
              <w:t>详细信息见表3-</w:t>
            </w:r>
            <w:r>
              <w:rPr>
                <w:rFonts w:hint="eastAsia" w:ascii="Times New Roman" w:hAnsi="Times New Roman"/>
                <w:snapToGrid/>
                <w:color w:val="auto"/>
                <w:kern w:val="2"/>
              </w:rPr>
              <w:t>3</w:t>
            </w:r>
            <w:r>
              <w:rPr>
                <w:rFonts w:ascii="Times New Roman" w:hAnsi="Times New Roman"/>
                <w:snapToGrid/>
                <w:color w:val="auto"/>
                <w:kern w:val="2"/>
              </w:rPr>
              <w:t>。</w:t>
            </w:r>
          </w:p>
          <w:p>
            <w:pPr>
              <w:pStyle w:val="117"/>
              <w:rPr>
                <w:color w:val="auto"/>
              </w:rPr>
            </w:pPr>
            <w:r>
              <w:rPr>
                <w:color w:val="auto"/>
              </w:rPr>
              <w:t>表3-</w:t>
            </w:r>
            <w:r>
              <w:rPr>
                <w:rFonts w:hint="eastAsia"/>
                <w:color w:val="auto"/>
              </w:rPr>
              <w:t xml:space="preserve">3  </w:t>
            </w:r>
            <w:r>
              <w:rPr>
                <w:color w:val="auto"/>
              </w:rPr>
              <w:t>检测点位、项目及频次信息</w:t>
            </w:r>
          </w:p>
          <w:tbl>
            <w:tblPr>
              <w:tblStyle w:val="38"/>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11"/>
              <w:gridCol w:w="1194"/>
              <w:gridCol w:w="3461"/>
              <w:gridCol w:w="1278"/>
              <w:gridCol w:w="12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pct"/>
                  <w:noWrap w:val="0"/>
                  <w:vAlign w:val="center"/>
                </w:tcPr>
                <w:p>
                  <w:pPr>
                    <w:pStyle w:val="69"/>
                    <w:rPr>
                      <w:color w:val="auto"/>
                    </w:rPr>
                  </w:pPr>
                  <w:r>
                    <w:rPr>
                      <w:color w:val="auto"/>
                    </w:rPr>
                    <w:t>检测类别</w:t>
                  </w:r>
                </w:p>
              </w:tc>
              <w:tc>
                <w:tcPr>
                  <w:tcW w:w="720" w:type="pct"/>
                  <w:noWrap w:val="0"/>
                  <w:vAlign w:val="center"/>
                </w:tcPr>
                <w:p>
                  <w:pPr>
                    <w:pStyle w:val="69"/>
                    <w:rPr>
                      <w:color w:val="auto"/>
                    </w:rPr>
                  </w:pPr>
                  <w:r>
                    <w:rPr>
                      <w:color w:val="auto"/>
                    </w:rPr>
                    <w:t>点位编号</w:t>
                  </w:r>
                </w:p>
              </w:tc>
              <w:tc>
                <w:tcPr>
                  <w:tcW w:w="2088" w:type="pct"/>
                  <w:noWrap w:val="0"/>
                  <w:vAlign w:val="center"/>
                </w:tcPr>
                <w:p>
                  <w:pPr>
                    <w:pStyle w:val="69"/>
                    <w:rPr>
                      <w:color w:val="auto"/>
                    </w:rPr>
                  </w:pPr>
                  <w:r>
                    <w:rPr>
                      <w:color w:val="auto"/>
                    </w:rPr>
                    <w:t>点位名称</w:t>
                  </w:r>
                </w:p>
              </w:tc>
              <w:tc>
                <w:tcPr>
                  <w:tcW w:w="771" w:type="pct"/>
                  <w:noWrap w:val="0"/>
                  <w:vAlign w:val="center"/>
                </w:tcPr>
                <w:p>
                  <w:pPr>
                    <w:pStyle w:val="69"/>
                    <w:rPr>
                      <w:color w:val="auto"/>
                    </w:rPr>
                  </w:pPr>
                  <w:r>
                    <w:rPr>
                      <w:color w:val="auto"/>
                    </w:rPr>
                    <w:t>检测项目</w:t>
                  </w:r>
                </w:p>
              </w:tc>
              <w:tc>
                <w:tcPr>
                  <w:tcW w:w="748" w:type="pct"/>
                  <w:noWrap w:val="0"/>
                  <w:vAlign w:val="center"/>
                </w:tcPr>
                <w:p>
                  <w:pPr>
                    <w:pStyle w:val="69"/>
                    <w:rPr>
                      <w:color w:val="auto"/>
                    </w:rPr>
                  </w:pPr>
                  <w:r>
                    <w:rPr>
                      <w:color w:val="auto"/>
                    </w:rPr>
                    <w:t>检测频次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 w:hRule="atLeast"/>
              </w:trPr>
              <w:tc>
                <w:tcPr>
                  <w:tcW w:w="670" w:type="pct"/>
                  <w:vMerge w:val="restart"/>
                  <w:noWrap w:val="0"/>
                  <w:vAlign w:val="center"/>
                </w:tcPr>
                <w:p>
                  <w:pPr>
                    <w:pStyle w:val="69"/>
                    <w:rPr>
                      <w:color w:val="auto"/>
                    </w:rPr>
                  </w:pPr>
                  <w:r>
                    <w:rPr>
                      <w:color w:val="auto"/>
                    </w:rPr>
                    <w:t>噪声</w:t>
                  </w:r>
                </w:p>
              </w:tc>
              <w:tc>
                <w:tcPr>
                  <w:tcW w:w="720" w:type="pct"/>
                  <w:noWrap w:val="0"/>
                  <w:vAlign w:val="center"/>
                </w:tcPr>
                <w:p>
                  <w:pPr>
                    <w:pStyle w:val="69"/>
                    <w:rPr>
                      <w:color w:val="auto"/>
                    </w:rPr>
                  </w:pPr>
                  <w:r>
                    <w:rPr>
                      <w:color w:val="auto"/>
                    </w:rPr>
                    <w:t>1#</w:t>
                  </w:r>
                </w:p>
              </w:tc>
              <w:tc>
                <w:tcPr>
                  <w:tcW w:w="2088" w:type="pct"/>
                  <w:noWrap w:val="0"/>
                  <w:vAlign w:val="center"/>
                </w:tcPr>
                <w:p>
                  <w:pPr>
                    <w:pStyle w:val="69"/>
                    <w:rPr>
                      <w:color w:val="auto"/>
                    </w:rPr>
                  </w:pPr>
                  <w:r>
                    <w:rPr>
                      <w:color w:val="auto"/>
                      <w:kern w:val="2"/>
                    </w:rPr>
                    <w:t>项目</w:t>
                  </w:r>
                  <w:r>
                    <w:rPr>
                      <w:rFonts w:hint="eastAsia"/>
                      <w:color w:val="auto"/>
                      <w:kern w:val="2"/>
                    </w:rPr>
                    <w:t>场地屋面</w:t>
                  </w:r>
                </w:p>
              </w:tc>
              <w:tc>
                <w:tcPr>
                  <w:tcW w:w="771" w:type="pct"/>
                  <w:vMerge w:val="restart"/>
                  <w:noWrap w:val="0"/>
                  <w:vAlign w:val="center"/>
                </w:tcPr>
                <w:p>
                  <w:pPr>
                    <w:pStyle w:val="69"/>
                    <w:rPr>
                      <w:color w:val="auto"/>
                    </w:rPr>
                  </w:pPr>
                  <w:r>
                    <w:rPr>
                      <w:color w:val="auto"/>
                    </w:rPr>
                    <w:t>环境噪声（等效连续A声级Leq）</w:t>
                  </w:r>
                </w:p>
              </w:tc>
              <w:tc>
                <w:tcPr>
                  <w:tcW w:w="748" w:type="pct"/>
                  <w:vMerge w:val="restart"/>
                  <w:noWrap w:val="0"/>
                  <w:vAlign w:val="center"/>
                </w:tcPr>
                <w:p>
                  <w:pPr>
                    <w:pStyle w:val="69"/>
                    <w:rPr>
                      <w:color w:val="auto"/>
                    </w:rPr>
                  </w:pPr>
                  <w:r>
                    <w:rPr>
                      <w:color w:val="auto"/>
                    </w:rPr>
                    <w:t>昼间一次</w:t>
                  </w:r>
                  <w:r>
                    <w:rPr>
                      <w:rFonts w:hint="eastAsia"/>
                      <w:color w:val="auto"/>
                    </w:rPr>
                    <w:t>，夜间一次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pct"/>
                  <w:vMerge w:val="continue"/>
                  <w:noWrap w:val="0"/>
                  <w:vAlign w:val="center"/>
                </w:tcPr>
                <w:p>
                  <w:pPr>
                    <w:pStyle w:val="69"/>
                    <w:rPr>
                      <w:color w:val="auto"/>
                    </w:rPr>
                  </w:pPr>
                </w:p>
              </w:tc>
              <w:tc>
                <w:tcPr>
                  <w:tcW w:w="720" w:type="pct"/>
                  <w:noWrap w:val="0"/>
                  <w:vAlign w:val="center"/>
                </w:tcPr>
                <w:p>
                  <w:pPr>
                    <w:pStyle w:val="69"/>
                    <w:rPr>
                      <w:color w:val="auto"/>
                    </w:rPr>
                  </w:pPr>
                  <w:r>
                    <w:rPr>
                      <w:color w:val="auto"/>
                    </w:rPr>
                    <w:t>2#</w:t>
                  </w:r>
                </w:p>
              </w:tc>
              <w:tc>
                <w:tcPr>
                  <w:tcW w:w="2088" w:type="pct"/>
                  <w:noWrap w:val="0"/>
                  <w:vAlign w:val="center"/>
                </w:tcPr>
                <w:p>
                  <w:pPr>
                    <w:pStyle w:val="69"/>
                    <w:rPr>
                      <w:color w:val="auto"/>
                    </w:rPr>
                  </w:pPr>
                  <w:r>
                    <w:rPr>
                      <w:color w:val="auto"/>
                      <w:kern w:val="2"/>
                    </w:rPr>
                    <w:t>项目</w:t>
                  </w:r>
                  <w:r>
                    <w:rPr>
                      <w:rFonts w:hint="eastAsia"/>
                      <w:color w:val="auto"/>
                      <w:kern w:val="2"/>
                    </w:rPr>
                    <w:t>场地东北侧</w:t>
                  </w:r>
                </w:p>
              </w:tc>
              <w:tc>
                <w:tcPr>
                  <w:tcW w:w="771" w:type="pct"/>
                  <w:vMerge w:val="continue"/>
                  <w:noWrap w:val="0"/>
                  <w:vAlign w:val="center"/>
                </w:tcPr>
                <w:p>
                  <w:pPr>
                    <w:pStyle w:val="69"/>
                    <w:rPr>
                      <w:color w:val="auto"/>
                    </w:rPr>
                  </w:pPr>
                </w:p>
              </w:tc>
              <w:tc>
                <w:tcPr>
                  <w:tcW w:w="748" w:type="pct"/>
                  <w:vMerge w:val="continue"/>
                  <w:noWrap w:val="0"/>
                  <w:vAlign w:val="center"/>
                </w:tcPr>
                <w:p>
                  <w:pPr>
                    <w:pStyle w:val="69"/>
                    <w:rPr>
                      <w:color w:val="auto"/>
                    </w:rPr>
                  </w:pPr>
                </w:p>
              </w:tc>
            </w:tr>
          </w:tbl>
          <w:p>
            <w:pPr>
              <w:ind w:firstLine="480"/>
              <w:rPr>
                <w:color w:val="auto"/>
              </w:rPr>
            </w:pPr>
            <w:r>
              <w:rPr>
                <w:rFonts w:hint="eastAsia"/>
                <w:color w:val="auto"/>
              </w:rPr>
              <w:t>2、</w:t>
            </w:r>
            <w:r>
              <w:rPr>
                <w:color w:val="auto"/>
              </w:rPr>
              <w:t>监测结果及评价结果</w:t>
            </w:r>
          </w:p>
          <w:p>
            <w:pPr>
              <w:pStyle w:val="117"/>
              <w:rPr>
                <w:color w:val="auto"/>
              </w:rPr>
            </w:pPr>
            <w:r>
              <w:rPr>
                <w:color w:val="auto"/>
              </w:rPr>
              <w:t>表3-</w:t>
            </w:r>
            <w:r>
              <w:rPr>
                <w:rFonts w:hint="eastAsia"/>
                <w:color w:val="auto"/>
              </w:rPr>
              <w:t xml:space="preserve">4   </w:t>
            </w:r>
            <w:r>
              <w:rPr>
                <w:color w:val="auto"/>
              </w:rPr>
              <w:t>噪声检测结果</w:t>
            </w:r>
            <w:r>
              <w:rPr>
                <w:rFonts w:hint="eastAsia"/>
                <w:color w:val="auto"/>
              </w:rPr>
              <w:t xml:space="preserve">     </w:t>
            </w:r>
            <w:r>
              <w:rPr>
                <w:color w:val="auto"/>
              </w:rPr>
              <w:t>单位dB（A）</w:t>
            </w:r>
          </w:p>
          <w:tbl>
            <w:tblPr>
              <w:tblStyle w:val="38"/>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1"/>
              <w:gridCol w:w="3324"/>
              <w:gridCol w:w="1543"/>
              <w:gridCol w:w="16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trPr>
              <w:tc>
                <w:tcPr>
                  <w:tcW w:w="1087" w:type="pct"/>
                  <w:vMerge w:val="restart"/>
                  <w:noWrap w:val="0"/>
                  <w:vAlign w:val="center"/>
                </w:tcPr>
                <w:p>
                  <w:pPr>
                    <w:pStyle w:val="69"/>
                    <w:rPr>
                      <w:rFonts w:hint="eastAsia"/>
                      <w:color w:val="auto"/>
                    </w:rPr>
                  </w:pPr>
                  <w:r>
                    <w:rPr>
                      <w:rFonts w:hint="eastAsia"/>
                      <w:color w:val="auto"/>
                    </w:rPr>
                    <w:t>测点编号</w:t>
                  </w:r>
                </w:p>
              </w:tc>
              <w:tc>
                <w:tcPr>
                  <w:tcW w:w="2005" w:type="pct"/>
                  <w:vMerge w:val="restart"/>
                  <w:noWrap w:val="0"/>
                  <w:vAlign w:val="center"/>
                </w:tcPr>
                <w:p>
                  <w:pPr>
                    <w:pStyle w:val="69"/>
                    <w:rPr>
                      <w:rFonts w:hint="eastAsia"/>
                      <w:color w:val="auto"/>
                    </w:rPr>
                  </w:pPr>
                  <w:r>
                    <w:rPr>
                      <w:rFonts w:hint="eastAsia"/>
                      <w:color w:val="auto"/>
                    </w:rPr>
                    <w:t>监测位置</w:t>
                  </w:r>
                </w:p>
              </w:tc>
              <w:tc>
                <w:tcPr>
                  <w:tcW w:w="1906" w:type="pct"/>
                  <w:gridSpan w:val="2"/>
                  <w:noWrap w:val="0"/>
                  <w:vAlign w:val="center"/>
                </w:tcPr>
                <w:p>
                  <w:pPr>
                    <w:pStyle w:val="69"/>
                    <w:rPr>
                      <w:color w:val="auto"/>
                    </w:rPr>
                  </w:pPr>
                  <w:r>
                    <w:rPr>
                      <w:color w:val="auto"/>
                    </w:rPr>
                    <w:t>20</w:t>
                  </w:r>
                  <w:r>
                    <w:rPr>
                      <w:rFonts w:hint="eastAsia"/>
                      <w:color w:val="auto"/>
                    </w:rPr>
                    <w:t>22</w:t>
                  </w:r>
                  <w:r>
                    <w:rPr>
                      <w:color w:val="auto"/>
                    </w:rPr>
                    <w:t>年</w:t>
                  </w:r>
                  <w:r>
                    <w:rPr>
                      <w:rFonts w:hint="eastAsia"/>
                      <w:color w:val="auto"/>
                    </w:rPr>
                    <w:t>3</w:t>
                  </w:r>
                  <w:r>
                    <w:rPr>
                      <w:color w:val="auto"/>
                    </w:rPr>
                    <w:t>月</w:t>
                  </w:r>
                  <w:r>
                    <w:rPr>
                      <w:rFonts w:hint="eastAsia"/>
                      <w:color w:val="auto"/>
                    </w:rPr>
                    <w:t>16</w:t>
                  </w:r>
                  <w:r>
                    <w:rPr>
                      <w:color w:val="auto"/>
                    </w:rPr>
                    <w:t>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0" w:hRule="atLeast"/>
              </w:trPr>
              <w:tc>
                <w:tcPr>
                  <w:tcW w:w="1087" w:type="pct"/>
                  <w:vMerge w:val="continue"/>
                  <w:noWrap w:val="0"/>
                  <w:vAlign w:val="center"/>
                </w:tcPr>
                <w:p>
                  <w:pPr>
                    <w:pStyle w:val="69"/>
                    <w:rPr>
                      <w:color w:val="auto"/>
                    </w:rPr>
                  </w:pPr>
                </w:p>
              </w:tc>
              <w:tc>
                <w:tcPr>
                  <w:tcW w:w="2005" w:type="pct"/>
                  <w:vMerge w:val="continue"/>
                  <w:noWrap w:val="0"/>
                  <w:vAlign w:val="center"/>
                </w:tcPr>
                <w:p>
                  <w:pPr>
                    <w:pStyle w:val="69"/>
                    <w:rPr>
                      <w:color w:val="auto"/>
                    </w:rPr>
                  </w:pPr>
                </w:p>
              </w:tc>
              <w:tc>
                <w:tcPr>
                  <w:tcW w:w="931" w:type="pct"/>
                  <w:noWrap w:val="0"/>
                  <w:vAlign w:val="center"/>
                </w:tcPr>
                <w:p>
                  <w:pPr>
                    <w:pStyle w:val="69"/>
                    <w:rPr>
                      <w:color w:val="auto"/>
                    </w:rPr>
                  </w:pPr>
                  <w:r>
                    <w:rPr>
                      <w:color w:val="auto"/>
                    </w:rPr>
                    <w:t>昼</w:t>
                  </w:r>
                  <w:r>
                    <w:rPr>
                      <w:rFonts w:hint="eastAsia"/>
                      <w:color w:val="auto"/>
                    </w:rPr>
                    <w:t>间</w:t>
                  </w:r>
                </w:p>
              </w:tc>
              <w:tc>
                <w:tcPr>
                  <w:tcW w:w="975" w:type="pct"/>
                  <w:noWrap w:val="0"/>
                  <w:vAlign w:val="center"/>
                </w:tcPr>
                <w:p>
                  <w:pPr>
                    <w:pStyle w:val="69"/>
                    <w:rPr>
                      <w:color w:val="auto"/>
                    </w:rPr>
                  </w:pPr>
                  <w:r>
                    <w:rPr>
                      <w:color w:val="auto"/>
                    </w:rPr>
                    <w:t>夜</w:t>
                  </w:r>
                  <w:r>
                    <w:rPr>
                      <w:rFonts w:hint="eastAsia"/>
                      <w:color w:val="auto"/>
                    </w:rPr>
                    <w:t>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4" w:hRule="atLeast"/>
              </w:trPr>
              <w:tc>
                <w:tcPr>
                  <w:tcW w:w="1087" w:type="pct"/>
                  <w:tcBorders>
                    <w:top w:val="single" w:color="auto" w:sz="4" w:space="0"/>
                    <w:bottom w:val="single" w:color="auto" w:sz="4" w:space="0"/>
                  </w:tcBorders>
                  <w:noWrap w:val="0"/>
                  <w:vAlign w:val="center"/>
                </w:tcPr>
                <w:p>
                  <w:pPr>
                    <w:pStyle w:val="69"/>
                    <w:ind w:firstLine="630" w:firstLineChars="300"/>
                    <w:jc w:val="both"/>
                    <w:rPr>
                      <w:color w:val="auto"/>
                    </w:rPr>
                  </w:pPr>
                  <w:r>
                    <w:rPr>
                      <w:color w:val="auto"/>
                    </w:rPr>
                    <w:t>1#</w:t>
                  </w:r>
                </w:p>
              </w:tc>
              <w:tc>
                <w:tcPr>
                  <w:tcW w:w="2005" w:type="pct"/>
                  <w:noWrap w:val="0"/>
                  <w:vAlign w:val="center"/>
                </w:tcPr>
                <w:p>
                  <w:pPr>
                    <w:pStyle w:val="69"/>
                    <w:rPr>
                      <w:color w:val="auto"/>
                    </w:rPr>
                  </w:pPr>
                  <w:r>
                    <w:rPr>
                      <w:color w:val="auto"/>
                      <w:kern w:val="2"/>
                    </w:rPr>
                    <w:t>项目</w:t>
                  </w:r>
                  <w:r>
                    <w:rPr>
                      <w:rFonts w:hint="eastAsia"/>
                      <w:color w:val="auto"/>
                      <w:kern w:val="2"/>
                    </w:rPr>
                    <w:t>场地屋面</w:t>
                  </w:r>
                </w:p>
              </w:tc>
              <w:tc>
                <w:tcPr>
                  <w:tcW w:w="931" w:type="pct"/>
                  <w:noWrap w:val="0"/>
                  <w:vAlign w:val="center"/>
                </w:tcPr>
                <w:p>
                  <w:pPr>
                    <w:pStyle w:val="69"/>
                    <w:rPr>
                      <w:color w:val="auto"/>
                    </w:rPr>
                  </w:pPr>
                  <w:r>
                    <w:rPr>
                      <w:rFonts w:hint="eastAsia"/>
                      <w:color w:val="auto"/>
                    </w:rPr>
                    <w:t>58</w:t>
                  </w:r>
                </w:p>
              </w:tc>
              <w:tc>
                <w:tcPr>
                  <w:tcW w:w="975" w:type="pct"/>
                  <w:noWrap w:val="0"/>
                  <w:vAlign w:val="center"/>
                </w:tcPr>
                <w:p>
                  <w:pPr>
                    <w:pStyle w:val="69"/>
                    <w:rPr>
                      <w:color w:val="auto"/>
                    </w:rPr>
                  </w:pPr>
                  <w:r>
                    <w:rPr>
                      <w:rFonts w:hint="eastAsia"/>
                      <w:color w:val="auto"/>
                    </w:rPr>
                    <w:t>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8" w:hRule="atLeast"/>
              </w:trPr>
              <w:tc>
                <w:tcPr>
                  <w:tcW w:w="1087" w:type="pct"/>
                  <w:tcBorders>
                    <w:top w:val="single" w:color="auto" w:sz="4" w:space="0"/>
                    <w:bottom w:val="single" w:color="auto" w:sz="4" w:space="0"/>
                  </w:tcBorders>
                  <w:noWrap w:val="0"/>
                  <w:vAlign w:val="center"/>
                </w:tcPr>
                <w:p>
                  <w:pPr>
                    <w:pStyle w:val="69"/>
                    <w:rPr>
                      <w:color w:val="auto"/>
                    </w:rPr>
                  </w:pPr>
                  <w:r>
                    <w:rPr>
                      <w:color w:val="auto"/>
                    </w:rPr>
                    <w:t>2#</w:t>
                  </w:r>
                </w:p>
              </w:tc>
              <w:tc>
                <w:tcPr>
                  <w:tcW w:w="2005" w:type="pct"/>
                  <w:noWrap w:val="0"/>
                  <w:vAlign w:val="center"/>
                </w:tcPr>
                <w:p>
                  <w:pPr>
                    <w:pStyle w:val="69"/>
                    <w:rPr>
                      <w:color w:val="auto"/>
                    </w:rPr>
                  </w:pPr>
                  <w:r>
                    <w:rPr>
                      <w:color w:val="auto"/>
                      <w:kern w:val="2"/>
                    </w:rPr>
                    <w:t>项目</w:t>
                  </w:r>
                  <w:r>
                    <w:rPr>
                      <w:rFonts w:hint="eastAsia"/>
                      <w:color w:val="auto"/>
                      <w:kern w:val="2"/>
                    </w:rPr>
                    <w:t>场地东北侧</w:t>
                  </w:r>
                </w:p>
              </w:tc>
              <w:tc>
                <w:tcPr>
                  <w:tcW w:w="931" w:type="pct"/>
                  <w:noWrap w:val="0"/>
                  <w:vAlign w:val="center"/>
                </w:tcPr>
                <w:p>
                  <w:pPr>
                    <w:pStyle w:val="69"/>
                    <w:rPr>
                      <w:color w:val="auto"/>
                    </w:rPr>
                  </w:pPr>
                  <w:r>
                    <w:rPr>
                      <w:rFonts w:hint="eastAsia"/>
                      <w:color w:val="auto"/>
                    </w:rPr>
                    <w:t>56</w:t>
                  </w:r>
                </w:p>
              </w:tc>
              <w:tc>
                <w:tcPr>
                  <w:tcW w:w="975" w:type="pct"/>
                  <w:noWrap w:val="0"/>
                  <w:vAlign w:val="center"/>
                </w:tcPr>
                <w:p>
                  <w:pPr>
                    <w:pStyle w:val="69"/>
                    <w:rPr>
                      <w:color w:val="auto"/>
                    </w:rPr>
                  </w:pPr>
                  <w:r>
                    <w:rPr>
                      <w:rFonts w:hint="eastAsia"/>
                      <w:color w:val="auto"/>
                    </w:rPr>
                    <w:t>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1" w:hRule="atLeast"/>
              </w:trPr>
              <w:tc>
                <w:tcPr>
                  <w:tcW w:w="3093" w:type="pct"/>
                  <w:gridSpan w:val="2"/>
                  <w:tcBorders>
                    <w:top w:val="single" w:color="auto" w:sz="4" w:space="0"/>
                    <w:bottom w:val="single" w:color="auto" w:sz="4" w:space="0"/>
                  </w:tcBorders>
                  <w:noWrap w:val="0"/>
                  <w:vAlign w:val="center"/>
                </w:tcPr>
                <w:p>
                  <w:pPr>
                    <w:pStyle w:val="69"/>
                    <w:rPr>
                      <w:color w:val="auto"/>
                    </w:rPr>
                  </w:pPr>
                  <w:r>
                    <w:rPr>
                      <w:rFonts w:hint="eastAsia"/>
                      <w:color w:val="auto"/>
                    </w:rPr>
                    <w:t>《声环境质量标准》</w:t>
                  </w:r>
                  <w:r>
                    <w:rPr>
                      <w:color w:val="auto"/>
                    </w:rPr>
                    <w:t>（GB3096</w:t>
                  </w:r>
                  <w:r>
                    <w:rPr>
                      <w:rFonts w:hint="eastAsia"/>
                      <w:color w:val="auto"/>
                    </w:rPr>
                    <w:t>-</w:t>
                  </w:r>
                  <w:r>
                    <w:rPr>
                      <w:color w:val="auto"/>
                    </w:rPr>
                    <w:t>2008）中</w:t>
                  </w:r>
                  <w:r>
                    <w:rPr>
                      <w:rFonts w:hint="eastAsia"/>
                      <w:color w:val="auto"/>
                    </w:rPr>
                    <w:t>2类</w:t>
                  </w:r>
                  <w:r>
                    <w:rPr>
                      <w:color w:val="auto"/>
                    </w:rPr>
                    <w:t>标准</w:t>
                  </w:r>
                </w:p>
              </w:tc>
              <w:tc>
                <w:tcPr>
                  <w:tcW w:w="931" w:type="pct"/>
                  <w:tcBorders>
                    <w:top w:val="single" w:color="auto" w:sz="4" w:space="0"/>
                    <w:bottom w:val="single" w:color="auto" w:sz="4" w:space="0"/>
                  </w:tcBorders>
                  <w:noWrap w:val="0"/>
                  <w:vAlign w:val="center"/>
                </w:tcPr>
                <w:p>
                  <w:pPr>
                    <w:pStyle w:val="69"/>
                    <w:rPr>
                      <w:color w:val="auto"/>
                    </w:rPr>
                  </w:pPr>
                  <w:r>
                    <w:rPr>
                      <w:rFonts w:hint="eastAsia"/>
                      <w:color w:val="auto"/>
                    </w:rPr>
                    <w:t>60</w:t>
                  </w:r>
                </w:p>
              </w:tc>
              <w:tc>
                <w:tcPr>
                  <w:tcW w:w="975" w:type="pct"/>
                  <w:tcBorders>
                    <w:top w:val="single" w:color="auto" w:sz="4" w:space="0"/>
                    <w:bottom w:val="single" w:color="auto" w:sz="4" w:space="0"/>
                  </w:tcBorders>
                  <w:noWrap w:val="0"/>
                  <w:vAlign w:val="center"/>
                </w:tcPr>
                <w:p>
                  <w:pPr>
                    <w:pStyle w:val="69"/>
                    <w:rPr>
                      <w:color w:val="auto"/>
                    </w:rPr>
                  </w:pPr>
                  <w:r>
                    <w:rPr>
                      <w:rFonts w:hint="eastAsia"/>
                      <w:color w:val="auto"/>
                    </w:rPr>
                    <w:t>50</w:t>
                  </w:r>
                </w:p>
              </w:tc>
            </w:tr>
          </w:tbl>
          <w:p>
            <w:pPr>
              <w:ind w:firstLine="480"/>
              <w:rPr>
                <w:rFonts w:ascii="宋体" w:hAnsi="宋体" w:cs="宋体"/>
                <w:color w:val="auto"/>
                <w:kern w:val="0"/>
              </w:rPr>
            </w:pPr>
            <w:r>
              <w:rPr>
                <w:color w:val="auto"/>
              </w:rPr>
              <w:t>由表3-</w:t>
            </w:r>
            <w:r>
              <w:rPr>
                <w:rFonts w:hint="eastAsia"/>
                <w:color w:val="auto"/>
              </w:rPr>
              <w:t>4</w:t>
            </w:r>
            <w:r>
              <w:rPr>
                <w:color w:val="auto"/>
              </w:rPr>
              <w:t>的监测结果统计表可以看出，</w:t>
            </w:r>
            <w:r>
              <w:rPr>
                <w:rFonts w:hint="eastAsia"/>
                <w:color w:val="auto"/>
              </w:rPr>
              <w:t>本项目厂界及</w:t>
            </w:r>
            <w:r>
              <w:rPr>
                <w:color w:val="auto"/>
              </w:rPr>
              <w:t>周边敏感点处</w:t>
            </w:r>
            <w:r>
              <w:rPr>
                <w:rFonts w:hint="eastAsia"/>
                <w:color w:val="auto"/>
              </w:rPr>
              <w:t>声环境质量满足《声环境质量标准》（GB3096-2008）中2类标准限值要求</w:t>
            </w:r>
            <w:r>
              <w:rPr>
                <w:color w:val="auto"/>
              </w:rPr>
              <w:t>，</w:t>
            </w:r>
            <w:r>
              <w:rPr>
                <w:rFonts w:hint="eastAsia"/>
                <w:color w:val="auto"/>
              </w:rPr>
              <w:t>昼间≤60dB（A），夜间≤50dB（A），</w:t>
            </w:r>
            <w:r>
              <w:rPr>
                <w:color w:val="auto"/>
              </w:rPr>
              <w:t>周边声环境质量现状较好。</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548" w:type="dxa"/>
            <w:noWrap w:val="0"/>
            <w:vAlign w:val="center"/>
          </w:tcPr>
          <w:p>
            <w:pPr>
              <w:adjustRightInd w:val="0"/>
              <w:snapToGrid w:val="0"/>
              <w:ind w:firstLine="0" w:firstLineChars="0"/>
              <w:jc w:val="center"/>
              <w:rPr>
                <w:rFonts w:hint="eastAsia" w:ascii="宋体" w:hAnsi="宋体" w:cs="宋体"/>
                <w:color w:val="auto"/>
                <w:kern w:val="0"/>
              </w:rPr>
            </w:pPr>
            <w:r>
              <w:rPr>
                <w:rFonts w:hint="eastAsia" w:ascii="宋体" w:hAnsi="宋体" w:cs="宋体"/>
                <w:color w:val="auto"/>
                <w:kern w:val="0"/>
              </w:rPr>
              <w:t>环境</w:t>
            </w:r>
          </w:p>
          <w:p>
            <w:pPr>
              <w:adjustRightInd w:val="0"/>
              <w:snapToGrid w:val="0"/>
              <w:ind w:firstLine="0" w:firstLineChars="0"/>
              <w:jc w:val="center"/>
              <w:rPr>
                <w:rFonts w:hint="eastAsia" w:ascii="宋体" w:hAnsi="宋体" w:cs="宋体"/>
                <w:color w:val="auto"/>
                <w:kern w:val="0"/>
              </w:rPr>
            </w:pPr>
            <w:r>
              <w:rPr>
                <w:rFonts w:hint="eastAsia" w:ascii="宋体" w:hAnsi="宋体" w:cs="宋体"/>
                <w:color w:val="auto"/>
                <w:kern w:val="0"/>
              </w:rPr>
              <w:t>保护</w:t>
            </w:r>
          </w:p>
          <w:p>
            <w:pPr>
              <w:adjustRightInd w:val="0"/>
              <w:snapToGrid w:val="0"/>
              <w:ind w:firstLine="0" w:firstLineChars="0"/>
              <w:jc w:val="center"/>
              <w:rPr>
                <w:rFonts w:hint="eastAsia" w:ascii="宋体" w:hAnsi="宋体" w:cs="宋体"/>
                <w:color w:val="auto"/>
                <w:kern w:val="0"/>
              </w:rPr>
            </w:pPr>
            <w:r>
              <w:rPr>
                <w:rFonts w:hint="eastAsia" w:ascii="宋体" w:hAnsi="宋体" w:cs="宋体"/>
                <w:color w:val="auto"/>
                <w:kern w:val="0"/>
              </w:rPr>
              <w:t>目标</w:t>
            </w:r>
          </w:p>
        </w:tc>
        <w:tc>
          <w:tcPr>
            <w:tcW w:w="8513" w:type="dxa"/>
            <w:noWrap w:val="0"/>
            <w:vAlign w:val="center"/>
          </w:tcPr>
          <w:p>
            <w:pPr>
              <w:pStyle w:val="101"/>
              <w:ind w:firstLine="480"/>
              <w:rPr>
                <w:color w:val="auto"/>
              </w:rPr>
            </w:pPr>
            <w:r>
              <w:rPr>
                <w:color w:val="auto"/>
              </w:rPr>
              <w:t>根据本项目排污特点和外环境特征确定环境保护目标如下：</w:t>
            </w:r>
          </w:p>
          <w:p>
            <w:pPr>
              <w:pStyle w:val="4"/>
              <w:rPr>
                <w:color w:val="auto"/>
              </w:rPr>
            </w:pPr>
            <w:r>
              <w:rPr>
                <w:color w:val="auto"/>
              </w:rPr>
              <w:t>一、大气环境保护目标</w:t>
            </w:r>
          </w:p>
          <w:p>
            <w:pPr>
              <w:pStyle w:val="104"/>
              <w:ind w:firstLine="480"/>
              <w:rPr>
                <w:color w:val="auto"/>
              </w:rPr>
            </w:pPr>
            <w:r>
              <w:rPr>
                <w:rFonts w:hint="eastAsia"/>
                <w:color w:val="auto"/>
              </w:rPr>
              <w:t>主要指项目场界外500m范围内的自然保护区、风景名胜区、居住区和农村地区中人群较集中的区域等保护目标。根据现场踏勘，本项目周围不涉及名胜古迹和重点文物保护单位，无自然保护区、风景名胜区等特殊需要保护的对象。</w:t>
            </w:r>
            <w:r>
              <w:rPr>
                <w:color w:val="auto"/>
              </w:rPr>
              <w:t>本项目租用</w:t>
            </w:r>
            <w:r>
              <w:rPr>
                <w:rFonts w:hint="eastAsia"/>
                <w:color w:val="auto"/>
              </w:rPr>
              <w:t>四川省乐山市市中区春华路中段656号的</w:t>
            </w:r>
            <w:r>
              <w:rPr>
                <w:color w:val="auto"/>
              </w:rPr>
              <w:t>商铺，项目左右侧均为商铺</w:t>
            </w:r>
            <w:r>
              <w:rPr>
                <w:rFonts w:hint="eastAsia"/>
                <w:color w:val="auto"/>
              </w:rPr>
              <w:t>，</w:t>
            </w:r>
            <w:r>
              <w:rPr>
                <w:color w:val="auto"/>
              </w:rPr>
              <w:t>项目</w:t>
            </w:r>
            <w:r>
              <w:rPr>
                <w:rFonts w:hint="eastAsia"/>
                <w:color w:val="auto"/>
              </w:rPr>
              <w:t>东</w:t>
            </w:r>
            <w:r>
              <w:rPr>
                <w:color w:val="auto"/>
              </w:rPr>
              <w:t>侧</w:t>
            </w:r>
            <w:r>
              <w:rPr>
                <w:rFonts w:hint="eastAsia"/>
                <w:color w:val="auto"/>
              </w:rPr>
              <w:t>200</w:t>
            </w:r>
            <w:r>
              <w:rPr>
                <w:color w:val="auto"/>
              </w:rPr>
              <w:t>m为</w:t>
            </w:r>
            <w:r>
              <w:rPr>
                <w:rFonts w:hint="eastAsia"/>
                <w:color w:val="auto"/>
              </w:rPr>
              <w:t>花语美地（约500人），东侧400m为世代华庭（约100人）；南侧紧邻春天花园（约1000人），南侧50m为老四号小区（约1000人）；400m为美林华园（约500人）</w:t>
            </w:r>
            <w:r>
              <w:rPr>
                <w:color w:val="auto"/>
              </w:rPr>
              <w:t>，</w:t>
            </w:r>
            <w:r>
              <w:rPr>
                <w:rFonts w:hint="eastAsia"/>
                <w:color w:val="auto"/>
              </w:rPr>
              <w:t>东南侧350</w:t>
            </w:r>
            <w:r>
              <w:rPr>
                <w:color w:val="auto"/>
              </w:rPr>
              <w:t>m为</w:t>
            </w:r>
            <w:r>
              <w:rPr>
                <w:rFonts w:hint="eastAsia"/>
                <w:color w:val="auto"/>
              </w:rPr>
              <w:t>天乐苑（约500人）；西侧紧邻嘉兴路，西侧100m处为嘉兴苑（约300人），西北侧400m处为天和大院（约1000人），西北侧400m为竹公溪；北侧紧邻春华路，北侧200m为1号小区（约1000人）；东北</w:t>
            </w:r>
            <w:r>
              <w:rPr>
                <w:color w:val="auto"/>
              </w:rPr>
              <w:t>侧</w:t>
            </w:r>
            <w:r>
              <w:rPr>
                <w:rFonts w:hint="eastAsia"/>
                <w:color w:val="auto"/>
              </w:rPr>
              <w:t>200</w:t>
            </w:r>
            <w:r>
              <w:rPr>
                <w:color w:val="auto"/>
              </w:rPr>
              <w:t>m为</w:t>
            </w:r>
            <w:r>
              <w:rPr>
                <w:rFonts w:hint="eastAsia"/>
                <w:color w:val="auto"/>
              </w:rPr>
              <w:t>乐山市柏杨小学（约2000人）</w:t>
            </w:r>
            <w:r>
              <w:rPr>
                <w:color w:val="auto"/>
              </w:rPr>
              <w:t>，</w:t>
            </w:r>
            <w:r>
              <w:rPr>
                <w:rFonts w:hint="eastAsia"/>
                <w:color w:val="auto"/>
              </w:rPr>
              <w:t>东北侧200</w:t>
            </w:r>
            <w:r>
              <w:rPr>
                <w:color w:val="auto"/>
              </w:rPr>
              <w:t>m为</w:t>
            </w:r>
            <w:r>
              <w:rPr>
                <w:rFonts w:hint="eastAsia"/>
                <w:color w:val="auto"/>
              </w:rPr>
              <w:t>鑫苑（约500人）</w:t>
            </w:r>
            <w:r>
              <w:rPr>
                <w:color w:val="auto"/>
              </w:rPr>
              <w:t>。</w:t>
            </w:r>
          </w:p>
          <w:p>
            <w:pPr>
              <w:pStyle w:val="4"/>
              <w:rPr>
                <w:color w:val="auto"/>
              </w:rPr>
            </w:pPr>
            <w:r>
              <w:rPr>
                <w:rFonts w:hint="eastAsia"/>
                <w:color w:val="auto"/>
              </w:rPr>
              <w:t>二、</w:t>
            </w:r>
            <w:r>
              <w:rPr>
                <w:color w:val="auto"/>
              </w:rPr>
              <w:t>声环境保护目标</w:t>
            </w:r>
          </w:p>
          <w:p>
            <w:pPr>
              <w:pStyle w:val="104"/>
              <w:ind w:firstLine="480"/>
              <w:rPr>
                <w:rFonts w:hint="eastAsia"/>
                <w:color w:val="auto"/>
              </w:rPr>
            </w:pPr>
            <w:r>
              <w:rPr>
                <w:rFonts w:hint="eastAsia"/>
                <w:color w:val="auto"/>
              </w:rPr>
              <w:t>主要指场界外50m范围内声环境保护目标。</w:t>
            </w:r>
          </w:p>
          <w:p>
            <w:pPr>
              <w:pStyle w:val="101"/>
              <w:ind w:firstLine="480"/>
              <w:rPr>
                <w:color w:val="auto"/>
              </w:rPr>
            </w:pPr>
            <w:r>
              <w:rPr>
                <w:color w:val="auto"/>
              </w:rPr>
              <w:t>项目</w:t>
            </w:r>
            <w:r>
              <w:rPr>
                <w:rFonts w:hint="eastAsia"/>
                <w:color w:val="auto"/>
              </w:rPr>
              <w:t>500m范围内</w:t>
            </w:r>
            <w:r>
              <w:rPr>
                <w:color w:val="auto"/>
              </w:rPr>
              <w:t>主要环境保护目标见下表：</w:t>
            </w:r>
          </w:p>
          <w:p>
            <w:pPr>
              <w:pStyle w:val="117"/>
              <w:rPr>
                <w:rFonts w:hint="eastAsia"/>
                <w:color w:val="auto"/>
              </w:rPr>
            </w:pPr>
            <w:r>
              <w:rPr>
                <w:color w:val="auto"/>
              </w:rPr>
              <w:t>表 3-</w:t>
            </w:r>
            <w:r>
              <w:rPr>
                <w:rFonts w:hint="eastAsia"/>
                <w:color w:val="auto"/>
              </w:rPr>
              <w:t>5</w:t>
            </w:r>
            <w:r>
              <w:rPr>
                <w:color w:val="auto"/>
              </w:rPr>
              <w:t xml:space="preserve">  </w:t>
            </w:r>
            <w:r>
              <w:rPr>
                <w:rFonts w:hint="eastAsia"/>
                <w:color w:val="auto"/>
              </w:rPr>
              <w:t xml:space="preserve"> </w:t>
            </w:r>
            <w:r>
              <w:rPr>
                <w:color w:val="auto"/>
              </w:rPr>
              <w:t xml:space="preserve"> 本项目主要环境敏感点</w:t>
            </w:r>
            <w:r>
              <w:rPr>
                <w:rFonts w:hint="eastAsia"/>
                <w:color w:val="auto"/>
              </w:rPr>
              <w:t>保护目标</w:t>
            </w:r>
          </w:p>
          <w:tbl>
            <w:tblPr>
              <w:tblStyle w:val="38"/>
              <w:tblW w:w="4993" w:type="pct"/>
              <w:tblInd w:w="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021"/>
              <w:gridCol w:w="1829"/>
              <w:gridCol w:w="1368"/>
              <w:gridCol w:w="856"/>
              <w:gridCol w:w="837"/>
              <w:gridCol w:w="741"/>
              <w:gridCol w:w="1628"/>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4" w:hRule="atLeast"/>
              </w:trPr>
              <w:tc>
                <w:tcPr>
                  <w:tcW w:w="617" w:type="pct"/>
                  <w:noWrap w:val="0"/>
                  <w:vAlign w:val="center"/>
                </w:tcPr>
                <w:p>
                  <w:pPr>
                    <w:pStyle w:val="69"/>
                    <w:rPr>
                      <w:color w:val="auto"/>
                    </w:rPr>
                  </w:pPr>
                  <w:r>
                    <w:rPr>
                      <w:color w:val="auto"/>
                    </w:rPr>
                    <w:t>环境影响类别</w:t>
                  </w:r>
                </w:p>
              </w:tc>
              <w:tc>
                <w:tcPr>
                  <w:tcW w:w="1104" w:type="pct"/>
                  <w:noWrap w:val="0"/>
                  <w:vAlign w:val="center"/>
                </w:tcPr>
                <w:p>
                  <w:pPr>
                    <w:pStyle w:val="69"/>
                    <w:rPr>
                      <w:color w:val="auto"/>
                    </w:rPr>
                  </w:pPr>
                  <w:r>
                    <w:rPr>
                      <w:color w:val="auto"/>
                    </w:rPr>
                    <w:t>环境敏感目标</w:t>
                  </w:r>
                </w:p>
              </w:tc>
              <w:tc>
                <w:tcPr>
                  <w:tcW w:w="826" w:type="pct"/>
                  <w:noWrap w:val="0"/>
                  <w:vAlign w:val="center"/>
                </w:tcPr>
                <w:p>
                  <w:pPr>
                    <w:pStyle w:val="69"/>
                    <w:rPr>
                      <w:rFonts w:hint="eastAsia"/>
                      <w:color w:val="auto"/>
                    </w:rPr>
                  </w:pPr>
                  <w:r>
                    <w:rPr>
                      <w:rFonts w:hint="eastAsia"/>
                      <w:color w:val="auto"/>
                    </w:rPr>
                    <w:t>性质</w:t>
                  </w:r>
                </w:p>
              </w:tc>
              <w:tc>
                <w:tcPr>
                  <w:tcW w:w="517" w:type="pct"/>
                  <w:noWrap w:val="0"/>
                  <w:vAlign w:val="center"/>
                </w:tcPr>
                <w:p>
                  <w:pPr>
                    <w:pStyle w:val="69"/>
                    <w:rPr>
                      <w:color w:val="auto"/>
                    </w:rPr>
                  </w:pPr>
                  <w:r>
                    <w:rPr>
                      <w:color w:val="auto"/>
                    </w:rPr>
                    <w:t>规模</w:t>
                  </w:r>
                  <w:r>
                    <w:rPr>
                      <w:rFonts w:hint="eastAsia"/>
                      <w:color w:val="auto"/>
                    </w:rPr>
                    <w:t>(人）</w:t>
                  </w:r>
                </w:p>
              </w:tc>
              <w:tc>
                <w:tcPr>
                  <w:tcW w:w="505" w:type="pct"/>
                  <w:noWrap w:val="0"/>
                  <w:vAlign w:val="center"/>
                </w:tcPr>
                <w:p>
                  <w:pPr>
                    <w:pStyle w:val="69"/>
                    <w:rPr>
                      <w:color w:val="auto"/>
                    </w:rPr>
                  </w:pPr>
                  <w:r>
                    <w:rPr>
                      <w:color w:val="auto"/>
                    </w:rPr>
                    <w:t>方位</w:t>
                  </w:r>
                </w:p>
              </w:tc>
              <w:tc>
                <w:tcPr>
                  <w:tcW w:w="446" w:type="pct"/>
                  <w:noWrap w:val="0"/>
                  <w:vAlign w:val="center"/>
                </w:tcPr>
                <w:p>
                  <w:pPr>
                    <w:pStyle w:val="69"/>
                    <w:rPr>
                      <w:color w:val="auto"/>
                    </w:rPr>
                  </w:pPr>
                  <w:r>
                    <w:rPr>
                      <w:color w:val="auto"/>
                    </w:rPr>
                    <w:t>最近距离</w:t>
                  </w:r>
                </w:p>
              </w:tc>
              <w:tc>
                <w:tcPr>
                  <w:tcW w:w="982" w:type="pct"/>
                  <w:noWrap w:val="0"/>
                  <w:vAlign w:val="center"/>
                </w:tcPr>
                <w:p>
                  <w:pPr>
                    <w:pStyle w:val="69"/>
                    <w:rPr>
                      <w:color w:val="auto"/>
                    </w:rPr>
                  </w:pPr>
                  <w:r>
                    <w:rPr>
                      <w:color w:val="auto"/>
                    </w:rPr>
                    <w:t>执行标准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 w:hRule="atLeast"/>
              </w:trPr>
              <w:tc>
                <w:tcPr>
                  <w:tcW w:w="617" w:type="pct"/>
                  <w:vMerge w:val="restart"/>
                  <w:noWrap w:val="0"/>
                  <w:vAlign w:val="center"/>
                </w:tcPr>
                <w:p>
                  <w:pPr>
                    <w:pStyle w:val="69"/>
                    <w:rPr>
                      <w:color w:val="auto"/>
                    </w:rPr>
                  </w:pPr>
                  <w:r>
                    <w:rPr>
                      <w:color w:val="auto"/>
                    </w:rPr>
                    <w:t>大气环境</w:t>
                  </w:r>
                </w:p>
                <w:p>
                  <w:pPr>
                    <w:pStyle w:val="69"/>
                    <w:rPr>
                      <w:color w:val="auto"/>
                    </w:rPr>
                  </w:pPr>
                  <w:r>
                    <w:rPr>
                      <w:rFonts w:hint="eastAsia"/>
                      <w:color w:val="auto"/>
                    </w:rPr>
                    <w:t>（500m范围内）</w:t>
                  </w:r>
                </w:p>
              </w:tc>
              <w:tc>
                <w:tcPr>
                  <w:tcW w:w="1104" w:type="pct"/>
                  <w:noWrap w:val="0"/>
                  <w:vAlign w:val="center"/>
                </w:tcPr>
                <w:p>
                  <w:pPr>
                    <w:pStyle w:val="69"/>
                    <w:rPr>
                      <w:color w:val="auto"/>
                    </w:rPr>
                  </w:pPr>
                  <w:r>
                    <w:rPr>
                      <w:color w:val="auto"/>
                    </w:rPr>
                    <w:t>花语美地</w:t>
                  </w:r>
                </w:p>
              </w:tc>
              <w:tc>
                <w:tcPr>
                  <w:tcW w:w="826" w:type="pct"/>
                  <w:noWrap w:val="0"/>
                  <w:vAlign w:val="center"/>
                </w:tcPr>
                <w:p>
                  <w:pPr>
                    <w:pStyle w:val="69"/>
                    <w:rPr>
                      <w:color w:val="auto"/>
                    </w:rPr>
                  </w:pPr>
                  <w:r>
                    <w:rPr>
                      <w:color w:val="auto"/>
                    </w:rPr>
                    <w:t>居民区</w:t>
                  </w:r>
                </w:p>
              </w:tc>
              <w:tc>
                <w:tcPr>
                  <w:tcW w:w="517" w:type="pct"/>
                  <w:noWrap w:val="0"/>
                  <w:vAlign w:val="center"/>
                </w:tcPr>
                <w:p>
                  <w:pPr>
                    <w:pStyle w:val="69"/>
                    <w:rPr>
                      <w:color w:val="auto"/>
                    </w:rPr>
                  </w:pPr>
                  <w:r>
                    <w:rPr>
                      <w:color w:val="auto"/>
                    </w:rPr>
                    <w:t>500</w:t>
                  </w:r>
                </w:p>
              </w:tc>
              <w:tc>
                <w:tcPr>
                  <w:tcW w:w="505" w:type="pct"/>
                  <w:noWrap w:val="0"/>
                  <w:vAlign w:val="center"/>
                </w:tcPr>
                <w:p>
                  <w:pPr>
                    <w:pStyle w:val="69"/>
                    <w:rPr>
                      <w:color w:val="auto"/>
                    </w:rPr>
                  </w:pPr>
                  <w:r>
                    <w:rPr>
                      <w:color w:val="auto"/>
                    </w:rPr>
                    <w:t>E</w:t>
                  </w:r>
                </w:p>
              </w:tc>
              <w:tc>
                <w:tcPr>
                  <w:tcW w:w="446" w:type="pct"/>
                  <w:noWrap w:val="0"/>
                  <w:vAlign w:val="center"/>
                </w:tcPr>
                <w:p>
                  <w:pPr>
                    <w:pStyle w:val="69"/>
                    <w:rPr>
                      <w:color w:val="auto"/>
                    </w:rPr>
                  </w:pPr>
                  <w:r>
                    <w:rPr>
                      <w:color w:val="auto"/>
                    </w:rPr>
                    <w:t>200</w:t>
                  </w:r>
                </w:p>
              </w:tc>
              <w:tc>
                <w:tcPr>
                  <w:tcW w:w="982" w:type="pct"/>
                  <w:vMerge w:val="restart"/>
                  <w:noWrap w:val="0"/>
                  <w:vAlign w:val="center"/>
                </w:tcPr>
                <w:p>
                  <w:pPr>
                    <w:pStyle w:val="69"/>
                    <w:rPr>
                      <w:color w:val="auto"/>
                    </w:rPr>
                  </w:pPr>
                  <w:r>
                    <w:rPr>
                      <w:color w:val="auto"/>
                    </w:rPr>
                    <w:t>《环境空气质量标准》GB 3095-2012二级标准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57" w:hRule="atLeast"/>
              </w:trPr>
              <w:tc>
                <w:tcPr>
                  <w:tcW w:w="617" w:type="pct"/>
                  <w:vMerge w:val="continue"/>
                  <w:noWrap w:val="0"/>
                  <w:vAlign w:val="center"/>
                </w:tcPr>
                <w:p>
                  <w:pPr>
                    <w:pStyle w:val="69"/>
                    <w:rPr>
                      <w:color w:val="auto"/>
                    </w:rPr>
                  </w:pPr>
                </w:p>
              </w:tc>
              <w:tc>
                <w:tcPr>
                  <w:tcW w:w="1104" w:type="pct"/>
                  <w:noWrap w:val="0"/>
                  <w:vAlign w:val="center"/>
                </w:tcPr>
                <w:p>
                  <w:pPr>
                    <w:pStyle w:val="69"/>
                    <w:rPr>
                      <w:color w:val="auto"/>
                    </w:rPr>
                  </w:pPr>
                  <w:r>
                    <w:rPr>
                      <w:color w:val="auto"/>
                    </w:rPr>
                    <w:t>春天花园小区</w:t>
                  </w:r>
                </w:p>
              </w:tc>
              <w:tc>
                <w:tcPr>
                  <w:tcW w:w="826" w:type="pct"/>
                  <w:noWrap w:val="0"/>
                  <w:vAlign w:val="center"/>
                </w:tcPr>
                <w:p>
                  <w:pPr>
                    <w:pStyle w:val="69"/>
                    <w:rPr>
                      <w:color w:val="auto"/>
                    </w:rPr>
                  </w:pPr>
                  <w:r>
                    <w:rPr>
                      <w:color w:val="auto"/>
                    </w:rPr>
                    <w:t>居民区</w:t>
                  </w:r>
                </w:p>
              </w:tc>
              <w:tc>
                <w:tcPr>
                  <w:tcW w:w="517" w:type="pct"/>
                  <w:noWrap w:val="0"/>
                  <w:vAlign w:val="center"/>
                </w:tcPr>
                <w:p>
                  <w:pPr>
                    <w:pStyle w:val="69"/>
                    <w:rPr>
                      <w:color w:val="auto"/>
                    </w:rPr>
                  </w:pPr>
                  <w:r>
                    <w:rPr>
                      <w:color w:val="auto"/>
                    </w:rPr>
                    <w:t>1000</w:t>
                  </w:r>
                </w:p>
              </w:tc>
              <w:tc>
                <w:tcPr>
                  <w:tcW w:w="505" w:type="pct"/>
                  <w:noWrap w:val="0"/>
                  <w:vAlign w:val="center"/>
                </w:tcPr>
                <w:p>
                  <w:pPr>
                    <w:pStyle w:val="69"/>
                    <w:rPr>
                      <w:color w:val="auto"/>
                    </w:rPr>
                  </w:pPr>
                  <w:r>
                    <w:rPr>
                      <w:color w:val="auto"/>
                    </w:rPr>
                    <w:t>S</w:t>
                  </w:r>
                </w:p>
              </w:tc>
              <w:tc>
                <w:tcPr>
                  <w:tcW w:w="446" w:type="pct"/>
                  <w:noWrap w:val="0"/>
                  <w:vAlign w:val="center"/>
                </w:tcPr>
                <w:p>
                  <w:pPr>
                    <w:pStyle w:val="69"/>
                    <w:rPr>
                      <w:color w:val="auto"/>
                    </w:rPr>
                  </w:pPr>
                  <w:r>
                    <w:rPr>
                      <w:rFonts w:hint="eastAsia"/>
                      <w:color w:val="auto"/>
                    </w:rPr>
                    <w:t>紧邻</w:t>
                  </w:r>
                </w:p>
              </w:tc>
              <w:tc>
                <w:tcPr>
                  <w:tcW w:w="982" w:type="pct"/>
                  <w:vMerge w:val="continue"/>
                  <w:noWrap w:val="0"/>
                  <w:vAlign w:val="center"/>
                </w:tcPr>
                <w:p>
                  <w:pPr>
                    <w:pStyle w:val="69"/>
                    <w:rPr>
                      <w:rFonts w:hint="eastAsia"/>
                      <w:color w:val="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 w:hRule="atLeast"/>
              </w:trPr>
              <w:tc>
                <w:tcPr>
                  <w:tcW w:w="617" w:type="pct"/>
                  <w:vMerge w:val="continue"/>
                  <w:noWrap w:val="0"/>
                  <w:vAlign w:val="center"/>
                </w:tcPr>
                <w:p>
                  <w:pPr>
                    <w:pStyle w:val="69"/>
                    <w:rPr>
                      <w:color w:val="auto"/>
                    </w:rPr>
                  </w:pPr>
                </w:p>
              </w:tc>
              <w:tc>
                <w:tcPr>
                  <w:tcW w:w="1104" w:type="pct"/>
                  <w:noWrap w:val="0"/>
                  <w:vAlign w:val="center"/>
                </w:tcPr>
                <w:p>
                  <w:pPr>
                    <w:pStyle w:val="69"/>
                    <w:rPr>
                      <w:color w:val="auto"/>
                    </w:rPr>
                  </w:pPr>
                  <w:r>
                    <w:rPr>
                      <w:color w:val="auto"/>
                    </w:rPr>
                    <w:t>老四号小区</w:t>
                  </w:r>
                </w:p>
              </w:tc>
              <w:tc>
                <w:tcPr>
                  <w:tcW w:w="826" w:type="pct"/>
                  <w:noWrap w:val="0"/>
                  <w:vAlign w:val="center"/>
                </w:tcPr>
                <w:p>
                  <w:pPr>
                    <w:pStyle w:val="69"/>
                    <w:rPr>
                      <w:color w:val="auto"/>
                    </w:rPr>
                  </w:pPr>
                  <w:r>
                    <w:rPr>
                      <w:color w:val="auto"/>
                    </w:rPr>
                    <w:t>居民区</w:t>
                  </w:r>
                </w:p>
              </w:tc>
              <w:tc>
                <w:tcPr>
                  <w:tcW w:w="517" w:type="pct"/>
                  <w:noWrap w:val="0"/>
                  <w:vAlign w:val="center"/>
                </w:tcPr>
                <w:p>
                  <w:pPr>
                    <w:pStyle w:val="69"/>
                    <w:rPr>
                      <w:color w:val="auto"/>
                    </w:rPr>
                  </w:pPr>
                  <w:r>
                    <w:rPr>
                      <w:color w:val="auto"/>
                    </w:rPr>
                    <w:t>1000</w:t>
                  </w:r>
                </w:p>
              </w:tc>
              <w:tc>
                <w:tcPr>
                  <w:tcW w:w="505" w:type="pct"/>
                  <w:noWrap w:val="0"/>
                  <w:vAlign w:val="center"/>
                </w:tcPr>
                <w:p>
                  <w:pPr>
                    <w:pStyle w:val="69"/>
                    <w:rPr>
                      <w:color w:val="auto"/>
                    </w:rPr>
                  </w:pPr>
                  <w:r>
                    <w:rPr>
                      <w:color w:val="auto"/>
                    </w:rPr>
                    <w:t>S</w:t>
                  </w:r>
                </w:p>
              </w:tc>
              <w:tc>
                <w:tcPr>
                  <w:tcW w:w="446" w:type="pct"/>
                  <w:noWrap w:val="0"/>
                  <w:vAlign w:val="center"/>
                </w:tcPr>
                <w:p>
                  <w:pPr>
                    <w:pStyle w:val="69"/>
                    <w:rPr>
                      <w:color w:val="auto"/>
                    </w:rPr>
                  </w:pPr>
                  <w:r>
                    <w:rPr>
                      <w:color w:val="auto"/>
                    </w:rPr>
                    <w:t>150</w:t>
                  </w:r>
                </w:p>
              </w:tc>
              <w:tc>
                <w:tcPr>
                  <w:tcW w:w="982" w:type="pct"/>
                  <w:vMerge w:val="continue"/>
                  <w:noWrap w:val="0"/>
                  <w:vAlign w:val="center"/>
                </w:tcPr>
                <w:p>
                  <w:pPr>
                    <w:pStyle w:val="69"/>
                    <w:rPr>
                      <w:color w:val="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 w:hRule="atLeast"/>
              </w:trPr>
              <w:tc>
                <w:tcPr>
                  <w:tcW w:w="617" w:type="pct"/>
                  <w:vMerge w:val="continue"/>
                  <w:noWrap w:val="0"/>
                  <w:vAlign w:val="center"/>
                </w:tcPr>
                <w:p>
                  <w:pPr>
                    <w:pStyle w:val="69"/>
                    <w:rPr>
                      <w:color w:val="auto"/>
                    </w:rPr>
                  </w:pPr>
                </w:p>
              </w:tc>
              <w:tc>
                <w:tcPr>
                  <w:tcW w:w="1104" w:type="pct"/>
                  <w:noWrap w:val="0"/>
                  <w:vAlign w:val="center"/>
                </w:tcPr>
                <w:p>
                  <w:pPr>
                    <w:pStyle w:val="69"/>
                    <w:rPr>
                      <w:color w:val="auto"/>
                    </w:rPr>
                  </w:pPr>
                  <w:r>
                    <w:rPr>
                      <w:color w:val="auto"/>
                    </w:rPr>
                    <w:t>美林花园</w:t>
                  </w:r>
                </w:p>
              </w:tc>
              <w:tc>
                <w:tcPr>
                  <w:tcW w:w="826" w:type="pct"/>
                  <w:noWrap w:val="0"/>
                  <w:vAlign w:val="center"/>
                </w:tcPr>
                <w:p>
                  <w:pPr>
                    <w:pStyle w:val="69"/>
                    <w:rPr>
                      <w:color w:val="auto"/>
                    </w:rPr>
                  </w:pPr>
                  <w:r>
                    <w:rPr>
                      <w:color w:val="auto"/>
                    </w:rPr>
                    <w:t>居民区</w:t>
                  </w:r>
                </w:p>
              </w:tc>
              <w:tc>
                <w:tcPr>
                  <w:tcW w:w="517" w:type="pct"/>
                  <w:noWrap w:val="0"/>
                  <w:vAlign w:val="center"/>
                </w:tcPr>
                <w:p>
                  <w:pPr>
                    <w:pStyle w:val="69"/>
                    <w:rPr>
                      <w:color w:val="auto"/>
                    </w:rPr>
                  </w:pPr>
                  <w:r>
                    <w:rPr>
                      <w:color w:val="auto"/>
                    </w:rPr>
                    <w:t>500</w:t>
                  </w:r>
                </w:p>
              </w:tc>
              <w:tc>
                <w:tcPr>
                  <w:tcW w:w="505" w:type="pct"/>
                  <w:noWrap w:val="0"/>
                  <w:vAlign w:val="center"/>
                </w:tcPr>
                <w:p>
                  <w:pPr>
                    <w:pStyle w:val="69"/>
                    <w:rPr>
                      <w:color w:val="auto"/>
                    </w:rPr>
                  </w:pPr>
                  <w:r>
                    <w:rPr>
                      <w:color w:val="auto"/>
                    </w:rPr>
                    <w:t>S</w:t>
                  </w:r>
                </w:p>
              </w:tc>
              <w:tc>
                <w:tcPr>
                  <w:tcW w:w="446" w:type="pct"/>
                  <w:noWrap w:val="0"/>
                  <w:vAlign w:val="center"/>
                </w:tcPr>
                <w:p>
                  <w:pPr>
                    <w:pStyle w:val="69"/>
                    <w:rPr>
                      <w:color w:val="auto"/>
                    </w:rPr>
                  </w:pPr>
                  <w:r>
                    <w:rPr>
                      <w:color w:val="auto"/>
                    </w:rPr>
                    <w:t>400</w:t>
                  </w:r>
                </w:p>
              </w:tc>
              <w:tc>
                <w:tcPr>
                  <w:tcW w:w="982" w:type="pct"/>
                  <w:vMerge w:val="continue"/>
                  <w:noWrap w:val="0"/>
                  <w:vAlign w:val="center"/>
                </w:tcPr>
                <w:p>
                  <w:pPr>
                    <w:pStyle w:val="69"/>
                    <w:rPr>
                      <w:color w:val="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 w:hRule="atLeast"/>
              </w:trPr>
              <w:tc>
                <w:tcPr>
                  <w:tcW w:w="617" w:type="pct"/>
                  <w:vMerge w:val="continue"/>
                  <w:noWrap w:val="0"/>
                  <w:vAlign w:val="center"/>
                </w:tcPr>
                <w:p>
                  <w:pPr>
                    <w:pStyle w:val="69"/>
                    <w:rPr>
                      <w:color w:val="auto"/>
                    </w:rPr>
                  </w:pPr>
                </w:p>
              </w:tc>
              <w:tc>
                <w:tcPr>
                  <w:tcW w:w="1104" w:type="pct"/>
                  <w:noWrap w:val="0"/>
                  <w:vAlign w:val="center"/>
                </w:tcPr>
                <w:p>
                  <w:pPr>
                    <w:pStyle w:val="69"/>
                    <w:rPr>
                      <w:color w:val="auto"/>
                    </w:rPr>
                  </w:pPr>
                  <w:r>
                    <w:rPr>
                      <w:color w:val="auto"/>
                    </w:rPr>
                    <w:t>嘉兴苑</w:t>
                  </w:r>
                </w:p>
              </w:tc>
              <w:tc>
                <w:tcPr>
                  <w:tcW w:w="826" w:type="pct"/>
                  <w:noWrap w:val="0"/>
                  <w:vAlign w:val="center"/>
                </w:tcPr>
                <w:p>
                  <w:pPr>
                    <w:pStyle w:val="69"/>
                    <w:rPr>
                      <w:color w:val="auto"/>
                    </w:rPr>
                  </w:pPr>
                  <w:r>
                    <w:rPr>
                      <w:color w:val="auto"/>
                    </w:rPr>
                    <w:t>居民区</w:t>
                  </w:r>
                </w:p>
              </w:tc>
              <w:tc>
                <w:tcPr>
                  <w:tcW w:w="517" w:type="pct"/>
                  <w:noWrap w:val="0"/>
                  <w:vAlign w:val="center"/>
                </w:tcPr>
                <w:p>
                  <w:pPr>
                    <w:pStyle w:val="69"/>
                    <w:rPr>
                      <w:color w:val="auto"/>
                    </w:rPr>
                  </w:pPr>
                  <w:r>
                    <w:rPr>
                      <w:color w:val="auto"/>
                    </w:rPr>
                    <w:t>300</w:t>
                  </w:r>
                </w:p>
              </w:tc>
              <w:tc>
                <w:tcPr>
                  <w:tcW w:w="505" w:type="pct"/>
                  <w:noWrap w:val="0"/>
                  <w:vAlign w:val="center"/>
                </w:tcPr>
                <w:p>
                  <w:pPr>
                    <w:pStyle w:val="69"/>
                    <w:rPr>
                      <w:color w:val="auto"/>
                    </w:rPr>
                  </w:pPr>
                  <w:r>
                    <w:rPr>
                      <w:color w:val="auto"/>
                    </w:rPr>
                    <w:t>W</w:t>
                  </w:r>
                </w:p>
              </w:tc>
              <w:tc>
                <w:tcPr>
                  <w:tcW w:w="446" w:type="pct"/>
                  <w:noWrap w:val="0"/>
                  <w:vAlign w:val="center"/>
                </w:tcPr>
                <w:p>
                  <w:pPr>
                    <w:pStyle w:val="69"/>
                    <w:rPr>
                      <w:color w:val="auto"/>
                    </w:rPr>
                  </w:pPr>
                  <w:r>
                    <w:rPr>
                      <w:color w:val="auto"/>
                    </w:rPr>
                    <w:t>100</w:t>
                  </w:r>
                </w:p>
              </w:tc>
              <w:tc>
                <w:tcPr>
                  <w:tcW w:w="982" w:type="pct"/>
                  <w:vMerge w:val="continue"/>
                  <w:noWrap w:val="0"/>
                  <w:vAlign w:val="center"/>
                </w:tcPr>
                <w:p>
                  <w:pPr>
                    <w:pStyle w:val="69"/>
                    <w:rPr>
                      <w:color w:val="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 w:hRule="atLeast"/>
              </w:trPr>
              <w:tc>
                <w:tcPr>
                  <w:tcW w:w="617" w:type="pct"/>
                  <w:vMerge w:val="continue"/>
                  <w:noWrap w:val="0"/>
                  <w:vAlign w:val="center"/>
                </w:tcPr>
                <w:p>
                  <w:pPr>
                    <w:pStyle w:val="69"/>
                    <w:rPr>
                      <w:color w:val="auto"/>
                    </w:rPr>
                  </w:pPr>
                </w:p>
              </w:tc>
              <w:tc>
                <w:tcPr>
                  <w:tcW w:w="1104" w:type="pct"/>
                  <w:noWrap w:val="0"/>
                  <w:vAlign w:val="center"/>
                </w:tcPr>
                <w:p>
                  <w:pPr>
                    <w:pStyle w:val="69"/>
                    <w:rPr>
                      <w:color w:val="auto"/>
                    </w:rPr>
                  </w:pPr>
                  <w:r>
                    <w:rPr>
                      <w:color w:val="auto"/>
                    </w:rPr>
                    <w:t>1号小区</w:t>
                  </w:r>
                </w:p>
              </w:tc>
              <w:tc>
                <w:tcPr>
                  <w:tcW w:w="826" w:type="pct"/>
                  <w:noWrap w:val="0"/>
                  <w:vAlign w:val="center"/>
                </w:tcPr>
                <w:p>
                  <w:pPr>
                    <w:pStyle w:val="69"/>
                    <w:rPr>
                      <w:color w:val="auto"/>
                    </w:rPr>
                  </w:pPr>
                  <w:r>
                    <w:rPr>
                      <w:color w:val="auto"/>
                    </w:rPr>
                    <w:t>居民区</w:t>
                  </w:r>
                </w:p>
              </w:tc>
              <w:tc>
                <w:tcPr>
                  <w:tcW w:w="517" w:type="pct"/>
                  <w:noWrap w:val="0"/>
                  <w:vAlign w:val="center"/>
                </w:tcPr>
                <w:p>
                  <w:pPr>
                    <w:pStyle w:val="69"/>
                    <w:rPr>
                      <w:color w:val="auto"/>
                    </w:rPr>
                  </w:pPr>
                  <w:r>
                    <w:rPr>
                      <w:color w:val="auto"/>
                    </w:rPr>
                    <w:t>1000</w:t>
                  </w:r>
                </w:p>
              </w:tc>
              <w:tc>
                <w:tcPr>
                  <w:tcW w:w="505" w:type="pct"/>
                  <w:noWrap w:val="0"/>
                  <w:vAlign w:val="center"/>
                </w:tcPr>
                <w:p>
                  <w:pPr>
                    <w:pStyle w:val="69"/>
                    <w:rPr>
                      <w:color w:val="auto"/>
                    </w:rPr>
                  </w:pPr>
                  <w:r>
                    <w:rPr>
                      <w:color w:val="auto"/>
                    </w:rPr>
                    <w:t>N</w:t>
                  </w:r>
                </w:p>
              </w:tc>
              <w:tc>
                <w:tcPr>
                  <w:tcW w:w="446" w:type="pct"/>
                  <w:noWrap w:val="0"/>
                  <w:vAlign w:val="center"/>
                </w:tcPr>
                <w:p>
                  <w:pPr>
                    <w:pStyle w:val="69"/>
                    <w:rPr>
                      <w:color w:val="auto"/>
                    </w:rPr>
                  </w:pPr>
                  <w:r>
                    <w:rPr>
                      <w:color w:val="auto"/>
                    </w:rPr>
                    <w:t>200</w:t>
                  </w:r>
                </w:p>
              </w:tc>
              <w:tc>
                <w:tcPr>
                  <w:tcW w:w="982" w:type="pct"/>
                  <w:vMerge w:val="continue"/>
                  <w:noWrap w:val="0"/>
                  <w:vAlign w:val="center"/>
                </w:tcPr>
                <w:p>
                  <w:pPr>
                    <w:pStyle w:val="69"/>
                    <w:rPr>
                      <w:color w:val="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 w:hRule="atLeast"/>
              </w:trPr>
              <w:tc>
                <w:tcPr>
                  <w:tcW w:w="617" w:type="pct"/>
                  <w:vMerge w:val="continue"/>
                  <w:noWrap w:val="0"/>
                  <w:vAlign w:val="center"/>
                </w:tcPr>
                <w:p>
                  <w:pPr>
                    <w:pStyle w:val="69"/>
                    <w:rPr>
                      <w:color w:val="auto"/>
                    </w:rPr>
                  </w:pPr>
                </w:p>
              </w:tc>
              <w:tc>
                <w:tcPr>
                  <w:tcW w:w="1104" w:type="pct"/>
                  <w:noWrap w:val="0"/>
                  <w:vAlign w:val="center"/>
                </w:tcPr>
                <w:p>
                  <w:pPr>
                    <w:pStyle w:val="69"/>
                    <w:rPr>
                      <w:color w:val="auto"/>
                    </w:rPr>
                  </w:pPr>
                  <w:r>
                    <w:rPr>
                      <w:color w:val="auto"/>
                    </w:rPr>
                    <w:t>乐山市柏杨小学</w:t>
                  </w:r>
                </w:p>
              </w:tc>
              <w:tc>
                <w:tcPr>
                  <w:tcW w:w="826" w:type="pct"/>
                  <w:noWrap w:val="0"/>
                  <w:vAlign w:val="center"/>
                </w:tcPr>
                <w:p>
                  <w:pPr>
                    <w:pStyle w:val="69"/>
                    <w:rPr>
                      <w:color w:val="auto"/>
                    </w:rPr>
                  </w:pPr>
                  <w:r>
                    <w:rPr>
                      <w:color w:val="auto"/>
                    </w:rPr>
                    <w:t>居民活动区域</w:t>
                  </w:r>
                </w:p>
              </w:tc>
              <w:tc>
                <w:tcPr>
                  <w:tcW w:w="517" w:type="pct"/>
                  <w:noWrap w:val="0"/>
                  <w:vAlign w:val="center"/>
                </w:tcPr>
                <w:p>
                  <w:pPr>
                    <w:pStyle w:val="69"/>
                    <w:rPr>
                      <w:color w:val="auto"/>
                    </w:rPr>
                  </w:pPr>
                  <w:r>
                    <w:rPr>
                      <w:color w:val="auto"/>
                    </w:rPr>
                    <w:t>2000</w:t>
                  </w:r>
                </w:p>
              </w:tc>
              <w:tc>
                <w:tcPr>
                  <w:tcW w:w="505" w:type="pct"/>
                  <w:noWrap w:val="0"/>
                  <w:vAlign w:val="center"/>
                </w:tcPr>
                <w:p>
                  <w:pPr>
                    <w:pStyle w:val="69"/>
                    <w:rPr>
                      <w:color w:val="auto"/>
                    </w:rPr>
                  </w:pPr>
                  <w:r>
                    <w:rPr>
                      <w:color w:val="auto"/>
                    </w:rPr>
                    <w:t>NE</w:t>
                  </w:r>
                </w:p>
              </w:tc>
              <w:tc>
                <w:tcPr>
                  <w:tcW w:w="446" w:type="pct"/>
                  <w:noWrap w:val="0"/>
                  <w:vAlign w:val="center"/>
                </w:tcPr>
                <w:p>
                  <w:pPr>
                    <w:pStyle w:val="69"/>
                    <w:rPr>
                      <w:color w:val="auto"/>
                    </w:rPr>
                  </w:pPr>
                  <w:r>
                    <w:rPr>
                      <w:color w:val="auto"/>
                    </w:rPr>
                    <w:t>200</w:t>
                  </w:r>
                </w:p>
              </w:tc>
              <w:tc>
                <w:tcPr>
                  <w:tcW w:w="982" w:type="pct"/>
                  <w:vMerge w:val="continue"/>
                  <w:noWrap w:val="0"/>
                  <w:vAlign w:val="center"/>
                </w:tcPr>
                <w:p>
                  <w:pPr>
                    <w:pStyle w:val="69"/>
                    <w:rPr>
                      <w:color w:val="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 w:hRule="atLeast"/>
              </w:trPr>
              <w:tc>
                <w:tcPr>
                  <w:tcW w:w="617" w:type="pct"/>
                  <w:vMerge w:val="continue"/>
                  <w:noWrap w:val="0"/>
                  <w:vAlign w:val="center"/>
                </w:tcPr>
                <w:p>
                  <w:pPr>
                    <w:pStyle w:val="69"/>
                    <w:rPr>
                      <w:color w:val="auto"/>
                    </w:rPr>
                  </w:pPr>
                </w:p>
              </w:tc>
              <w:tc>
                <w:tcPr>
                  <w:tcW w:w="1104" w:type="pct"/>
                  <w:noWrap w:val="0"/>
                  <w:vAlign w:val="center"/>
                </w:tcPr>
                <w:p>
                  <w:pPr>
                    <w:pStyle w:val="69"/>
                    <w:rPr>
                      <w:color w:val="auto"/>
                    </w:rPr>
                  </w:pPr>
                  <w:r>
                    <w:rPr>
                      <w:color w:val="auto"/>
                    </w:rPr>
                    <w:t>鑫苑</w:t>
                  </w:r>
                </w:p>
              </w:tc>
              <w:tc>
                <w:tcPr>
                  <w:tcW w:w="826" w:type="pct"/>
                  <w:noWrap w:val="0"/>
                  <w:vAlign w:val="center"/>
                </w:tcPr>
                <w:p>
                  <w:pPr>
                    <w:pStyle w:val="69"/>
                    <w:rPr>
                      <w:color w:val="auto"/>
                    </w:rPr>
                  </w:pPr>
                  <w:r>
                    <w:rPr>
                      <w:color w:val="auto"/>
                    </w:rPr>
                    <w:t>居民区</w:t>
                  </w:r>
                </w:p>
              </w:tc>
              <w:tc>
                <w:tcPr>
                  <w:tcW w:w="517" w:type="pct"/>
                  <w:noWrap w:val="0"/>
                  <w:vAlign w:val="center"/>
                </w:tcPr>
                <w:p>
                  <w:pPr>
                    <w:pStyle w:val="69"/>
                    <w:rPr>
                      <w:color w:val="auto"/>
                    </w:rPr>
                  </w:pPr>
                  <w:r>
                    <w:rPr>
                      <w:color w:val="auto"/>
                    </w:rPr>
                    <w:t>500</w:t>
                  </w:r>
                </w:p>
              </w:tc>
              <w:tc>
                <w:tcPr>
                  <w:tcW w:w="505" w:type="pct"/>
                  <w:noWrap w:val="0"/>
                  <w:vAlign w:val="center"/>
                </w:tcPr>
                <w:p>
                  <w:pPr>
                    <w:pStyle w:val="69"/>
                    <w:rPr>
                      <w:color w:val="auto"/>
                    </w:rPr>
                  </w:pPr>
                  <w:r>
                    <w:rPr>
                      <w:color w:val="auto"/>
                    </w:rPr>
                    <w:t>NE</w:t>
                  </w:r>
                </w:p>
              </w:tc>
              <w:tc>
                <w:tcPr>
                  <w:tcW w:w="446" w:type="pct"/>
                  <w:noWrap w:val="0"/>
                  <w:vAlign w:val="center"/>
                </w:tcPr>
                <w:p>
                  <w:pPr>
                    <w:pStyle w:val="69"/>
                    <w:rPr>
                      <w:color w:val="auto"/>
                    </w:rPr>
                  </w:pPr>
                  <w:r>
                    <w:rPr>
                      <w:color w:val="auto"/>
                    </w:rPr>
                    <w:t>200</w:t>
                  </w:r>
                </w:p>
              </w:tc>
              <w:tc>
                <w:tcPr>
                  <w:tcW w:w="982" w:type="pct"/>
                  <w:vMerge w:val="continue"/>
                  <w:noWrap w:val="0"/>
                  <w:vAlign w:val="center"/>
                </w:tcPr>
                <w:p>
                  <w:pPr>
                    <w:pStyle w:val="69"/>
                    <w:rPr>
                      <w:color w:val="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 w:hRule="atLeast"/>
              </w:trPr>
              <w:tc>
                <w:tcPr>
                  <w:tcW w:w="617" w:type="pct"/>
                  <w:vMerge w:val="continue"/>
                  <w:noWrap w:val="0"/>
                  <w:vAlign w:val="center"/>
                </w:tcPr>
                <w:p>
                  <w:pPr>
                    <w:pStyle w:val="69"/>
                    <w:rPr>
                      <w:rFonts w:hint="eastAsia"/>
                      <w:color w:val="auto"/>
                    </w:rPr>
                  </w:pPr>
                </w:p>
              </w:tc>
              <w:tc>
                <w:tcPr>
                  <w:tcW w:w="1104" w:type="pct"/>
                  <w:noWrap w:val="0"/>
                  <w:vAlign w:val="center"/>
                </w:tcPr>
                <w:p>
                  <w:pPr>
                    <w:pStyle w:val="69"/>
                    <w:rPr>
                      <w:color w:val="auto"/>
                    </w:rPr>
                  </w:pPr>
                  <w:r>
                    <w:rPr>
                      <w:rFonts w:hint="eastAsia"/>
                      <w:color w:val="auto"/>
                    </w:rPr>
                    <w:t>天乐苑</w:t>
                  </w:r>
                </w:p>
              </w:tc>
              <w:tc>
                <w:tcPr>
                  <w:tcW w:w="826" w:type="pct"/>
                  <w:noWrap w:val="0"/>
                  <w:vAlign w:val="center"/>
                </w:tcPr>
                <w:p>
                  <w:pPr>
                    <w:pStyle w:val="69"/>
                    <w:rPr>
                      <w:color w:val="auto"/>
                    </w:rPr>
                  </w:pPr>
                  <w:r>
                    <w:rPr>
                      <w:color w:val="auto"/>
                    </w:rPr>
                    <w:t>居民区</w:t>
                  </w:r>
                </w:p>
              </w:tc>
              <w:tc>
                <w:tcPr>
                  <w:tcW w:w="517" w:type="pct"/>
                  <w:noWrap w:val="0"/>
                  <w:vAlign w:val="center"/>
                </w:tcPr>
                <w:p>
                  <w:pPr>
                    <w:pStyle w:val="69"/>
                    <w:rPr>
                      <w:color w:val="auto"/>
                    </w:rPr>
                  </w:pPr>
                  <w:r>
                    <w:rPr>
                      <w:rFonts w:hint="eastAsia"/>
                      <w:color w:val="auto"/>
                    </w:rPr>
                    <w:t>500</w:t>
                  </w:r>
                </w:p>
              </w:tc>
              <w:tc>
                <w:tcPr>
                  <w:tcW w:w="505" w:type="pct"/>
                  <w:noWrap w:val="0"/>
                  <w:vAlign w:val="center"/>
                </w:tcPr>
                <w:p>
                  <w:pPr>
                    <w:pStyle w:val="69"/>
                    <w:rPr>
                      <w:color w:val="auto"/>
                    </w:rPr>
                  </w:pPr>
                  <w:r>
                    <w:rPr>
                      <w:rFonts w:hint="eastAsia"/>
                      <w:color w:val="auto"/>
                    </w:rPr>
                    <w:t>S</w:t>
                  </w:r>
                </w:p>
              </w:tc>
              <w:tc>
                <w:tcPr>
                  <w:tcW w:w="446" w:type="pct"/>
                  <w:noWrap w:val="0"/>
                  <w:vAlign w:val="center"/>
                </w:tcPr>
                <w:p>
                  <w:pPr>
                    <w:pStyle w:val="69"/>
                    <w:rPr>
                      <w:color w:val="auto"/>
                    </w:rPr>
                  </w:pPr>
                  <w:r>
                    <w:rPr>
                      <w:rFonts w:hint="eastAsia"/>
                      <w:color w:val="auto"/>
                    </w:rPr>
                    <w:t>350</w:t>
                  </w:r>
                </w:p>
              </w:tc>
              <w:tc>
                <w:tcPr>
                  <w:tcW w:w="982" w:type="pct"/>
                  <w:vMerge w:val="continue"/>
                  <w:noWrap w:val="0"/>
                  <w:vAlign w:val="center"/>
                </w:tcPr>
                <w:p>
                  <w:pPr>
                    <w:pStyle w:val="69"/>
                    <w:rPr>
                      <w:rFonts w:hint="eastAsia"/>
                      <w:color w:val="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 w:hRule="atLeast"/>
              </w:trPr>
              <w:tc>
                <w:tcPr>
                  <w:tcW w:w="617" w:type="pct"/>
                  <w:vMerge w:val="continue"/>
                  <w:noWrap w:val="0"/>
                  <w:vAlign w:val="center"/>
                </w:tcPr>
                <w:p>
                  <w:pPr>
                    <w:pStyle w:val="69"/>
                    <w:rPr>
                      <w:rFonts w:hint="eastAsia"/>
                      <w:color w:val="auto"/>
                    </w:rPr>
                  </w:pPr>
                </w:p>
              </w:tc>
              <w:tc>
                <w:tcPr>
                  <w:tcW w:w="1104" w:type="pct"/>
                  <w:noWrap w:val="0"/>
                  <w:vAlign w:val="center"/>
                </w:tcPr>
                <w:p>
                  <w:pPr>
                    <w:pStyle w:val="69"/>
                    <w:rPr>
                      <w:color w:val="auto"/>
                    </w:rPr>
                  </w:pPr>
                  <w:r>
                    <w:rPr>
                      <w:rFonts w:hint="eastAsia"/>
                      <w:color w:val="auto"/>
                    </w:rPr>
                    <w:t>白燕小区</w:t>
                  </w:r>
                </w:p>
              </w:tc>
              <w:tc>
                <w:tcPr>
                  <w:tcW w:w="826" w:type="pct"/>
                  <w:noWrap w:val="0"/>
                  <w:vAlign w:val="center"/>
                </w:tcPr>
                <w:p>
                  <w:pPr>
                    <w:pStyle w:val="69"/>
                    <w:rPr>
                      <w:color w:val="auto"/>
                    </w:rPr>
                  </w:pPr>
                  <w:r>
                    <w:rPr>
                      <w:color w:val="auto"/>
                    </w:rPr>
                    <w:t>居民区</w:t>
                  </w:r>
                </w:p>
              </w:tc>
              <w:tc>
                <w:tcPr>
                  <w:tcW w:w="517" w:type="pct"/>
                  <w:noWrap w:val="0"/>
                  <w:vAlign w:val="center"/>
                </w:tcPr>
                <w:p>
                  <w:pPr>
                    <w:pStyle w:val="69"/>
                    <w:rPr>
                      <w:color w:val="auto"/>
                    </w:rPr>
                  </w:pPr>
                  <w:r>
                    <w:rPr>
                      <w:rFonts w:hint="eastAsia"/>
                      <w:color w:val="auto"/>
                    </w:rPr>
                    <w:t>200</w:t>
                  </w:r>
                </w:p>
              </w:tc>
              <w:tc>
                <w:tcPr>
                  <w:tcW w:w="505" w:type="pct"/>
                  <w:noWrap w:val="0"/>
                  <w:vAlign w:val="center"/>
                </w:tcPr>
                <w:p>
                  <w:pPr>
                    <w:pStyle w:val="69"/>
                    <w:rPr>
                      <w:color w:val="auto"/>
                    </w:rPr>
                  </w:pPr>
                  <w:r>
                    <w:rPr>
                      <w:rFonts w:hint="eastAsia"/>
                      <w:color w:val="auto"/>
                    </w:rPr>
                    <w:t>SW</w:t>
                  </w:r>
                </w:p>
              </w:tc>
              <w:tc>
                <w:tcPr>
                  <w:tcW w:w="446" w:type="pct"/>
                  <w:noWrap w:val="0"/>
                  <w:vAlign w:val="center"/>
                </w:tcPr>
                <w:p>
                  <w:pPr>
                    <w:pStyle w:val="69"/>
                    <w:rPr>
                      <w:color w:val="auto"/>
                    </w:rPr>
                  </w:pPr>
                  <w:r>
                    <w:rPr>
                      <w:rFonts w:hint="eastAsia"/>
                      <w:color w:val="auto"/>
                    </w:rPr>
                    <w:t>200</w:t>
                  </w:r>
                </w:p>
              </w:tc>
              <w:tc>
                <w:tcPr>
                  <w:tcW w:w="982" w:type="pct"/>
                  <w:vMerge w:val="continue"/>
                  <w:noWrap w:val="0"/>
                  <w:vAlign w:val="center"/>
                </w:tcPr>
                <w:p>
                  <w:pPr>
                    <w:pStyle w:val="69"/>
                    <w:rPr>
                      <w:rFonts w:hint="eastAsia"/>
                      <w:color w:val="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 w:hRule="atLeast"/>
              </w:trPr>
              <w:tc>
                <w:tcPr>
                  <w:tcW w:w="617" w:type="pct"/>
                  <w:vMerge w:val="continue"/>
                  <w:noWrap w:val="0"/>
                  <w:vAlign w:val="center"/>
                </w:tcPr>
                <w:p>
                  <w:pPr>
                    <w:pStyle w:val="69"/>
                    <w:rPr>
                      <w:rFonts w:hint="eastAsia"/>
                      <w:color w:val="auto"/>
                    </w:rPr>
                  </w:pPr>
                </w:p>
              </w:tc>
              <w:tc>
                <w:tcPr>
                  <w:tcW w:w="1104" w:type="pct"/>
                  <w:noWrap w:val="0"/>
                  <w:vAlign w:val="center"/>
                </w:tcPr>
                <w:p>
                  <w:pPr>
                    <w:pStyle w:val="69"/>
                    <w:rPr>
                      <w:color w:val="auto"/>
                    </w:rPr>
                  </w:pPr>
                  <w:r>
                    <w:rPr>
                      <w:rFonts w:hint="eastAsia"/>
                      <w:color w:val="auto"/>
                    </w:rPr>
                    <w:t>金江国际</w:t>
                  </w:r>
                </w:p>
              </w:tc>
              <w:tc>
                <w:tcPr>
                  <w:tcW w:w="826" w:type="pct"/>
                  <w:noWrap w:val="0"/>
                  <w:vAlign w:val="center"/>
                </w:tcPr>
                <w:p>
                  <w:pPr>
                    <w:pStyle w:val="69"/>
                    <w:rPr>
                      <w:color w:val="auto"/>
                    </w:rPr>
                  </w:pPr>
                  <w:r>
                    <w:rPr>
                      <w:color w:val="auto"/>
                    </w:rPr>
                    <w:t>居民区</w:t>
                  </w:r>
                </w:p>
              </w:tc>
              <w:tc>
                <w:tcPr>
                  <w:tcW w:w="517" w:type="pct"/>
                  <w:noWrap w:val="0"/>
                  <w:vAlign w:val="center"/>
                </w:tcPr>
                <w:p>
                  <w:pPr>
                    <w:pStyle w:val="69"/>
                    <w:rPr>
                      <w:color w:val="auto"/>
                    </w:rPr>
                  </w:pPr>
                  <w:r>
                    <w:rPr>
                      <w:rFonts w:hint="eastAsia"/>
                      <w:color w:val="auto"/>
                    </w:rPr>
                    <w:t>100</w:t>
                  </w:r>
                </w:p>
              </w:tc>
              <w:tc>
                <w:tcPr>
                  <w:tcW w:w="505" w:type="pct"/>
                  <w:noWrap w:val="0"/>
                  <w:vAlign w:val="center"/>
                </w:tcPr>
                <w:p>
                  <w:pPr>
                    <w:pStyle w:val="69"/>
                    <w:rPr>
                      <w:color w:val="auto"/>
                    </w:rPr>
                  </w:pPr>
                  <w:r>
                    <w:rPr>
                      <w:rFonts w:hint="eastAsia"/>
                      <w:color w:val="auto"/>
                    </w:rPr>
                    <w:t>N</w:t>
                  </w:r>
                </w:p>
              </w:tc>
              <w:tc>
                <w:tcPr>
                  <w:tcW w:w="446" w:type="pct"/>
                  <w:noWrap w:val="0"/>
                  <w:vAlign w:val="center"/>
                </w:tcPr>
                <w:p>
                  <w:pPr>
                    <w:pStyle w:val="69"/>
                    <w:rPr>
                      <w:color w:val="auto"/>
                    </w:rPr>
                  </w:pPr>
                  <w:r>
                    <w:rPr>
                      <w:rFonts w:hint="eastAsia"/>
                      <w:color w:val="auto"/>
                    </w:rPr>
                    <w:t>100</w:t>
                  </w:r>
                </w:p>
              </w:tc>
              <w:tc>
                <w:tcPr>
                  <w:tcW w:w="982" w:type="pct"/>
                  <w:vMerge w:val="continue"/>
                  <w:noWrap w:val="0"/>
                  <w:vAlign w:val="center"/>
                </w:tcPr>
                <w:p>
                  <w:pPr>
                    <w:pStyle w:val="69"/>
                    <w:rPr>
                      <w:rFonts w:hint="eastAsia"/>
                      <w:color w:val="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 w:hRule="atLeast"/>
              </w:trPr>
              <w:tc>
                <w:tcPr>
                  <w:tcW w:w="617" w:type="pct"/>
                  <w:vMerge w:val="continue"/>
                  <w:noWrap w:val="0"/>
                  <w:vAlign w:val="center"/>
                </w:tcPr>
                <w:p>
                  <w:pPr>
                    <w:pStyle w:val="69"/>
                    <w:rPr>
                      <w:rFonts w:hint="eastAsia"/>
                      <w:color w:val="auto"/>
                    </w:rPr>
                  </w:pPr>
                </w:p>
              </w:tc>
              <w:tc>
                <w:tcPr>
                  <w:tcW w:w="1104" w:type="pct"/>
                  <w:noWrap w:val="0"/>
                  <w:vAlign w:val="center"/>
                </w:tcPr>
                <w:p>
                  <w:pPr>
                    <w:pStyle w:val="69"/>
                    <w:rPr>
                      <w:color w:val="auto"/>
                    </w:rPr>
                  </w:pPr>
                  <w:r>
                    <w:rPr>
                      <w:rFonts w:hint="eastAsia"/>
                      <w:color w:val="auto"/>
                    </w:rPr>
                    <w:t>春华逸都</w:t>
                  </w:r>
                </w:p>
              </w:tc>
              <w:tc>
                <w:tcPr>
                  <w:tcW w:w="826" w:type="pct"/>
                  <w:noWrap w:val="0"/>
                  <w:vAlign w:val="center"/>
                </w:tcPr>
                <w:p>
                  <w:pPr>
                    <w:pStyle w:val="69"/>
                    <w:rPr>
                      <w:color w:val="auto"/>
                    </w:rPr>
                  </w:pPr>
                  <w:r>
                    <w:rPr>
                      <w:color w:val="auto"/>
                    </w:rPr>
                    <w:t>居民区</w:t>
                  </w:r>
                </w:p>
              </w:tc>
              <w:tc>
                <w:tcPr>
                  <w:tcW w:w="517" w:type="pct"/>
                  <w:noWrap w:val="0"/>
                  <w:vAlign w:val="center"/>
                </w:tcPr>
                <w:p>
                  <w:pPr>
                    <w:pStyle w:val="69"/>
                    <w:rPr>
                      <w:color w:val="auto"/>
                    </w:rPr>
                  </w:pPr>
                  <w:r>
                    <w:rPr>
                      <w:rFonts w:hint="eastAsia"/>
                      <w:color w:val="auto"/>
                    </w:rPr>
                    <w:t>500</w:t>
                  </w:r>
                </w:p>
              </w:tc>
              <w:tc>
                <w:tcPr>
                  <w:tcW w:w="505" w:type="pct"/>
                  <w:noWrap w:val="0"/>
                  <w:vAlign w:val="center"/>
                </w:tcPr>
                <w:p>
                  <w:pPr>
                    <w:pStyle w:val="69"/>
                    <w:rPr>
                      <w:color w:val="auto"/>
                    </w:rPr>
                  </w:pPr>
                  <w:r>
                    <w:rPr>
                      <w:rFonts w:hint="eastAsia"/>
                      <w:color w:val="auto"/>
                    </w:rPr>
                    <w:t>NE</w:t>
                  </w:r>
                </w:p>
              </w:tc>
              <w:tc>
                <w:tcPr>
                  <w:tcW w:w="446" w:type="pct"/>
                  <w:noWrap w:val="0"/>
                  <w:vAlign w:val="center"/>
                </w:tcPr>
                <w:p>
                  <w:pPr>
                    <w:pStyle w:val="69"/>
                    <w:rPr>
                      <w:color w:val="auto"/>
                    </w:rPr>
                  </w:pPr>
                  <w:r>
                    <w:rPr>
                      <w:rFonts w:hint="eastAsia"/>
                      <w:color w:val="auto"/>
                    </w:rPr>
                    <w:t>300</w:t>
                  </w:r>
                </w:p>
              </w:tc>
              <w:tc>
                <w:tcPr>
                  <w:tcW w:w="982" w:type="pct"/>
                  <w:vMerge w:val="continue"/>
                  <w:noWrap w:val="0"/>
                  <w:vAlign w:val="center"/>
                </w:tcPr>
                <w:p>
                  <w:pPr>
                    <w:pStyle w:val="69"/>
                    <w:rPr>
                      <w:rFonts w:hint="eastAsia"/>
                      <w:color w:val="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57" w:hRule="atLeast"/>
              </w:trPr>
              <w:tc>
                <w:tcPr>
                  <w:tcW w:w="617" w:type="pct"/>
                  <w:vMerge w:val="continue"/>
                  <w:noWrap w:val="0"/>
                  <w:vAlign w:val="center"/>
                </w:tcPr>
                <w:p>
                  <w:pPr>
                    <w:pStyle w:val="69"/>
                    <w:rPr>
                      <w:rFonts w:hint="eastAsia"/>
                      <w:color w:val="auto"/>
                    </w:rPr>
                  </w:pPr>
                </w:p>
              </w:tc>
              <w:tc>
                <w:tcPr>
                  <w:tcW w:w="1104" w:type="pct"/>
                  <w:noWrap w:val="0"/>
                  <w:vAlign w:val="center"/>
                </w:tcPr>
                <w:p>
                  <w:pPr>
                    <w:pStyle w:val="69"/>
                    <w:rPr>
                      <w:color w:val="auto"/>
                    </w:rPr>
                  </w:pPr>
                  <w:r>
                    <w:rPr>
                      <w:rFonts w:hint="eastAsia"/>
                      <w:color w:val="auto"/>
                    </w:rPr>
                    <w:t>世代华庭</w:t>
                  </w:r>
                </w:p>
              </w:tc>
              <w:tc>
                <w:tcPr>
                  <w:tcW w:w="826" w:type="pct"/>
                  <w:noWrap w:val="0"/>
                  <w:vAlign w:val="center"/>
                </w:tcPr>
                <w:p>
                  <w:pPr>
                    <w:pStyle w:val="69"/>
                    <w:rPr>
                      <w:color w:val="auto"/>
                    </w:rPr>
                  </w:pPr>
                  <w:r>
                    <w:rPr>
                      <w:color w:val="auto"/>
                    </w:rPr>
                    <w:t>居民区</w:t>
                  </w:r>
                </w:p>
              </w:tc>
              <w:tc>
                <w:tcPr>
                  <w:tcW w:w="517" w:type="pct"/>
                  <w:noWrap w:val="0"/>
                  <w:vAlign w:val="center"/>
                </w:tcPr>
                <w:p>
                  <w:pPr>
                    <w:pStyle w:val="69"/>
                    <w:rPr>
                      <w:color w:val="auto"/>
                    </w:rPr>
                  </w:pPr>
                  <w:r>
                    <w:rPr>
                      <w:rFonts w:hint="eastAsia"/>
                      <w:color w:val="auto"/>
                    </w:rPr>
                    <w:t>100</w:t>
                  </w:r>
                </w:p>
              </w:tc>
              <w:tc>
                <w:tcPr>
                  <w:tcW w:w="505" w:type="pct"/>
                  <w:noWrap w:val="0"/>
                  <w:vAlign w:val="center"/>
                </w:tcPr>
                <w:p>
                  <w:pPr>
                    <w:pStyle w:val="69"/>
                    <w:rPr>
                      <w:color w:val="auto"/>
                    </w:rPr>
                  </w:pPr>
                  <w:r>
                    <w:rPr>
                      <w:rFonts w:hint="eastAsia"/>
                      <w:color w:val="auto"/>
                    </w:rPr>
                    <w:t>E</w:t>
                  </w:r>
                </w:p>
              </w:tc>
              <w:tc>
                <w:tcPr>
                  <w:tcW w:w="446" w:type="pct"/>
                  <w:noWrap w:val="0"/>
                  <w:vAlign w:val="center"/>
                </w:tcPr>
                <w:p>
                  <w:pPr>
                    <w:pStyle w:val="69"/>
                    <w:rPr>
                      <w:color w:val="auto"/>
                    </w:rPr>
                  </w:pPr>
                  <w:r>
                    <w:rPr>
                      <w:rFonts w:hint="eastAsia"/>
                      <w:color w:val="auto"/>
                    </w:rPr>
                    <w:t>400</w:t>
                  </w:r>
                </w:p>
              </w:tc>
              <w:tc>
                <w:tcPr>
                  <w:tcW w:w="982" w:type="pct"/>
                  <w:vMerge w:val="continue"/>
                  <w:noWrap w:val="0"/>
                  <w:vAlign w:val="center"/>
                </w:tcPr>
                <w:p>
                  <w:pPr>
                    <w:pStyle w:val="69"/>
                    <w:rPr>
                      <w:rFonts w:hint="eastAsia"/>
                      <w:color w:val="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 w:hRule="atLeast"/>
              </w:trPr>
              <w:tc>
                <w:tcPr>
                  <w:tcW w:w="617" w:type="pct"/>
                  <w:vMerge w:val="continue"/>
                  <w:noWrap w:val="0"/>
                  <w:vAlign w:val="center"/>
                </w:tcPr>
                <w:p>
                  <w:pPr>
                    <w:pStyle w:val="69"/>
                    <w:rPr>
                      <w:rFonts w:hint="eastAsia"/>
                      <w:color w:val="auto"/>
                    </w:rPr>
                  </w:pPr>
                </w:p>
              </w:tc>
              <w:tc>
                <w:tcPr>
                  <w:tcW w:w="1104" w:type="pct"/>
                  <w:noWrap w:val="0"/>
                  <w:vAlign w:val="center"/>
                </w:tcPr>
                <w:p>
                  <w:pPr>
                    <w:pStyle w:val="69"/>
                    <w:rPr>
                      <w:rFonts w:hint="eastAsia"/>
                      <w:color w:val="auto"/>
                    </w:rPr>
                  </w:pPr>
                  <w:r>
                    <w:rPr>
                      <w:rFonts w:hint="eastAsia"/>
                      <w:color w:val="auto"/>
                    </w:rPr>
                    <w:t>领地国际公寓</w:t>
                  </w:r>
                </w:p>
              </w:tc>
              <w:tc>
                <w:tcPr>
                  <w:tcW w:w="826" w:type="pct"/>
                  <w:noWrap w:val="0"/>
                  <w:vAlign w:val="center"/>
                </w:tcPr>
                <w:p>
                  <w:pPr>
                    <w:pStyle w:val="69"/>
                    <w:rPr>
                      <w:color w:val="auto"/>
                    </w:rPr>
                  </w:pPr>
                  <w:r>
                    <w:rPr>
                      <w:color w:val="auto"/>
                    </w:rPr>
                    <w:t>居民区</w:t>
                  </w:r>
                </w:p>
              </w:tc>
              <w:tc>
                <w:tcPr>
                  <w:tcW w:w="517" w:type="pct"/>
                  <w:noWrap w:val="0"/>
                  <w:vAlign w:val="center"/>
                </w:tcPr>
                <w:p>
                  <w:pPr>
                    <w:pStyle w:val="69"/>
                    <w:rPr>
                      <w:color w:val="auto"/>
                    </w:rPr>
                  </w:pPr>
                  <w:r>
                    <w:rPr>
                      <w:rFonts w:hint="eastAsia"/>
                      <w:color w:val="auto"/>
                    </w:rPr>
                    <w:t>500</w:t>
                  </w:r>
                </w:p>
              </w:tc>
              <w:tc>
                <w:tcPr>
                  <w:tcW w:w="505" w:type="pct"/>
                  <w:noWrap w:val="0"/>
                  <w:vAlign w:val="center"/>
                </w:tcPr>
                <w:p>
                  <w:pPr>
                    <w:pStyle w:val="69"/>
                    <w:rPr>
                      <w:color w:val="auto"/>
                    </w:rPr>
                  </w:pPr>
                  <w:r>
                    <w:rPr>
                      <w:rFonts w:hint="eastAsia"/>
                      <w:color w:val="auto"/>
                    </w:rPr>
                    <w:t>SE</w:t>
                  </w:r>
                </w:p>
              </w:tc>
              <w:tc>
                <w:tcPr>
                  <w:tcW w:w="446" w:type="pct"/>
                  <w:noWrap w:val="0"/>
                  <w:vAlign w:val="center"/>
                </w:tcPr>
                <w:p>
                  <w:pPr>
                    <w:pStyle w:val="69"/>
                    <w:rPr>
                      <w:color w:val="auto"/>
                    </w:rPr>
                  </w:pPr>
                  <w:r>
                    <w:rPr>
                      <w:rFonts w:hint="eastAsia"/>
                      <w:color w:val="auto"/>
                    </w:rPr>
                    <w:t>400</w:t>
                  </w:r>
                </w:p>
              </w:tc>
              <w:tc>
                <w:tcPr>
                  <w:tcW w:w="982" w:type="pct"/>
                  <w:vMerge w:val="continue"/>
                  <w:noWrap w:val="0"/>
                  <w:vAlign w:val="center"/>
                </w:tcPr>
                <w:p>
                  <w:pPr>
                    <w:pStyle w:val="69"/>
                    <w:rPr>
                      <w:rFonts w:hint="eastAsia"/>
                      <w:color w:val="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2" w:hRule="atLeast"/>
              </w:trPr>
              <w:tc>
                <w:tcPr>
                  <w:tcW w:w="617" w:type="pct"/>
                  <w:noWrap w:val="0"/>
                  <w:vAlign w:val="center"/>
                </w:tcPr>
                <w:p>
                  <w:pPr>
                    <w:pStyle w:val="69"/>
                    <w:rPr>
                      <w:rFonts w:hint="eastAsia"/>
                      <w:color w:val="auto"/>
                    </w:rPr>
                  </w:pPr>
                  <w:r>
                    <w:rPr>
                      <w:color w:val="auto"/>
                    </w:rPr>
                    <w:t>地表水环境</w:t>
                  </w:r>
                </w:p>
              </w:tc>
              <w:tc>
                <w:tcPr>
                  <w:tcW w:w="1104" w:type="pct"/>
                  <w:noWrap w:val="0"/>
                  <w:vAlign w:val="center"/>
                </w:tcPr>
                <w:p>
                  <w:pPr>
                    <w:pStyle w:val="69"/>
                    <w:rPr>
                      <w:rFonts w:hint="eastAsia"/>
                      <w:color w:val="auto"/>
                    </w:rPr>
                  </w:pPr>
                  <w:r>
                    <w:rPr>
                      <w:rFonts w:hint="eastAsia"/>
                      <w:color w:val="auto"/>
                    </w:rPr>
                    <w:t>竹公溪</w:t>
                  </w:r>
                </w:p>
              </w:tc>
              <w:tc>
                <w:tcPr>
                  <w:tcW w:w="826" w:type="pct"/>
                  <w:noWrap w:val="0"/>
                  <w:vAlign w:val="center"/>
                </w:tcPr>
                <w:p>
                  <w:pPr>
                    <w:pStyle w:val="69"/>
                    <w:rPr>
                      <w:rFonts w:hint="eastAsia"/>
                      <w:color w:val="auto"/>
                    </w:rPr>
                  </w:pPr>
                  <w:r>
                    <w:rPr>
                      <w:rFonts w:hint="eastAsia"/>
                      <w:color w:val="auto"/>
                    </w:rPr>
                    <w:t>受纳水体</w:t>
                  </w:r>
                </w:p>
              </w:tc>
              <w:tc>
                <w:tcPr>
                  <w:tcW w:w="517" w:type="pct"/>
                  <w:noWrap w:val="0"/>
                  <w:vAlign w:val="center"/>
                </w:tcPr>
                <w:p>
                  <w:pPr>
                    <w:pStyle w:val="69"/>
                    <w:rPr>
                      <w:rFonts w:hint="eastAsia"/>
                      <w:color w:val="auto"/>
                    </w:rPr>
                  </w:pPr>
                  <w:r>
                    <w:rPr>
                      <w:rFonts w:hint="eastAsia"/>
                      <w:color w:val="auto"/>
                    </w:rPr>
                    <w:t>小河</w:t>
                  </w:r>
                </w:p>
              </w:tc>
              <w:tc>
                <w:tcPr>
                  <w:tcW w:w="505" w:type="pct"/>
                  <w:noWrap w:val="0"/>
                  <w:vAlign w:val="center"/>
                </w:tcPr>
                <w:p>
                  <w:pPr>
                    <w:pStyle w:val="69"/>
                    <w:rPr>
                      <w:rFonts w:hint="eastAsia"/>
                      <w:color w:val="auto"/>
                    </w:rPr>
                  </w:pPr>
                  <w:r>
                    <w:rPr>
                      <w:rFonts w:hint="eastAsia"/>
                      <w:color w:val="auto"/>
                    </w:rPr>
                    <w:t>W</w:t>
                  </w:r>
                </w:p>
              </w:tc>
              <w:tc>
                <w:tcPr>
                  <w:tcW w:w="446" w:type="pct"/>
                  <w:noWrap w:val="0"/>
                  <w:vAlign w:val="center"/>
                </w:tcPr>
                <w:p>
                  <w:pPr>
                    <w:pStyle w:val="69"/>
                    <w:rPr>
                      <w:rFonts w:hint="eastAsia"/>
                      <w:color w:val="auto"/>
                    </w:rPr>
                  </w:pPr>
                  <w:r>
                    <w:rPr>
                      <w:rFonts w:hint="eastAsia"/>
                      <w:color w:val="auto"/>
                    </w:rPr>
                    <w:t>400</w:t>
                  </w:r>
                </w:p>
              </w:tc>
              <w:tc>
                <w:tcPr>
                  <w:tcW w:w="982" w:type="pct"/>
                  <w:noWrap w:val="0"/>
                  <w:vAlign w:val="center"/>
                </w:tcPr>
                <w:p>
                  <w:pPr>
                    <w:pStyle w:val="69"/>
                    <w:rPr>
                      <w:rFonts w:hint="eastAsia"/>
                      <w:color w:val="auto"/>
                    </w:rPr>
                  </w:pPr>
                  <w:r>
                    <w:rPr>
                      <w:color w:val="auto"/>
                    </w:rPr>
                    <w:t>《地表水环境质量标准》（GB3838-2002）中</w:t>
                  </w:r>
                  <w:r>
                    <w:rPr>
                      <w:color w:val="auto"/>
                    </w:rPr>
                    <w:fldChar w:fldCharType="begin"/>
                  </w:r>
                  <w:r>
                    <w:rPr>
                      <w:color w:val="auto"/>
                    </w:rPr>
                    <w:instrText xml:space="preserve"> = 3 \* ROMAN \* MERGEFORMAT </w:instrText>
                  </w:r>
                  <w:r>
                    <w:rPr>
                      <w:color w:val="auto"/>
                    </w:rPr>
                    <w:fldChar w:fldCharType="separate"/>
                  </w:r>
                  <w:r>
                    <w:rPr>
                      <w:color w:val="auto"/>
                    </w:rPr>
                    <w:t>III</w:t>
                  </w:r>
                  <w:r>
                    <w:rPr>
                      <w:color w:val="auto"/>
                    </w:rPr>
                    <w:fldChar w:fldCharType="end"/>
                  </w:r>
                  <w:r>
                    <w:rPr>
                      <w:color w:val="auto"/>
                    </w:rPr>
                    <w:t>类标准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 w:hRule="atLeast"/>
              </w:trPr>
              <w:tc>
                <w:tcPr>
                  <w:tcW w:w="617" w:type="pct"/>
                  <w:noWrap w:val="0"/>
                  <w:vAlign w:val="center"/>
                </w:tcPr>
                <w:p>
                  <w:pPr>
                    <w:pStyle w:val="69"/>
                    <w:rPr>
                      <w:color w:val="auto"/>
                    </w:rPr>
                  </w:pPr>
                  <w:r>
                    <w:rPr>
                      <w:color w:val="auto"/>
                    </w:rPr>
                    <w:t>声环境</w:t>
                  </w:r>
                </w:p>
              </w:tc>
              <w:tc>
                <w:tcPr>
                  <w:tcW w:w="3399" w:type="pct"/>
                  <w:gridSpan w:val="5"/>
                  <w:noWrap w:val="0"/>
                  <w:vAlign w:val="center"/>
                </w:tcPr>
                <w:p>
                  <w:pPr>
                    <w:pStyle w:val="69"/>
                    <w:rPr>
                      <w:rFonts w:hint="eastAsia"/>
                      <w:color w:val="auto"/>
                    </w:rPr>
                  </w:pPr>
                  <w:r>
                    <w:rPr>
                      <w:rFonts w:hint="eastAsia"/>
                      <w:color w:val="auto"/>
                    </w:rPr>
                    <w:t>距离厂界50m范围内的春天花园小区住户</w:t>
                  </w:r>
                </w:p>
              </w:tc>
              <w:tc>
                <w:tcPr>
                  <w:tcW w:w="982" w:type="pct"/>
                  <w:noWrap w:val="0"/>
                  <w:vAlign w:val="center"/>
                </w:tcPr>
                <w:p>
                  <w:pPr>
                    <w:pStyle w:val="69"/>
                    <w:rPr>
                      <w:rFonts w:hint="eastAsia"/>
                      <w:color w:val="auto"/>
                    </w:rPr>
                  </w:pPr>
                  <w:r>
                    <w:rPr>
                      <w:rFonts w:hint="eastAsia"/>
                      <w:color w:val="auto"/>
                    </w:rPr>
                    <w:t>执行《声环境质量标准》</w:t>
                  </w:r>
                </w:p>
                <w:p>
                  <w:pPr>
                    <w:pStyle w:val="69"/>
                    <w:rPr>
                      <w:color w:val="auto"/>
                    </w:rPr>
                  </w:pPr>
                  <w:r>
                    <w:rPr>
                      <w:rFonts w:hint="eastAsia"/>
                      <w:color w:val="auto"/>
                    </w:rPr>
                    <w:t>（GB3096-2008）中2类标准</w:t>
                  </w:r>
                </w:p>
              </w:tc>
            </w:tr>
          </w:tbl>
          <w:p>
            <w:pPr>
              <w:adjustRightInd w:val="0"/>
              <w:snapToGrid w:val="0"/>
              <w:ind w:firstLine="0" w:firstLineChars="0"/>
              <w:rPr>
                <w:rFonts w:ascii="宋体" w:hAnsi="宋体" w:cs="宋体"/>
                <w:color w:val="auto"/>
                <w:kern w:val="0"/>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709" w:hRule="atLeast"/>
          <w:jc w:val="center"/>
        </w:trPr>
        <w:tc>
          <w:tcPr>
            <w:tcW w:w="548" w:type="dxa"/>
            <w:noWrap w:val="0"/>
            <w:tcMar>
              <w:left w:w="28" w:type="dxa"/>
              <w:right w:w="28" w:type="dxa"/>
            </w:tcMar>
            <w:vAlign w:val="center"/>
          </w:tcPr>
          <w:p>
            <w:pPr>
              <w:adjustRightInd w:val="0"/>
              <w:snapToGrid w:val="0"/>
              <w:ind w:firstLine="0" w:firstLineChars="0"/>
              <w:jc w:val="center"/>
              <w:rPr>
                <w:rFonts w:hint="eastAsia" w:ascii="宋体" w:hAnsi="宋体" w:cs="宋体"/>
                <w:color w:val="auto"/>
                <w:kern w:val="0"/>
              </w:rPr>
            </w:pPr>
            <w:r>
              <w:rPr>
                <w:rFonts w:hint="eastAsia" w:ascii="宋体" w:hAnsi="宋体" w:cs="宋体"/>
                <w:color w:val="auto"/>
                <w:kern w:val="0"/>
              </w:rPr>
              <w:t>污染</w:t>
            </w:r>
          </w:p>
          <w:p>
            <w:pPr>
              <w:adjustRightInd w:val="0"/>
              <w:snapToGrid w:val="0"/>
              <w:ind w:firstLine="0" w:firstLineChars="0"/>
              <w:jc w:val="center"/>
              <w:rPr>
                <w:rFonts w:hint="eastAsia" w:ascii="宋体" w:hAnsi="宋体" w:cs="宋体"/>
                <w:color w:val="auto"/>
                <w:kern w:val="0"/>
              </w:rPr>
            </w:pPr>
            <w:r>
              <w:rPr>
                <w:rFonts w:hint="eastAsia" w:ascii="宋体" w:hAnsi="宋体" w:cs="宋体"/>
                <w:color w:val="auto"/>
                <w:kern w:val="0"/>
              </w:rPr>
              <w:t>物排</w:t>
            </w:r>
          </w:p>
          <w:p>
            <w:pPr>
              <w:adjustRightInd w:val="0"/>
              <w:snapToGrid w:val="0"/>
              <w:ind w:firstLine="0" w:firstLineChars="0"/>
              <w:jc w:val="center"/>
              <w:rPr>
                <w:rFonts w:hint="eastAsia" w:ascii="宋体" w:hAnsi="宋体" w:cs="宋体"/>
                <w:color w:val="auto"/>
                <w:kern w:val="0"/>
              </w:rPr>
            </w:pPr>
            <w:r>
              <w:rPr>
                <w:rFonts w:hint="eastAsia" w:ascii="宋体" w:hAnsi="宋体" w:cs="宋体"/>
                <w:color w:val="auto"/>
                <w:kern w:val="0"/>
              </w:rPr>
              <w:t>放控</w:t>
            </w:r>
          </w:p>
          <w:p>
            <w:pPr>
              <w:adjustRightInd w:val="0"/>
              <w:snapToGrid w:val="0"/>
              <w:ind w:firstLine="0" w:firstLineChars="0"/>
              <w:jc w:val="center"/>
              <w:rPr>
                <w:rFonts w:hint="eastAsia" w:ascii="宋体" w:hAnsi="宋体" w:cs="宋体"/>
                <w:color w:val="auto"/>
                <w:kern w:val="0"/>
              </w:rPr>
            </w:pPr>
            <w:r>
              <w:rPr>
                <w:rFonts w:hint="eastAsia" w:ascii="宋体" w:hAnsi="宋体" w:cs="宋体"/>
                <w:color w:val="auto"/>
                <w:kern w:val="0"/>
              </w:rPr>
              <w:t>制标</w:t>
            </w:r>
          </w:p>
          <w:p>
            <w:pPr>
              <w:adjustRightInd w:val="0"/>
              <w:snapToGrid w:val="0"/>
              <w:ind w:firstLine="0" w:firstLineChars="0"/>
              <w:jc w:val="center"/>
              <w:rPr>
                <w:rFonts w:ascii="宋体" w:hAnsi="宋体" w:cs="宋体"/>
                <w:color w:val="auto"/>
                <w:kern w:val="0"/>
              </w:rPr>
            </w:pPr>
            <w:r>
              <w:rPr>
                <w:rFonts w:hint="eastAsia" w:ascii="宋体" w:hAnsi="宋体" w:cs="宋体"/>
                <w:color w:val="auto"/>
                <w:kern w:val="0"/>
              </w:rPr>
              <w:t>准</w:t>
            </w:r>
          </w:p>
        </w:tc>
        <w:tc>
          <w:tcPr>
            <w:tcW w:w="8513" w:type="dxa"/>
            <w:noWrap w:val="0"/>
            <w:vAlign w:val="center"/>
          </w:tcPr>
          <w:p>
            <w:pPr>
              <w:pStyle w:val="4"/>
              <w:rPr>
                <w:color w:val="auto"/>
              </w:rPr>
            </w:pPr>
            <w:r>
              <w:rPr>
                <w:rFonts w:hint="eastAsia"/>
                <w:color w:val="auto"/>
              </w:rPr>
              <w:t>一</w:t>
            </w:r>
            <w:r>
              <w:rPr>
                <w:color w:val="auto"/>
              </w:rPr>
              <w:t>、废气排放标准</w:t>
            </w:r>
          </w:p>
          <w:p>
            <w:pPr>
              <w:pStyle w:val="11"/>
              <w:ind w:firstLine="480"/>
              <w:rPr>
                <w:rFonts w:hint="eastAsia"/>
                <w:color w:val="auto"/>
              </w:rPr>
            </w:pPr>
            <w:r>
              <w:rPr>
                <w:rFonts w:hint="eastAsia"/>
                <w:color w:val="auto"/>
              </w:rPr>
              <w:t>废气污染物排放执行《恶臭污染物排放标准》（GB14554-1993）表1标准限值准，标准值见下表。</w:t>
            </w:r>
          </w:p>
          <w:p>
            <w:pPr>
              <w:pStyle w:val="117"/>
              <w:rPr>
                <w:rFonts w:hint="eastAsia"/>
                <w:color w:val="auto"/>
              </w:rPr>
            </w:pPr>
            <w:r>
              <w:rPr>
                <w:color w:val="auto"/>
              </w:rPr>
              <w:t>表 3-</w:t>
            </w:r>
            <w:r>
              <w:rPr>
                <w:rFonts w:hint="eastAsia"/>
                <w:color w:val="auto"/>
              </w:rPr>
              <w:t>6  《恶臭污染物排放标准》（GB14554-1993）  单位：mg/m</w:t>
            </w:r>
            <w:r>
              <w:rPr>
                <w:rFonts w:hint="eastAsia"/>
                <w:color w:val="auto"/>
                <w:vertAlign w:val="superscript"/>
              </w:rPr>
              <w:t>3</w:t>
            </w:r>
            <w:r>
              <w:rPr>
                <w:rFonts w:hint="eastAsia"/>
                <w:color w:val="auto"/>
              </w:rPr>
              <w:t xml:space="preserve"> </w:t>
            </w:r>
          </w:p>
          <w:tbl>
            <w:tblPr>
              <w:tblStyle w:val="38"/>
              <w:tblW w:w="4998" w:type="pct"/>
              <w:tblInd w:w="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912"/>
              <w:gridCol w:w="2531"/>
              <w:gridCol w:w="1922"/>
              <w:gridCol w:w="1924"/>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5" w:hRule="atLeast"/>
              </w:trPr>
              <w:tc>
                <w:tcPr>
                  <w:tcW w:w="1153" w:type="pct"/>
                  <w:tcBorders>
                    <w:top w:val="single" w:color="000000" w:sz="10" w:space="0"/>
                  </w:tcBorders>
                  <w:noWrap w:val="0"/>
                  <w:vAlign w:val="top"/>
                </w:tcPr>
                <w:p>
                  <w:pPr>
                    <w:pStyle w:val="69"/>
                    <w:rPr>
                      <w:rFonts w:hint="eastAsia"/>
                      <w:color w:val="auto"/>
                    </w:rPr>
                  </w:pPr>
                  <w:r>
                    <w:rPr>
                      <w:rFonts w:hint="eastAsia"/>
                      <w:color w:val="auto"/>
                    </w:rPr>
                    <w:t>序号</w:t>
                  </w:r>
                </w:p>
              </w:tc>
              <w:tc>
                <w:tcPr>
                  <w:tcW w:w="1526" w:type="pct"/>
                  <w:tcBorders>
                    <w:top w:val="single" w:color="000000" w:sz="10" w:space="0"/>
                  </w:tcBorders>
                  <w:noWrap w:val="0"/>
                  <w:vAlign w:val="top"/>
                </w:tcPr>
                <w:p>
                  <w:pPr>
                    <w:pStyle w:val="69"/>
                    <w:rPr>
                      <w:rFonts w:hint="eastAsia"/>
                      <w:color w:val="auto"/>
                    </w:rPr>
                  </w:pPr>
                  <w:r>
                    <w:rPr>
                      <w:rFonts w:hint="eastAsia"/>
                      <w:color w:val="auto"/>
                    </w:rPr>
                    <w:t>控制项目</w:t>
                  </w:r>
                </w:p>
              </w:tc>
              <w:tc>
                <w:tcPr>
                  <w:tcW w:w="1159" w:type="pct"/>
                  <w:tcBorders>
                    <w:top w:val="single" w:color="000000" w:sz="10" w:space="0"/>
                  </w:tcBorders>
                  <w:noWrap w:val="0"/>
                  <w:vAlign w:val="top"/>
                </w:tcPr>
                <w:p>
                  <w:pPr>
                    <w:pStyle w:val="69"/>
                    <w:rPr>
                      <w:rFonts w:hint="eastAsia"/>
                      <w:color w:val="auto"/>
                    </w:rPr>
                  </w:pPr>
                  <w:r>
                    <w:rPr>
                      <w:rFonts w:hint="eastAsia"/>
                      <w:color w:val="auto"/>
                    </w:rPr>
                    <w:t>标准值</w:t>
                  </w:r>
                </w:p>
              </w:tc>
              <w:tc>
                <w:tcPr>
                  <w:tcW w:w="1160" w:type="pct"/>
                  <w:tcBorders>
                    <w:top w:val="single" w:color="000000" w:sz="10" w:space="0"/>
                  </w:tcBorders>
                  <w:noWrap w:val="0"/>
                  <w:vAlign w:val="top"/>
                </w:tcPr>
                <w:p>
                  <w:pPr>
                    <w:pStyle w:val="69"/>
                    <w:rPr>
                      <w:rFonts w:hint="eastAsia"/>
                      <w:color w:val="auto"/>
                    </w:rPr>
                  </w:pPr>
                  <w:r>
                    <w:rPr>
                      <w:rFonts w:hint="eastAsia"/>
                      <w:color w:val="auto"/>
                    </w:rPr>
                    <w:t>备注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1153" w:type="pct"/>
                  <w:noWrap w:val="0"/>
                  <w:vAlign w:val="top"/>
                </w:tcPr>
                <w:p>
                  <w:pPr>
                    <w:pStyle w:val="69"/>
                    <w:rPr>
                      <w:rFonts w:hint="eastAsia"/>
                      <w:color w:val="auto"/>
                    </w:rPr>
                  </w:pPr>
                  <w:r>
                    <w:rPr>
                      <w:rFonts w:hint="eastAsia"/>
                      <w:color w:val="auto"/>
                    </w:rPr>
                    <w:t>1</w:t>
                  </w:r>
                </w:p>
              </w:tc>
              <w:tc>
                <w:tcPr>
                  <w:tcW w:w="1526" w:type="pct"/>
                  <w:noWrap w:val="0"/>
                  <w:vAlign w:val="top"/>
                </w:tcPr>
                <w:p>
                  <w:pPr>
                    <w:pStyle w:val="69"/>
                    <w:rPr>
                      <w:rFonts w:hint="eastAsia"/>
                      <w:color w:val="auto"/>
                    </w:rPr>
                  </w:pPr>
                  <w:r>
                    <w:rPr>
                      <w:rFonts w:hint="eastAsia"/>
                      <w:color w:val="auto"/>
                    </w:rPr>
                    <w:t>氨</w:t>
                  </w:r>
                </w:p>
              </w:tc>
              <w:tc>
                <w:tcPr>
                  <w:tcW w:w="1159" w:type="pct"/>
                  <w:noWrap w:val="0"/>
                  <w:vAlign w:val="top"/>
                </w:tcPr>
                <w:p>
                  <w:pPr>
                    <w:pStyle w:val="69"/>
                    <w:rPr>
                      <w:color w:val="auto"/>
                    </w:rPr>
                  </w:pPr>
                  <w:r>
                    <w:rPr>
                      <w:rFonts w:hint="eastAsia"/>
                      <w:color w:val="auto"/>
                    </w:rPr>
                    <w:t>1.5</w:t>
                  </w:r>
                </w:p>
              </w:tc>
              <w:tc>
                <w:tcPr>
                  <w:tcW w:w="1160" w:type="pct"/>
                  <w:vMerge w:val="restart"/>
                  <w:noWrap w:val="0"/>
                  <w:vAlign w:val="top"/>
                </w:tcPr>
                <w:p>
                  <w:pPr>
                    <w:pStyle w:val="69"/>
                    <w:rPr>
                      <w:rFonts w:hint="eastAsia"/>
                      <w:color w:val="auto"/>
                    </w:rPr>
                  </w:pPr>
                  <w:r>
                    <w:rPr>
                      <w:rFonts w:hint="eastAsia"/>
                      <w:color w:val="auto"/>
                    </w:rPr>
                    <w:t>《恶臭污染物排放标准》（GB14554-1993）表1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1153" w:type="pct"/>
                  <w:noWrap w:val="0"/>
                  <w:vAlign w:val="top"/>
                </w:tcPr>
                <w:p>
                  <w:pPr>
                    <w:pStyle w:val="69"/>
                    <w:rPr>
                      <w:rFonts w:hint="eastAsia"/>
                      <w:color w:val="auto"/>
                    </w:rPr>
                  </w:pPr>
                  <w:r>
                    <w:rPr>
                      <w:rFonts w:hint="eastAsia"/>
                      <w:color w:val="auto"/>
                    </w:rPr>
                    <w:t>2</w:t>
                  </w:r>
                </w:p>
              </w:tc>
              <w:tc>
                <w:tcPr>
                  <w:tcW w:w="1526" w:type="pct"/>
                  <w:noWrap w:val="0"/>
                  <w:vAlign w:val="top"/>
                </w:tcPr>
                <w:p>
                  <w:pPr>
                    <w:pStyle w:val="69"/>
                    <w:rPr>
                      <w:rFonts w:hint="eastAsia"/>
                      <w:color w:val="auto"/>
                    </w:rPr>
                  </w:pPr>
                  <w:r>
                    <w:rPr>
                      <w:rFonts w:hint="eastAsia"/>
                      <w:color w:val="auto"/>
                    </w:rPr>
                    <w:t>硫化氢</w:t>
                  </w:r>
                </w:p>
              </w:tc>
              <w:tc>
                <w:tcPr>
                  <w:tcW w:w="1159" w:type="pct"/>
                  <w:noWrap w:val="0"/>
                  <w:vAlign w:val="top"/>
                </w:tcPr>
                <w:p>
                  <w:pPr>
                    <w:pStyle w:val="69"/>
                    <w:rPr>
                      <w:rFonts w:hint="eastAsia"/>
                      <w:color w:val="auto"/>
                    </w:rPr>
                  </w:pPr>
                  <w:r>
                    <w:rPr>
                      <w:rFonts w:hint="eastAsia"/>
                      <w:color w:val="auto"/>
                    </w:rPr>
                    <w:t>0.06</w:t>
                  </w:r>
                </w:p>
              </w:tc>
              <w:tc>
                <w:tcPr>
                  <w:tcW w:w="1160" w:type="pct"/>
                  <w:vMerge w:val="continue"/>
                  <w:noWrap w:val="0"/>
                  <w:vAlign w:val="top"/>
                </w:tcPr>
                <w:p>
                  <w:pPr>
                    <w:pStyle w:val="69"/>
                    <w:rPr>
                      <w:rFonts w:hint="eastAsia"/>
                      <w:color w:val="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1153" w:type="pct"/>
                  <w:noWrap w:val="0"/>
                  <w:vAlign w:val="top"/>
                </w:tcPr>
                <w:p>
                  <w:pPr>
                    <w:pStyle w:val="69"/>
                    <w:rPr>
                      <w:rFonts w:hint="eastAsia"/>
                      <w:color w:val="auto"/>
                    </w:rPr>
                  </w:pPr>
                  <w:r>
                    <w:rPr>
                      <w:rFonts w:hint="eastAsia"/>
                      <w:color w:val="auto"/>
                    </w:rPr>
                    <w:t>3</w:t>
                  </w:r>
                </w:p>
              </w:tc>
              <w:tc>
                <w:tcPr>
                  <w:tcW w:w="1526" w:type="pct"/>
                  <w:noWrap w:val="0"/>
                  <w:vAlign w:val="top"/>
                </w:tcPr>
                <w:p>
                  <w:pPr>
                    <w:pStyle w:val="69"/>
                    <w:rPr>
                      <w:rFonts w:hint="eastAsia"/>
                      <w:color w:val="auto"/>
                    </w:rPr>
                  </w:pPr>
                  <w:r>
                    <w:rPr>
                      <w:rFonts w:hint="eastAsia"/>
                      <w:color w:val="auto"/>
                    </w:rPr>
                    <w:t>臭气浓度</w:t>
                  </w:r>
                </w:p>
              </w:tc>
              <w:tc>
                <w:tcPr>
                  <w:tcW w:w="1159" w:type="pct"/>
                  <w:noWrap w:val="0"/>
                  <w:vAlign w:val="top"/>
                </w:tcPr>
                <w:p>
                  <w:pPr>
                    <w:pStyle w:val="69"/>
                    <w:rPr>
                      <w:rFonts w:hint="eastAsia"/>
                      <w:color w:val="auto"/>
                    </w:rPr>
                  </w:pPr>
                  <w:r>
                    <w:rPr>
                      <w:rFonts w:hint="eastAsia"/>
                      <w:color w:val="auto"/>
                    </w:rPr>
                    <w:t>无量纲</w:t>
                  </w:r>
                </w:p>
              </w:tc>
              <w:tc>
                <w:tcPr>
                  <w:tcW w:w="1160" w:type="pct"/>
                  <w:vMerge w:val="continue"/>
                  <w:noWrap w:val="0"/>
                  <w:vAlign w:val="top"/>
                </w:tcPr>
                <w:p>
                  <w:pPr>
                    <w:pStyle w:val="69"/>
                    <w:rPr>
                      <w:rFonts w:hint="eastAsia"/>
                      <w:color w:val="auto"/>
                    </w:rPr>
                  </w:pPr>
                </w:p>
              </w:tc>
            </w:tr>
          </w:tbl>
          <w:p>
            <w:pPr>
              <w:pStyle w:val="4"/>
              <w:rPr>
                <w:color w:val="auto"/>
              </w:rPr>
            </w:pPr>
            <w:r>
              <w:rPr>
                <w:rFonts w:hint="eastAsia"/>
                <w:color w:val="auto"/>
              </w:rPr>
              <w:t>二</w:t>
            </w:r>
            <w:r>
              <w:rPr>
                <w:color w:val="auto"/>
              </w:rPr>
              <w:t>、废</w:t>
            </w:r>
            <w:r>
              <w:rPr>
                <w:rFonts w:hint="eastAsia"/>
                <w:color w:val="auto"/>
              </w:rPr>
              <w:t>水</w:t>
            </w:r>
            <w:r>
              <w:rPr>
                <w:color w:val="auto"/>
              </w:rPr>
              <w:t>排放标准</w:t>
            </w:r>
          </w:p>
          <w:p>
            <w:pPr>
              <w:pStyle w:val="11"/>
              <w:ind w:firstLine="480"/>
              <w:rPr>
                <w:rFonts w:hint="eastAsia"/>
                <w:color w:val="auto"/>
                <w:kern w:val="2"/>
                <w:szCs w:val="24"/>
              </w:rPr>
            </w:pPr>
            <w:r>
              <w:rPr>
                <w:rFonts w:hint="eastAsia"/>
                <w:color w:val="auto"/>
                <w:kern w:val="2"/>
                <w:szCs w:val="24"/>
              </w:rPr>
              <w:t>根据《医疗机构水污染物排放标准》（GB18466-2005）,县级以下或20张床位以下的综合医疗机构和其他所有医疗机构污水经消毒处理后方可排放。本项目为宠物医院且住院室为3间，床位数为</w:t>
            </w:r>
            <w:r>
              <w:rPr>
                <w:rFonts w:hint="eastAsia"/>
                <w:color w:val="auto"/>
                <w:kern w:val="2"/>
                <w:szCs w:val="24"/>
                <w:lang w:val="en-US" w:eastAsia="zh-CN"/>
              </w:rPr>
              <w:t>4</w:t>
            </w:r>
            <w:r>
              <w:rPr>
                <w:rFonts w:hint="eastAsia"/>
                <w:color w:val="auto"/>
                <w:kern w:val="2"/>
                <w:szCs w:val="24"/>
              </w:rPr>
              <w:t>张</w:t>
            </w:r>
            <w:r>
              <w:rPr>
                <w:rFonts w:hint="eastAsia"/>
                <w:color w:val="auto"/>
                <w:kern w:val="2"/>
                <w:szCs w:val="24"/>
                <w:lang w:eastAsia="zh-CN"/>
              </w:rPr>
              <w:t>，小于</w:t>
            </w:r>
            <w:r>
              <w:rPr>
                <w:rFonts w:hint="eastAsia"/>
                <w:color w:val="auto"/>
                <w:kern w:val="2"/>
                <w:szCs w:val="24"/>
                <w:lang w:val="en-US" w:eastAsia="zh-CN"/>
              </w:rPr>
              <w:t>20张</w:t>
            </w:r>
            <w:r>
              <w:rPr>
                <w:rFonts w:hint="eastAsia"/>
                <w:color w:val="auto"/>
                <w:kern w:val="2"/>
                <w:szCs w:val="24"/>
              </w:rPr>
              <w:t>，因此，项目医疗废水不用达到医疗机构预处理标准，消毒即可。</w:t>
            </w:r>
          </w:p>
          <w:p>
            <w:pPr>
              <w:pStyle w:val="101"/>
              <w:ind w:firstLine="480"/>
              <w:rPr>
                <w:color w:val="auto"/>
              </w:rPr>
            </w:pPr>
            <w:r>
              <w:rPr>
                <w:rFonts w:hint="eastAsia"/>
                <w:color w:val="auto"/>
              </w:rPr>
              <w:t>本项目</w:t>
            </w:r>
            <w:r>
              <w:rPr>
                <w:color w:val="auto"/>
              </w:rPr>
              <w:t>医疗废水先经项目自设的的医疗废水一体化处理设施消毒后</w:t>
            </w:r>
            <w:r>
              <w:rPr>
                <w:rFonts w:hint="eastAsia"/>
                <w:color w:val="auto"/>
              </w:rPr>
              <w:t>同生活污水一起</w:t>
            </w:r>
            <w:r>
              <w:rPr>
                <w:color w:val="auto"/>
              </w:rPr>
              <w:t>进入</w:t>
            </w:r>
            <w:r>
              <w:rPr>
                <w:rFonts w:hint="eastAsia"/>
                <w:color w:val="auto"/>
              </w:rPr>
              <w:t>春天花园</w:t>
            </w:r>
            <w:r>
              <w:rPr>
                <w:color w:val="auto"/>
              </w:rPr>
              <w:t>小区已建的预处理池，经预处理池处理达到《污水综合排放标准》（GB8978-1996）三级标准后排入市政污水管网，</w:t>
            </w:r>
            <w:r>
              <w:rPr>
                <w:rFonts w:hint="eastAsia"/>
                <w:color w:val="auto"/>
              </w:rPr>
              <w:t>最后进入乐山市第一污水处理厂，</w:t>
            </w:r>
            <w:r>
              <w:rPr>
                <w:color w:val="auto"/>
              </w:rPr>
              <w:t>本项目</w:t>
            </w:r>
            <w:r>
              <w:rPr>
                <w:rFonts w:hint="eastAsia"/>
                <w:color w:val="auto"/>
              </w:rPr>
              <w:t>总废水</w:t>
            </w:r>
            <w:r>
              <w:rPr>
                <w:color w:val="auto"/>
              </w:rPr>
              <w:t>执行《污水综合排放标准》（GB8978-1996）表</w:t>
            </w:r>
            <w:r>
              <w:rPr>
                <w:rFonts w:hint="eastAsia"/>
                <w:color w:val="auto"/>
              </w:rPr>
              <w:t>4</w:t>
            </w:r>
            <w:r>
              <w:rPr>
                <w:color w:val="auto"/>
              </w:rPr>
              <w:t>中</w:t>
            </w:r>
            <w:r>
              <w:rPr>
                <w:rFonts w:hint="eastAsia"/>
                <w:color w:val="auto"/>
              </w:rPr>
              <w:t>三</w:t>
            </w:r>
            <w:r>
              <w:rPr>
                <w:color w:val="auto"/>
              </w:rPr>
              <w:t>级标准，标准值见表3-</w:t>
            </w:r>
            <w:r>
              <w:rPr>
                <w:rFonts w:hint="eastAsia"/>
                <w:color w:val="auto"/>
              </w:rPr>
              <w:t>7</w:t>
            </w:r>
            <w:r>
              <w:rPr>
                <w:color w:val="auto"/>
              </w:rPr>
              <w:t>。</w:t>
            </w:r>
          </w:p>
          <w:p>
            <w:pPr>
              <w:pStyle w:val="102"/>
              <w:ind w:left="422" w:hanging="422"/>
              <w:rPr>
                <w:color w:val="auto"/>
              </w:rPr>
            </w:pPr>
            <w:r>
              <w:rPr>
                <w:color w:val="auto"/>
              </w:rPr>
              <w:t>表 3-</w:t>
            </w:r>
            <w:r>
              <w:rPr>
                <w:rFonts w:hint="eastAsia"/>
                <w:color w:val="auto"/>
              </w:rPr>
              <w:t>7</w:t>
            </w:r>
            <w:r>
              <w:rPr>
                <w:color w:val="auto"/>
              </w:rPr>
              <w:t xml:space="preserve"> 污水综合排放标准（GB8978- 1996）单位： mg/L（pH无量纲）</w:t>
            </w:r>
          </w:p>
          <w:tbl>
            <w:tblPr>
              <w:tblStyle w:val="38"/>
              <w:tblW w:w="4998" w:type="pct"/>
              <w:tblInd w:w="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2074"/>
              <w:gridCol w:w="2070"/>
              <w:gridCol w:w="2070"/>
              <w:gridCol w:w="2075"/>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5" w:hRule="atLeast"/>
              </w:trPr>
              <w:tc>
                <w:tcPr>
                  <w:tcW w:w="1251" w:type="pct"/>
                  <w:tcBorders>
                    <w:top w:val="single" w:color="000000" w:sz="10" w:space="0"/>
                  </w:tcBorders>
                  <w:noWrap w:val="0"/>
                  <w:vAlign w:val="top"/>
                </w:tcPr>
                <w:p>
                  <w:pPr>
                    <w:pStyle w:val="118"/>
                    <w:rPr>
                      <w:color w:val="auto"/>
                    </w:rPr>
                  </w:pPr>
                  <w:r>
                    <w:rPr>
                      <w:color w:val="auto"/>
                    </w:rPr>
                    <w:t>项目</w:t>
                  </w:r>
                </w:p>
              </w:tc>
              <w:tc>
                <w:tcPr>
                  <w:tcW w:w="1248" w:type="pct"/>
                  <w:tcBorders>
                    <w:top w:val="single" w:color="000000" w:sz="10" w:space="0"/>
                  </w:tcBorders>
                  <w:noWrap w:val="0"/>
                  <w:vAlign w:val="top"/>
                </w:tcPr>
                <w:p>
                  <w:pPr>
                    <w:pStyle w:val="118"/>
                    <w:rPr>
                      <w:color w:val="auto"/>
                    </w:rPr>
                  </w:pPr>
                  <w:r>
                    <w:rPr>
                      <w:color w:val="auto"/>
                    </w:rPr>
                    <w:t>三级标准</w:t>
                  </w:r>
                </w:p>
              </w:tc>
              <w:tc>
                <w:tcPr>
                  <w:tcW w:w="1248" w:type="pct"/>
                  <w:tcBorders>
                    <w:top w:val="single" w:color="000000" w:sz="10" w:space="0"/>
                  </w:tcBorders>
                  <w:noWrap w:val="0"/>
                  <w:vAlign w:val="top"/>
                </w:tcPr>
                <w:p>
                  <w:pPr>
                    <w:pStyle w:val="118"/>
                    <w:rPr>
                      <w:color w:val="auto"/>
                    </w:rPr>
                  </w:pPr>
                  <w:r>
                    <w:rPr>
                      <w:color w:val="auto"/>
                    </w:rPr>
                    <w:t>项目</w:t>
                  </w:r>
                </w:p>
              </w:tc>
              <w:tc>
                <w:tcPr>
                  <w:tcW w:w="1251" w:type="pct"/>
                  <w:tcBorders>
                    <w:top w:val="single" w:color="000000" w:sz="10" w:space="0"/>
                  </w:tcBorders>
                  <w:noWrap w:val="0"/>
                  <w:vAlign w:val="top"/>
                </w:tcPr>
                <w:p>
                  <w:pPr>
                    <w:pStyle w:val="118"/>
                    <w:rPr>
                      <w:color w:val="auto"/>
                    </w:rPr>
                  </w:pPr>
                  <w:r>
                    <w:rPr>
                      <w:color w:val="auto"/>
                    </w:rPr>
                    <w:t>三级标准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1" w:hRule="atLeast"/>
              </w:trPr>
              <w:tc>
                <w:tcPr>
                  <w:tcW w:w="1251" w:type="pct"/>
                  <w:noWrap w:val="0"/>
                  <w:vAlign w:val="top"/>
                </w:tcPr>
                <w:p>
                  <w:pPr>
                    <w:pStyle w:val="118"/>
                    <w:rPr>
                      <w:color w:val="auto"/>
                    </w:rPr>
                  </w:pPr>
                  <w:r>
                    <w:rPr>
                      <w:color w:val="auto"/>
                    </w:rPr>
                    <w:t>pH</w:t>
                  </w:r>
                </w:p>
              </w:tc>
              <w:tc>
                <w:tcPr>
                  <w:tcW w:w="1248" w:type="pct"/>
                  <w:noWrap w:val="0"/>
                  <w:vAlign w:val="top"/>
                </w:tcPr>
                <w:p>
                  <w:pPr>
                    <w:pStyle w:val="118"/>
                    <w:rPr>
                      <w:color w:val="auto"/>
                    </w:rPr>
                  </w:pPr>
                  <w:r>
                    <w:rPr>
                      <w:color w:val="auto"/>
                    </w:rPr>
                    <w:t>6~9</w:t>
                  </w:r>
                </w:p>
              </w:tc>
              <w:tc>
                <w:tcPr>
                  <w:tcW w:w="1248" w:type="pct"/>
                  <w:noWrap w:val="0"/>
                  <w:vAlign w:val="top"/>
                </w:tcPr>
                <w:p>
                  <w:pPr>
                    <w:pStyle w:val="118"/>
                    <w:rPr>
                      <w:color w:val="auto"/>
                    </w:rPr>
                  </w:pPr>
                  <w:r>
                    <w:rPr>
                      <w:color w:val="auto"/>
                    </w:rPr>
                    <w:t>COD</w:t>
                  </w:r>
                </w:p>
              </w:tc>
              <w:tc>
                <w:tcPr>
                  <w:tcW w:w="1251" w:type="pct"/>
                  <w:noWrap w:val="0"/>
                  <w:vAlign w:val="top"/>
                </w:tcPr>
                <w:p>
                  <w:pPr>
                    <w:pStyle w:val="118"/>
                    <w:rPr>
                      <w:color w:val="auto"/>
                    </w:rPr>
                  </w:pPr>
                  <w:r>
                    <w:rPr>
                      <w:color w:val="auto"/>
                    </w:rPr>
                    <w:t>500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1" w:hRule="atLeast"/>
              </w:trPr>
              <w:tc>
                <w:tcPr>
                  <w:tcW w:w="1251" w:type="pct"/>
                  <w:noWrap w:val="0"/>
                  <w:vAlign w:val="top"/>
                </w:tcPr>
                <w:p>
                  <w:pPr>
                    <w:pStyle w:val="118"/>
                    <w:rPr>
                      <w:color w:val="auto"/>
                    </w:rPr>
                  </w:pPr>
                  <w:r>
                    <w:rPr>
                      <w:color w:val="auto"/>
                    </w:rPr>
                    <w:t>悬浮物</w:t>
                  </w:r>
                </w:p>
              </w:tc>
              <w:tc>
                <w:tcPr>
                  <w:tcW w:w="1248" w:type="pct"/>
                  <w:noWrap w:val="0"/>
                  <w:vAlign w:val="top"/>
                </w:tcPr>
                <w:p>
                  <w:pPr>
                    <w:pStyle w:val="118"/>
                    <w:rPr>
                      <w:color w:val="auto"/>
                    </w:rPr>
                  </w:pPr>
                  <w:r>
                    <w:rPr>
                      <w:color w:val="auto"/>
                    </w:rPr>
                    <w:t>400</w:t>
                  </w:r>
                </w:p>
              </w:tc>
              <w:tc>
                <w:tcPr>
                  <w:tcW w:w="1248" w:type="pct"/>
                  <w:noWrap w:val="0"/>
                  <w:vAlign w:val="top"/>
                </w:tcPr>
                <w:p>
                  <w:pPr>
                    <w:pStyle w:val="118"/>
                    <w:rPr>
                      <w:color w:val="auto"/>
                    </w:rPr>
                  </w:pPr>
                  <w:r>
                    <w:rPr>
                      <w:color w:val="auto"/>
                    </w:rPr>
                    <w:t>氨氮</w:t>
                  </w:r>
                </w:p>
              </w:tc>
              <w:tc>
                <w:tcPr>
                  <w:tcW w:w="1251" w:type="pct"/>
                  <w:noWrap w:val="0"/>
                  <w:vAlign w:val="top"/>
                </w:tcPr>
                <w:p>
                  <w:pPr>
                    <w:pStyle w:val="118"/>
                    <w:rPr>
                      <w:color w:val="auto"/>
                    </w:rPr>
                  </w:pPr>
                  <w:r>
                    <w:rPr>
                      <w:color w:val="auto"/>
                    </w:rPr>
                    <w:t>45*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4" w:hRule="atLeast"/>
              </w:trPr>
              <w:tc>
                <w:tcPr>
                  <w:tcW w:w="1251" w:type="pct"/>
                  <w:tcBorders>
                    <w:bottom w:val="single" w:color="000000" w:sz="10" w:space="0"/>
                  </w:tcBorders>
                  <w:noWrap w:val="0"/>
                  <w:vAlign w:val="top"/>
                </w:tcPr>
                <w:p>
                  <w:pPr>
                    <w:pStyle w:val="118"/>
                    <w:rPr>
                      <w:color w:val="auto"/>
                    </w:rPr>
                  </w:pPr>
                  <w:r>
                    <w:rPr>
                      <w:color w:val="auto"/>
                    </w:rPr>
                    <w:t>BOD</w:t>
                  </w:r>
                  <w:r>
                    <w:rPr>
                      <w:color w:val="auto"/>
                      <w:vertAlign w:val="subscript"/>
                    </w:rPr>
                    <w:t>5</w:t>
                  </w:r>
                </w:p>
              </w:tc>
              <w:tc>
                <w:tcPr>
                  <w:tcW w:w="1248" w:type="pct"/>
                  <w:tcBorders>
                    <w:bottom w:val="single" w:color="000000" w:sz="10" w:space="0"/>
                  </w:tcBorders>
                  <w:noWrap w:val="0"/>
                  <w:vAlign w:val="top"/>
                </w:tcPr>
                <w:p>
                  <w:pPr>
                    <w:pStyle w:val="118"/>
                    <w:rPr>
                      <w:color w:val="auto"/>
                    </w:rPr>
                  </w:pPr>
                  <w:r>
                    <w:rPr>
                      <w:color w:val="auto"/>
                    </w:rPr>
                    <w:t>300</w:t>
                  </w:r>
                </w:p>
              </w:tc>
              <w:tc>
                <w:tcPr>
                  <w:tcW w:w="1248" w:type="pct"/>
                  <w:tcBorders>
                    <w:bottom w:val="single" w:color="000000" w:sz="10" w:space="0"/>
                  </w:tcBorders>
                  <w:noWrap w:val="0"/>
                  <w:vAlign w:val="top"/>
                </w:tcPr>
                <w:p>
                  <w:pPr>
                    <w:pStyle w:val="118"/>
                    <w:rPr>
                      <w:color w:val="auto"/>
                    </w:rPr>
                  </w:pPr>
                  <w:r>
                    <w:rPr>
                      <w:color w:val="auto"/>
                    </w:rPr>
                    <w:t>总磷</w:t>
                  </w:r>
                </w:p>
              </w:tc>
              <w:tc>
                <w:tcPr>
                  <w:tcW w:w="1251" w:type="pct"/>
                  <w:tcBorders>
                    <w:bottom w:val="single" w:color="000000" w:sz="10" w:space="0"/>
                  </w:tcBorders>
                  <w:noWrap w:val="0"/>
                  <w:vAlign w:val="top"/>
                </w:tcPr>
                <w:p>
                  <w:pPr>
                    <w:pStyle w:val="118"/>
                    <w:rPr>
                      <w:color w:val="auto"/>
                    </w:rPr>
                  </w:pPr>
                  <w:r>
                    <w:rPr>
                      <w:color w:val="auto"/>
                    </w:rPr>
                    <w:t>8*</w:t>
                  </w:r>
                </w:p>
              </w:tc>
            </w:tr>
          </w:tbl>
          <w:p>
            <w:pPr>
              <w:ind w:firstLine="480"/>
              <w:rPr>
                <w:color w:val="auto"/>
              </w:rPr>
            </w:pPr>
            <w:r>
              <w:rPr>
                <w:color w:val="auto"/>
              </w:rPr>
              <w:t>注：*由于《污水综合排放标准》（GB8978-1996）中无氨氮、总磷三级排放限值，参考《污水排入城镇下水道水质标准》（GB/T31962-2015）表1中标准。</w:t>
            </w:r>
          </w:p>
          <w:p>
            <w:pPr>
              <w:pStyle w:val="4"/>
              <w:rPr>
                <w:color w:val="auto"/>
              </w:rPr>
            </w:pPr>
            <w:r>
              <w:rPr>
                <w:color w:val="auto"/>
              </w:rPr>
              <w:t>三、噪声排放标准</w:t>
            </w:r>
          </w:p>
          <w:p>
            <w:pPr>
              <w:pStyle w:val="101"/>
              <w:ind w:firstLine="480"/>
              <w:rPr>
                <w:rFonts w:hint="eastAsia" w:cs="宋体"/>
                <w:color w:val="auto"/>
                <w:lang w:val="zh-CN"/>
              </w:rPr>
            </w:pPr>
            <w:r>
              <w:rPr>
                <w:rFonts w:hint="eastAsia" w:cs="宋体"/>
                <w:color w:val="auto"/>
                <w:lang w:val="zh-CN"/>
              </w:rPr>
              <w:t>营运期噪声执行《工业企业厂界环境噪声排放标准》（GB12348-2008）中2类标准。标准限值见下表：</w:t>
            </w:r>
          </w:p>
          <w:p>
            <w:pPr>
              <w:pStyle w:val="117"/>
              <w:rPr>
                <w:color w:val="auto"/>
              </w:rPr>
            </w:pPr>
            <w:r>
              <w:rPr>
                <w:color w:val="auto"/>
              </w:rPr>
              <w:t>表 3</w:t>
            </w:r>
            <w:r>
              <w:rPr>
                <w:rFonts w:hint="eastAsia"/>
                <w:color w:val="auto"/>
              </w:rPr>
              <w:t>-</w:t>
            </w:r>
            <w:r>
              <w:rPr>
                <w:color w:val="auto"/>
              </w:rPr>
              <w:t xml:space="preserve"> </w:t>
            </w:r>
            <w:r>
              <w:rPr>
                <w:rFonts w:hint="eastAsia"/>
                <w:color w:val="auto"/>
              </w:rPr>
              <w:t>8</w:t>
            </w:r>
            <w:r>
              <w:rPr>
                <w:color w:val="auto"/>
              </w:rPr>
              <w:t xml:space="preserve">  </w:t>
            </w:r>
            <w:r>
              <w:rPr>
                <w:color w:val="auto"/>
                <w:lang w:val="zh-CN"/>
              </w:rPr>
              <w:t>工业企业厂界</w:t>
            </w:r>
            <w:r>
              <w:rPr>
                <w:color w:val="auto"/>
              </w:rPr>
              <w:t xml:space="preserve">噪声排放限值 </w:t>
            </w:r>
            <w:r>
              <w:rPr>
                <w:rFonts w:hint="eastAsia"/>
                <w:color w:val="auto"/>
              </w:rPr>
              <w:t xml:space="preserve">   </w:t>
            </w:r>
            <w:r>
              <w:rPr>
                <w:color w:val="auto"/>
              </w:rPr>
              <w:t>单位：dB（A）</w:t>
            </w:r>
          </w:p>
          <w:tbl>
            <w:tblPr>
              <w:tblStyle w:val="38"/>
              <w:tblW w:w="4999" w:type="pct"/>
              <w:tblInd w:w="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2730"/>
              <w:gridCol w:w="2725"/>
              <w:gridCol w:w="2835"/>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8" w:hRule="atLeast"/>
              </w:trPr>
              <w:tc>
                <w:tcPr>
                  <w:tcW w:w="1646" w:type="pct"/>
                  <w:tcBorders>
                    <w:top w:val="single" w:color="000000" w:sz="10" w:space="0"/>
                  </w:tcBorders>
                  <w:noWrap w:val="0"/>
                  <w:vAlign w:val="top"/>
                </w:tcPr>
                <w:p>
                  <w:pPr>
                    <w:pStyle w:val="118"/>
                    <w:rPr>
                      <w:color w:val="auto"/>
                    </w:rPr>
                  </w:pPr>
                  <w:r>
                    <w:rPr>
                      <w:color w:val="auto"/>
                    </w:rPr>
                    <w:t>类别</w:t>
                  </w:r>
                </w:p>
              </w:tc>
              <w:tc>
                <w:tcPr>
                  <w:tcW w:w="1643" w:type="pct"/>
                  <w:tcBorders>
                    <w:top w:val="single" w:color="000000" w:sz="10" w:space="0"/>
                  </w:tcBorders>
                  <w:noWrap w:val="0"/>
                  <w:vAlign w:val="top"/>
                </w:tcPr>
                <w:p>
                  <w:pPr>
                    <w:pStyle w:val="118"/>
                    <w:rPr>
                      <w:color w:val="auto"/>
                    </w:rPr>
                  </w:pPr>
                  <w:r>
                    <w:rPr>
                      <w:color w:val="auto"/>
                    </w:rPr>
                    <w:t>昼间</w:t>
                  </w:r>
                </w:p>
              </w:tc>
              <w:tc>
                <w:tcPr>
                  <w:tcW w:w="1709" w:type="pct"/>
                  <w:tcBorders>
                    <w:top w:val="single" w:color="000000" w:sz="10" w:space="0"/>
                  </w:tcBorders>
                  <w:noWrap w:val="0"/>
                  <w:vAlign w:val="top"/>
                </w:tcPr>
                <w:p>
                  <w:pPr>
                    <w:pStyle w:val="118"/>
                    <w:rPr>
                      <w:color w:val="auto"/>
                    </w:rPr>
                  </w:pPr>
                  <w:r>
                    <w:rPr>
                      <w:color w:val="auto"/>
                    </w:rPr>
                    <w:t>夜间</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9" w:hRule="atLeast"/>
              </w:trPr>
              <w:tc>
                <w:tcPr>
                  <w:tcW w:w="1646" w:type="pct"/>
                  <w:tcBorders>
                    <w:bottom w:val="single" w:color="000000" w:sz="10" w:space="0"/>
                  </w:tcBorders>
                  <w:noWrap w:val="0"/>
                  <w:vAlign w:val="top"/>
                </w:tcPr>
                <w:p>
                  <w:pPr>
                    <w:pStyle w:val="118"/>
                    <w:rPr>
                      <w:color w:val="auto"/>
                    </w:rPr>
                  </w:pPr>
                  <w:r>
                    <w:rPr>
                      <w:color w:val="auto"/>
                    </w:rPr>
                    <w:t>2类</w:t>
                  </w:r>
                </w:p>
              </w:tc>
              <w:tc>
                <w:tcPr>
                  <w:tcW w:w="1643" w:type="pct"/>
                  <w:tcBorders>
                    <w:bottom w:val="single" w:color="000000" w:sz="10" w:space="0"/>
                  </w:tcBorders>
                  <w:noWrap w:val="0"/>
                  <w:vAlign w:val="top"/>
                </w:tcPr>
                <w:p>
                  <w:pPr>
                    <w:pStyle w:val="118"/>
                    <w:rPr>
                      <w:color w:val="auto"/>
                    </w:rPr>
                  </w:pPr>
                  <w:r>
                    <w:rPr>
                      <w:color w:val="auto"/>
                    </w:rPr>
                    <w:t>60</w:t>
                  </w:r>
                </w:p>
              </w:tc>
              <w:tc>
                <w:tcPr>
                  <w:tcW w:w="1709" w:type="pct"/>
                  <w:tcBorders>
                    <w:bottom w:val="single" w:color="000000" w:sz="10" w:space="0"/>
                  </w:tcBorders>
                  <w:noWrap w:val="0"/>
                  <w:vAlign w:val="top"/>
                </w:tcPr>
                <w:p>
                  <w:pPr>
                    <w:pStyle w:val="118"/>
                    <w:rPr>
                      <w:color w:val="auto"/>
                    </w:rPr>
                  </w:pPr>
                  <w:r>
                    <w:rPr>
                      <w:color w:val="auto"/>
                    </w:rPr>
                    <w:t>50</w:t>
                  </w:r>
                </w:p>
              </w:tc>
            </w:tr>
          </w:tbl>
          <w:p>
            <w:pPr>
              <w:pStyle w:val="4"/>
              <w:rPr>
                <w:color w:val="auto"/>
              </w:rPr>
            </w:pPr>
            <w:r>
              <w:rPr>
                <w:color w:val="auto"/>
              </w:rPr>
              <w:t>四、固体废物</w:t>
            </w:r>
          </w:p>
          <w:p>
            <w:pPr>
              <w:ind w:firstLine="480"/>
              <w:rPr>
                <w:color w:val="auto"/>
              </w:rPr>
            </w:pPr>
            <w:r>
              <w:rPr>
                <w:rFonts w:hint="eastAsia"/>
                <w:color w:val="auto"/>
              </w:rPr>
              <w:t>一般固废按照《一般工业固体废物贮存和填埋污染控制标准》（GB18599-2020）</w:t>
            </w:r>
            <w:r>
              <w:rPr>
                <w:color w:val="auto"/>
              </w:rPr>
              <w:t>中</w:t>
            </w:r>
            <w:r>
              <w:rPr>
                <w:rFonts w:hint="eastAsia"/>
                <w:color w:val="auto"/>
              </w:rPr>
              <w:t>的相关要求执行，危险废物按照《危险废物贮存污染控制标准》（GB18597-2001</w:t>
            </w:r>
            <w:r>
              <w:rPr>
                <w:color w:val="auto"/>
              </w:rPr>
              <w:t>（2013年修订）</w:t>
            </w:r>
            <w:r>
              <w:rPr>
                <w:rFonts w:hint="eastAsia"/>
                <w:color w:val="auto"/>
              </w:rPr>
              <w:t>）的相关要求执行。</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330" w:hRule="atLeast"/>
          <w:jc w:val="center"/>
        </w:trPr>
        <w:tc>
          <w:tcPr>
            <w:tcW w:w="548" w:type="dxa"/>
            <w:noWrap w:val="0"/>
            <w:vAlign w:val="center"/>
          </w:tcPr>
          <w:p>
            <w:pPr>
              <w:adjustRightInd w:val="0"/>
              <w:snapToGrid w:val="0"/>
              <w:ind w:firstLine="0" w:firstLineChars="0"/>
              <w:jc w:val="center"/>
              <w:rPr>
                <w:rFonts w:hint="eastAsia" w:ascii="宋体" w:hAnsi="宋体" w:cs="宋体"/>
                <w:color w:val="auto"/>
                <w:kern w:val="0"/>
              </w:rPr>
            </w:pPr>
            <w:r>
              <w:rPr>
                <w:rFonts w:hint="eastAsia" w:ascii="宋体" w:hAnsi="宋体" w:cs="宋体"/>
                <w:color w:val="auto"/>
                <w:kern w:val="0"/>
              </w:rPr>
              <w:t>总量</w:t>
            </w:r>
          </w:p>
          <w:p>
            <w:pPr>
              <w:adjustRightInd w:val="0"/>
              <w:snapToGrid w:val="0"/>
              <w:ind w:firstLine="0" w:firstLineChars="0"/>
              <w:jc w:val="center"/>
              <w:rPr>
                <w:rFonts w:hint="eastAsia" w:ascii="宋体" w:hAnsi="宋体" w:cs="宋体"/>
                <w:color w:val="auto"/>
                <w:kern w:val="0"/>
              </w:rPr>
            </w:pPr>
            <w:r>
              <w:rPr>
                <w:rFonts w:hint="eastAsia" w:ascii="宋体" w:hAnsi="宋体" w:cs="宋体"/>
                <w:color w:val="auto"/>
                <w:kern w:val="0"/>
              </w:rPr>
              <w:t>控制</w:t>
            </w:r>
          </w:p>
          <w:p>
            <w:pPr>
              <w:adjustRightInd w:val="0"/>
              <w:snapToGrid w:val="0"/>
              <w:ind w:firstLine="0" w:firstLineChars="0"/>
              <w:jc w:val="center"/>
              <w:rPr>
                <w:rFonts w:ascii="宋体" w:hAnsi="宋体" w:cs="宋体"/>
                <w:color w:val="auto"/>
                <w:kern w:val="0"/>
              </w:rPr>
            </w:pPr>
            <w:r>
              <w:rPr>
                <w:rFonts w:hint="eastAsia" w:ascii="宋体" w:hAnsi="宋体" w:cs="宋体"/>
                <w:color w:val="auto"/>
                <w:kern w:val="0"/>
              </w:rPr>
              <w:t>指标</w:t>
            </w:r>
          </w:p>
        </w:tc>
        <w:tc>
          <w:tcPr>
            <w:tcW w:w="8513" w:type="dxa"/>
            <w:noWrap w:val="0"/>
            <w:vAlign w:val="center"/>
          </w:tcPr>
          <w:p>
            <w:pPr>
              <w:pStyle w:val="4"/>
              <w:numPr>
                <w:ilvl w:val="0"/>
                <w:numId w:val="18"/>
              </w:numPr>
              <w:rPr>
                <w:color w:val="auto"/>
              </w:rPr>
            </w:pPr>
            <w:r>
              <w:rPr>
                <w:color w:val="auto"/>
              </w:rPr>
              <w:t>总量控制因子</w:t>
            </w:r>
          </w:p>
          <w:p>
            <w:pPr>
              <w:pStyle w:val="104"/>
              <w:ind w:firstLine="480"/>
              <w:rPr>
                <w:rFonts w:hint="eastAsia"/>
                <w:color w:val="auto"/>
                <w:lang w:val="zh-CN"/>
              </w:rPr>
            </w:pPr>
            <w:r>
              <w:rPr>
                <w:rFonts w:hint="eastAsia"/>
                <w:color w:val="auto"/>
                <w:lang w:val="zh-CN"/>
              </w:rPr>
              <w:t>根据项目污染物排放特点，本评价确定的污染物排放总量控制因子为：</w:t>
            </w:r>
          </w:p>
          <w:p>
            <w:pPr>
              <w:pStyle w:val="104"/>
              <w:ind w:firstLine="480"/>
              <w:rPr>
                <w:rFonts w:hint="eastAsia"/>
                <w:color w:val="auto"/>
                <w:lang w:val="zh-CN"/>
              </w:rPr>
            </w:pPr>
            <w:r>
              <w:rPr>
                <w:rFonts w:hint="eastAsia"/>
                <w:color w:val="auto"/>
                <w:lang w:val="zh-CN"/>
              </w:rPr>
              <w:t>废水总量控制指标：COD、NH</w:t>
            </w:r>
            <w:r>
              <w:rPr>
                <w:rFonts w:hint="eastAsia"/>
                <w:color w:val="auto"/>
                <w:vertAlign w:val="subscript"/>
                <w:lang w:val="zh-CN"/>
              </w:rPr>
              <w:t>3</w:t>
            </w:r>
            <w:r>
              <w:rPr>
                <w:rFonts w:hint="eastAsia"/>
                <w:color w:val="auto"/>
                <w:lang w:val="zh-CN"/>
              </w:rPr>
              <w:t>-N、TP</w:t>
            </w:r>
          </w:p>
          <w:p>
            <w:pPr>
              <w:pStyle w:val="104"/>
              <w:ind w:firstLine="480"/>
              <w:rPr>
                <w:rFonts w:hint="eastAsia"/>
                <w:color w:val="auto"/>
                <w:lang w:val="zh-CN"/>
              </w:rPr>
            </w:pPr>
            <w:r>
              <w:rPr>
                <w:rFonts w:hint="eastAsia"/>
                <w:color w:val="auto"/>
                <w:lang w:val="zh-CN"/>
              </w:rPr>
              <w:t>废气总量控制指标：无</w:t>
            </w:r>
          </w:p>
          <w:p>
            <w:pPr>
              <w:pStyle w:val="4"/>
              <w:numPr>
                <w:ilvl w:val="0"/>
                <w:numId w:val="18"/>
              </w:numPr>
              <w:rPr>
                <w:color w:val="auto"/>
                <w:lang w:val="zh-CN"/>
              </w:rPr>
            </w:pPr>
            <w:r>
              <w:rPr>
                <w:color w:val="auto"/>
                <w:lang w:val="zh-CN"/>
              </w:rPr>
              <w:t>废水污染物总量指标</w:t>
            </w:r>
          </w:p>
          <w:p>
            <w:pPr>
              <w:pStyle w:val="104"/>
              <w:ind w:firstLine="480"/>
              <w:rPr>
                <w:rFonts w:hint="eastAsia"/>
                <w:color w:val="auto"/>
              </w:rPr>
            </w:pPr>
            <w:r>
              <w:rPr>
                <w:rFonts w:hint="eastAsia"/>
                <w:color w:val="auto"/>
                <w:lang w:val="de-DE"/>
              </w:rPr>
              <w:t>按照《关于贯彻落实&lt;建设项目主要污染物排放总量指标审核及管理暂行办法&gt;的通知》（川环办发〔2015〕333号）文件要求，本项目医疗废水、生活污水以及末端污水处理厂排放量采用排放标准法进行计算。本项目废水的总排放量为</w:t>
            </w:r>
            <w:r>
              <w:rPr>
                <w:rFonts w:hint="eastAsia"/>
                <w:color w:val="auto"/>
              </w:rPr>
              <w:t>372m</w:t>
            </w:r>
            <w:r>
              <w:rPr>
                <w:rFonts w:hint="eastAsia"/>
                <w:color w:val="auto"/>
                <w:vertAlign w:val="superscript"/>
              </w:rPr>
              <w:t>3</w:t>
            </w:r>
            <w:r>
              <w:rPr>
                <w:rFonts w:hint="eastAsia"/>
                <w:color w:val="auto"/>
              </w:rPr>
              <w:t>/a。</w:t>
            </w:r>
          </w:p>
          <w:p>
            <w:pPr>
              <w:pStyle w:val="104"/>
              <w:ind w:firstLine="482"/>
              <w:rPr>
                <w:rFonts w:hint="eastAsia"/>
                <w:b/>
                <w:bCs/>
                <w:color w:val="auto"/>
                <w:lang w:val="de-DE"/>
              </w:rPr>
            </w:pPr>
            <w:r>
              <w:rPr>
                <w:rFonts w:hint="eastAsia"/>
                <w:b/>
                <w:bCs/>
                <w:color w:val="auto"/>
                <w:lang w:val="de-DE"/>
              </w:rPr>
              <w:t xml:space="preserve">医疗废水经一体化污水处理设施消毒后同生活污水排入春天花园预处理池，春天花园小区预处理池排放口执行《污水综合排放标准》（GB 8978-1996）表 </w:t>
            </w:r>
            <w:r>
              <w:rPr>
                <w:rFonts w:hint="eastAsia"/>
                <w:b/>
                <w:bCs/>
                <w:color w:val="auto"/>
              </w:rPr>
              <w:t>4</w:t>
            </w:r>
            <w:r>
              <w:rPr>
                <w:rFonts w:hint="eastAsia"/>
                <w:b/>
                <w:bCs/>
                <w:color w:val="auto"/>
                <w:lang w:val="de-DE"/>
              </w:rPr>
              <w:t>中三级标准限值（NH</w:t>
            </w:r>
            <w:r>
              <w:rPr>
                <w:rFonts w:hint="eastAsia"/>
                <w:b/>
                <w:bCs/>
                <w:color w:val="auto"/>
                <w:vertAlign w:val="subscript"/>
                <w:lang w:val="de-DE"/>
              </w:rPr>
              <w:t>3</w:t>
            </w:r>
            <w:r>
              <w:rPr>
                <w:rFonts w:hint="eastAsia"/>
                <w:b/>
                <w:bCs/>
                <w:color w:val="auto"/>
                <w:lang w:val="de-DE"/>
              </w:rPr>
              <w:t>-N、TP两项指标按照《污水排入城镇下水道水质标准》（GB/T 31962-2015）执行）</w:t>
            </w:r>
            <w:r>
              <w:rPr>
                <w:rFonts w:hint="eastAsia"/>
                <w:color w:val="auto"/>
                <w:lang w:val="de-DE"/>
              </w:rPr>
              <w:t>，</w:t>
            </w:r>
            <w:r>
              <w:rPr>
                <w:rFonts w:hint="eastAsia"/>
                <w:b/>
                <w:bCs/>
                <w:color w:val="auto"/>
                <w:lang w:val="de-DE"/>
              </w:rPr>
              <w:t>本项目废水污染物排放量汇总：</w:t>
            </w:r>
          </w:p>
          <w:p>
            <w:pPr>
              <w:pStyle w:val="11"/>
              <w:ind w:firstLine="480"/>
              <w:rPr>
                <w:color w:val="auto"/>
              </w:rPr>
            </w:pPr>
            <w:r>
              <w:rPr>
                <w:rFonts w:hint="eastAsia"/>
                <w:color w:val="auto"/>
              </w:rPr>
              <w:t>COD：372t/a×</w:t>
            </w:r>
            <w:r>
              <w:rPr>
                <w:rFonts w:hint="eastAsia"/>
                <w:color w:val="auto"/>
                <w:lang w:val="en-US" w:eastAsia="zh-CN"/>
              </w:rPr>
              <w:t>500</w:t>
            </w:r>
            <w:r>
              <w:rPr>
                <w:rFonts w:hint="eastAsia"/>
                <w:color w:val="auto"/>
              </w:rPr>
              <w:t>mg/l÷10</w:t>
            </w:r>
            <w:r>
              <w:rPr>
                <w:rFonts w:hint="eastAsia"/>
                <w:color w:val="auto"/>
                <w:vertAlign w:val="superscript"/>
              </w:rPr>
              <w:t>6</w:t>
            </w:r>
            <w:r>
              <w:rPr>
                <w:rFonts w:hint="eastAsia"/>
                <w:color w:val="auto"/>
              </w:rPr>
              <w:t>=0.186t/a</w:t>
            </w:r>
          </w:p>
          <w:p>
            <w:pPr>
              <w:pStyle w:val="11"/>
              <w:ind w:firstLine="480"/>
              <w:rPr>
                <w:color w:val="auto"/>
              </w:rPr>
            </w:pPr>
            <w:r>
              <w:rPr>
                <w:color w:val="auto"/>
              </w:rPr>
              <w:t>NH</w:t>
            </w:r>
            <w:r>
              <w:rPr>
                <w:color w:val="auto"/>
                <w:vertAlign w:val="subscript"/>
              </w:rPr>
              <w:t>3</w:t>
            </w:r>
            <w:r>
              <w:rPr>
                <w:color w:val="auto"/>
              </w:rPr>
              <w:t>-N</w:t>
            </w:r>
            <w:r>
              <w:rPr>
                <w:rFonts w:hint="eastAsia"/>
                <w:color w:val="auto"/>
              </w:rPr>
              <w:t>：372t/a×</w:t>
            </w:r>
            <w:r>
              <w:rPr>
                <w:rFonts w:hint="eastAsia"/>
                <w:color w:val="auto"/>
                <w:lang w:val="en-US" w:eastAsia="zh-CN"/>
              </w:rPr>
              <w:t>45</w:t>
            </w:r>
            <w:r>
              <w:rPr>
                <w:rFonts w:hint="eastAsia"/>
                <w:color w:val="auto"/>
              </w:rPr>
              <w:t>mg/l÷10</w:t>
            </w:r>
            <w:r>
              <w:rPr>
                <w:rFonts w:hint="eastAsia"/>
                <w:color w:val="auto"/>
                <w:vertAlign w:val="superscript"/>
              </w:rPr>
              <w:t>6</w:t>
            </w:r>
            <w:r>
              <w:rPr>
                <w:rFonts w:hint="eastAsia"/>
                <w:color w:val="auto"/>
              </w:rPr>
              <w:t>=0.01674t/a</w:t>
            </w:r>
          </w:p>
          <w:p>
            <w:pPr>
              <w:pStyle w:val="11"/>
              <w:ind w:firstLine="480"/>
              <w:rPr>
                <w:rFonts w:hint="eastAsia"/>
                <w:color w:val="auto"/>
              </w:rPr>
            </w:pPr>
            <w:r>
              <w:rPr>
                <w:rFonts w:hint="eastAsia"/>
                <w:color w:val="auto"/>
              </w:rPr>
              <w:t>TP：372t/a×</w:t>
            </w:r>
            <w:r>
              <w:rPr>
                <w:rFonts w:hint="eastAsia"/>
                <w:color w:val="auto"/>
                <w:lang w:val="en-US" w:eastAsia="zh-CN"/>
              </w:rPr>
              <w:t>8</w:t>
            </w:r>
            <w:r>
              <w:rPr>
                <w:rFonts w:hint="eastAsia"/>
                <w:color w:val="auto"/>
              </w:rPr>
              <w:t>mg/l÷10</w:t>
            </w:r>
            <w:r>
              <w:rPr>
                <w:rFonts w:hint="eastAsia"/>
                <w:color w:val="auto"/>
                <w:vertAlign w:val="superscript"/>
              </w:rPr>
              <w:t>6</w:t>
            </w:r>
            <w:r>
              <w:rPr>
                <w:rFonts w:hint="eastAsia"/>
                <w:color w:val="auto"/>
              </w:rPr>
              <w:t>=0.002976t/a</w:t>
            </w:r>
          </w:p>
          <w:p>
            <w:pPr>
              <w:pStyle w:val="104"/>
              <w:ind w:firstLine="482"/>
              <w:rPr>
                <w:rFonts w:hint="eastAsia"/>
                <w:b/>
                <w:bCs/>
                <w:color w:val="auto"/>
                <w:lang w:val="de-DE"/>
              </w:rPr>
            </w:pPr>
            <w:r>
              <w:rPr>
                <w:rFonts w:hint="eastAsia"/>
                <w:b/>
                <w:bCs/>
                <w:color w:val="auto"/>
                <w:lang w:val="de-DE"/>
              </w:rPr>
              <w:t>乐山市第一污水处理厂排水浓度执行《四川省岷江、沱江流域水污染物排放标准》（DB51/2311-2016）“城镇污水处理厂”标准限值：</w:t>
            </w:r>
          </w:p>
          <w:p>
            <w:pPr>
              <w:pStyle w:val="11"/>
              <w:ind w:firstLine="480"/>
              <w:rPr>
                <w:rFonts w:hint="eastAsia"/>
                <w:color w:val="auto"/>
              </w:rPr>
            </w:pPr>
            <w:r>
              <w:rPr>
                <w:rFonts w:hint="eastAsia"/>
                <w:color w:val="auto"/>
              </w:rPr>
              <w:t>COD：372t/a×30mg/l÷10</w:t>
            </w:r>
            <w:r>
              <w:rPr>
                <w:rFonts w:hint="eastAsia"/>
                <w:color w:val="auto"/>
                <w:vertAlign w:val="superscript"/>
              </w:rPr>
              <w:t>6</w:t>
            </w:r>
            <w:r>
              <w:rPr>
                <w:rFonts w:hint="eastAsia"/>
                <w:color w:val="auto"/>
              </w:rPr>
              <w:t>=0.01116t/a</w:t>
            </w:r>
          </w:p>
          <w:p>
            <w:pPr>
              <w:pStyle w:val="11"/>
              <w:ind w:firstLine="480"/>
              <w:rPr>
                <w:color w:val="auto"/>
              </w:rPr>
            </w:pPr>
            <w:r>
              <w:rPr>
                <w:color w:val="auto"/>
              </w:rPr>
              <w:t>NH</w:t>
            </w:r>
            <w:r>
              <w:rPr>
                <w:color w:val="auto"/>
                <w:vertAlign w:val="subscript"/>
              </w:rPr>
              <w:t>3</w:t>
            </w:r>
            <w:r>
              <w:rPr>
                <w:color w:val="auto"/>
              </w:rPr>
              <w:t>-N</w:t>
            </w:r>
            <w:r>
              <w:rPr>
                <w:rFonts w:hint="eastAsia"/>
                <w:color w:val="auto"/>
                <w:lang w:val="de-DE"/>
              </w:rPr>
              <w:t>(</w:t>
            </w:r>
            <w:r>
              <w:rPr>
                <w:rFonts w:hint="eastAsia"/>
                <w:color w:val="auto"/>
              </w:rPr>
              <w:t>水温</w:t>
            </w:r>
            <w:r>
              <w:rPr>
                <w:rFonts w:hint="eastAsia"/>
                <w:color w:val="auto"/>
                <w:lang w:val="de-DE"/>
              </w:rPr>
              <w:t>＞12℃）</w:t>
            </w:r>
            <w:r>
              <w:rPr>
                <w:rFonts w:hint="eastAsia"/>
                <w:color w:val="auto"/>
              </w:rPr>
              <w:t>：372t/a×1.5mg/l÷10</w:t>
            </w:r>
            <w:r>
              <w:rPr>
                <w:rFonts w:hint="eastAsia"/>
                <w:color w:val="auto"/>
                <w:vertAlign w:val="superscript"/>
              </w:rPr>
              <w:t>6</w:t>
            </w:r>
            <w:r>
              <w:rPr>
                <w:rFonts w:hint="eastAsia"/>
                <w:color w:val="auto"/>
              </w:rPr>
              <w:t>=0.000558t/a</w:t>
            </w:r>
          </w:p>
          <w:p>
            <w:pPr>
              <w:pStyle w:val="104"/>
              <w:ind w:firstLine="480"/>
              <w:rPr>
                <w:rFonts w:hint="eastAsia"/>
                <w:color w:val="auto"/>
                <w:lang w:val="de-DE"/>
              </w:rPr>
            </w:pPr>
            <w:r>
              <w:rPr>
                <w:rFonts w:hint="eastAsia"/>
                <w:color w:val="auto"/>
                <w:lang w:val="de-DE"/>
              </w:rPr>
              <w:t>NH</w:t>
            </w:r>
            <w:r>
              <w:rPr>
                <w:rFonts w:hint="eastAsia"/>
                <w:color w:val="auto"/>
                <w:vertAlign w:val="subscript"/>
                <w:lang w:val="de-DE"/>
              </w:rPr>
              <w:t>3</w:t>
            </w:r>
            <w:r>
              <w:rPr>
                <w:rFonts w:hint="eastAsia"/>
                <w:color w:val="auto"/>
                <w:lang w:val="de-DE"/>
              </w:rPr>
              <w:t>-N（</w:t>
            </w:r>
            <w:r>
              <w:rPr>
                <w:rFonts w:hint="eastAsia"/>
                <w:color w:val="auto"/>
              </w:rPr>
              <w:t>水温</w:t>
            </w:r>
            <w:r>
              <w:rPr>
                <w:rFonts w:hint="eastAsia"/>
                <w:color w:val="auto"/>
                <w:lang w:val="de-DE"/>
              </w:rPr>
              <w:t>≤12℃）：</w:t>
            </w:r>
            <w:r>
              <w:rPr>
                <w:rFonts w:hint="eastAsia"/>
                <w:color w:val="auto"/>
              </w:rPr>
              <w:t>372t</w:t>
            </w:r>
            <w:r>
              <w:rPr>
                <w:rFonts w:hint="eastAsia"/>
                <w:color w:val="auto"/>
                <w:lang w:val="de-DE"/>
              </w:rPr>
              <w:t>/a×3mg/L</w:t>
            </w:r>
            <w:r>
              <w:rPr>
                <w:rFonts w:hint="eastAsia"/>
                <w:color w:val="auto"/>
              </w:rPr>
              <w:t>÷10</w:t>
            </w:r>
            <w:r>
              <w:rPr>
                <w:rFonts w:hint="eastAsia"/>
                <w:color w:val="auto"/>
                <w:vertAlign w:val="superscript"/>
              </w:rPr>
              <w:t>6</w:t>
            </w:r>
            <w:r>
              <w:rPr>
                <w:rFonts w:hint="eastAsia"/>
                <w:color w:val="auto"/>
              </w:rPr>
              <w:t>=</w:t>
            </w:r>
            <w:r>
              <w:rPr>
                <w:rFonts w:hint="eastAsia"/>
                <w:color w:val="auto"/>
                <w:lang w:val="de-DE"/>
              </w:rPr>
              <w:t>0.00</w:t>
            </w:r>
            <w:r>
              <w:rPr>
                <w:rFonts w:hint="eastAsia"/>
                <w:color w:val="auto"/>
              </w:rPr>
              <w:t>1116</w:t>
            </w:r>
            <w:r>
              <w:rPr>
                <w:rFonts w:hint="eastAsia"/>
                <w:color w:val="auto"/>
                <w:lang w:val="de-DE"/>
              </w:rPr>
              <w:t>t/a</w:t>
            </w:r>
          </w:p>
          <w:p>
            <w:pPr>
              <w:adjustRightInd w:val="0"/>
              <w:snapToGrid w:val="0"/>
              <w:ind w:firstLine="480"/>
              <w:rPr>
                <w:rFonts w:hint="eastAsia"/>
                <w:color w:val="auto"/>
              </w:rPr>
            </w:pPr>
            <w:r>
              <w:rPr>
                <w:rFonts w:hint="eastAsia"/>
                <w:color w:val="auto"/>
              </w:rPr>
              <w:t>TP：372t/a×0.3mg/l÷10</w:t>
            </w:r>
            <w:r>
              <w:rPr>
                <w:rFonts w:hint="eastAsia"/>
                <w:color w:val="auto"/>
                <w:vertAlign w:val="superscript"/>
              </w:rPr>
              <w:t>6</w:t>
            </w:r>
            <w:r>
              <w:rPr>
                <w:rFonts w:hint="eastAsia"/>
                <w:color w:val="auto"/>
              </w:rPr>
              <w:t>=0.0001116t/a</w:t>
            </w:r>
          </w:p>
          <w:p>
            <w:pPr>
              <w:ind w:firstLine="480"/>
              <w:rPr>
                <w:rFonts w:hint="eastAsia"/>
                <w:color w:val="auto"/>
              </w:rPr>
            </w:pPr>
            <w:r>
              <w:rPr>
                <w:rFonts w:hint="eastAsia"/>
                <w:color w:val="auto"/>
                <w:lang w:val="de-DE"/>
              </w:rPr>
              <w:t>项目污水最终进入乐山市第一污水处理厂，总量指标计入乐山市第一污水处理厂总量控制。本次环评仅提供数据。</w:t>
            </w:r>
          </w:p>
        </w:tc>
      </w:tr>
    </w:tbl>
    <w:p>
      <w:pPr>
        <w:pStyle w:val="3"/>
        <w:rPr>
          <w:rFonts w:hint="eastAsia" w:ascii="黑体" w:hAnsi="黑体"/>
          <w:snapToGrid w:val="0"/>
          <w:color w:val="auto"/>
          <w:sz w:val="36"/>
          <w:szCs w:val="36"/>
        </w:rPr>
      </w:pPr>
      <w:r>
        <w:rPr>
          <w:rFonts w:ascii="黑体" w:hAnsi="黑体"/>
          <w:snapToGrid w:val="0"/>
          <w:color w:val="auto"/>
          <w:sz w:val="36"/>
          <w:szCs w:val="36"/>
        </w:rPr>
        <w:br w:type="page"/>
      </w:r>
      <w:bookmarkStart w:id="61" w:name="_Toc522"/>
      <w:bookmarkStart w:id="62" w:name="_Toc4684"/>
      <w:bookmarkStart w:id="63" w:name="_Toc14155"/>
      <w:bookmarkStart w:id="64" w:name="_Toc32538"/>
    </w:p>
    <w:p>
      <w:pPr>
        <w:pStyle w:val="3"/>
        <w:rPr>
          <w:rFonts w:ascii="黑体" w:hAnsi="黑体"/>
          <w:snapToGrid w:val="0"/>
          <w:color w:val="auto"/>
        </w:rPr>
      </w:pPr>
      <w:r>
        <w:rPr>
          <w:rFonts w:hint="eastAsia" w:ascii="黑体" w:hAnsi="黑体"/>
          <w:snapToGrid w:val="0"/>
          <w:color w:val="auto"/>
        </w:rPr>
        <w:t>四、主要环境影响和保护措施</w:t>
      </w:r>
      <w:bookmarkEnd w:id="61"/>
      <w:bookmarkEnd w:id="62"/>
      <w:bookmarkEnd w:id="63"/>
      <w:bookmarkEnd w:id="64"/>
    </w:p>
    <w:tbl>
      <w:tblPr>
        <w:tblStyle w:val="38"/>
        <w:tblW w:w="5133"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787"/>
        <w:gridCol w:w="843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trHeight w:val="2259" w:hRule="atLeast"/>
          <w:jc w:val="center"/>
        </w:trPr>
        <w:tc>
          <w:tcPr>
            <w:tcW w:w="432" w:type="pct"/>
            <w:noWrap w:val="0"/>
            <w:tcMar>
              <w:left w:w="28" w:type="dxa"/>
              <w:right w:w="28" w:type="dxa"/>
            </w:tcMar>
            <w:vAlign w:val="center"/>
          </w:tcPr>
          <w:p>
            <w:pPr>
              <w:pStyle w:val="33"/>
              <w:adjustRightInd w:val="0"/>
              <w:snapToGrid w:val="0"/>
              <w:spacing w:before="0" w:beforeAutospacing="0" w:after="0" w:afterAutospacing="0"/>
              <w:ind w:firstLine="0" w:firstLineChars="0"/>
              <w:jc w:val="center"/>
              <w:rPr>
                <w:rFonts w:hint="eastAsia" w:cs="宋体"/>
                <w:color w:val="auto"/>
                <w:kern w:val="2"/>
                <w:szCs w:val="24"/>
              </w:rPr>
            </w:pPr>
            <w:r>
              <w:rPr>
                <w:rFonts w:hint="eastAsia" w:cs="宋体"/>
                <w:color w:val="auto"/>
                <w:kern w:val="2"/>
                <w:szCs w:val="24"/>
              </w:rPr>
              <w:t>施工</w:t>
            </w:r>
          </w:p>
          <w:p>
            <w:pPr>
              <w:pStyle w:val="33"/>
              <w:adjustRightInd w:val="0"/>
              <w:snapToGrid w:val="0"/>
              <w:spacing w:before="0" w:beforeAutospacing="0" w:after="0" w:afterAutospacing="0"/>
              <w:ind w:firstLine="0" w:firstLineChars="0"/>
              <w:jc w:val="center"/>
              <w:rPr>
                <w:rFonts w:hint="eastAsia" w:cs="宋体"/>
                <w:color w:val="auto"/>
                <w:kern w:val="2"/>
                <w:szCs w:val="24"/>
              </w:rPr>
            </w:pPr>
            <w:r>
              <w:rPr>
                <w:rFonts w:hint="eastAsia" w:cs="宋体"/>
                <w:color w:val="auto"/>
                <w:kern w:val="2"/>
                <w:szCs w:val="24"/>
              </w:rPr>
              <w:t>期环</w:t>
            </w:r>
          </w:p>
          <w:p>
            <w:pPr>
              <w:pStyle w:val="33"/>
              <w:adjustRightInd w:val="0"/>
              <w:snapToGrid w:val="0"/>
              <w:spacing w:before="0" w:beforeAutospacing="0" w:after="0" w:afterAutospacing="0"/>
              <w:ind w:firstLine="0" w:firstLineChars="0"/>
              <w:jc w:val="center"/>
              <w:rPr>
                <w:rFonts w:hint="eastAsia" w:cs="宋体"/>
                <w:color w:val="auto"/>
                <w:kern w:val="2"/>
                <w:szCs w:val="24"/>
              </w:rPr>
            </w:pPr>
            <w:r>
              <w:rPr>
                <w:rFonts w:hint="eastAsia" w:cs="宋体"/>
                <w:color w:val="auto"/>
                <w:kern w:val="2"/>
                <w:szCs w:val="24"/>
              </w:rPr>
              <w:t>境保</w:t>
            </w:r>
          </w:p>
          <w:p>
            <w:pPr>
              <w:pStyle w:val="33"/>
              <w:adjustRightInd w:val="0"/>
              <w:snapToGrid w:val="0"/>
              <w:spacing w:before="0" w:beforeAutospacing="0" w:after="0" w:afterAutospacing="0"/>
              <w:ind w:firstLine="0" w:firstLineChars="0"/>
              <w:jc w:val="center"/>
              <w:rPr>
                <w:rFonts w:hint="eastAsia" w:cs="宋体"/>
                <w:color w:val="auto"/>
                <w:kern w:val="2"/>
                <w:szCs w:val="24"/>
              </w:rPr>
            </w:pPr>
            <w:r>
              <w:rPr>
                <w:rFonts w:hint="eastAsia" w:cs="宋体"/>
                <w:color w:val="auto"/>
                <w:kern w:val="2"/>
                <w:szCs w:val="24"/>
              </w:rPr>
              <w:t>护措</w:t>
            </w:r>
          </w:p>
          <w:p>
            <w:pPr>
              <w:pStyle w:val="33"/>
              <w:adjustRightInd w:val="0"/>
              <w:snapToGrid w:val="0"/>
              <w:spacing w:before="0" w:beforeAutospacing="0" w:after="0" w:afterAutospacing="0"/>
              <w:ind w:firstLine="0" w:firstLineChars="0"/>
              <w:jc w:val="center"/>
              <w:rPr>
                <w:rFonts w:hint="eastAsia" w:cs="宋体"/>
                <w:bCs/>
                <w:color w:val="auto"/>
                <w:kern w:val="2"/>
                <w:szCs w:val="24"/>
              </w:rPr>
            </w:pPr>
            <w:r>
              <w:rPr>
                <w:rFonts w:hint="eastAsia" w:cs="宋体"/>
                <w:color w:val="auto"/>
                <w:kern w:val="2"/>
                <w:szCs w:val="24"/>
              </w:rPr>
              <w:t>施</w:t>
            </w:r>
          </w:p>
        </w:tc>
        <w:tc>
          <w:tcPr>
            <w:tcW w:w="4567" w:type="pct"/>
            <w:noWrap w:val="0"/>
            <w:vAlign w:val="center"/>
          </w:tcPr>
          <w:p>
            <w:pPr>
              <w:ind w:firstLine="480"/>
              <w:rPr>
                <w:rFonts w:ascii="宋体" w:hAnsi="宋体" w:cs="宋体"/>
                <w:bCs/>
                <w:color w:val="auto"/>
                <w:spacing w:val="-10"/>
              </w:rPr>
            </w:pPr>
            <w:r>
              <w:rPr>
                <w:rFonts w:hint="eastAsia"/>
                <w:color w:val="auto"/>
                <w:lang w:val="de-DE"/>
              </w:rPr>
              <w:t>本项目为未批先建项目，属于新建补评手续。项目租赁现有的商铺进行项目建设，建筑主体框架已基本形成，项目建设期间，仅对商铺进行简单装修、隔断及设备安装，项目建设阶段产生的污染物较小，根据现场踏勘，该项目施工期已结束，经现场踏查及询问调查，项目施工期无环境遗留问题，未接到相关环境污染投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32" w:type="pct"/>
            <w:noWrap w:val="0"/>
            <w:tcMar>
              <w:left w:w="28" w:type="dxa"/>
              <w:right w:w="28" w:type="dxa"/>
            </w:tcMar>
            <w:vAlign w:val="center"/>
          </w:tcPr>
          <w:p>
            <w:pPr>
              <w:adjustRightInd w:val="0"/>
              <w:snapToGrid w:val="0"/>
              <w:ind w:firstLine="0" w:firstLineChars="0"/>
              <w:jc w:val="center"/>
              <w:rPr>
                <w:rFonts w:hint="eastAsia" w:ascii="宋体" w:hAnsi="宋体" w:cs="宋体"/>
                <w:bCs/>
                <w:color w:val="auto"/>
              </w:rPr>
            </w:pPr>
            <w:r>
              <w:rPr>
                <w:rFonts w:hint="eastAsia" w:ascii="宋体" w:hAnsi="宋体" w:cs="宋体"/>
                <w:bCs/>
                <w:color w:val="auto"/>
              </w:rPr>
              <w:t>运营</w:t>
            </w:r>
          </w:p>
          <w:p>
            <w:pPr>
              <w:adjustRightInd w:val="0"/>
              <w:snapToGrid w:val="0"/>
              <w:ind w:firstLine="0" w:firstLineChars="0"/>
              <w:jc w:val="center"/>
              <w:rPr>
                <w:rFonts w:hint="eastAsia" w:ascii="宋体" w:hAnsi="宋体" w:cs="宋体"/>
                <w:bCs/>
                <w:color w:val="auto"/>
              </w:rPr>
            </w:pPr>
            <w:r>
              <w:rPr>
                <w:rFonts w:hint="eastAsia" w:ascii="宋体" w:hAnsi="宋体" w:cs="宋体"/>
                <w:bCs/>
                <w:color w:val="auto"/>
              </w:rPr>
              <w:t>期环</w:t>
            </w:r>
          </w:p>
          <w:p>
            <w:pPr>
              <w:adjustRightInd w:val="0"/>
              <w:snapToGrid w:val="0"/>
              <w:ind w:firstLine="0" w:firstLineChars="0"/>
              <w:jc w:val="center"/>
              <w:rPr>
                <w:rFonts w:hint="eastAsia" w:ascii="宋体" w:hAnsi="宋体" w:cs="宋体"/>
                <w:bCs/>
                <w:color w:val="auto"/>
              </w:rPr>
            </w:pPr>
            <w:r>
              <w:rPr>
                <w:rFonts w:hint="eastAsia" w:ascii="宋体" w:hAnsi="宋体" w:cs="宋体"/>
                <w:bCs/>
                <w:color w:val="auto"/>
              </w:rPr>
              <w:t>境影</w:t>
            </w:r>
          </w:p>
          <w:p>
            <w:pPr>
              <w:adjustRightInd w:val="0"/>
              <w:snapToGrid w:val="0"/>
              <w:ind w:firstLine="0" w:firstLineChars="0"/>
              <w:jc w:val="center"/>
              <w:rPr>
                <w:rFonts w:hint="eastAsia" w:ascii="宋体" w:hAnsi="宋体" w:cs="宋体"/>
                <w:bCs/>
                <w:color w:val="auto"/>
              </w:rPr>
            </w:pPr>
            <w:r>
              <w:rPr>
                <w:rFonts w:hint="eastAsia" w:ascii="宋体" w:hAnsi="宋体" w:cs="宋体"/>
                <w:bCs/>
                <w:color w:val="auto"/>
              </w:rPr>
              <w:t>响和</w:t>
            </w:r>
          </w:p>
          <w:p>
            <w:pPr>
              <w:adjustRightInd w:val="0"/>
              <w:snapToGrid w:val="0"/>
              <w:ind w:firstLine="0" w:firstLineChars="0"/>
              <w:jc w:val="center"/>
              <w:rPr>
                <w:rFonts w:hint="eastAsia" w:ascii="宋体" w:hAnsi="宋体" w:cs="宋体"/>
                <w:bCs/>
                <w:color w:val="auto"/>
              </w:rPr>
            </w:pPr>
            <w:r>
              <w:rPr>
                <w:rFonts w:hint="eastAsia" w:ascii="宋体" w:hAnsi="宋体" w:cs="宋体"/>
                <w:bCs/>
                <w:color w:val="auto"/>
              </w:rPr>
              <w:t>保护</w:t>
            </w:r>
          </w:p>
          <w:p>
            <w:pPr>
              <w:adjustRightInd w:val="0"/>
              <w:snapToGrid w:val="0"/>
              <w:ind w:firstLine="0" w:firstLineChars="0"/>
              <w:jc w:val="center"/>
              <w:rPr>
                <w:rFonts w:ascii="宋体" w:hAnsi="宋体" w:cs="宋体"/>
                <w:bCs/>
                <w:color w:val="auto"/>
              </w:rPr>
            </w:pPr>
            <w:r>
              <w:rPr>
                <w:rFonts w:hint="eastAsia" w:ascii="宋体" w:hAnsi="宋体" w:cs="宋体"/>
                <w:bCs/>
                <w:color w:val="auto"/>
              </w:rPr>
              <w:t>措施</w:t>
            </w:r>
          </w:p>
        </w:tc>
        <w:tc>
          <w:tcPr>
            <w:tcW w:w="4567" w:type="pct"/>
            <w:noWrap w:val="0"/>
            <w:vAlign w:val="center"/>
          </w:tcPr>
          <w:p>
            <w:pPr>
              <w:pStyle w:val="4"/>
              <w:rPr>
                <w:rFonts w:hint="eastAsia"/>
                <w:color w:val="auto"/>
              </w:rPr>
            </w:pPr>
            <w:r>
              <w:rPr>
                <w:rFonts w:hint="eastAsia"/>
                <w:color w:val="auto"/>
              </w:rPr>
              <w:t>一、营运期大气环境影响分析和保护措施</w:t>
            </w:r>
          </w:p>
          <w:p>
            <w:pPr>
              <w:pStyle w:val="5"/>
              <w:ind w:firstLine="482"/>
              <w:rPr>
                <w:color w:val="auto"/>
              </w:rPr>
            </w:pPr>
            <w:r>
              <w:rPr>
                <w:color w:val="auto"/>
              </w:rPr>
              <w:t>1、废气产生源强</w:t>
            </w:r>
          </w:p>
          <w:p>
            <w:pPr>
              <w:ind w:firstLine="480"/>
              <w:rPr>
                <w:color w:val="auto"/>
              </w:rPr>
            </w:pPr>
            <w:r>
              <w:rPr>
                <w:color w:val="auto"/>
              </w:rPr>
              <w:t>本项目废气主要来源于</w:t>
            </w:r>
            <w:r>
              <w:rPr>
                <w:rFonts w:hint="eastAsia"/>
                <w:color w:val="auto"/>
              </w:rPr>
              <w:t>医废暂存间</w:t>
            </w:r>
            <w:r>
              <w:rPr>
                <w:color w:val="auto"/>
              </w:rPr>
              <w:t>异味、污水处理设施的异味</w:t>
            </w:r>
            <w:r>
              <w:rPr>
                <w:rFonts w:hint="eastAsia"/>
                <w:color w:val="auto"/>
              </w:rPr>
              <w:t>、</w:t>
            </w:r>
            <w:r>
              <w:rPr>
                <w:color w:val="auto"/>
              </w:rPr>
              <w:t>就诊区域内宠物散发的异味等。</w:t>
            </w:r>
          </w:p>
          <w:p>
            <w:pPr>
              <w:pStyle w:val="5"/>
              <w:ind w:firstLine="482"/>
              <w:rPr>
                <w:color w:val="auto"/>
              </w:rPr>
            </w:pPr>
            <w:r>
              <w:rPr>
                <w:color w:val="auto"/>
              </w:rPr>
              <w:t>2、现有废气污染防治措施</w:t>
            </w:r>
          </w:p>
          <w:p>
            <w:pPr>
              <w:ind w:firstLine="482"/>
              <w:rPr>
                <w:rFonts w:hint="eastAsia"/>
                <w:b/>
                <w:bCs/>
                <w:color w:val="auto"/>
              </w:rPr>
            </w:pPr>
            <w:r>
              <w:rPr>
                <w:rFonts w:hint="eastAsia"/>
                <w:b/>
                <w:bCs/>
                <w:color w:val="auto"/>
              </w:rPr>
              <w:t>医废暂存间异味：</w:t>
            </w:r>
          </w:p>
          <w:p>
            <w:pPr>
              <w:pStyle w:val="104"/>
              <w:ind w:firstLine="480"/>
              <w:rPr>
                <w:rFonts w:hint="eastAsia"/>
                <w:color w:val="auto"/>
              </w:rPr>
            </w:pPr>
            <w:r>
              <w:rPr>
                <w:rFonts w:hint="eastAsia"/>
                <w:color w:val="auto"/>
              </w:rPr>
              <w:t>本项目设置医废暂存间，有张贴标识标牌。本环评要求建设单位应做好医疗废物的密封、清运和消毒工作，同时加强管理，做好暂存间的地面和墙裙进行防渗处理，和暂存间的防鼠、防蚊蝇等措施，定期进行医疗废物暂存间存储设施、设备的清洁和消毒工作，医疗废物及时交由资质单位处置，日常采用移动式紫外线灯加强对院内环境消毒来降低病菌及异味对周边环境的影响，避免对周围大气环境产生不利影响。</w:t>
            </w:r>
          </w:p>
          <w:p>
            <w:pPr>
              <w:ind w:firstLine="482"/>
              <w:rPr>
                <w:rFonts w:hint="eastAsia"/>
                <w:b/>
                <w:bCs/>
                <w:color w:val="auto"/>
              </w:rPr>
            </w:pPr>
            <w:r>
              <w:rPr>
                <w:rFonts w:hint="eastAsia"/>
                <w:b/>
                <w:bCs/>
                <w:color w:val="auto"/>
              </w:rPr>
              <w:t>就诊区宠物散发异味：</w:t>
            </w:r>
          </w:p>
          <w:p>
            <w:pPr>
              <w:pStyle w:val="104"/>
              <w:ind w:firstLine="480"/>
              <w:rPr>
                <w:rFonts w:hint="eastAsia"/>
                <w:color w:val="auto"/>
              </w:rPr>
            </w:pPr>
            <w:r>
              <w:rPr>
                <w:rFonts w:hint="eastAsia"/>
                <w:color w:val="auto"/>
              </w:rPr>
              <w:t>本项目正式运营后，入院宠物可能会有异味产生。建设单位日常采用移动式紫外线灯加强对院内环境消毒来降低异味对周边环境的影响，使用过后的器具及时进行清洗，并及时打扫、清运笼舍区域产生的固废（含粪便、食物残渣等），项目在采取以上措施后可以消除难闻、有害的气体，预防由细菌和寄生虫引起的疾病。</w:t>
            </w:r>
          </w:p>
          <w:p>
            <w:pPr>
              <w:ind w:firstLine="482"/>
              <w:rPr>
                <w:rFonts w:hint="eastAsia"/>
                <w:b/>
                <w:bCs/>
                <w:color w:val="auto"/>
              </w:rPr>
            </w:pPr>
            <w:r>
              <w:rPr>
                <w:rFonts w:hint="eastAsia"/>
                <w:b/>
                <w:bCs/>
                <w:color w:val="auto"/>
              </w:rPr>
              <w:t>院内带菌空气：</w:t>
            </w:r>
          </w:p>
          <w:p>
            <w:pPr>
              <w:pStyle w:val="104"/>
              <w:ind w:firstLine="480"/>
              <w:rPr>
                <w:rFonts w:hint="eastAsia"/>
                <w:color w:val="auto"/>
              </w:rPr>
            </w:pPr>
            <w:r>
              <w:rPr>
                <w:rFonts w:hint="eastAsia"/>
                <w:color w:val="auto"/>
              </w:rPr>
              <w:t>本项目营运期在救治宠物过程中，医院空气中可能携带有少量的病菌。针对医院内诊疗环境（包括手术室、诊疗室和住院病房等），项目采用移动式紫外线灯+环境地面消毒的方式进行环境消毒。同时加强医院内部通风，可有效减少带菌废气对周边环境的影响。</w:t>
            </w:r>
          </w:p>
          <w:p>
            <w:pPr>
              <w:ind w:firstLine="480"/>
              <w:rPr>
                <w:rFonts w:hint="eastAsia"/>
                <w:color w:val="auto"/>
              </w:rPr>
            </w:pPr>
            <w:r>
              <w:rPr>
                <w:rFonts w:hint="eastAsia"/>
                <w:color w:val="auto"/>
              </w:rPr>
              <w:t>综上，本项目营运期产生的异味经采取防治措施后对周围环境保护目标影响较小。</w:t>
            </w:r>
          </w:p>
          <w:p>
            <w:pPr>
              <w:pStyle w:val="104"/>
              <w:ind w:firstLine="482"/>
              <w:rPr>
                <w:rFonts w:hint="eastAsia"/>
                <w:b/>
                <w:bCs/>
                <w:color w:val="auto"/>
              </w:rPr>
            </w:pPr>
            <w:r>
              <w:rPr>
                <w:rFonts w:hint="eastAsia"/>
                <w:b/>
                <w:bCs/>
                <w:color w:val="auto"/>
              </w:rPr>
              <w:t>一体化污水处理设施臭气：</w:t>
            </w:r>
          </w:p>
          <w:p>
            <w:pPr>
              <w:pStyle w:val="104"/>
              <w:ind w:firstLine="480"/>
              <w:rPr>
                <w:rFonts w:hint="eastAsia"/>
                <w:color w:val="auto"/>
              </w:rPr>
            </w:pPr>
            <w:r>
              <w:rPr>
                <w:rFonts w:hint="eastAsia"/>
                <w:color w:val="auto"/>
              </w:rPr>
              <w:t>本项目医疗废水预处理设施处理能力为2m</w:t>
            </w:r>
            <w:r>
              <w:rPr>
                <w:rFonts w:hint="eastAsia"/>
                <w:color w:val="auto"/>
                <w:vertAlign w:val="superscript"/>
              </w:rPr>
              <w:t>3</w:t>
            </w:r>
            <w:r>
              <w:rPr>
                <w:rFonts w:hint="eastAsia"/>
                <w:color w:val="auto"/>
              </w:rPr>
              <w:t>/d，采用“一级强化+消毒处理工艺”，设计废水停留时间约8h。项目医疗废水预处理设施不涉及二级生化处理工序，对BOD无处理效率，污水处理设施臭气产生量较少，且污水处理设施为密闭装置，产生的臭气极少，对周边环境影响较小。</w:t>
            </w:r>
          </w:p>
          <w:p>
            <w:pPr>
              <w:pStyle w:val="5"/>
              <w:ind w:firstLine="482"/>
              <w:rPr>
                <w:color w:val="auto"/>
              </w:rPr>
            </w:pPr>
            <w:bookmarkStart w:id="65" w:name="_Toc1984"/>
            <w:r>
              <w:rPr>
                <w:color w:val="auto"/>
              </w:rPr>
              <w:t>3、废气治理措施可行性分析</w:t>
            </w:r>
          </w:p>
          <w:p>
            <w:pPr>
              <w:pStyle w:val="104"/>
              <w:ind w:firstLine="480"/>
              <w:rPr>
                <w:rFonts w:hint="eastAsia"/>
                <w:color w:val="auto"/>
              </w:rPr>
            </w:pPr>
            <w:r>
              <w:rPr>
                <w:rFonts w:hint="eastAsia"/>
                <w:color w:val="auto"/>
              </w:rPr>
              <w:t>综上，项目在采取以上措施后，运营期产生的无组织废气对环境的影响较小，所处地带开阔，医院内的废气经紫外线及环境消毒除臭后，少量的无组织废气经自然通风后能得到较好的扩散，同时项目自建成以来未接到周边临近住户的相关环境投诉，因此，本项目的建成后对区域环境空气质量的影响可接受，采取的各项污染治理措施可行。</w:t>
            </w:r>
          </w:p>
          <w:p>
            <w:pPr>
              <w:pStyle w:val="104"/>
              <w:ind w:left="480" w:leftChars="200" w:firstLine="0" w:firstLineChars="0"/>
              <w:rPr>
                <w:rFonts w:hint="eastAsia" w:cs="宋体"/>
                <w:b/>
                <w:color w:val="auto"/>
                <w:kern w:val="0"/>
                <w:szCs w:val="27"/>
              </w:rPr>
            </w:pPr>
            <w:r>
              <w:rPr>
                <w:rFonts w:hint="eastAsia" w:cs="宋体"/>
                <w:b/>
                <w:color w:val="auto"/>
                <w:kern w:val="0"/>
                <w:szCs w:val="27"/>
              </w:rPr>
              <w:t>4、监测计划</w:t>
            </w:r>
          </w:p>
          <w:p>
            <w:pPr>
              <w:pStyle w:val="104"/>
              <w:ind w:firstLine="480"/>
              <w:rPr>
                <w:rFonts w:hint="eastAsia"/>
                <w:color w:val="auto"/>
              </w:rPr>
            </w:pPr>
            <w:r>
              <w:rPr>
                <w:rFonts w:hint="eastAsia"/>
                <w:color w:val="auto"/>
              </w:rPr>
              <w:t>根据</w:t>
            </w:r>
            <w:r>
              <w:rPr>
                <w:color w:val="auto"/>
              </w:rPr>
              <w:t>《排污单位自行监测技术指南总则》（HJ819-2017）</w:t>
            </w:r>
            <w:r>
              <w:rPr>
                <w:rFonts w:hint="eastAsia"/>
                <w:color w:val="auto"/>
              </w:rPr>
              <w:t>制定本项目废气监测计划如下：</w:t>
            </w:r>
          </w:p>
          <w:p>
            <w:pPr>
              <w:pStyle w:val="102"/>
              <w:ind w:left="422" w:hanging="422"/>
              <w:rPr>
                <w:rFonts w:hint="eastAsia"/>
                <w:color w:val="auto"/>
              </w:rPr>
            </w:pPr>
            <w:r>
              <w:rPr>
                <w:rFonts w:hint="eastAsia"/>
                <w:color w:val="auto"/>
              </w:rPr>
              <w:t>表4-1   废气污染物监测计划</w:t>
            </w:r>
          </w:p>
          <w:tbl>
            <w:tblPr>
              <w:tblStyle w:val="38"/>
              <w:tblW w:w="820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51"/>
              <w:gridCol w:w="2052"/>
              <w:gridCol w:w="2478"/>
              <w:gridCol w:w="16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51" w:type="dxa"/>
                  <w:noWrap w:val="0"/>
                  <w:vAlign w:val="top"/>
                </w:tcPr>
                <w:p>
                  <w:pPr>
                    <w:pStyle w:val="118"/>
                    <w:rPr>
                      <w:color w:val="auto"/>
                    </w:rPr>
                  </w:pPr>
                  <w:r>
                    <w:rPr>
                      <w:rFonts w:hint="eastAsia"/>
                      <w:color w:val="auto"/>
                    </w:rPr>
                    <w:t>排放形式</w:t>
                  </w:r>
                </w:p>
              </w:tc>
              <w:tc>
                <w:tcPr>
                  <w:tcW w:w="2052" w:type="dxa"/>
                  <w:noWrap w:val="0"/>
                  <w:vAlign w:val="top"/>
                </w:tcPr>
                <w:p>
                  <w:pPr>
                    <w:pStyle w:val="118"/>
                    <w:rPr>
                      <w:color w:val="auto"/>
                    </w:rPr>
                  </w:pPr>
                  <w:r>
                    <w:rPr>
                      <w:rFonts w:hint="eastAsia"/>
                      <w:color w:val="auto"/>
                    </w:rPr>
                    <w:t>监测点位</w:t>
                  </w:r>
                </w:p>
              </w:tc>
              <w:tc>
                <w:tcPr>
                  <w:tcW w:w="2478" w:type="dxa"/>
                  <w:noWrap w:val="0"/>
                  <w:vAlign w:val="top"/>
                </w:tcPr>
                <w:p>
                  <w:pPr>
                    <w:pStyle w:val="118"/>
                    <w:rPr>
                      <w:color w:val="auto"/>
                    </w:rPr>
                  </w:pPr>
                  <w:r>
                    <w:rPr>
                      <w:rFonts w:hint="eastAsia"/>
                      <w:color w:val="auto"/>
                    </w:rPr>
                    <w:t>监测因子</w:t>
                  </w:r>
                </w:p>
              </w:tc>
              <w:tc>
                <w:tcPr>
                  <w:tcW w:w="1626" w:type="dxa"/>
                  <w:noWrap w:val="0"/>
                  <w:vAlign w:val="top"/>
                </w:tcPr>
                <w:p>
                  <w:pPr>
                    <w:pStyle w:val="118"/>
                    <w:rPr>
                      <w:color w:val="auto"/>
                    </w:rPr>
                  </w:pPr>
                  <w:r>
                    <w:rPr>
                      <w:rFonts w:hint="eastAsia"/>
                      <w:color w:val="auto"/>
                    </w:rPr>
                    <w:t>监测频次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51" w:type="dxa"/>
                  <w:noWrap w:val="0"/>
                  <w:vAlign w:val="top"/>
                </w:tcPr>
                <w:p>
                  <w:pPr>
                    <w:pStyle w:val="118"/>
                    <w:rPr>
                      <w:color w:val="auto"/>
                    </w:rPr>
                  </w:pPr>
                  <w:r>
                    <w:rPr>
                      <w:rFonts w:hint="eastAsia"/>
                      <w:color w:val="auto"/>
                    </w:rPr>
                    <w:t>无组织</w:t>
                  </w:r>
                </w:p>
              </w:tc>
              <w:tc>
                <w:tcPr>
                  <w:tcW w:w="2052" w:type="dxa"/>
                  <w:noWrap w:val="0"/>
                  <w:vAlign w:val="top"/>
                </w:tcPr>
                <w:p>
                  <w:pPr>
                    <w:pStyle w:val="118"/>
                    <w:rPr>
                      <w:color w:val="auto"/>
                    </w:rPr>
                  </w:pPr>
                  <w:r>
                    <w:rPr>
                      <w:rFonts w:hint="eastAsia"/>
                      <w:color w:val="auto"/>
                    </w:rPr>
                    <w:t>项目四周</w:t>
                  </w:r>
                </w:p>
              </w:tc>
              <w:tc>
                <w:tcPr>
                  <w:tcW w:w="2478" w:type="dxa"/>
                  <w:noWrap w:val="0"/>
                  <w:vAlign w:val="top"/>
                </w:tcPr>
                <w:p>
                  <w:pPr>
                    <w:pStyle w:val="118"/>
                    <w:rPr>
                      <w:color w:val="auto"/>
                    </w:rPr>
                  </w:pPr>
                  <w:r>
                    <w:rPr>
                      <w:rFonts w:hint="eastAsia"/>
                      <w:color w:val="auto"/>
                    </w:rPr>
                    <w:t>氨、硫化氢、臭气浓度</w:t>
                  </w:r>
                </w:p>
              </w:tc>
              <w:tc>
                <w:tcPr>
                  <w:tcW w:w="1626" w:type="dxa"/>
                  <w:noWrap w:val="0"/>
                  <w:vAlign w:val="top"/>
                </w:tcPr>
                <w:p>
                  <w:pPr>
                    <w:pStyle w:val="118"/>
                    <w:rPr>
                      <w:color w:val="auto"/>
                    </w:rPr>
                  </w:pPr>
                  <w:r>
                    <w:rPr>
                      <w:rFonts w:hint="eastAsia"/>
                      <w:color w:val="auto"/>
                    </w:rPr>
                    <w:t>季度</w:t>
                  </w:r>
                </w:p>
              </w:tc>
            </w:tr>
          </w:tbl>
          <w:p>
            <w:pPr>
              <w:spacing w:after="120"/>
              <w:ind w:firstLine="0" w:firstLineChars="0"/>
              <w:jc w:val="left"/>
              <w:outlineLvl w:val="1"/>
              <w:rPr>
                <w:rFonts w:hint="eastAsia"/>
                <w:b/>
                <w:color w:val="auto"/>
                <w:kern w:val="0"/>
                <w:szCs w:val="28"/>
                <w:lang w:bidi="ar"/>
              </w:rPr>
            </w:pPr>
            <w:r>
              <w:rPr>
                <w:rFonts w:hint="eastAsia"/>
                <w:b/>
                <w:color w:val="auto"/>
                <w:kern w:val="0"/>
                <w:szCs w:val="28"/>
                <w:lang w:bidi="ar"/>
              </w:rPr>
              <w:t>二、营运期水环境影响分析和保护措施</w:t>
            </w:r>
            <w:bookmarkEnd w:id="65"/>
          </w:p>
          <w:p>
            <w:pPr>
              <w:pStyle w:val="104"/>
              <w:ind w:firstLine="482"/>
              <w:rPr>
                <w:rFonts w:hint="eastAsia"/>
                <w:b/>
                <w:bCs/>
                <w:color w:val="auto"/>
              </w:rPr>
            </w:pPr>
            <w:r>
              <w:rPr>
                <w:rFonts w:hint="eastAsia"/>
                <w:b/>
                <w:bCs/>
                <w:color w:val="auto"/>
              </w:rPr>
              <w:t>1、废水产生源强</w:t>
            </w:r>
          </w:p>
          <w:p>
            <w:pPr>
              <w:pStyle w:val="104"/>
              <w:ind w:firstLine="480"/>
              <w:rPr>
                <w:rFonts w:hint="eastAsia"/>
                <w:color w:val="auto"/>
              </w:rPr>
            </w:pPr>
            <w:r>
              <w:rPr>
                <w:rFonts w:hint="eastAsia"/>
                <w:color w:val="auto"/>
              </w:rPr>
              <w:t>本项目产生的废水主要为生活污水（0.28m³/d）和医疗废水（0.96m</w:t>
            </w:r>
            <w:r>
              <w:rPr>
                <w:rFonts w:hint="eastAsia"/>
                <w:color w:val="auto"/>
                <w:vertAlign w:val="superscript"/>
              </w:rPr>
              <w:t>3</w:t>
            </w:r>
            <w:r>
              <w:rPr>
                <w:rFonts w:hint="eastAsia"/>
                <w:color w:val="auto"/>
              </w:rPr>
              <w:t>/d），其中医疗废水包括了动物门诊废水、住院废水、宠物清洗废水和院内地面清洁废水，由项目水平衡可知，项目建成后废水总的排放量为1.</w:t>
            </w:r>
            <w:r>
              <w:rPr>
                <w:rFonts w:hint="eastAsia"/>
                <w:color w:val="auto"/>
                <w:lang w:val="en-US" w:eastAsia="zh-CN"/>
              </w:rPr>
              <w:t>24</w:t>
            </w:r>
            <w:r>
              <w:rPr>
                <w:rFonts w:hint="eastAsia"/>
                <w:color w:val="auto"/>
              </w:rPr>
              <w:t>m</w:t>
            </w:r>
            <w:r>
              <w:rPr>
                <w:rFonts w:hint="eastAsia"/>
                <w:color w:val="auto"/>
                <w:vertAlign w:val="superscript"/>
              </w:rPr>
              <w:t>3</w:t>
            </w:r>
            <w:r>
              <w:rPr>
                <w:rFonts w:hint="eastAsia"/>
                <w:color w:val="auto"/>
              </w:rPr>
              <w:t>/d（3</w:t>
            </w:r>
            <w:r>
              <w:rPr>
                <w:rFonts w:hint="eastAsia"/>
                <w:color w:val="auto"/>
                <w:lang w:val="en-US" w:eastAsia="zh-CN"/>
              </w:rPr>
              <w:t>72</w:t>
            </w:r>
            <w:r>
              <w:rPr>
                <w:rFonts w:hint="eastAsia"/>
                <w:color w:val="auto"/>
              </w:rPr>
              <w:t>m</w:t>
            </w:r>
            <w:r>
              <w:rPr>
                <w:rFonts w:hint="eastAsia"/>
                <w:color w:val="auto"/>
                <w:vertAlign w:val="superscript"/>
              </w:rPr>
              <w:t>3</w:t>
            </w:r>
            <w:r>
              <w:rPr>
                <w:rFonts w:hint="eastAsia"/>
                <w:color w:val="auto"/>
              </w:rPr>
              <w:t>/a）。</w:t>
            </w:r>
          </w:p>
          <w:p>
            <w:pPr>
              <w:pStyle w:val="5"/>
              <w:ind w:firstLine="482"/>
              <w:rPr>
                <w:color w:val="auto"/>
              </w:rPr>
            </w:pPr>
            <w:r>
              <w:rPr>
                <w:color w:val="auto"/>
              </w:rPr>
              <w:t>2、废水污染防治措施</w:t>
            </w:r>
          </w:p>
          <w:p>
            <w:pPr>
              <w:spacing w:before="193" w:line="180" w:lineRule="auto"/>
              <w:ind w:firstLine="480"/>
              <w:rPr>
                <w:rFonts w:hint="eastAsia"/>
                <w:color w:val="auto"/>
              </w:rPr>
            </w:pPr>
            <w:r>
              <w:rPr>
                <w:rFonts w:hint="eastAsia"/>
                <w:color w:val="auto"/>
              </w:rPr>
              <w:t>①生活污水</w:t>
            </w:r>
          </w:p>
          <w:p>
            <w:pPr>
              <w:ind w:firstLine="480"/>
              <w:rPr>
                <w:rFonts w:hint="eastAsia"/>
                <w:color w:val="auto"/>
              </w:rPr>
            </w:pPr>
            <w:r>
              <w:rPr>
                <w:rFonts w:hint="eastAsia"/>
                <w:color w:val="auto"/>
              </w:rPr>
              <w:t>本项目的生活污水主要为医护人员生活污水和顾客生活污水。产生的生活污水利用卫生间原有的污水管道进入春天花园预处理池处理，最终进入第一污水处理厂处理。</w:t>
            </w:r>
          </w:p>
          <w:p>
            <w:pPr>
              <w:spacing w:before="164" w:line="180" w:lineRule="auto"/>
              <w:ind w:firstLine="480"/>
              <w:rPr>
                <w:rFonts w:hint="eastAsia"/>
                <w:color w:val="auto"/>
              </w:rPr>
            </w:pPr>
            <w:r>
              <w:rPr>
                <w:rFonts w:hint="eastAsia"/>
                <w:color w:val="auto"/>
              </w:rPr>
              <w:t>②医疗废水</w:t>
            </w:r>
          </w:p>
          <w:p>
            <w:pPr>
              <w:pStyle w:val="104"/>
              <w:ind w:firstLine="480"/>
              <w:rPr>
                <w:rFonts w:hint="eastAsia"/>
                <w:color w:val="auto"/>
              </w:rPr>
            </w:pPr>
            <w:r>
              <w:rPr>
                <w:rFonts w:hint="eastAsia"/>
                <w:color w:val="auto"/>
              </w:rPr>
              <w:t>本项目医疗废水产生科室集中在手术室、诊疗室内，并在所有医疗废水产生点设置有专用的医疗废水收集点，医疗废水经污水处理设施消毒处理后通过管道排入春天花园预处理池，最终进入第一污水处理厂处理达到《四川省岷江、沱江流域水污染物排放标准》（DB51/2311-2016）要求后排入岷江。</w:t>
            </w:r>
          </w:p>
          <w:p>
            <w:pPr>
              <w:pStyle w:val="104"/>
              <w:ind w:left="480" w:leftChars="200" w:firstLine="0" w:firstLineChars="0"/>
              <w:rPr>
                <w:rFonts w:hint="eastAsia" w:cs="宋体"/>
                <w:b/>
                <w:color w:val="auto"/>
                <w:kern w:val="0"/>
                <w:szCs w:val="27"/>
              </w:rPr>
            </w:pPr>
            <w:r>
              <w:rPr>
                <w:rFonts w:hint="eastAsia"/>
                <w:color w:val="auto"/>
              </w:rPr>
              <w:t>3</w:t>
            </w:r>
            <w:r>
              <w:rPr>
                <w:rFonts w:hint="eastAsia" w:cs="宋体"/>
                <w:b/>
                <w:color w:val="auto"/>
                <w:kern w:val="0"/>
                <w:szCs w:val="27"/>
              </w:rPr>
              <w:t>、监测计划</w:t>
            </w:r>
          </w:p>
          <w:p>
            <w:pPr>
              <w:pStyle w:val="104"/>
              <w:ind w:firstLine="480"/>
              <w:rPr>
                <w:rFonts w:hint="eastAsia"/>
                <w:color w:val="auto"/>
              </w:rPr>
            </w:pPr>
            <w:r>
              <w:rPr>
                <w:rFonts w:hint="eastAsia"/>
                <w:color w:val="auto"/>
              </w:rPr>
              <w:t>根据</w:t>
            </w:r>
            <w:r>
              <w:rPr>
                <w:color w:val="auto"/>
              </w:rPr>
              <w:t>《排污单位自行监测技术指南 总则》（HJ819-2017）</w:t>
            </w:r>
            <w:r>
              <w:rPr>
                <w:rFonts w:hint="eastAsia"/>
                <w:color w:val="auto"/>
              </w:rPr>
              <w:t>制定本项目废水监测计划如下：</w:t>
            </w:r>
          </w:p>
          <w:p>
            <w:pPr>
              <w:pStyle w:val="102"/>
              <w:ind w:left="422" w:hanging="422"/>
              <w:rPr>
                <w:rFonts w:hint="eastAsia"/>
                <w:color w:val="auto"/>
              </w:rPr>
            </w:pPr>
            <w:r>
              <w:rPr>
                <w:rFonts w:hint="eastAsia"/>
                <w:color w:val="auto"/>
              </w:rPr>
              <w:t>表4-2   废水污染物监测计划</w:t>
            </w:r>
          </w:p>
          <w:tbl>
            <w:tblPr>
              <w:tblStyle w:val="3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83"/>
              <w:gridCol w:w="1700"/>
              <w:gridCol w:w="3267"/>
              <w:gridCol w:w="15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3" w:type="dxa"/>
                  <w:noWrap w:val="0"/>
                  <w:vAlign w:val="center"/>
                </w:tcPr>
                <w:p>
                  <w:pPr>
                    <w:pStyle w:val="118"/>
                    <w:rPr>
                      <w:color w:val="auto"/>
                    </w:rPr>
                  </w:pPr>
                  <w:r>
                    <w:rPr>
                      <w:rFonts w:hint="eastAsia"/>
                      <w:color w:val="auto"/>
                    </w:rPr>
                    <w:t>序号</w:t>
                  </w:r>
                </w:p>
              </w:tc>
              <w:tc>
                <w:tcPr>
                  <w:tcW w:w="1700" w:type="dxa"/>
                  <w:noWrap w:val="0"/>
                  <w:vAlign w:val="center"/>
                </w:tcPr>
                <w:p>
                  <w:pPr>
                    <w:pStyle w:val="118"/>
                    <w:rPr>
                      <w:color w:val="auto"/>
                    </w:rPr>
                  </w:pPr>
                  <w:r>
                    <w:rPr>
                      <w:rFonts w:hint="eastAsia"/>
                      <w:color w:val="auto"/>
                    </w:rPr>
                    <w:t>监测点位</w:t>
                  </w:r>
                </w:p>
              </w:tc>
              <w:tc>
                <w:tcPr>
                  <w:tcW w:w="3267" w:type="dxa"/>
                  <w:noWrap w:val="0"/>
                  <w:vAlign w:val="center"/>
                </w:tcPr>
                <w:p>
                  <w:pPr>
                    <w:pStyle w:val="118"/>
                    <w:rPr>
                      <w:color w:val="auto"/>
                    </w:rPr>
                  </w:pPr>
                  <w:r>
                    <w:rPr>
                      <w:rFonts w:hint="eastAsia"/>
                      <w:color w:val="auto"/>
                    </w:rPr>
                    <w:t>监测因子</w:t>
                  </w:r>
                </w:p>
              </w:tc>
              <w:tc>
                <w:tcPr>
                  <w:tcW w:w="1547" w:type="dxa"/>
                  <w:noWrap w:val="0"/>
                  <w:vAlign w:val="center"/>
                </w:tcPr>
                <w:p>
                  <w:pPr>
                    <w:pStyle w:val="118"/>
                    <w:rPr>
                      <w:color w:val="auto"/>
                    </w:rPr>
                  </w:pPr>
                  <w:r>
                    <w:rPr>
                      <w:rFonts w:hint="eastAsia"/>
                      <w:color w:val="auto"/>
                    </w:rPr>
                    <w:t>监测频次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3" w:type="dxa"/>
                  <w:noWrap w:val="0"/>
                  <w:vAlign w:val="center"/>
                </w:tcPr>
                <w:p>
                  <w:pPr>
                    <w:pStyle w:val="118"/>
                    <w:rPr>
                      <w:color w:val="auto"/>
                    </w:rPr>
                  </w:pPr>
                  <w:r>
                    <w:rPr>
                      <w:rFonts w:hint="eastAsia"/>
                      <w:color w:val="auto"/>
                    </w:rPr>
                    <w:t>DW001</w:t>
                  </w:r>
                </w:p>
              </w:tc>
              <w:tc>
                <w:tcPr>
                  <w:tcW w:w="1700" w:type="dxa"/>
                  <w:noWrap w:val="0"/>
                  <w:vAlign w:val="center"/>
                </w:tcPr>
                <w:p>
                  <w:pPr>
                    <w:pStyle w:val="118"/>
                    <w:rPr>
                      <w:color w:val="auto"/>
                    </w:rPr>
                  </w:pPr>
                  <w:r>
                    <w:rPr>
                      <w:rFonts w:hint="eastAsia"/>
                      <w:color w:val="auto"/>
                    </w:rPr>
                    <w:t>废水排放口</w:t>
                  </w:r>
                </w:p>
              </w:tc>
              <w:tc>
                <w:tcPr>
                  <w:tcW w:w="3267" w:type="dxa"/>
                  <w:noWrap w:val="0"/>
                  <w:vAlign w:val="center"/>
                </w:tcPr>
                <w:p>
                  <w:pPr>
                    <w:pStyle w:val="118"/>
                    <w:rPr>
                      <w:color w:val="auto"/>
                    </w:rPr>
                  </w:pPr>
                  <w:r>
                    <w:rPr>
                      <w:rFonts w:hint="eastAsia"/>
                      <w:color w:val="auto"/>
                    </w:rPr>
                    <w:t>PH、COD、BOD</w:t>
                  </w:r>
                  <w:r>
                    <w:rPr>
                      <w:rFonts w:hint="eastAsia"/>
                      <w:color w:val="auto"/>
                      <w:vertAlign w:val="subscript"/>
                    </w:rPr>
                    <w:t>5</w:t>
                  </w:r>
                  <w:r>
                    <w:rPr>
                      <w:rFonts w:hint="eastAsia"/>
                      <w:color w:val="auto"/>
                    </w:rPr>
                    <w:t>、NH</w:t>
                  </w:r>
                  <w:r>
                    <w:rPr>
                      <w:rFonts w:hint="eastAsia"/>
                      <w:color w:val="auto"/>
                      <w:vertAlign w:val="subscript"/>
                    </w:rPr>
                    <w:t>3</w:t>
                  </w:r>
                  <w:r>
                    <w:rPr>
                      <w:rFonts w:hint="eastAsia"/>
                      <w:color w:val="auto"/>
                    </w:rPr>
                    <w:t>-N、TP、粪大肠菌群、总余氯</w:t>
                  </w:r>
                </w:p>
              </w:tc>
              <w:tc>
                <w:tcPr>
                  <w:tcW w:w="1547" w:type="dxa"/>
                  <w:noWrap w:val="0"/>
                  <w:vAlign w:val="center"/>
                </w:tcPr>
                <w:p>
                  <w:pPr>
                    <w:pStyle w:val="118"/>
                    <w:rPr>
                      <w:color w:val="auto"/>
                    </w:rPr>
                  </w:pPr>
                  <w:r>
                    <w:rPr>
                      <w:rFonts w:hint="eastAsia"/>
                      <w:color w:val="auto"/>
                    </w:rPr>
                    <w:t>1年/次</w:t>
                  </w:r>
                </w:p>
              </w:tc>
            </w:tr>
          </w:tbl>
          <w:p>
            <w:pPr>
              <w:pStyle w:val="5"/>
              <w:ind w:firstLine="482"/>
              <w:rPr>
                <w:color w:val="auto"/>
              </w:rPr>
            </w:pPr>
            <w:r>
              <w:rPr>
                <w:color w:val="auto"/>
              </w:rPr>
              <w:t>4、现有污水处理措施可行性分析</w:t>
            </w:r>
          </w:p>
          <w:p>
            <w:pPr>
              <w:pStyle w:val="104"/>
              <w:ind w:firstLine="480"/>
              <w:rPr>
                <w:rFonts w:hint="eastAsia"/>
                <w:color w:val="auto"/>
              </w:rPr>
            </w:pPr>
            <w:r>
              <w:rPr>
                <w:rFonts w:hint="eastAsia"/>
                <w:color w:val="auto"/>
              </w:rPr>
              <w:t>项目医疗废水现采用缓释消毒器“过滤沉淀+消毒”工艺处理后排入市政污水管网，具体的工艺流程如下：</w:t>
            </w:r>
          </w:p>
          <w:p>
            <w:pPr>
              <w:pStyle w:val="69"/>
              <w:rPr>
                <w:rFonts w:hint="eastAsia"/>
                <w:color w:val="auto"/>
              </w:rPr>
            </w:pPr>
            <w:r>
              <w:rPr>
                <w:rFonts w:hint="eastAsia"/>
                <w:color w:val="auto"/>
              </w:rPr>
              <w:object>
                <v:shape id="_x0000_i1042" o:spt="75" type="#_x0000_t75" style="height:70.55pt;width:391pt;" o:ole="t" filled="f" o:preferrelative="t" stroked="f" coordsize="21600,21600">
                  <v:path/>
                  <v:fill on="f" focussize="0,0"/>
                  <v:stroke on="f"/>
                  <v:imagedata r:id="rId95" o:title=""/>
                  <o:lock v:ext="edit" aspectratio="f"/>
                  <w10:wrap type="none"/>
                  <w10:anchorlock/>
                </v:shape>
                <o:OLEObject Type="Embed" ProgID="Visio.Drawing.15" ShapeID="_x0000_i1042" DrawAspect="Content" ObjectID="_1468075743" r:id="rId94">
                  <o:LockedField>false</o:LockedField>
                </o:OLEObject>
              </w:object>
            </w:r>
          </w:p>
          <w:p>
            <w:pPr>
              <w:pStyle w:val="102"/>
              <w:ind w:left="422" w:hanging="422"/>
              <w:rPr>
                <w:rFonts w:hint="eastAsia"/>
                <w:color w:val="auto"/>
              </w:rPr>
            </w:pPr>
            <w:r>
              <w:rPr>
                <w:rFonts w:hint="eastAsia"/>
                <w:color w:val="auto"/>
              </w:rPr>
              <w:t>图4-1 现状采取的废水处理工艺流程图</w:t>
            </w:r>
          </w:p>
          <w:p>
            <w:pPr>
              <w:ind w:firstLine="482"/>
              <w:rPr>
                <w:rFonts w:hint="eastAsia"/>
                <w:color w:val="auto"/>
              </w:rPr>
            </w:pPr>
            <w:r>
              <w:rPr>
                <w:rFonts w:hint="eastAsia"/>
                <w:b/>
                <w:bCs/>
                <w:color w:val="auto"/>
              </w:rPr>
              <w:t>处理工艺说明：</w:t>
            </w:r>
            <w:r>
              <w:rPr>
                <w:rFonts w:hint="eastAsia"/>
                <w:color w:val="auto"/>
              </w:rPr>
              <w:t>项目医疗废水进入缓释消毒器中经过滤、沉淀处理后，采用自动缓释延时压力加氯工艺。污水经过处理后，同生活污水通过管道排入春天花园小区预处理池，通过小区预处理池处理后排入市政污水管网，最终进入乐山市第一污水处理厂，处理达标后排入岷江。</w:t>
            </w:r>
          </w:p>
          <w:p>
            <w:pPr>
              <w:pStyle w:val="104"/>
              <w:ind w:firstLine="482"/>
              <w:rPr>
                <w:rFonts w:hint="eastAsia"/>
                <w:b/>
                <w:bCs/>
                <w:color w:val="auto"/>
              </w:rPr>
            </w:pPr>
            <w:r>
              <w:rPr>
                <w:rFonts w:hint="eastAsia"/>
                <w:b/>
                <w:bCs/>
                <w:color w:val="auto"/>
              </w:rPr>
              <w:t>污水处理设备基本情况：</w:t>
            </w:r>
          </w:p>
          <w:p>
            <w:pPr>
              <w:numPr>
                <w:ilvl w:val="0"/>
                <w:numId w:val="19"/>
              </w:numPr>
              <w:ind w:firstLine="480"/>
              <w:rPr>
                <w:rFonts w:hint="eastAsia"/>
                <w:color w:val="auto"/>
              </w:rPr>
            </w:pPr>
            <w:r>
              <w:rPr>
                <w:rFonts w:hint="eastAsia"/>
                <w:color w:val="auto"/>
              </w:rPr>
              <w:t>缓释消毒器设备特点：</w:t>
            </w:r>
          </w:p>
          <w:p>
            <w:pPr>
              <w:numPr>
                <w:ilvl w:val="0"/>
                <w:numId w:val="19"/>
              </w:numPr>
              <w:ind w:firstLine="480"/>
              <w:rPr>
                <w:rFonts w:hint="eastAsia"/>
                <w:color w:val="auto"/>
              </w:rPr>
            </w:pPr>
            <w:r>
              <w:rPr>
                <w:rFonts w:hint="eastAsia"/>
                <w:color w:val="auto"/>
              </w:rPr>
              <w:t>将传统的混凝、沉淀、过滤等净水工艺组合在一个设备内完成，占地少，安装方便。</w:t>
            </w:r>
          </w:p>
          <w:p>
            <w:pPr>
              <w:numPr>
                <w:ilvl w:val="0"/>
                <w:numId w:val="19"/>
              </w:numPr>
              <w:ind w:firstLine="480"/>
              <w:rPr>
                <w:rFonts w:hint="eastAsia"/>
                <w:color w:val="auto"/>
              </w:rPr>
            </w:pPr>
            <w:r>
              <w:rPr>
                <w:rFonts w:hint="eastAsia"/>
                <w:color w:val="auto"/>
              </w:rPr>
              <w:t>运行自动化、智能化。除了对水泵和加药系统的管理外，设备进水、沉淀、过滤、出水、反冲、排污等均自动进行，不需要人工操作。</w:t>
            </w:r>
          </w:p>
          <w:p>
            <w:pPr>
              <w:numPr>
                <w:ilvl w:val="0"/>
                <w:numId w:val="19"/>
              </w:numPr>
              <w:ind w:firstLine="480"/>
              <w:rPr>
                <w:color w:val="auto"/>
              </w:rPr>
            </w:pPr>
            <w:r>
              <w:rPr>
                <w:rFonts w:hint="eastAsia"/>
                <w:color w:val="auto"/>
              </w:rPr>
              <w:t>适应性强，出水水质稳定、可靠、水量充足，在源水浊度高达3000mg/L时，出水浊度能稳定在3mg/L以下，达自来水浊度标准。</w:t>
            </w:r>
          </w:p>
          <w:p>
            <w:pPr>
              <w:numPr>
                <w:ilvl w:val="0"/>
                <w:numId w:val="19"/>
              </w:numPr>
              <w:ind w:firstLine="480"/>
              <w:rPr>
                <w:color w:val="auto"/>
              </w:rPr>
            </w:pPr>
            <w:r>
              <w:rPr>
                <w:rFonts w:hint="eastAsia"/>
                <w:color w:val="auto"/>
              </w:rPr>
              <w:t>缓释消毒器工作原理：</w:t>
            </w:r>
          </w:p>
          <w:p>
            <w:pPr>
              <w:numPr>
                <w:ilvl w:val="0"/>
                <w:numId w:val="19"/>
              </w:numPr>
              <w:ind w:firstLine="480"/>
              <w:rPr>
                <w:color w:val="auto"/>
              </w:rPr>
            </w:pPr>
            <w:r>
              <w:rPr>
                <w:color w:val="auto"/>
              </w:rPr>
              <w:t>采用溶解法，自动缓释，压力加氯工艺设计，CL固体药剂为主要原料，经水与药剂合理混合缓释所产生的消毒液，投入到所需水池(水井)与水充分接触杀菌消毒。</w:t>
            </w:r>
          </w:p>
          <w:p>
            <w:pPr>
              <w:numPr>
                <w:ilvl w:val="0"/>
                <w:numId w:val="19"/>
              </w:numPr>
              <w:ind w:firstLine="480"/>
              <w:rPr>
                <w:color w:val="auto"/>
              </w:rPr>
            </w:pPr>
            <w:r>
              <w:rPr>
                <w:color w:val="auto"/>
              </w:rPr>
              <w:t>缓释消毒器采用化学反应，自动稀释延时压力加氯工艺，以强氯固体药剂为主要原料，水与药剂合理混合后所产生的消毒杀菌液，投加到水池、水井、管道和污水池与接触达到灭菌的作用。缓释消毒器结构较简单，操作方便，不用专人维护，可以自行控制药剂投入量,制作成本和使用成本低，有很好的使用效果。缓释消毒器是这样构成的，它包括箱体，在箱体的两侧分别设有进水口和出水口</w:t>
            </w:r>
            <w:r>
              <w:rPr>
                <w:rFonts w:hint="eastAsia"/>
                <w:color w:val="auto"/>
              </w:rPr>
              <w:t>；</w:t>
            </w:r>
            <w:r>
              <w:rPr>
                <w:color w:val="auto"/>
              </w:rPr>
              <w:t>进水口和出水口之间连接有缓释管,在缓释管上方设有1个或1个以上的带有密封盖的投药室，在投药室下方的箱体内设有水平隔板。</w:t>
            </w:r>
          </w:p>
          <w:p>
            <w:pPr>
              <w:pStyle w:val="104"/>
              <w:ind w:firstLine="482"/>
              <w:rPr>
                <w:rFonts w:hint="eastAsia"/>
                <w:color w:val="auto"/>
              </w:rPr>
            </w:pPr>
            <w:r>
              <w:rPr>
                <w:rFonts w:hint="eastAsia"/>
                <w:b/>
                <w:bCs/>
                <w:color w:val="auto"/>
              </w:rPr>
              <w:t>本项目为宠物医疗服务项目，参照《医院污水处理工程技术规范》（HJ2029—2013）并结合本项目医疗废水水量特点，项目产生的医疗废水采用缓释消毒器“一级强化+消毒”工艺处理。根据调查，项目产生的医疗废水采用处理工艺为“过滤沉淀+消毒”，污水处理设施设计处理能力为2m</w:t>
            </w:r>
            <w:r>
              <w:rPr>
                <w:rFonts w:hint="eastAsia"/>
                <w:b/>
                <w:bCs/>
                <w:color w:val="auto"/>
                <w:vertAlign w:val="superscript"/>
              </w:rPr>
              <w:t>3</w:t>
            </w:r>
            <w:r>
              <w:rPr>
                <w:rFonts w:hint="eastAsia"/>
                <w:b/>
                <w:bCs/>
                <w:color w:val="auto"/>
              </w:rPr>
              <w:t>/d，设备采用自动缓释延时压力加氯工艺，项目目前采用的医疗废水处理工艺能满足《医院污水处理工程技术规范》（HJ2029—2013）废水处理工艺要求，项目现有的医疗废水治理措施可行，无需整改。</w:t>
            </w:r>
          </w:p>
          <w:p>
            <w:pPr>
              <w:ind w:firstLine="480"/>
              <w:rPr>
                <w:rFonts w:hint="eastAsia"/>
                <w:color w:val="auto"/>
              </w:rPr>
            </w:pPr>
            <w:r>
              <w:rPr>
                <w:rFonts w:hint="eastAsia"/>
                <w:color w:val="auto"/>
              </w:rPr>
              <w:t>处理工艺流程说明：项目医疗废水进入污水处理设备处理后，再加二氧化氯泡腾片消毒处理。污水经过处理后，通过管道排入</w:t>
            </w:r>
            <w:r>
              <w:rPr>
                <w:rFonts w:hint="eastAsia" w:ascii="宋体" w:hAnsi="宋体"/>
                <w:color w:val="auto"/>
                <w:lang w:val="zh-CN"/>
              </w:rPr>
              <w:t>春天花园</w:t>
            </w:r>
            <w:r>
              <w:rPr>
                <w:rFonts w:hint="eastAsia"/>
                <w:color w:val="auto"/>
              </w:rPr>
              <w:t>小区预处理池，最终进入乐山市第一污水处理厂处理达到《四川省岷江、沱江流域水污染物排放标准》（DB51/2311-2016）中表1要求后排入岷江。</w:t>
            </w:r>
          </w:p>
          <w:p>
            <w:pPr>
              <w:ind w:firstLine="480"/>
              <w:rPr>
                <w:rFonts w:hint="eastAsia"/>
                <w:color w:val="auto"/>
              </w:rPr>
            </w:pPr>
            <w:r>
              <w:rPr>
                <w:rFonts w:hint="eastAsia"/>
                <w:color w:val="auto"/>
              </w:rPr>
              <w:t>另外，项目污水处理还需注意以下几点：</w:t>
            </w:r>
          </w:p>
          <w:p>
            <w:pPr>
              <w:ind w:firstLine="480"/>
              <w:rPr>
                <w:rFonts w:hint="eastAsia"/>
                <w:color w:val="auto"/>
              </w:rPr>
            </w:pPr>
            <w:r>
              <w:rPr>
                <w:rFonts w:hint="eastAsia"/>
                <w:color w:val="auto"/>
              </w:rPr>
              <w:t>（1）严格做好项目内排水管网、碰管连接，做好防渗处理，严格做好地坪及污水收集系统。</w:t>
            </w:r>
          </w:p>
          <w:p>
            <w:pPr>
              <w:ind w:firstLine="480"/>
              <w:rPr>
                <w:rFonts w:hint="eastAsia"/>
                <w:color w:val="auto"/>
              </w:rPr>
            </w:pPr>
            <w:r>
              <w:rPr>
                <w:rFonts w:hint="eastAsia"/>
                <w:color w:val="auto"/>
              </w:rPr>
              <w:t>（2）消毒工艺使二氧化氯与废水充分混合接触，以杀灭出水中可能残存的病毒和细菌确保出水满足有关细菌学指标要求。</w:t>
            </w:r>
          </w:p>
          <w:p>
            <w:pPr>
              <w:ind w:firstLine="480"/>
              <w:rPr>
                <w:rFonts w:hint="eastAsia"/>
                <w:color w:val="auto"/>
              </w:rPr>
            </w:pPr>
            <w:r>
              <w:rPr>
                <w:rFonts w:hint="eastAsia"/>
                <w:color w:val="auto"/>
              </w:rPr>
              <w:t>（3）污水处理过程中处理设备的操作、设备的维修等环节都易对环境及人体产生危害，因此应对污水处理设施对环境产生的影响及工作人员的劳动保护予以重视。</w:t>
            </w:r>
          </w:p>
          <w:p>
            <w:pPr>
              <w:ind w:firstLine="480"/>
              <w:rPr>
                <w:rFonts w:hint="eastAsia"/>
                <w:color w:val="auto"/>
              </w:rPr>
            </w:pPr>
            <w:r>
              <w:rPr>
                <w:rFonts w:hint="eastAsia"/>
                <w:color w:val="auto"/>
              </w:rPr>
              <w:t>本项目医疗废水经污水处理设备处理后，通过管道排入</w:t>
            </w:r>
            <w:r>
              <w:rPr>
                <w:rFonts w:hint="eastAsia" w:ascii="宋体" w:hAnsi="宋体"/>
                <w:color w:val="auto"/>
                <w:lang w:val="zh-CN"/>
              </w:rPr>
              <w:t>春天花园</w:t>
            </w:r>
            <w:r>
              <w:rPr>
                <w:rFonts w:hint="eastAsia"/>
                <w:color w:val="auto"/>
              </w:rPr>
              <w:t>小区预处理池，通过市政污水管网进入乐山第一污水处理厂处理达到《四川省岷江、沱江流域水污染物排放标准》（DB51/2311-2016）中的表1要求后排入岷江。</w:t>
            </w:r>
          </w:p>
          <w:p>
            <w:pPr>
              <w:pStyle w:val="5"/>
              <w:ind w:firstLine="482"/>
              <w:rPr>
                <w:color w:val="auto"/>
              </w:rPr>
            </w:pPr>
            <w:r>
              <w:rPr>
                <w:color w:val="auto"/>
              </w:rPr>
              <w:t>5、项目依托春天花园预处理池可行性分析</w:t>
            </w:r>
          </w:p>
          <w:p>
            <w:pPr>
              <w:pStyle w:val="104"/>
              <w:ind w:firstLine="480"/>
              <w:rPr>
                <w:rFonts w:hint="eastAsia"/>
                <w:color w:val="auto"/>
              </w:rPr>
            </w:pPr>
            <w:r>
              <w:rPr>
                <w:rFonts w:hint="eastAsia"/>
                <w:color w:val="auto"/>
              </w:rPr>
              <w:t>本项目废水最终依托春天花园小区已建的公用预处理池进行处理，由该小区物管单位管理维护，在修建时已对所有区域废水排放情况进行了分析，可以容纳整个区域所产生的污水。且本项目废水为间歇排放，排放量较小，春天花园小区污水预处理池在设计规模时已将小区配套商铺废水排放量纳入其容积范围内，预处理池的处理能力能够满足本项目纳入后的使用要求，因此本环评不再对其做具体分析。</w:t>
            </w:r>
          </w:p>
          <w:p>
            <w:pPr>
              <w:pStyle w:val="5"/>
              <w:ind w:firstLine="482"/>
              <w:rPr>
                <w:color w:val="auto"/>
              </w:rPr>
            </w:pPr>
            <w:r>
              <w:rPr>
                <w:color w:val="auto"/>
              </w:rPr>
              <w:t>6、本项目废水末端排入乐山市第一污水处理厂依托可行性分析</w:t>
            </w:r>
          </w:p>
          <w:p>
            <w:pPr>
              <w:pStyle w:val="104"/>
              <w:ind w:firstLine="480"/>
              <w:rPr>
                <w:rFonts w:hint="eastAsia"/>
                <w:color w:val="auto"/>
              </w:rPr>
            </w:pPr>
            <w:r>
              <w:rPr>
                <w:rFonts w:hint="eastAsia"/>
                <w:color w:val="auto"/>
              </w:rPr>
              <w:t>本项目位于乐山市市中区春华路中段656号，项目位置属于城市建成区，项目所在街道市政污水管网已与乐山市第一水污水处理厂主干管接通。乐山市第一污水处理厂位于乐山市市中区九峰乡永安村，设计处理能力为15万吨/日，服务范围为乐山市老城区、肖坝片区、竹公溪部分片区、城北、城西以及全部岷江东岸片区。污水处理厂采用“A</w:t>
            </w:r>
            <w:r>
              <w:rPr>
                <w:rFonts w:hint="eastAsia"/>
                <w:color w:val="auto"/>
                <w:vertAlign w:val="superscript"/>
              </w:rPr>
              <w:t>2</w:t>
            </w:r>
            <w:r>
              <w:rPr>
                <w:rFonts w:hint="eastAsia"/>
                <w:color w:val="auto"/>
              </w:rPr>
              <w:t>/O工艺+二沉池+高效沉淀池+反硝化滤池”工艺，出水水质满足《四川省岷江、沱江流域水污染物排放标准》（DB51/2311-2016）中表1“城镇污水处理厂”标准。</w:t>
            </w:r>
          </w:p>
          <w:p>
            <w:pPr>
              <w:pStyle w:val="104"/>
              <w:ind w:firstLine="480"/>
              <w:rPr>
                <w:rFonts w:hint="eastAsia"/>
                <w:color w:val="auto"/>
              </w:rPr>
            </w:pPr>
            <w:r>
              <w:rPr>
                <w:rFonts w:hint="eastAsia"/>
                <w:color w:val="auto"/>
              </w:rPr>
              <w:t>本项目依托市政污水处理厂的可行性主要从</w:t>
            </w:r>
            <w:r>
              <w:rPr>
                <w:rFonts w:hint="eastAsia"/>
                <w:b/>
                <w:bCs/>
                <w:color w:val="auto"/>
              </w:rPr>
              <w:t>进水水质和水量</w:t>
            </w:r>
            <w:r>
              <w:rPr>
                <w:rFonts w:hint="eastAsia"/>
                <w:color w:val="auto"/>
              </w:rPr>
              <w:t>来分析。</w:t>
            </w:r>
          </w:p>
          <w:p>
            <w:pPr>
              <w:pStyle w:val="104"/>
              <w:ind w:firstLine="482"/>
              <w:rPr>
                <w:rFonts w:hint="eastAsia"/>
                <w:b/>
                <w:bCs/>
                <w:color w:val="auto"/>
                <w:u w:val="single"/>
              </w:rPr>
            </w:pPr>
            <w:r>
              <w:rPr>
                <w:rFonts w:hint="eastAsia"/>
                <w:b/>
                <w:bCs/>
                <w:color w:val="auto"/>
                <w:u w:val="single"/>
              </w:rPr>
              <w:t>进水水质：</w:t>
            </w:r>
          </w:p>
          <w:p>
            <w:pPr>
              <w:pStyle w:val="104"/>
              <w:ind w:firstLine="480"/>
              <w:rPr>
                <w:rFonts w:hint="eastAsia"/>
                <w:color w:val="auto"/>
              </w:rPr>
            </w:pPr>
            <w:r>
              <w:rPr>
                <w:rFonts w:hint="eastAsia"/>
                <w:color w:val="auto"/>
              </w:rPr>
              <w:t>医疗废水经医院一体化污水处理设备处理后同生活污水一起依托春天花园小区的预处理池处理达到《污水综合排放标准》（GB 8978-1996）表4中三级标准限值后排入市政污水管网。因此，本项目出水水质满足乐山市第一污水处理厂的进水水质标准要求。</w:t>
            </w:r>
          </w:p>
          <w:p>
            <w:pPr>
              <w:pStyle w:val="104"/>
              <w:ind w:firstLine="482"/>
              <w:rPr>
                <w:rFonts w:hint="eastAsia"/>
                <w:b/>
                <w:bCs/>
                <w:color w:val="auto"/>
                <w:u w:val="single"/>
              </w:rPr>
            </w:pPr>
            <w:r>
              <w:rPr>
                <w:rFonts w:hint="eastAsia"/>
                <w:b/>
                <w:bCs/>
                <w:color w:val="auto"/>
                <w:u w:val="single"/>
              </w:rPr>
              <w:t>处理水量：</w:t>
            </w:r>
          </w:p>
          <w:p>
            <w:pPr>
              <w:pStyle w:val="104"/>
              <w:ind w:firstLine="480"/>
              <w:rPr>
                <w:rFonts w:hint="eastAsia"/>
                <w:color w:val="auto"/>
              </w:rPr>
            </w:pPr>
            <w:r>
              <w:rPr>
                <w:rFonts w:hint="eastAsia"/>
                <w:color w:val="auto"/>
              </w:rPr>
              <w:t>项目所依托的乐山市第一污水处理厂设计处理规模为15万吨/d，根据前文分析，本项目污水排放总量为1.24m</w:t>
            </w:r>
            <w:r>
              <w:rPr>
                <w:rFonts w:hint="eastAsia"/>
                <w:color w:val="auto"/>
                <w:vertAlign w:val="superscript"/>
              </w:rPr>
              <w:t>3</w:t>
            </w:r>
            <w:r>
              <w:rPr>
                <w:rFonts w:hint="eastAsia"/>
                <w:color w:val="auto"/>
              </w:rPr>
              <w:t>/d，占总处理规模的0.0000082%，占比极小，满足乐山市第一污水处理厂设计处理规模的水量标准。</w:t>
            </w:r>
          </w:p>
          <w:p>
            <w:pPr>
              <w:pStyle w:val="104"/>
              <w:ind w:firstLine="482"/>
              <w:rPr>
                <w:rFonts w:hint="eastAsia"/>
                <w:b/>
                <w:bCs/>
                <w:color w:val="auto"/>
              </w:rPr>
            </w:pPr>
            <w:r>
              <w:rPr>
                <w:rFonts w:hint="eastAsia"/>
                <w:b/>
                <w:bCs/>
                <w:color w:val="auto"/>
              </w:rPr>
              <w:t>综上所述，项目废水接市政污水管网进入乐山市第一污水处理厂处理是可行的。</w:t>
            </w:r>
          </w:p>
          <w:p>
            <w:pPr>
              <w:pStyle w:val="5"/>
              <w:ind w:firstLine="482"/>
              <w:rPr>
                <w:color w:val="auto"/>
              </w:rPr>
            </w:pPr>
            <w:r>
              <w:rPr>
                <w:color w:val="auto"/>
              </w:rPr>
              <w:t>7、建议及要求</w:t>
            </w:r>
          </w:p>
          <w:p>
            <w:pPr>
              <w:ind w:firstLine="480"/>
              <w:rPr>
                <w:rFonts w:hint="eastAsia"/>
                <w:color w:val="auto"/>
              </w:rPr>
            </w:pPr>
            <w:r>
              <w:rPr>
                <w:rFonts w:hint="eastAsia"/>
                <w:color w:val="auto"/>
              </w:rPr>
              <w:t xml:space="preserve">环评要求： </w:t>
            </w:r>
          </w:p>
          <w:p>
            <w:pPr>
              <w:ind w:firstLine="480"/>
              <w:rPr>
                <w:rFonts w:hint="eastAsia"/>
                <w:color w:val="auto"/>
              </w:rPr>
            </w:pPr>
            <w:r>
              <w:rPr>
                <w:rFonts w:hint="eastAsia"/>
                <w:color w:val="auto"/>
              </w:rPr>
              <w:t>（1）需严格做好项目内排水管网、承插连接，做好防渗处理，严格做好污水收集系统。</w:t>
            </w:r>
          </w:p>
          <w:p>
            <w:pPr>
              <w:ind w:firstLine="480"/>
              <w:rPr>
                <w:rFonts w:hint="eastAsia"/>
                <w:color w:val="auto"/>
              </w:rPr>
            </w:pPr>
            <w:r>
              <w:rPr>
                <w:rFonts w:hint="eastAsia"/>
                <w:color w:val="auto"/>
              </w:rPr>
              <w:t>（2）消毒工艺要使氯片与废水充分混合接触，以杀灭出水中可能残存的病毒和细菌，确保出水满足有关细菌学指标要求。</w:t>
            </w:r>
          </w:p>
          <w:p>
            <w:pPr>
              <w:ind w:firstLine="480"/>
              <w:rPr>
                <w:rFonts w:hint="eastAsia"/>
                <w:color w:val="auto"/>
              </w:rPr>
            </w:pPr>
            <w:r>
              <w:rPr>
                <w:rFonts w:hint="eastAsia"/>
                <w:color w:val="auto"/>
              </w:rPr>
              <w:t>（3）污水处理过程中处理设备的操作、设备的维修等环节都易对环境及人体产生危害，因此应对污水处理设施对环境产生的影响及工作人员的劳动保护予以重视。</w:t>
            </w:r>
          </w:p>
          <w:p>
            <w:pPr>
              <w:pStyle w:val="5"/>
              <w:ind w:firstLine="482"/>
              <w:rPr>
                <w:color w:val="auto"/>
              </w:rPr>
            </w:pPr>
            <w:r>
              <w:rPr>
                <w:color w:val="auto"/>
              </w:rPr>
              <w:t>8、本项目废水排放情况汇总</w:t>
            </w:r>
          </w:p>
          <w:p>
            <w:pPr>
              <w:ind w:firstLine="480"/>
              <w:rPr>
                <w:rFonts w:cs="宋体"/>
                <w:color w:val="auto"/>
              </w:rPr>
            </w:pPr>
            <w:r>
              <w:rPr>
                <w:rFonts w:hint="eastAsia" w:cs="宋体"/>
                <w:color w:val="auto"/>
              </w:rPr>
              <w:t>本项目废水排放总量为1.24m</w:t>
            </w:r>
            <w:r>
              <w:rPr>
                <w:rFonts w:hint="eastAsia" w:cs="宋体"/>
                <w:color w:val="auto"/>
                <w:vertAlign w:val="superscript"/>
              </w:rPr>
              <w:t>3</w:t>
            </w:r>
            <w:r>
              <w:rPr>
                <w:rFonts w:hint="eastAsia" w:cs="宋体"/>
                <w:color w:val="auto"/>
              </w:rPr>
              <w:t>/d（372m</w:t>
            </w:r>
            <w:r>
              <w:rPr>
                <w:rFonts w:hint="eastAsia" w:cs="宋体"/>
                <w:color w:val="auto"/>
                <w:vertAlign w:val="superscript"/>
              </w:rPr>
              <w:t>3</w:t>
            </w:r>
            <w:r>
              <w:rPr>
                <w:rFonts w:hint="eastAsia" w:cs="宋体"/>
                <w:color w:val="auto"/>
              </w:rPr>
              <w:t>/a），其中生活污水0.28m</w:t>
            </w:r>
            <w:r>
              <w:rPr>
                <w:rFonts w:hint="eastAsia" w:cs="宋体"/>
                <w:color w:val="auto"/>
                <w:vertAlign w:val="superscript"/>
              </w:rPr>
              <w:t>3</w:t>
            </w:r>
            <w:r>
              <w:rPr>
                <w:rFonts w:hint="eastAsia" w:cs="宋体"/>
                <w:color w:val="auto"/>
              </w:rPr>
              <w:t>/d直接通过管道进入春天花园小区预处理池，医疗废水经医院内一体化污水处理设施处理消毒后通过进入春天花园小区预处理池，处理后进入市政污水管网，排入末端乐山市第一污水处理厂，经污水处理厂处理后排入岷江。</w:t>
            </w:r>
          </w:p>
          <w:p>
            <w:pPr>
              <w:ind w:firstLine="480"/>
              <w:rPr>
                <w:rFonts w:hint="eastAsia"/>
                <w:color w:val="auto"/>
              </w:rPr>
            </w:pPr>
            <w:r>
              <w:rPr>
                <w:rFonts w:hint="eastAsia"/>
                <w:color w:val="auto"/>
              </w:rPr>
              <w:t>本项目运营期废水排放统计情况见下表。</w:t>
            </w:r>
          </w:p>
          <w:p>
            <w:pPr>
              <w:pStyle w:val="102"/>
              <w:ind w:left="422" w:hanging="422"/>
              <w:rPr>
                <w:color w:val="auto"/>
              </w:rPr>
            </w:pPr>
            <w:r>
              <w:rPr>
                <w:color w:val="auto"/>
              </w:rPr>
              <w:t>表 4-</w:t>
            </w:r>
            <w:r>
              <w:rPr>
                <w:rFonts w:hint="eastAsia"/>
                <w:color w:val="auto"/>
              </w:rPr>
              <w:t>3</w:t>
            </w:r>
            <w:r>
              <w:rPr>
                <w:color w:val="auto"/>
              </w:rPr>
              <w:t xml:space="preserve"> 项目</w:t>
            </w:r>
            <w:r>
              <w:rPr>
                <w:rFonts w:hint="eastAsia"/>
                <w:color w:val="auto"/>
              </w:rPr>
              <w:t>综合废水</w:t>
            </w:r>
            <w:r>
              <w:rPr>
                <w:color w:val="auto"/>
              </w:rPr>
              <w:t>产生及排放情况统计表</w:t>
            </w:r>
          </w:p>
          <w:tbl>
            <w:tblPr>
              <w:tblStyle w:val="3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7"/>
              <w:gridCol w:w="1249"/>
              <w:gridCol w:w="730"/>
              <w:gridCol w:w="948"/>
              <w:gridCol w:w="1232"/>
              <w:gridCol w:w="813"/>
              <w:gridCol w:w="1214"/>
              <w:gridCol w:w="10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30" w:type="pct"/>
                  <w:gridSpan w:val="2"/>
                  <w:noWrap w:val="0"/>
                  <w:vAlign w:val="center"/>
                </w:tcPr>
                <w:p>
                  <w:pPr>
                    <w:pStyle w:val="118"/>
                    <w:rPr>
                      <w:color w:val="auto"/>
                    </w:rPr>
                  </w:pPr>
                  <w:r>
                    <w:rPr>
                      <w:color w:val="auto"/>
                    </w:rPr>
                    <w:t>废水性质</w:t>
                  </w:r>
                </w:p>
              </w:tc>
              <w:tc>
                <w:tcPr>
                  <w:tcW w:w="447" w:type="pct"/>
                  <w:noWrap w:val="0"/>
                  <w:vAlign w:val="center"/>
                </w:tcPr>
                <w:p>
                  <w:pPr>
                    <w:pStyle w:val="118"/>
                    <w:rPr>
                      <w:color w:val="auto"/>
                    </w:rPr>
                  </w:pPr>
                  <w:r>
                    <w:rPr>
                      <w:color w:val="auto"/>
                    </w:rPr>
                    <w:t>排水量t/a</w:t>
                  </w:r>
                </w:p>
              </w:tc>
              <w:tc>
                <w:tcPr>
                  <w:tcW w:w="579" w:type="pct"/>
                  <w:noWrap w:val="0"/>
                  <w:vAlign w:val="center"/>
                </w:tcPr>
                <w:p>
                  <w:pPr>
                    <w:pStyle w:val="118"/>
                    <w:rPr>
                      <w:color w:val="auto"/>
                    </w:rPr>
                  </w:pPr>
                  <w:r>
                    <w:rPr>
                      <w:color w:val="auto"/>
                    </w:rPr>
                    <w:t>COD</w:t>
                  </w:r>
                </w:p>
              </w:tc>
              <w:tc>
                <w:tcPr>
                  <w:tcW w:w="752" w:type="pct"/>
                  <w:noWrap w:val="0"/>
                  <w:vAlign w:val="center"/>
                </w:tcPr>
                <w:p>
                  <w:pPr>
                    <w:pStyle w:val="118"/>
                    <w:rPr>
                      <w:color w:val="auto"/>
                    </w:rPr>
                  </w:pPr>
                  <w:r>
                    <w:rPr>
                      <w:color w:val="auto"/>
                    </w:rPr>
                    <w:t>BOD</w:t>
                  </w:r>
                  <w:r>
                    <w:rPr>
                      <w:color w:val="auto"/>
                      <w:vertAlign w:val="subscript"/>
                    </w:rPr>
                    <w:t>5</w:t>
                  </w:r>
                </w:p>
              </w:tc>
              <w:tc>
                <w:tcPr>
                  <w:tcW w:w="497" w:type="pct"/>
                  <w:noWrap w:val="0"/>
                  <w:vAlign w:val="center"/>
                </w:tcPr>
                <w:p>
                  <w:pPr>
                    <w:pStyle w:val="118"/>
                    <w:rPr>
                      <w:color w:val="auto"/>
                    </w:rPr>
                  </w:pPr>
                  <w:r>
                    <w:rPr>
                      <w:color w:val="auto"/>
                    </w:rPr>
                    <w:t>SS</w:t>
                  </w:r>
                </w:p>
              </w:tc>
              <w:tc>
                <w:tcPr>
                  <w:tcW w:w="741" w:type="pct"/>
                  <w:noWrap w:val="0"/>
                  <w:vAlign w:val="center"/>
                </w:tcPr>
                <w:p>
                  <w:pPr>
                    <w:pStyle w:val="118"/>
                    <w:rPr>
                      <w:color w:val="auto"/>
                    </w:rPr>
                  </w:pPr>
                  <w:r>
                    <w:rPr>
                      <w:color w:val="auto"/>
                    </w:rPr>
                    <w:t>NH</w:t>
                  </w:r>
                  <w:r>
                    <w:rPr>
                      <w:color w:val="auto"/>
                      <w:vertAlign w:val="subscript"/>
                    </w:rPr>
                    <w:t>3</w:t>
                  </w:r>
                  <w:r>
                    <w:rPr>
                      <w:color w:val="auto"/>
                    </w:rPr>
                    <w:t>-N</w:t>
                  </w:r>
                </w:p>
              </w:tc>
              <w:tc>
                <w:tcPr>
                  <w:tcW w:w="650" w:type="pct"/>
                  <w:noWrap w:val="0"/>
                  <w:vAlign w:val="center"/>
                </w:tcPr>
                <w:p>
                  <w:pPr>
                    <w:pStyle w:val="118"/>
                    <w:rPr>
                      <w:color w:val="auto"/>
                    </w:rPr>
                  </w:pPr>
                  <w:r>
                    <w:rPr>
                      <w:color w:val="auto"/>
                    </w:rPr>
                    <w:t>总磷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67" w:type="pct"/>
                  <w:vMerge w:val="restart"/>
                  <w:noWrap w:val="0"/>
                  <w:vAlign w:val="center"/>
                </w:tcPr>
                <w:p>
                  <w:pPr>
                    <w:pStyle w:val="118"/>
                    <w:rPr>
                      <w:rFonts w:hint="eastAsia"/>
                      <w:color w:val="auto"/>
                    </w:rPr>
                  </w:pPr>
                  <w:r>
                    <w:rPr>
                      <w:rFonts w:hint="eastAsia"/>
                      <w:color w:val="auto"/>
                    </w:rPr>
                    <w:t>总废水</w:t>
                  </w:r>
                </w:p>
              </w:tc>
              <w:tc>
                <w:tcPr>
                  <w:tcW w:w="762" w:type="pct"/>
                  <w:noWrap w:val="0"/>
                  <w:vAlign w:val="center"/>
                </w:tcPr>
                <w:p>
                  <w:pPr>
                    <w:pStyle w:val="118"/>
                    <w:rPr>
                      <w:color w:val="auto"/>
                    </w:rPr>
                  </w:pPr>
                  <w:r>
                    <w:rPr>
                      <w:color w:val="auto"/>
                    </w:rPr>
                    <w:t>浓度mg/L</w:t>
                  </w:r>
                </w:p>
              </w:tc>
              <w:tc>
                <w:tcPr>
                  <w:tcW w:w="447" w:type="pct"/>
                  <w:vMerge w:val="restart"/>
                  <w:noWrap w:val="0"/>
                  <w:vAlign w:val="center"/>
                </w:tcPr>
                <w:p>
                  <w:pPr>
                    <w:pStyle w:val="118"/>
                    <w:rPr>
                      <w:color w:val="auto"/>
                    </w:rPr>
                  </w:pPr>
                  <w:r>
                    <w:rPr>
                      <w:rFonts w:hint="eastAsia"/>
                      <w:color w:val="auto"/>
                    </w:rPr>
                    <w:t>372</w:t>
                  </w:r>
                </w:p>
              </w:tc>
              <w:tc>
                <w:tcPr>
                  <w:tcW w:w="579" w:type="pct"/>
                  <w:noWrap w:val="0"/>
                  <w:vAlign w:val="center"/>
                </w:tcPr>
                <w:p>
                  <w:pPr>
                    <w:pStyle w:val="118"/>
                    <w:rPr>
                      <w:color w:val="auto"/>
                    </w:rPr>
                  </w:pPr>
                  <w:r>
                    <w:rPr>
                      <w:color w:val="auto"/>
                    </w:rPr>
                    <w:t>500</w:t>
                  </w:r>
                </w:p>
              </w:tc>
              <w:tc>
                <w:tcPr>
                  <w:tcW w:w="752" w:type="pct"/>
                  <w:noWrap w:val="0"/>
                  <w:vAlign w:val="center"/>
                </w:tcPr>
                <w:p>
                  <w:pPr>
                    <w:pStyle w:val="118"/>
                    <w:rPr>
                      <w:color w:val="auto"/>
                    </w:rPr>
                  </w:pPr>
                  <w:r>
                    <w:rPr>
                      <w:color w:val="auto"/>
                    </w:rPr>
                    <w:t>300</w:t>
                  </w:r>
                </w:p>
              </w:tc>
              <w:tc>
                <w:tcPr>
                  <w:tcW w:w="497" w:type="pct"/>
                  <w:noWrap w:val="0"/>
                  <w:vAlign w:val="center"/>
                </w:tcPr>
                <w:p>
                  <w:pPr>
                    <w:pStyle w:val="118"/>
                    <w:rPr>
                      <w:color w:val="auto"/>
                    </w:rPr>
                  </w:pPr>
                  <w:r>
                    <w:rPr>
                      <w:color w:val="auto"/>
                    </w:rPr>
                    <w:t>400</w:t>
                  </w:r>
                </w:p>
              </w:tc>
              <w:tc>
                <w:tcPr>
                  <w:tcW w:w="741" w:type="pct"/>
                  <w:noWrap w:val="0"/>
                  <w:vAlign w:val="center"/>
                </w:tcPr>
                <w:p>
                  <w:pPr>
                    <w:pStyle w:val="118"/>
                    <w:rPr>
                      <w:color w:val="auto"/>
                    </w:rPr>
                  </w:pPr>
                  <w:r>
                    <w:rPr>
                      <w:color w:val="auto"/>
                    </w:rPr>
                    <w:t>45</w:t>
                  </w:r>
                </w:p>
              </w:tc>
              <w:tc>
                <w:tcPr>
                  <w:tcW w:w="650" w:type="pct"/>
                  <w:noWrap w:val="0"/>
                  <w:vAlign w:val="center"/>
                </w:tcPr>
                <w:p>
                  <w:pPr>
                    <w:pStyle w:val="118"/>
                    <w:rPr>
                      <w:color w:val="auto"/>
                    </w:rPr>
                  </w:pPr>
                  <w:r>
                    <w:rPr>
                      <w:color w:val="auto"/>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67" w:type="pct"/>
                  <w:vMerge w:val="continue"/>
                  <w:noWrap w:val="0"/>
                  <w:vAlign w:val="center"/>
                </w:tcPr>
                <w:p>
                  <w:pPr>
                    <w:pStyle w:val="118"/>
                    <w:rPr>
                      <w:color w:val="auto"/>
                    </w:rPr>
                  </w:pPr>
                </w:p>
              </w:tc>
              <w:tc>
                <w:tcPr>
                  <w:tcW w:w="762" w:type="pct"/>
                  <w:noWrap w:val="0"/>
                  <w:vAlign w:val="center"/>
                </w:tcPr>
                <w:p>
                  <w:pPr>
                    <w:pStyle w:val="118"/>
                    <w:rPr>
                      <w:color w:val="auto"/>
                    </w:rPr>
                  </w:pPr>
                  <w:r>
                    <w:rPr>
                      <w:color w:val="auto"/>
                    </w:rPr>
                    <w:t>排放量t/a</w:t>
                  </w:r>
                </w:p>
              </w:tc>
              <w:tc>
                <w:tcPr>
                  <w:tcW w:w="447" w:type="pct"/>
                  <w:vMerge w:val="continue"/>
                  <w:noWrap w:val="0"/>
                  <w:vAlign w:val="center"/>
                </w:tcPr>
                <w:p>
                  <w:pPr>
                    <w:pStyle w:val="118"/>
                    <w:rPr>
                      <w:color w:val="auto"/>
                    </w:rPr>
                  </w:pPr>
                </w:p>
              </w:tc>
              <w:tc>
                <w:tcPr>
                  <w:tcW w:w="579" w:type="pct"/>
                  <w:noWrap w:val="0"/>
                  <w:vAlign w:val="center"/>
                </w:tcPr>
                <w:p>
                  <w:pPr>
                    <w:pStyle w:val="118"/>
                    <w:rPr>
                      <w:color w:val="auto"/>
                    </w:rPr>
                  </w:pPr>
                  <w:r>
                    <w:rPr>
                      <w:color w:val="auto"/>
                    </w:rPr>
                    <w:t>0.186</w:t>
                  </w:r>
                </w:p>
              </w:tc>
              <w:tc>
                <w:tcPr>
                  <w:tcW w:w="752" w:type="pct"/>
                  <w:noWrap w:val="0"/>
                  <w:vAlign w:val="center"/>
                </w:tcPr>
                <w:p>
                  <w:pPr>
                    <w:pStyle w:val="118"/>
                    <w:rPr>
                      <w:color w:val="auto"/>
                    </w:rPr>
                  </w:pPr>
                  <w:r>
                    <w:rPr>
                      <w:color w:val="auto"/>
                    </w:rPr>
                    <w:t>0.1116</w:t>
                  </w:r>
                </w:p>
              </w:tc>
              <w:tc>
                <w:tcPr>
                  <w:tcW w:w="497" w:type="pct"/>
                  <w:noWrap w:val="0"/>
                  <w:vAlign w:val="center"/>
                </w:tcPr>
                <w:p>
                  <w:pPr>
                    <w:pStyle w:val="118"/>
                    <w:rPr>
                      <w:color w:val="auto"/>
                    </w:rPr>
                  </w:pPr>
                  <w:r>
                    <w:rPr>
                      <w:color w:val="auto"/>
                    </w:rPr>
                    <w:t>0.1488</w:t>
                  </w:r>
                </w:p>
              </w:tc>
              <w:tc>
                <w:tcPr>
                  <w:tcW w:w="741" w:type="pct"/>
                  <w:noWrap w:val="0"/>
                  <w:vAlign w:val="center"/>
                </w:tcPr>
                <w:p>
                  <w:pPr>
                    <w:pStyle w:val="118"/>
                    <w:rPr>
                      <w:color w:val="auto"/>
                    </w:rPr>
                  </w:pPr>
                  <w:r>
                    <w:rPr>
                      <w:color w:val="auto"/>
                    </w:rPr>
                    <w:t>0.01674</w:t>
                  </w:r>
                </w:p>
              </w:tc>
              <w:tc>
                <w:tcPr>
                  <w:tcW w:w="650" w:type="pct"/>
                  <w:noWrap w:val="0"/>
                  <w:vAlign w:val="center"/>
                </w:tcPr>
                <w:p>
                  <w:pPr>
                    <w:pStyle w:val="118"/>
                    <w:rPr>
                      <w:color w:val="auto"/>
                    </w:rPr>
                  </w:pPr>
                  <w:r>
                    <w:rPr>
                      <w:color w:val="auto"/>
                    </w:rPr>
                    <w:t>0.002976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67" w:type="pct"/>
                  <w:vMerge w:val="restart"/>
                  <w:noWrap w:val="0"/>
                  <w:vAlign w:val="center"/>
                </w:tcPr>
                <w:p>
                  <w:pPr>
                    <w:pStyle w:val="118"/>
                    <w:rPr>
                      <w:rFonts w:hint="eastAsia"/>
                      <w:color w:val="auto"/>
                    </w:rPr>
                  </w:pPr>
                  <w:bookmarkStart w:id="66" w:name="_Toc29409"/>
                  <w:r>
                    <w:rPr>
                      <w:rFonts w:hint="eastAsia"/>
                      <w:color w:val="auto"/>
                    </w:rPr>
                    <w:t>乐山第一污水处理厂</w:t>
                  </w:r>
                </w:p>
              </w:tc>
              <w:tc>
                <w:tcPr>
                  <w:tcW w:w="762" w:type="pct"/>
                  <w:noWrap w:val="0"/>
                  <w:vAlign w:val="center"/>
                </w:tcPr>
                <w:p>
                  <w:pPr>
                    <w:pStyle w:val="118"/>
                    <w:rPr>
                      <w:color w:val="auto"/>
                    </w:rPr>
                  </w:pPr>
                  <w:r>
                    <w:rPr>
                      <w:color w:val="auto"/>
                    </w:rPr>
                    <w:t>浓度mg/L</w:t>
                  </w:r>
                </w:p>
              </w:tc>
              <w:tc>
                <w:tcPr>
                  <w:tcW w:w="447" w:type="pct"/>
                  <w:vMerge w:val="restart"/>
                  <w:noWrap w:val="0"/>
                  <w:vAlign w:val="center"/>
                </w:tcPr>
                <w:p>
                  <w:pPr>
                    <w:pStyle w:val="118"/>
                    <w:rPr>
                      <w:color w:val="auto"/>
                    </w:rPr>
                  </w:pPr>
                  <w:r>
                    <w:rPr>
                      <w:rFonts w:hint="eastAsia"/>
                      <w:color w:val="auto"/>
                    </w:rPr>
                    <w:t>372</w:t>
                  </w:r>
                </w:p>
              </w:tc>
              <w:tc>
                <w:tcPr>
                  <w:tcW w:w="579" w:type="pct"/>
                  <w:noWrap w:val="0"/>
                  <w:vAlign w:val="center"/>
                </w:tcPr>
                <w:p>
                  <w:pPr>
                    <w:pStyle w:val="118"/>
                    <w:rPr>
                      <w:color w:val="auto"/>
                    </w:rPr>
                  </w:pPr>
                  <w:r>
                    <w:rPr>
                      <w:color w:val="auto"/>
                    </w:rPr>
                    <w:t>30</w:t>
                  </w:r>
                </w:p>
              </w:tc>
              <w:tc>
                <w:tcPr>
                  <w:tcW w:w="752" w:type="pct"/>
                  <w:noWrap w:val="0"/>
                  <w:vAlign w:val="center"/>
                </w:tcPr>
                <w:p>
                  <w:pPr>
                    <w:pStyle w:val="118"/>
                    <w:rPr>
                      <w:color w:val="auto"/>
                    </w:rPr>
                  </w:pPr>
                  <w:r>
                    <w:rPr>
                      <w:color w:val="auto"/>
                    </w:rPr>
                    <w:t>6</w:t>
                  </w:r>
                </w:p>
              </w:tc>
              <w:tc>
                <w:tcPr>
                  <w:tcW w:w="816" w:type="dxa"/>
                  <w:noWrap w:val="0"/>
                  <w:vAlign w:val="center"/>
                </w:tcPr>
                <w:p>
                  <w:pPr>
                    <w:pStyle w:val="118"/>
                    <w:rPr>
                      <w:color w:val="auto"/>
                    </w:rPr>
                  </w:pPr>
                  <w:r>
                    <w:rPr>
                      <w:color w:val="auto"/>
                    </w:rPr>
                    <w:t>400</w:t>
                  </w:r>
                </w:p>
              </w:tc>
              <w:tc>
                <w:tcPr>
                  <w:tcW w:w="741" w:type="pct"/>
                  <w:noWrap w:val="0"/>
                  <w:vAlign w:val="center"/>
                </w:tcPr>
                <w:p>
                  <w:pPr>
                    <w:pStyle w:val="118"/>
                    <w:rPr>
                      <w:color w:val="auto"/>
                    </w:rPr>
                  </w:pPr>
                  <w:r>
                    <w:rPr>
                      <w:color w:val="auto"/>
                    </w:rPr>
                    <w:t>1.5</w:t>
                  </w:r>
                </w:p>
              </w:tc>
              <w:tc>
                <w:tcPr>
                  <w:tcW w:w="650" w:type="pct"/>
                  <w:noWrap w:val="0"/>
                  <w:vAlign w:val="center"/>
                </w:tcPr>
                <w:p>
                  <w:pPr>
                    <w:pStyle w:val="118"/>
                    <w:rPr>
                      <w:color w:val="auto"/>
                    </w:rPr>
                  </w:pPr>
                  <w:r>
                    <w:rPr>
                      <w:color w:val="auto"/>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67" w:type="pct"/>
                  <w:vMerge w:val="continue"/>
                  <w:noWrap w:val="0"/>
                  <w:vAlign w:val="center"/>
                </w:tcPr>
                <w:p>
                  <w:pPr>
                    <w:pStyle w:val="118"/>
                    <w:rPr>
                      <w:rFonts w:hint="eastAsia"/>
                      <w:color w:val="auto"/>
                    </w:rPr>
                  </w:pPr>
                </w:p>
              </w:tc>
              <w:tc>
                <w:tcPr>
                  <w:tcW w:w="762" w:type="pct"/>
                  <w:noWrap w:val="0"/>
                  <w:vAlign w:val="center"/>
                </w:tcPr>
                <w:p>
                  <w:pPr>
                    <w:pStyle w:val="118"/>
                    <w:rPr>
                      <w:color w:val="auto"/>
                    </w:rPr>
                  </w:pPr>
                  <w:r>
                    <w:rPr>
                      <w:color w:val="auto"/>
                    </w:rPr>
                    <w:t>排放量t/a</w:t>
                  </w:r>
                </w:p>
              </w:tc>
              <w:tc>
                <w:tcPr>
                  <w:tcW w:w="447" w:type="pct"/>
                  <w:vMerge w:val="continue"/>
                  <w:noWrap w:val="0"/>
                  <w:vAlign w:val="center"/>
                </w:tcPr>
                <w:p>
                  <w:pPr>
                    <w:pStyle w:val="118"/>
                    <w:rPr>
                      <w:color w:val="auto"/>
                    </w:rPr>
                  </w:pPr>
                </w:p>
              </w:tc>
              <w:tc>
                <w:tcPr>
                  <w:tcW w:w="579" w:type="pct"/>
                  <w:noWrap w:val="0"/>
                  <w:vAlign w:val="center"/>
                </w:tcPr>
                <w:p>
                  <w:pPr>
                    <w:pStyle w:val="118"/>
                    <w:rPr>
                      <w:color w:val="auto"/>
                    </w:rPr>
                  </w:pPr>
                  <w:r>
                    <w:rPr>
                      <w:color w:val="auto"/>
                    </w:rPr>
                    <w:t>0.01116</w:t>
                  </w:r>
                </w:p>
              </w:tc>
              <w:tc>
                <w:tcPr>
                  <w:tcW w:w="752" w:type="pct"/>
                  <w:noWrap w:val="0"/>
                  <w:vAlign w:val="center"/>
                </w:tcPr>
                <w:p>
                  <w:pPr>
                    <w:pStyle w:val="118"/>
                    <w:rPr>
                      <w:color w:val="auto"/>
                    </w:rPr>
                  </w:pPr>
                  <w:r>
                    <w:rPr>
                      <w:color w:val="auto"/>
                    </w:rPr>
                    <w:t>0.002232</w:t>
                  </w:r>
                </w:p>
              </w:tc>
              <w:tc>
                <w:tcPr>
                  <w:tcW w:w="816" w:type="dxa"/>
                  <w:noWrap w:val="0"/>
                  <w:vAlign w:val="center"/>
                </w:tcPr>
                <w:p>
                  <w:pPr>
                    <w:pStyle w:val="118"/>
                    <w:rPr>
                      <w:color w:val="auto"/>
                    </w:rPr>
                  </w:pPr>
                  <w:r>
                    <w:rPr>
                      <w:color w:val="auto"/>
                    </w:rPr>
                    <w:t>0.1488</w:t>
                  </w:r>
                </w:p>
              </w:tc>
              <w:tc>
                <w:tcPr>
                  <w:tcW w:w="741" w:type="pct"/>
                  <w:noWrap w:val="0"/>
                  <w:vAlign w:val="center"/>
                </w:tcPr>
                <w:p>
                  <w:pPr>
                    <w:pStyle w:val="118"/>
                    <w:rPr>
                      <w:color w:val="auto"/>
                    </w:rPr>
                  </w:pPr>
                  <w:r>
                    <w:rPr>
                      <w:color w:val="auto"/>
                    </w:rPr>
                    <w:t>0.000558</w:t>
                  </w:r>
                </w:p>
              </w:tc>
              <w:tc>
                <w:tcPr>
                  <w:tcW w:w="650" w:type="pct"/>
                  <w:noWrap w:val="0"/>
                  <w:vAlign w:val="center"/>
                </w:tcPr>
                <w:p>
                  <w:pPr>
                    <w:pStyle w:val="118"/>
                    <w:rPr>
                      <w:color w:val="auto"/>
                    </w:rPr>
                  </w:pPr>
                  <w:r>
                    <w:rPr>
                      <w:color w:val="auto"/>
                    </w:rPr>
                    <w:t>0.0001116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77" w:type="pct"/>
                  <w:gridSpan w:val="3"/>
                  <w:noWrap w:val="0"/>
                  <w:vAlign w:val="center"/>
                </w:tcPr>
                <w:p>
                  <w:pPr>
                    <w:pStyle w:val="118"/>
                    <w:rPr>
                      <w:rFonts w:hint="eastAsia"/>
                      <w:color w:val="auto"/>
                    </w:rPr>
                  </w:pPr>
                  <w:r>
                    <w:rPr>
                      <w:rFonts w:hint="eastAsia"/>
                      <w:color w:val="auto"/>
                    </w:rPr>
                    <w:t>《污水综合排放标准》</w:t>
                  </w:r>
                </w:p>
                <w:p>
                  <w:pPr>
                    <w:pStyle w:val="118"/>
                    <w:rPr>
                      <w:color w:val="auto"/>
                    </w:rPr>
                  </w:pPr>
                  <w:r>
                    <w:rPr>
                      <w:rFonts w:hint="eastAsia"/>
                      <w:color w:val="auto"/>
                    </w:rPr>
                    <w:t>GB8978-1996 三级标准</w:t>
                  </w:r>
                </w:p>
              </w:tc>
              <w:tc>
                <w:tcPr>
                  <w:tcW w:w="579" w:type="pct"/>
                  <w:noWrap w:val="0"/>
                  <w:vAlign w:val="center"/>
                </w:tcPr>
                <w:p>
                  <w:pPr>
                    <w:pStyle w:val="118"/>
                    <w:rPr>
                      <w:color w:val="auto"/>
                    </w:rPr>
                  </w:pPr>
                  <w:r>
                    <w:rPr>
                      <w:color w:val="auto"/>
                    </w:rPr>
                    <w:t>500</w:t>
                  </w:r>
                </w:p>
              </w:tc>
              <w:tc>
                <w:tcPr>
                  <w:tcW w:w="752" w:type="pct"/>
                  <w:noWrap w:val="0"/>
                  <w:vAlign w:val="center"/>
                </w:tcPr>
                <w:p>
                  <w:pPr>
                    <w:pStyle w:val="118"/>
                    <w:rPr>
                      <w:color w:val="auto"/>
                    </w:rPr>
                  </w:pPr>
                  <w:r>
                    <w:rPr>
                      <w:color w:val="auto"/>
                    </w:rPr>
                    <w:t>300</w:t>
                  </w:r>
                </w:p>
              </w:tc>
              <w:tc>
                <w:tcPr>
                  <w:tcW w:w="497" w:type="pct"/>
                  <w:noWrap w:val="0"/>
                  <w:vAlign w:val="center"/>
                </w:tcPr>
                <w:p>
                  <w:pPr>
                    <w:pStyle w:val="118"/>
                    <w:rPr>
                      <w:color w:val="auto"/>
                    </w:rPr>
                  </w:pPr>
                  <w:r>
                    <w:rPr>
                      <w:color w:val="auto"/>
                    </w:rPr>
                    <w:t>400</w:t>
                  </w:r>
                </w:p>
              </w:tc>
              <w:tc>
                <w:tcPr>
                  <w:tcW w:w="741" w:type="pct"/>
                  <w:noWrap w:val="0"/>
                  <w:vAlign w:val="center"/>
                </w:tcPr>
                <w:p>
                  <w:pPr>
                    <w:pStyle w:val="118"/>
                    <w:rPr>
                      <w:color w:val="auto"/>
                    </w:rPr>
                  </w:pPr>
                  <w:r>
                    <w:rPr>
                      <w:color w:val="auto"/>
                    </w:rPr>
                    <w:t>45</w:t>
                  </w:r>
                </w:p>
              </w:tc>
              <w:tc>
                <w:tcPr>
                  <w:tcW w:w="650" w:type="pct"/>
                  <w:noWrap w:val="0"/>
                  <w:vAlign w:val="center"/>
                </w:tcPr>
                <w:p>
                  <w:pPr>
                    <w:pStyle w:val="118"/>
                    <w:rPr>
                      <w:color w:val="auto"/>
                    </w:rPr>
                  </w:pPr>
                  <w:r>
                    <w:rPr>
                      <w:color w:val="auto"/>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777" w:type="pct"/>
                  <w:gridSpan w:val="3"/>
                  <w:noWrap w:val="0"/>
                  <w:vAlign w:val="center"/>
                </w:tcPr>
                <w:p>
                  <w:pPr>
                    <w:pStyle w:val="118"/>
                    <w:rPr>
                      <w:rFonts w:hint="eastAsia"/>
                      <w:color w:val="auto"/>
                    </w:rPr>
                  </w:pPr>
                  <w:r>
                    <w:rPr>
                      <w:rFonts w:hint="eastAsia"/>
                      <w:color w:val="auto"/>
                    </w:rPr>
                    <w:t>《四川省岷江、沱江流域水污染排放标准》（DB/2311-2016）</w:t>
                  </w:r>
                </w:p>
              </w:tc>
              <w:tc>
                <w:tcPr>
                  <w:tcW w:w="950" w:type="dxa"/>
                  <w:noWrap w:val="0"/>
                  <w:vAlign w:val="center"/>
                </w:tcPr>
                <w:p>
                  <w:pPr>
                    <w:pStyle w:val="118"/>
                    <w:rPr>
                      <w:color w:val="auto"/>
                    </w:rPr>
                  </w:pPr>
                  <w:r>
                    <w:rPr>
                      <w:color w:val="auto"/>
                    </w:rPr>
                    <w:t>30</w:t>
                  </w:r>
                </w:p>
              </w:tc>
              <w:tc>
                <w:tcPr>
                  <w:tcW w:w="1234" w:type="dxa"/>
                  <w:noWrap w:val="0"/>
                  <w:vAlign w:val="center"/>
                </w:tcPr>
                <w:p>
                  <w:pPr>
                    <w:pStyle w:val="118"/>
                    <w:rPr>
                      <w:color w:val="auto"/>
                    </w:rPr>
                  </w:pPr>
                  <w:r>
                    <w:rPr>
                      <w:color w:val="auto"/>
                    </w:rPr>
                    <w:t>6</w:t>
                  </w:r>
                </w:p>
              </w:tc>
              <w:tc>
                <w:tcPr>
                  <w:tcW w:w="816" w:type="dxa"/>
                  <w:noWrap w:val="0"/>
                  <w:vAlign w:val="center"/>
                </w:tcPr>
                <w:p>
                  <w:pPr>
                    <w:pStyle w:val="118"/>
                    <w:rPr>
                      <w:rFonts w:hint="eastAsia"/>
                      <w:color w:val="auto"/>
                    </w:rPr>
                  </w:pPr>
                  <w:r>
                    <w:rPr>
                      <w:rFonts w:hint="eastAsia"/>
                      <w:color w:val="auto"/>
                    </w:rPr>
                    <w:t>/</w:t>
                  </w:r>
                </w:p>
              </w:tc>
              <w:tc>
                <w:tcPr>
                  <w:tcW w:w="1216" w:type="dxa"/>
                  <w:noWrap w:val="0"/>
                  <w:vAlign w:val="center"/>
                </w:tcPr>
                <w:p>
                  <w:pPr>
                    <w:pStyle w:val="118"/>
                    <w:rPr>
                      <w:color w:val="auto"/>
                    </w:rPr>
                  </w:pPr>
                  <w:r>
                    <w:rPr>
                      <w:color w:val="auto"/>
                    </w:rPr>
                    <w:t>1.5</w:t>
                  </w:r>
                </w:p>
              </w:tc>
              <w:tc>
                <w:tcPr>
                  <w:tcW w:w="1067" w:type="dxa"/>
                  <w:noWrap w:val="0"/>
                  <w:vAlign w:val="center"/>
                </w:tcPr>
                <w:p>
                  <w:pPr>
                    <w:pStyle w:val="118"/>
                    <w:rPr>
                      <w:color w:val="auto"/>
                    </w:rPr>
                  </w:pPr>
                  <w:r>
                    <w:rPr>
                      <w:color w:val="auto"/>
                    </w:rPr>
                    <w:t>0.3</w:t>
                  </w:r>
                </w:p>
              </w:tc>
            </w:tr>
          </w:tbl>
          <w:p>
            <w:pPr>
              <w:spacing w:line="360" w:lineRule="exact"/>
              <w:ind w:firstLine="480"/>
              <w:jc w:val="left"/>
              <w:rPr>
                <w:rFonts w:hint="eastAsia"/>
                <w:color w:val="auto"/>
                <w:szCs w:val="21"/>
              </w:rPr>
            </w:pPr>
            <w:r>
              <w:rPr>
                <w:rFonts w:hint="eastAsia"/>
                <w:color w:val="auto"/>
                <w:szCs w:val="21"/>
              </w:rPr>
              <w:t>*由于《污水综合排放标准》（GB8978-1996）中无氨氮和总磷三级排放限值，根据环函（2004）454 号文，暂时执行建设部《污水排入城镇下水道水质标准》（GB/T 31962-2015）。</w:t>
            </w:r>
          </w:p>
          <w:p>
            <w:pPr>
              <w:spacing w:after="120"/>
              <w:ind w:firstLine="0" w:firstLineChars="0"/>
              <w:jc w:val="left"/>
              <w:outlineLvl w:val="1"/>
              <w:rPr>
                <w:rFonts w:hint="eastAsia"/>
                <w:b/>
                <w:color w:val="auto"/>
                <w:kern w:val="0"/>
                <w:szCs w:val="28"/>
                <w:lang w:bidi="ar"/>
              </w:rPr>
            </w:pPr>
            <w:r>
              <w:rPr>
                <w:rFonts w:hint="eastAsia"/>
                <w:b/>
                <w:color w:val="auto"/>
                <w:kern w:val="0"/>
                <w:szCs w:val="28"/>
                <w:lang w:bidi="ar"/>
              </w:rPr>
              <w:t>三、营运期声环境影响分析和保护措施</w:t>
            </w:r>
            <w:bookmarkEnd w:id="66"/>
          </w:p>
          <w:p>
            <w:pPr>
              <w:pStyle w:val="104"/>
              <w:ind w:firstLine="482"/>
              <w:rPr>
                <w:rFonts w:hint="eastAsia"/>
                <w:b/>
                <w:bCs/>
                <w:color w:val="auto"/>
              </w:rPr>
            </w:pPr>
            <w:r>
              <w:rPr>
                <w:rFonts w:hint="eastAsia"/>
                <w:b/>
                <w:bCs/>
                <w:color w:val="auto"/>
              </w:rPr>
              <w:t>1、噪声产生情况</w:t>
            </w:r>
          </w:p>
          <w:p>
            <w:pPr>
              <w:pStyle w:val="104"/>
              <w:ind w:firstLine="480"/>
              <w:rPr>
                <w:rFonts w:hint="eastAsia"/>
                <w:color w:val="auto"/>
              </w:rPr>
            </w:pPr>
            <w:r>
              <w:rPr>
                <w:rFonts w:hint="eastAsia"/>
                <w:color w:val="auto"/>
              </w:rPr>
              <w:t>本项目运营过程中产生的噪声主要为空调外机噪声、宠物叫声。经类比调查，项目噪声源强约60~75dB（A）。</w:t>
            </w:r>
          </w:p>
          <w:p>
            <w:pPr>
              <w:pStyle w:val="104"/>
              <w:ind w:firstLine="482"/>
              <w:rPr>
                <w:rFonts w:hint="eastAsia"/>
                <w:b/>
                <w:bCs/>
                <w:color w:val="auto"/>
              </w:rPr>
            </w:pPr>
            <w:r>
              <w:rPr>
                <w:rFonts w:hint="eastAsia"/>
                <w:b/>
                <w:bCs/>
                <w:color w:val="auto"/>
              </w:rPr>
              <w:t>2、噪声防治措施</w:t>
            </w:r>
          </w:p>
          <w:p>
            <w:pPr>
              <w:pStyle w:val="104"/>
              <w:ind w:firstLine="480"/>
              <w:rPr>
                <w:rFonts w:hint="eastAsia"/>
                <w:color w:val="auto"/>
              </w:rPr>
            </w:pPr>
            <w:r>
              <w:rPr>
                <w:rFonts w:hint="eastAsia"/>
                <w:color w:val="auto"/>
              </w:rPr>
              <w:t>①空调外机噪声</w:t>
            </w:r>
          </w:p>
          <w:p>
            <w:pPr>
              <w:pStyle w:val="104"/>
              <w:ind w:firstLine="480"/>
              <w:rPr>
                <w:rFonts w:hint="eastAsia"/>
                <w:color w:val="auto"/>
              </w:rPr>
            </w:pPr>
            <w:r>
              <w:rPr>
                <w:rFonts w:hint="eastAsia"/>
                <w:color w:val="auto"/>
              </w:rPr>
              <w:t>本项目空调外机位于项目一楼正门外墙处，空调产生的噪声较小，经类比，空调外机噪声源强约60~70dB（A），空调运转时产生的噪声经距离衰减后对周围住户不会产生较大影响。</w:t>
            </w:r>
          </w:p>
          <w:p>
            <w:pPr>
              <w:pStyle w:val="104"/>
              <w:ind w:firstLine="480"/>
              <w:rPr>
                <w:rFonts w:hint="eastAsia"/>
                <w:color w:val="auto"/>
              </w:rPr>
            </w:pPr>
            <w:r>
              <w:rPr>
                <w:rFonts w:hint="eastAsia"/>
                <w:color w:val="auto"/>
              </w:rPr>
              <w:t>本次环评要求：运营单位必须定期对项目使用空调进行检修保养，确保空调噪声达标排放，确保不扰民。</w:t>
            </w:r>
          </w:p>
          <w:p>
            <w:pPr>
              <w:pStyle w:val="104"/>
              <w:ind w:firstLine="480"/>
              <w:rPr>
                <w:color w:val="auto"/>
              </w:rPr>
            </w:pPr>
            <w:r>
              <w:rPr>
                <w:color w:val="auto"/>
              </w:rPr>
              <w:fldChar w:fldCharType="begin"/>
            </w:r>
            <w:r>
              <w:rPr>
                <w:color w:val="auto"/>
              </w:rPr>
              <w:instrText xml:space="preserve"> = 2 \* GB3 \* MERGEFORMAT </w:instrText>
            </w:r>
            <w:r>
              <w:rPr>
                <w:color w:val="auto"/>
              </w:rPr>
              <w:fldChar w:fldCharType="separate"/>
            </w:r>
            <w:r>
              <w:rPr>
                <w:color w:val="auto"/>
              </w:rPr>
              <w:t>②</w:t>
            </w:r>
            <w:r>
              <w:rPr>
                <w:color w:val="auto"/>
              </w:rPr>
              <w:fldChar w:fldCharType="end"/>
            </w:r>
            <w:r>
              <w:rPr>
                <w:color w:val="auto"/>
              </w:rPr>
              <w:t>宠物叫声</w:t>
            </w:r>
          </w:p>
          <w:p>
            <w:pPr>
              <w:pStyle w:val="104"/>
              <w:ind w:firstLine="480"/>
              <w:rPr>
                <w:color w:val="auto"/>
              </w:rPr>
            </w:pPr>
            <w:r>
              <w:rPr>
                <w:color w:val="auto"/>
              </w:rPr>
              <w:t>本项目运营期间，宠物会有日常偶发噪声，源强一般为60~ 75dB（A），主要集中在住院室内（每天就诊、住院最大量按照</w:t>
            </w:r>
            <w:r>
              <w:rPr>
                <w:rFonts w:hint="eastAsia"/>
                <w:color w:val="auto"/>
                <w:lang w:val="en-US" w:eastAsia="zh-CN"/>
              </w:rPr>
              <w:t>20</w:t>
            </w:r>
            <w:r>
              <w:rPr>
                <w:color w:val="auto"/>
              </w:rPr>
              <w:t>只进行考虑），本项目内墙体厚度约30cm，具有一定的隔音效果。本项目营运期间，入院宠物会有日常偶发噪声，项目墙体均为实体密闭墙体。为了防止宠物噪声对周边环境产生影响，项目只在白天营业，夜间不营业，在做好宠物管理，防止宠物因饥饿而产生噪声，对留观宠物佩戴口罩等措施后，项目噪声不会对外环境产生影响。具体降噪措施如下：</w:t>
            </w:r>
          </w:p>
          <w:p>
            <w:pPr>
              <w:pStyle w:val="104"/>
              <w:ind w:firstLine="480"/>
              <w:rPr>
                <w:color w:val="auto"/>
              </w:rPr>
            </w:pPr>
            <w:r>
              <w:rPr>
                <w:color w:val="auto"/>
              </w:rPr>
              <w:t>A.采用实体隔墙，砌到水泥天花的顶部，然后采用无机纤维喷涂层密封在墙体里面，采用吸声材料做吊顶；</w:t>
            </w:r>
          </w:p>
          <w:p>
            <w:pPr>
              <w:pStyle w:val="104"/>
              <w:ind w:firstLine="480"/>
              <w:rPr>
                <w:color w:val="auto"/>
              </w:rPr>
            </w:pPr>
            <w:r>
              <w:rPr>
                <w:color w:val="auto"/>
              </w:rPr>
              <w:t>B.各科室地面在原有水泥地面基础上要铺设硬质地板；</w:t>
            </w:r>
          </w:p>
          <w:p>
            <w:pPr>
              <w:pStyle w:val="104"/>
              <w:ind w:firstLine="480"/>
              <w:rPr>
                <w:color w:val="auto"/>
              </w:rPr>
            </w:pPr>
            <w:r>
              <w:rPr>
                <w:color w:val="auto"/>
              </w:rPr>
              <w:t>C.天花板采用无机纤维喷涂层；</w:t>
            </w:r>
          </w:p>
          <w:p>
            <w:pPr>
              <w:ind w:firstLine="480"/>
              <w:rPr>
                <w:rFonts w:hint="eastAsia"/>
                <w:color w:val="auto"/>
              </w:rPr>
            </w:pPr>
            <w:r>
              <w:rPr>
                <w:rFonts w:hint="eastAsia"/>
                <w:color w:val="auto"/>
              </w:rPr>
              <w:t>D.各科室必须要全部使用隔音门，四周缝隙要用密闭橡皮条粘牢封严， 大门边加密封条；紧邻小区一侧的窗户需全部使用隔音玻璃进行隔声；</w:t>
            </w:r>
          </w:p>
          <w:p>
            <w:pPr>
              <w:ind w:firstLine="480"/>
              <w:rPr>
                <w:rFonts w:hint="eastAsia"/>
                <w:color w:val="auto"/>
              </w:rPr>
            </w:pPr>
            <w:r>
              <w:rPr>
                <w:rFonts w:hint="eastAsia"/>
                <w:color w:val="auto"/>
              </w:rPr>
              <w:t>E.加强宠物管理，宠物不留宿、不寄养，留院观察宠物佩戴口罩、及时饲喂避免宠物处于饥饿状态等；</w:t>
            </w:r>
          </w:p>
          <w:p>
            <w:pPr>
              <w:bidi w:val="0"/>
              <w:rPr>
                <w:rFonts w:hint="eastAsia"/>
                <w:color w:val="auto"/>
              </w:rPr>
            </w:pPr>
            <w:r>
              <w:rPr>
                <w:rFonts w:hint="eastAsia"/>
                <w:color w:val="auto"/>
              </w:rPr>
              <w:t>综上所述，本项目采取对入院宠物佩戴口罩，加强管理，同时各科室采用隔声处理，空调外机通过隔声处理和距离衰减等措施。采取以上措施后可有效控制宠物噪声对周围环境的影响。</w:t>
            </w:r>
          </w:p>
          <w:p>
            <w:pPr>
              <w:bidi w:val="0"/>
              <w:rPr>
                <w:rFonts w:hint="eastAsia" w:eastAsia="宋体"/>
                <w:b/>
                <w:bCs/>
                <w:color w:val="auto"/>
                <w:lang w:eastAsia="zh-CN"/>
              </w:rPr>
            </w:pPr>
            <w:r>
              <w:rPr>
                <w:rFonts w:hint="eastAsia"/>
                <w:b/>
                <w:bCs/>
                <w:color w:val="auto"/>
                <w:lang w:val="en-US" w:eastAsia="zh-CN"/>
              </w:rPr>
              <w:t>3、</w:t>
            </w:r>
            <w:r>
              <w:rPr>
                <w:rFonts w:hint="eastAsia"/>
                <w:b/>
                <w:bCs/>
                <w:color w:val="auto"/>
              </w:rPr>
              <w:t>噪声</w:t>
            </w:r>
            <w:r>
              <w:rPr>
                <w:rFonts w:hint="eastAsia"/>
                <w:b/>
                <w:bCs/>
                <w:color w:val="auto"/>
                <w:lang w:eastAsia="zh-CN"/>
              </w:rPr>
              <w:t>预测</w:t>
            </w:r>
          </w:p>
          <w:p>
            <w:pPr>
              <w:bidi w:val="0"/>
              <w:ind w:left="0" w:leftChars="0" w:firstLine="720" w:firstLineChars="300"/>
              <w:rPr>
                <w:rFonts w:hint="eastAsia"/>
                <w:color w:val="auto"/>
              </w:rPr>
            </w:pPr>
            <w:r>
              <w:rPr>
                <w:rFonts w:hint="eastAsia"/>
                <w:color w:val="auto"/>
                <w:lang w:eastAsia="zh-CN"/>
              </w:rPr>
              <w:t>本项目</w:t>
            </w:r>
            <w:r>
              <w:rPr>
                <w:rFonts w:hint="eastAsia"/>
                <w:color w:val="auto"/>
              </w:rPr>
              <w:t>通过采取以上减震、隔声等措施后，可使上述设备的噪声源强下降 10-20dB（A），本项目设备的噪声源强下降取15dB（A）。</w:t>
            </w:r>
          </w:p>
          <w:p>
            <w:pPr>
              <w:pStyle w:val="104"/>
              <w:bidi w:val="0"/>
              <w:rPr>
                <w:rFonts w:hint="eastAsia"/>
                <w:color w:val="auto"/>
                <w:lang w:val="en-US" w:eastAsia="zh-CN"/>
              </w:rPr>
            </w:pPr>
            <w:r>
              <w:rPr>
                <w:rFonts w:hint="eastAsia"/>
                <w:color w:val="auto"/>
                <w:lang w:val="en-US" w:eastAsia="zh-CN"/>
              </w:rPr>
              <w:t>（1）噪声源距厂界敏感点距离：</w:t>
            </w:r>
          </w:p>
          <w:p>
            <w:pPr>
              <w:pStyle w:val="117"/>
              <w:bidi w:val="0"/>
              <w:rPr>
                <w:rFonts w:hint="eastAsia"/>
                <w:color w:val="auto"/>
                <w:lang w:val="en-US" w:eastAsia="zh-CN"/>
              </w:rPr>
            </w:pPr>
            <w:r>
              <w:rPr>
                <w:rFonts w:hint="eastAsia"/>
                <w:color w:val="auto"/>
                <w:lang w:val="en-US" w:eastAsia="zh-CN"/>
              </w:rPr>
              <w:t>表4-4 噪声源距厂界及敏感点距离 单位：m</w:t>
            </w:r>
          </w:p>
          <w:tbl>
            <w:tblPr>
              <w:tblStyle w:val="39"/>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53"/>
              <w:gridCol w:w="1706"/>
              <w:gridCol w:w="1294"/>
              <w:gridCol w:w="1125"/>
              <w:gridCol w:w="1332"/>
              <w:gridCol w:w="12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5" w:type="pct"/>
                  <w:noWrap w:val="0"/>
                  <w:vAlign w:val="center"/>
                </w:tcPr>
                <w:p>
                  <w:pPr>
                    <w:pStyle w:val="69"/>
                    <w:bidi w:val="0"/>
                    <w:rPr>
                      <w:rFonts w:hint="default"/>
                      <w:color w:val="auto"/>
                      <w:lang w:val="en-US" w:eastAsia="zh-CN"/>
                    </w:rPr>
                  </w:pPr>
                  <w:r>
                    <w:rPr>
                      <w:rFonts w:hint="eastAsia"/>
                      <w:color w:val="auto"/>
                      <w:lang w:val="en-US" w:eastAsia="zh-CN"/>
                    </w:rPr>
                    <w:t>噪声源</w:t>
                  </w:r>
                </w:p>
              </w:tc>
              <w:tc>
                <w:tcPr>
                  <w:tcW w:w="1039" w:type="pct"/>
                  <w:noWrap w:val="0"/>
                  <w:vAlign w:val="center"/>
                </w:tcPr>
                <w:p>
                  <w:pPr>
                    <w:pStyle w:val="69"/>
                    <w:bidi w:val="0"/>
                    <w:rPr>
                      <w:rFonts w:hint="default"/>
                      <w:color w:val="auto"/>
                      <w:lang w:val="en-US" w:eastAsia="zh-CN"/>
                    </w:rPr>
                  </w:pPr>
                  <w:r>
                    <w:rPr>
                      <w:rFonts w:hint="eastAsia"/>
                      <w:color w:val="auto"/>
                      <w:lang w:val="en-US" w:eastAsia="zh-CN"/>
                    </w:rPr>
                    <w:t>噪声源强dB(A）</w:t>
                  </w:r>
                </w:p>
              </w:tc>
              <w:tc>
                <w:tcPr>
                  <w:tcW w:w="788" w:type="pct"/>
                  <w:noWrap w:val="0"/>
                  <w:vAlign w:val="center"/>
                </w:tcPr>
                <w:p>
                  <w:pPr>
                    <w:pStyle w:val="69"/>
                    <w:bidi w:val="0"/>
                    <w:rPr>
                      <w:rFonts w:hint="default"/>
                      <w:color w:val="auto"/>
                      <w:lang w:val="en-US" w:eastAsia="zh-CN"/>
                    </w:rPr>
                  </w:pPr>
                  <w:r>
                    <w:rPr>
                      <w:rFonts w:hint="eastAsia"/>
                      <w:color w:val="auto"/>
                      <w:lang w:val="en-US" w:eastAsia="zh-CN"/>
                    </w:rPr>
                    <w:t>东厂界</w:t>
                  </w:r>
                </w:p>
              </w:tc>
              <w:tc>
                <w:tcPr>
                  <w:tcW w:w="685" w:type="pct"/>
                  <w:noWrap w:val="0"/>
                  <w:vAlign w:val="center"/>
                </w:tcPr>
                <w:p>
                  <w:pPr>
                    <w:pStyle w:val="69"/>
                    <w:bidi w:val="0"/>
                    <w:rPr>
                      <w:rFonts w:hint="default"/>
                      <w:color w:val="auto"/>
                      <w:lang w:val="en-US" w:eastAsia="zh-CN"/>
                    </w:rPr>
                  </w:pPr>
                  <w:r>
                    <w:rPr>
                      <w:rFonts w:hint="eastAsia"/>
                      <w:color w:val="auto"/>
                      <w:lang w:val="en-US" w:eastAsia="zh-CN"/>
                    </w:rPr>
                    <w:t>南厂界</w:t>
                  </w:r>
                </w:p>
              </w:tc>
              <w:tc>
                <w:tcPr>
                  <w:tcW w:w="811" w:type="pct"/>
                  <w:noWrap w:val="0"/>
                  <w:vAlign w:val="center"/>
                </w:tcPr>
                <w:p>
                  <w:pPr>
                    <w:pStyle w:val="69"/>
                    <w:bidi w:val="0"/>
                    <w:rPr>
                      <w:rFonts w:hint="default"/>
                      <w:color w:val="auto"/>
                      <w:lang w:val="en-US" w:eastAsia="zh-CN"/>
                    </w:rPr>
                  </w:pPr>
                  <w:r>
                    <w:rPr>
                      <w:rFonts w:hint="eastAsia"/>
                      <w:color w:val="auto"/>
                      <w:lang w:val="en-US" w:eastAsia="zh-CN"/>
                    </w:rPr>
                    <w:t>西厂界</w:t>
                  </w:r>
                </w:p>
              </w:tc>
              <w:tc>
                <w:tcPr>
                  <w:tcW w:w="788" w:type="pct"/>
                  <w:noWrap w:val="0"/>
                  <w:vAlign w:val="center"/>
                </w:tcPr>
                <w:p>
                  <w:pPr>
                    <w:pStyle w:val="69"/>
                    <w:bidi w:val="0"/>
                    <w:rPr>
                      <w:rFonts w:hint="eastAsia"/>
                      <w:color w:val="auto"/>
                      <w:lang w:val="en-US" w:eastAsia="zh-CN"/>
                    </w:rPr>
                  </w:pPr>
                  <w:r>
                    <w:rPr>
                      <w:rFonts w:hint="eastAsia"/>
                      <w:color w:val="auto"/>
                      <w:lang w:val="en-US" w:eastAsia="zh-CN"/>
                    </w:rPr>
                    <w:t>北厂界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trPr>
              <w:tc>
                <w:tcPr>
                  <w:tcW w:w="885" w:type="pct"/>
                  <w:noWrap w:val="0"/>
                  <w:vAlign w:val="center"/>
                </w:tcPr>
                <w:p>
                  <w:pPr>
                    <w:pStyle w:val="69"/>
                    <w:bidi w:val="0"/>
                    <w:rPr>
                      <w:rFonts w:hint="default"/>
                      <w:color w:val="auto"/>
                      <w:lang w:val="en-US" w:eastAsia="zh-CN"/>
                    </w:rPr>
                  </w:pPr>
                  <w:r>
                    <w:rPr>
                      <w:rFonts w:hint="eastAsia"/>
                      <w:color w:val="auto"/>
                      <w:lang w:val="en-US" w:eastAsia="zh-CN"/>
                    </w:rPr>
                    <w:t>空调外机</w:t>
                  </w:r>
                </w:p>
              </w:tc>
              <w:tc>
                <w:tcPr>
                  <w:tcW w:w="1039" w:type="pct"/>
                  <w:noWrap w:val="0"/>
                  <w:vAlign w:val="center"/>
                </w:tcPr>
                <w:p>
                  <w:pPr>
                    <w:pStyle w:val="69"/>
                    <w:bidi w:val="0"/>
                    <w:rPr>
                      <w:rFonts w:hint="default"/>
                      <w:color w:val="auto"/>
                      <w:lang w:val="en-US" w:eastAsia="zh-CN"/>
                    </w:rPr>
                  </w:pPr>
                  <w:r>
                    <w:rPr>
                      <w:rFonts w:hint="eastAsia"/>
                      <w:color w:val="auto"/>
                      <w:lang w:val="en-US" w:eastAsia="zh-CN"/>
                    </w:rPr>
                    <w:t>60</w:t>
                  </w:r>
                </w:p>
              </w:tc>
              <w:tc>
                <w:tcPr>
                  <w:tcW w:w="788" w:type="pct"/>
                  <w:noWrap w:val="0"/>
                  <w:vAlign w:val="center"/>
                </w:tcPr>
                <w:p>
                  <w:pPr>
                    <w:pStyle w:val="69"/>
                    <w:bidi w:val="0"/>
                    <w:rPr>
                      <w:rFonts w:hint="default"/>
                      <w:color w:val="auto"/>
                      <w:lang w:val="en-US" w:eastAsia="zh-CN"/>
                    </w:rPr>
                  </w:pPr>
                  <w:r>
                    <w:rPr>
                      <w:rFonts w:hint="eastAsia"/>
                      <w:color w:val="auto"/>
                      <w:lang w:val="en-US" w:eastAsia="zh-CN"/>
                    </w:rPr>
                    <w:t>2</w:t>
                  </w:r>
                </w:p>
              </w:tc>
              <w:tc>
                <w:tcPr>
                  <w:tcW w:w="685" w:type="pct"/>
                  <w:noWrap w:val="0"/>
                  <w:vAlign w:val="center"/>
                </w:tcPr>
                <w:p>
                  <w:pPr>
                    <w:pStyle w:val="69"/>
                    <w:bidi w:val="0"/>
                    <w:rPr>
                      <w:rFonts w:hint="default"/>
                      <w:color w:val="auto"/>
                      <w:lang w:val="en-US" w:eastAsia="zh-CN"/>
                    </w:rPr>
                  </w:pPr>
                  <w:r>
                    <w:rPr>
                      <w:rFonts w:hint="eastAsia"/>
                      <w:color w:val="auto"/>
                      <w:lang w:val="en-US" w:eastAsia="zh-CN"/>
                    </w:rPr>
                    <w:t>6</w:t>
                  </w:r>
                </w:p>
              </w:tc>
              <w:tc>
                <w:tcPr>
                  <w:tcW w:w="811" w:type="pct"/>
                  <w:noWrap w:val="0"/>
                  <w:vAlign w:val="center"/>
                </w:tcPr>
                <w:p>
                  <w:pPr>
                    <w:pStyle w:val="69"/>
                    <w:bidi w:val="0"/>
                    <w:rPr>
                      <w:rFonts w:hint="default"/>
                      <w:color w:val="auto"/>
                      <w:lang w:val="en-US" w:eastAsia="zh-CN"/>
                    </w:rPr>
                  </w:pPr>
                  <w:r>
                    <w:rPr>
                      <w:rFonts w:hint="eastAsia"/>
                      <w:color w:val="auto"/>
                      <w:lang w:val="en-US" w:eastAsia="zh-CN"/>
                    </w:rPr>
                    <w:t>1</w:t>
                  </w:r>
                </w:p>
              </w:tc>
              <w:tc>
                <w:tcPr>
                  <w:tcW w:w="788" w:type="pct"/>
                  <w:noWrap w:val="0"/>
                  <w:vAlign w:val="center"/>
                </w:tcPr>
                <w:p>
                  <w:pPr>
                    <w:pStyle w:val="69"/>
                    <w:bidi w:val="0"/>
                    <w:rPr>
                      <w:rFonts w:hint="default"/>
                      <w:color w:val="auto"/>
                      <w:lang w:val="en-US" w:eastAsia="zh-CN"/>
                    </w:rPr>
                  </w:pPr>
                  <w:r>
                    <w:rPr>
                      <w:rFonts w:hint="eastAsia"/>
                      <w:color w:val="auto"/>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5" w:type="pct"/>
                  <w:noWrap w:val="0"/>
                  <w:vAlign w:val="center"/>
                </w:tcPr>
                <w:p>
                  <w:pPr>
                    <w:pStyle w:val="69"/>
                    <w:bidi w:val="0"/>
                    <w:rPr>
                      <w:rFonts w:hint="eastAsia"/>
                      <w:color w:val="auto"/>
                      <w:lang w:val="en-US" w:eastAsia="zh-CN"/>
                    </w:rPr>
                  </w:pPr>
                  <w:r>
                    <w:rPr>
                      <w:rFonts w:hint="eastAsia"/>
                      <w:color w:val="auto"/>
                      <w:lang w:val="en-US" w:eastAsia="zh-CN"/>
                    </w:rPr>
                    <w:t>宠物叫声</w:t>
                  </w:r>
                </w:p>
              </w:tc>
              <w:tc>
                <w:tcPr>
                  <w:tcW w:w="1039" w:type="pct"/>
                  <w:noWrap w:val="0"/>
                  <w:vAlign w:val="center"/>
                </w:tcPr>
                <w:p>
                  <w:pPr>
                    <w:pStyle w:val="69"/>
                    <w:bidi w:val="0"/>
                    <w:rPr>
                      <w:rFonts w:hint="default"/>
                      <w:color w:val="auto"/>
                      <w:lang w:val="en-US" w:eastAsia="zh-CN"/>
                    </w:rPr>
                  </w:pPr>
                  <w:r>
                    <w:rPr>
                      <w:rFonts w:hint="eastAsia"/>
                      <w:color w:val="auto"/>
                      <w:lang w:val="en-US" w:eastAsia="zh-CN"/>
                    </w:rPr>
                    <w:t>75</w:t>
                  </w:r>
                </w:p>
              </w:tc>
              <w:tc>
                <w:tcPr>
                  <w:tcW w:w="1294" w:type="dxa"/>
                  <w:noWrap w:val="0"/>
                  <w:vAlign w:val="center"/>
                </w:tcPr>
                <w:p>
                  <w:pPr>
                    <w:pStyle w:val="69"/>
                    <w:bidi w:val="0"/>
                    <w:ind w:firstLine="0" w:firstLineChars="0"/>
                    <w:rPr>
                      <w:rFonts w:hint="default"/>
                      <w:color w:val="auto"/>
                      <w:lang w:val="en-US" w:eastAsia="zh-CN"/>
                    </w:rPr>
                  </w:pPr>
                  <w:r>
                    <w:rPr>
                      <w:rFonts w:hint="eastAsia"/>
                      <w:color w:val="auto"/>
                      <w:lang w:val="en-US" w:eastAsia="zh-CN"/>
                    </w:rPr>
                    <w:t>6</w:t>
                  </w:r>
                </w:p>
              </w:tc>
              <w:tc>
                <w:tcPr>
                  <w:tcW w:w="1125" w:type="dxa"/>
                  <w:noWrap w:val="0"/>
                  <w:vAlign w:val="center"/>
                </w:tcPr>
                <w:p>
                  <w:pPr>
                    <w:pStyle w:val="69"/>
                    <w:bidi w:val="0"/>
                    <w:ind w:firstLine="0" w:firstLineChars="0"/>
                    <w:rPr>
                      <w:rFonts w:hint="default"/>
                      <w:color w:val="auto"/>
                      <w:lang w:val="en-US" w:eastAsia="zh-CN"/>
                    </w:rPr>
                  </w:pPr>
                  <w:r>
                    <w:rPr>
                      <w:rFonts w:hint="eastAsia"/>
                      <w:color w:val="auto"/>
                      <w:lang w:val="en-US" w:eastAsia="zh-CN"/>
                    </w:rPr>
                    <w:t>2</w:t>
                  </w:r>
                </w:p>
              </w:tc>
              <w:tc>
                <w:tcPr>
                  <w:tcW w:w="1332" w:type="dxa"/>
                  <w:noWrap w:val="0"/>
                  <w:vAlign w:val="center"/>
                </w:tcPr>
                <w:p>
                  <w:pPr>
                    <w:pStyle w:val="69"/>
                    <w:bidi w:val="0"/>
                    <w:ind w:firstLine="0" w:firstLineChars="0"/>
                    <w:rPr>
                      <w:rFonts w:hint="default"/>
                      <w:color w:val="auto"/>
                      <w:lang w:val="en-US" w:eastAsia="zh-CN"/>
                    </w:rPr>
                  </w:pPr>
                  <w:r>
                    <w:rPr>
                      <w:rFonts w:hint="eastAsia"/>
                      <w:color w:val="auto"/>
                      <w:lang w:val="en-US" w:eastAsia="zh-CN"/>
                    </w:rPr>
                    <w:t>1</w:t>
                  </w:r>
                </w:p>
              </w:tc>
              <w:tc>
                <w:tcPr>
                  <w:tcW w:w="1294" w:type="dxa"/>
                  <w:noWrap w:val="0"/>
                  <w:vAlign w:val="center"/>
                </w:tcPr>
                <w:p>
                  <w:pPr>
                    <w:pStyle w:val="69"/>
                    <w:bidi w:val="0"/>
                    <w:ind w:firstLine="0" w:firstLineChars="0"/>
                    <w:rPr>
                      <w:rFonts w:hint="default"/>
                      <w:color w:val="auto"/>
                      <w:lang w:val="en-US" w:eastAsia="zh-CN"/>
                    </w:rPr>
                  </w:pPr>
                  <w:r>
                    <w:rPr>
                      <w:rFonts w:hint="eastAsia"/>
                      <w:color w:val="auto"/>
                      <w:lang w:val="en-US" w:eastAsia="zh-CN"/>
                    </w:rPr>
                    <w:t>8</w:t>
                  </w:r>
                </w:p>
              </w:tc>
            </w:tr>
          </w:tbl>
          <w:p>
            <w:pPr>
              <w:bidi w:val="0"/>
              <w:rPr>
                <w:rFonts w:hint="eastAsia"/>
                <w:color w:val="auto"/>
              </w:rPr>
            </w:pPr>
            <w:r>
              <w:rPr>
                <w:rFonts w:hint="eastAsia"/>
                <w:color w:val="auto"/>
                <w:lang w:eastAsia="zh-CN"/>
              </w:rPr>
              <w:t>（</w:t>
            </w:r>
            <w:r>
              <w:rPr>
                <w:rFonts w:hint="eastAsia"/>
                <w:color w:val="auto"/>
                <w:lang w:val="en-US" w:eastAsia="zh-CN"/>
              </w:rPr>
              <w:t>2</w:t>
            </w:r>
            <w:r>
              <w:rPr>
                <w:rFonts w:hint="eastAsia"/>
                <w:color w:val="auto"/>
                <w:lang w:eastAsia="zh-CN"/>
              </w:rPr>
              <w:t>）</w:t>
            </w:r>
            <w:r>
              <w:rPr>
                <w:rFonts w:hint="eastAsia"/>
                <w:color w:val="auto"/>
              </w:rPr>
              <w:t>预测模式</w:t>
            </w:r>
          </w:p>
          <w:p>
            <w:pPr>
              <w:bidi w:val="0"/>
              <w:rPr>
                <w:rFonts w:hint="eastAsia"/>
                <w:color w:val="auto"/>
              </w:rPr>
            </w:pPr>
            <w:r>
              <w:rPr>
                <w:rFonts w:hint="eastAsia"/>
                <w:color w:val="auto"/>
              </w:rPr>
              <w:t>采用《环境影响评价技术导则-声环境》（HJ 2.4-2009）中推荐的模型。利用点源衰减公式，预测模式如下：</w:t>
            </w:r>
          </w:p>
          <w:p>
            <w:pPr>
              <w:bidi w:val="0"/>
              <w:jc w:val="center"/>
              <w:rPr>
                <w:rFonts w:hint="eastAsia"/>
                <w:color w:val="auto"/>
                <w:lang w:eastAsia="zh-CN"/>
              </w:rPr>
            </w:pPr>
            <w:r>
              <w:rPr>
                <w:rFonts w:hint="eastAsia"/>
                <w:color w:val="auto"/>
                <w:lang w:eastAsia="zh-CN"/>
              </w:rPr>
              <w:object>
                <v:shape id="_x0000_i1043" o:spt="75" type="#_x0000_t75" style="height:18pt;width:112pt;" o:ole="t" filled="f" o:preferrelative="t" stroked="f" coordsize="21600,21600">
                  <v:path/>
                  <v:fill on="f" focussize="0,0"/>
                  <v:stroke on="f"/>
                  <v:imagedata r:id="rId97" o:title=""/>
                  <o:lock v:ext="edit" aspectratio="t"/>
                  <w10:wrap type="none"/>
                  <w10:anchorlock/>
                </v:shape>
                <o:OLEObject Type="Embed" ProgID="Equation.KSEE3" ShapeID="_x0000_i1043" DrawAspect="Content" ObjectID="_1468075744" r:id="rId96">
                  <o:LockedField>false</o:LockedField>
                </o:OLEObject>
              </w:object>
            </w:r>
          </w:p>
          <w:p>
            <w:pPr>
              <w:bidi w:val="0"/>
              <w:rPr>
                <w:rFonts w:hint="eastAsia"/>
                <w:color w:val="auto"/>
              </w:rPr>
            </w:pPr>
            <w:r>
              <w:rPr>
                <w:rFonts w:hint="eastAsia"/>
                <w:color w:val="auto"/>
              </w:rPr>
              <w:t>式中：L</w:t>
            </w:r>
            <w:r>
              <w:rPr>
                <w:rFonts w:hint="eastAsia"/>
                <w:color w:val="auto"/>
                <w:lang w:val="en-US" w:eastAsia="zh-CN"/>
              </w:rPr>
              <w:t>p</w:t>
            </w:r>
            <w:r>
              <w:rPr>
                <w:rFonts w:hint="eastAsia"/>
                <w:color w:val="auto"/>
              </w:rPr>
              <w:t>(r)——</w:t>
            </w:r>
            <w:r>
              <w:rPr>
                <w:rFonts w:hint="eastAsia"/>
                <w:color w:val="auto"/>
                <w:lang w:eastAsia="zh-CN"/>
              </w:rPr>
              <w:t>预测点处</w:t>
            </w:r>
            <w:r>
              <w:rPr>
                <w:rFonts w:hint="eastAsia"/>
                <w:color w:val="auto"/>
              </w:rPr>
              <w:t>声压级，dB（A）；</w:t>
            </w:r>
          </w:p>
          <w:p>
            <w:pPr>
              <w:bidi w:val="0"/>
              <w:ind w:firstLine="1200" w:firstLineChars="500"/>
              <w:rPr>
                <w:rFonts w:hint="eastAsia"/>
                <w:color w:val="auto"/>
              </w:rPr>
            </w:pPr>
            <w:r>
              <w:rPr>
                <w:rFonts w:hint="eastAsia"/>
                <w:color w:val="auto"/>
              </w:rPr>
              <w:t>L</w:t>
            </w:r>
            <w:r>
              <w:rPr>
                <w:rFonts w:hint="eastAsia"/>
                <w:color w:val="auto"/>
                <w:lang w:val="en-US" w:eastAsia="zh-CN"/>
              </w:rPr>
              <w:t>w</w:t>
            </w:r>
            <w:r>
              <w:rPr>
                <w:rFonts w:hint="eastAsia"/>
                <w:color w:val="auto"/>
              </w:rPr>
              <w:t>——</w:t>
            </w:r>
            <w:r>
              <w:rPr>
                <w:rFonts w:hint="eastAsia"/>
                <w:color w:val="auto"/>
                <w:lang w:eastAsia="zh-CN"/>
              </w:rPr>
              <w:t>由点声源产生的倍频带声功率级</w:t>
            </w:r>
            <w:r>
              <w:rPr>
                <w:rFonts w:hint="eastAsia"/>
                <w:color w:val="auto"/>
              </w:rPr>
              <w:t>，dB（A）；</w:t>
            </w:r>
          </w:p>
          <w:p>
            <w:pPr>
              <w:bidi w:val="0"/>
              <w:ind w:firstLine="1200" w:firstLineChars="500"/>
              <w:rPr>
                <w:rFonts w:hint="eastAsia"/>
                <w:color w:val="auto"/>
              </w:rPr>
            </w:pPr>
            <w:r>
              <w:rPr>
                <w:rFonts w:hint="eastAsia"/>
                <w:color w:val="auto"/>
                <w:lang w:val="en-US" w:eastAsia="zh-CN"/>
              </w:rPr>
              <w:t>r</w:t>
            </w:r>
            <w:r>
              <w:rPr>
                <w:rFonts w:hint="eastAsia"/>
                <w:color w:val="auto"/>
              </w:rPr>
              <w:t>——预测点距声源距离，m；</w:t>
            </w:r>
          </w:p>
          <w:p>
            <w:pPr>
              <w:bidi w:val="0"/>
              <w:rPr>
                <w:rFonts w:hint="eastAsia"/>
                <w:color w:val="auto"/>
              </w:rPr>
            </w:pPr>
            <w:r>
              <w:rPr>
                <w:rFonts w:hint="eastAsia"/>
                <w:color w:val="auto"/>
              </w:rPr>
              <w:t>声</w:t>
            </w:r>
            <w:r>
              <w:rPr>
                <w:rFonts w:hint="eastAsia"/>
                <w:color w:val="auto"/>
                <w:lang w:eastAsia="zh-CN"/>
              </w:rPr>
              <w:t>源叠加</w:t>
            </w:r>
            <w:r>
              <w:rPr>
                <w:rFonts w:hint="eastAsia"/>
                <w:color w:val="auto"/>
              </w:rPr>
              <w:t>模式：</w:t>
            </w:r>
          </w:p>
          <w:p>
            <w:pPr>
              <w:bidi w:val="0"/>
              <w:rPr>
                <w:rFonts w:hint="eastAsia"/>
                <w:color w:val="auto"/>
              </w:rPr>
            </w:pPr>
            <w:r>
              <w:rPr>
                <w:color w:val="auto"/>
              </w:rPr>
              <w:pict>
                <v:shape id="对象 449" o:spid="_x0000_s2051" o:spt="75" type="#_x0000_t75" style="position:absolute;left:0pt;margin-left:126.1pt;margin-top:1.2pt;height:38.65pt;width:102.65pt;mso-wrap-distance-bottom:0pt;mso-wrap-distance-top:0pt;z-index:251666432;mso-width-relative:page;mso-height-relative:page;" o:ole="t" filled="f" o:preferrelative="t" stroked="f" coordsize="21600,21600">
                  <v:path/>
                  <v:fill on="f" focussize="0,0"/>
                  <v:stroke on="f"/>
                  <v:imagedata r:id="rId99" o:title=""/>
                  <o:lock v:ext="edit" aspectratio="t"/>
                  <w10:wrap type="topAndBottom"/>
                </v:shape>
                <o:OLEObject Type="Embed" ProgID="" ShapeID="对象 449" DrawAspect="Content" ObjectID="_1468075745" r:id="rId98">
                  <o:LockedField>false</o:LockedField>
                </o:OLEObject>
              </w:pict>
            </w:r>
            <w:r>
              <w:rPr>
                <w:rFonts w:hint="eastAsia"/>
                <w:color w:val="auto"/>
              </w:rPr>
              <w:t>式中:L</w:t>
            </w:r>
            <w:r>
              <w:rPr>
                <w:rFonts w:hint="eastAsia"/>
                <w:color w:val="auto"/>
                <w:vertAlign w:val="subscript"/>
              </w:rPr>
              <w:t>0</w:t>
            </w:r>
            <w:r>
              <w:rPr>
                <w:rFonts w:hint="eastAsia"/>
                <w:color w:val="auto"/>
              </w:rPr>
              <w:t>——叠加后总声压级，dB；</w:t>
            </w:r>
          </w:p>
          <w:p>
            <w:pPr>
              <w:bidi w:val="0"/>
              <w:ind w:firstLine="960" w:firstLineChars="400"/>
              <w:rPr>
                <w:rFonts w:hint="eastAsia"/>
                <w:color w:val="auto"/>
              </w:rPr>
            </w:pPr>
            <w:r>
              <w:rPr>
                <w:rFonts w:hint="eastAsia"/>
                <w:color w:val="auto"/>
              </w:rPr>
              <w:t>n——声源级数；</w:t>
            </w:r>
          </w:p>
          <w:p>
            <w:pPr>
              <w:bidi w:val="0"/>
              <w:ind w:firstLine="960" w:firstLineChars="400"/>
              <w:rPr>
                <w:rFonts w:hint="eastAsia"/>
                <w:color w:val="auto"/>
              </w:rPr>
            </w:pPr>
            <w:r>
              <w:rPr>
                <w:rFonts w:hint="eastAsia"/>
                <w:color w:val="auto"/>
              </w:rPr>
              <w:t>Li——第i个点声源在预测点产生的A声压级，dB（A）；</w:t>
            </w:r>
          </w:p>
          <w:p>
            <w:pPr>
              <w:bidi w:val="0"/>
              <w:rPr>
                <w:color w:val="auto"/>
              </w:rPr>
            </w:pPr>
            <w:r>
              <w:rPr>
                <w:color w:val="auto"/>
              </w:rPr>
              <w:t>本项目噪声设备采取降噪措施后对噪声的影响预测见下表。</w:t>
            </w:r>
          </w:p>
          <w:p>
            <w:pPr>
              <w:pStyle w:val="117"/>
              <w:bidi w:val="0"/>
              <w:rPr>
                <w:rFonts w:hint="eastAsia"/>
                <w:color w:val="auto"/>
              </w:rPr>
            </w:pPr>
            <w:r>
              <w:rPr>
                <w:rFonts w:hint="eastAsia"/>
                <w:color w:val="auto"/>
              </w:rPr>
              <w:t>表4-</w:t>
            </w:r>
            <w:r>
              <w:rPr>
                <w:rFonts w:hint="eastAsia"/>
                <w:color w:val="auto"/>
                <w:lang w:val="en-US" w:eastAsia="zh-CN"/>
              </w:rPr>
              <w:t>5</w:t>
            </w:r>
            <w:r>
              <w:rPr>
                <w:rFonts w:hint="eastAsia"/>
                <w:color w:val="auto"/>
              </w:rPr>
              <w:t xml:space="preserve">    营运期噪声预测结果    单位：dB（A）</w:t>
            </w:r>
          </w:p>
          <w:tbl>
            <w:tblPr>
              <w:tblStyle w:val="3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37"/>
              <w:gridCol w:w="1862"/>
              <w:gridCol w:w="1295"/>
              <w:gridCol w:w="1153"/>
              <w:gridCol w:w="1153"/>
              <w:gridCol w:w="1153"/>
              <w:gridCol w:w="11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2" w:hRule="atLeast"/>
                <w:jc w:val="center"/>
              </w:trPr>
              <w:tc>
                <w:tcPr>
                  <w:tcW w:w="267" w:type="pct"/>
                  <w:vMerge w:val="restart"/>
                  <w:noWrap w:val="0"/>
                  <w:vAlign w:val="center"/>
                </w:tcPr>
                <w:p>
                  <w:pPr>
                    <w:pStyle w:val="118"/>
                    <w:bidi w:val="0"/>
                    <w:rPr>
                      <w:color w:val="auto"/>
                    </w:rPr>
                  </w:pPr>
                  <w:r>
                    <w:rPr>
                      <w:color w:val="auto"/>
                    </w:rPr>
                    <w:t>序号</w:t>
                  </w:r>
                </w:p>
              </w:tc>
              <w:tc>
                <w:tcPr>
                  <w:tcW w:w="1134" w:type="pct"/>
                  <w:vMerge w:val="restart"/>
                  <w:noWrap w:val="0"/>
                  <w:vAlign w:val="center"/>
                </w:tcPr>
                <w:p>
                  <w:pPr>
                    <w:pStyle w:val="118"/>
                    <w:bidi w:val="0"/>
                    <w:rPr>
                      <w:color w:val="auto"/>
                    </w:rPr>
                  </w:pPr>
                  <w:r>
                    <w:rPr>
                      <w:color w:val="auto"/>
                    </w:rPr>
                    <w:t>噪声源</w:t>
                  </w:r>
                </w:p>
              </w:tc>
              <w:tc>
                <w:tcPr>
                  <w:tcW w:w="789" w:type="pct"/>
                  <w:vMerge w:val="restart"/>
                  <w:noWrap w:val="0"/>
                  <w:vAlign w:val="center"/>
                </w:tcPr>
                <w:p>
                  <w:pPr>
                    <w:pStyle w:val="118"/>
                    <w:bidi w:val="0"/>
                    <w:rPr>
                      <w:color w:val="auto"/>
                    </w:rPr>
                  </w:pPr>
                  <w:r>
                    <w:rPr>
                      <w:color w:val="auto"/>
                    </w:rPr>
                    <w:t>治理后声级</w:t>
                  </w:r>
                </w:p>
                <w:p>
                  <w:pPr>
                    <w:pStyle w:val="118"/>
                    <w:bidi w:val="0"/>
                    <w:rPr>
                      <w:color w:val="auto"/>
                    </w:rPr>
                  </w:pPr>
                  <w:r>
                    <w:rPr>
                      <w:color w:val="auto"/>
                    </w:rPr>
                    <w:t>（db（A））</w:t>
                  </w:r>
                </w:p>
              </w:tc>
              <w:tc>
                <w:tcPr>
                  <w:tcW w:w="2809" w:type="pct"/>
                  <w:gridSpan w:val="4"/>
                  <w:noWrap w:val="0"/>
                  <w:vAlign w:val="center"/>
                </w:tcPr>
                <w:p>
                  <w:pPr>
                    <w:pStyle w:val="118"/>
                    <w:bidi w:val="0"/>
                    <w:rPr>
                      <w:color w:val="auto"/>
                    </w:rPr>
                  </w:pPr>
                  <w:r>
                    <w:rPr>
                      <w:color w:val="auto"/>
                    </w:rPr>
                    <w:t>贡献值（dB（A））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4" w:hRule="atLeast"/>
                <w:jc w:val="center"/>
              </w:trPr>
              <w:tc>
                <w:tcPr>
                  <w:tcW w:w="267" w:type="pct"/>
                  <w:vMerge w:val="continue"/>
                  <w:noWrap w:val="0"/>
                  <w:vAlign w:val="center"/>
                </w:tcPr>
                <w:p>
                  <w:pPr>
                    <w:pStyle w:val="118"/>
                    <w:bidi w:val="0"/>
                    <w:rPr>
                      <w:color w:val="auto"/>
                    </w:rPr>
                  </w:pPr>
                </w:p>
              </w:tc>
              <w:tc>
                <w:tcPr>
                  <w:tcW w:w="1134" w:type="pct"/>
                  <w:vMerge w:val="continue"/>
                  <w:noWrap w:val="0"/>
                  <w:vAlign w:val="center"/>
                </w:tcPr>
                <w:p>
                  <w:pPr>
                    <w:pStyle w:val="118"/>
                    <w:bidi w:val="0"/>
                    <w:rPr>
                      <w:color w:val="auto"/>
                    </w:rPr>
                  </w:pPr>
                </w:p>
              </w:tc>
              <w:tc>
                <w:tcPr>
                  <w:tcW w:w="789" w:type="pct"/>
                  <w:vMerge w:val="continue"/>
                  <w:noWrap w:val="0"/>
                  <w:vAlign w:val="center"/>
                </w:tcPr>
                <w:p>
                  <w:pPr>
                    <w:pStyle w:val="118"/>
                    <w:bidi w:val="0"/>
                    <w:rPr>
                      <w:color w:val="auto"/>
                    </w:rPr>
                  </w:pPr>
                </w:p>
              </w:tc>
              <w:tc>
                <w:tcPr>
                  <w:tcW w:w="702" w:type="pct"/>
                  <w:noWrap w:val="0"/>
                  <w:vAlign w:val="center"/>
                </w:tcPr>
                <w:p>
                  <w:pPr>
                    <w:pStyle w:val="118"/>
                    <w:bidi w:val="0"/>
                    <w:rPr>
                      <w:color w:val="auto"/>
                    </w:rPr>
                  </w:pPr>
                  <w:r>
                    <w:rPr>
                      <w:color w:val="auto"/>
                    </w:rPr>
                    <w:t>东厂界</w:t>
                  </w:r>
                </w:p>
              </w:tc>
              <w:tc>
                <w:tcPr>
                  <w:tcW w:w="702" w:type="pct"/>
                  <w:noWrap w:val="0"/>
                  <w:vAlign w:val="center"/>
                </w:tcPr>
                <w:p>
                  <w:pPr>
                    <w:pStyle w:val="118"/>
                    <w:bidi w:val="0"/>
                    <w:rPr>
                      <w:color w:val="auto"/>
                    </w:rPr>
                  </w:pPr>
                  <w:r>
                    <w:rPr>
                      <w:color w:val="auto"/>
                    </w:rPr>
                    <w:t>南厂界</w:t>
                  </w:r>
                </w:p>
              </w:tc>
              <w:tc>
                <w:tcPr>
                  <w:tcW w:w="702" w:type="pct"/>
                  <w:noWrap w:val="0"/>
                  <w:vAlign w:val="center"/>
                </w:tcPr>
                <w:p>
                  <w:pPr>
                    <w:pStyle w:val="118"/>
                    <w:bidi w:val="0"/>
                    <w:rPr>
                      <w:color w:val="auto"/>
                    </w:rPr>
                  </w:pPr>
                  <w:r>
                    <w:rPr>
                      <w:color w:val="auto"/>
                    </w:rPr>
                    <w:t>西厂界</w:t>
                  </w:r>
                </w:p>
              </w:tc>
              <w:tc>
                <w:tcPr>
                  <w:tcW w:w="702" w:type="pct"/>
                  <w:noWrap w:val="0"/>
                  <w:vAlign w:val="center"/>
                </w:tcPr>
                <w:p>
                  <w:pPr>
                    <w:pStyle w:val="118"/>
                    <w:bidi w:val="0"/>
                    <w:rPr>
                      <w:color w:val="auto"/>
                    </w:rPr>
                  </w:pPr>
                  <w:r>
                    <w:rPr>
                      <w:color w:val="auto"/>
                    </w:rPr>
                    <w:t>北厂界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2" w:hRule="atLeast"/>
                <w:jc w:val="center"/>
              </w:trPr>
              <w:tc>
                <w:tcPr>
                  <w:tcW w:w="267" w:type="pct"/>
                  <w:noWrap w:val="0"/>
                  <w:vAlign w:val="center"/>
                </w:tcPr>
                <w:p>
                  <w:pPr>
                    <w:pStyle w:val="118"/>
                    <w:bidi w:val="0"/>
                    <w:rPr>
                      <w:rFonts w:hint="eastAsia"/>
                      <w:color w:val="auto"/>
                    </w:rPr>
                  </w:pPr>
                  <w:r>
                    <w:rPr>
                      <w:rFonts w:hint="eastAsia"/>
                      <w:color w:val="auto"/>
                    </w:rPr>
                    <w:t>1</w:t>
                  </w:r>
                </w:p>
              </w:tc>
              <w:tc>
                <w:tcPr>
                  <w:tcW w:w="1134" w:type="pct"/>
                  <w:noWrap w:val="0"/>
                  <w:vAlign w:val="top"/>
                </w:tcPr>
                <w:p>
                  <w:pPr>
                    <w:pStyle w:val="118"/>
                    <w:bidi w:val="0"/>
                    <w:rPr>
                      <w:rFonts w:hint="eastAsia"/>
                      <w:color w:val="auto"/>
                    </w:rPr>
                  </w:pPr>
                  <w:r>
                    <w:rPr>
                      <w:color w:val="auto"/>
                    </w:rPr>
                    <w:t>空调外机</w:t>
                  </w:r>
                </w:p>
              </w:tc>
              <w:tc>
                <w:tcPr>
                  <w:tcW w:w="789" w:type="pct"/>
                  <w:noWrap w:val="0"/>
                  <w:vAlign w:val="center"/>
                </w:tcPr>
                <w:p>
                  <w:pPr>
                    <w:pStyle w:val="118"/>
                    <w:bidi w:val="0"/>
                    <w:rPr>
                      <w:rFonts w:hint="default"/>
                      <w:color w:val="auto"/>
                      <w:lang w:val="en-US" w:eastAsia="zh-CN"/>
                    </w:rPr>
                  </w:pPr>
                  <w:r>
                    <w:rPr>
                      <w:rFonts w:hint="eastAsia"/>
                      <w:color w:val="auto"/>
                      <w:lang w:val="en-US" w:eastAsia="zh-CN"/>
                    </w:rPr>
                    <w:t>50</w:t>
                  </w:r>
                </w:p>
              </w:tc>
              <w:tc>
                <w:tcPr>
                  <w:tcW w:w="702" w:type="pct"/>
                  <w:noWrap w:val="0"/>
                  <w:vAlign w:val="top"/>
                </w:tcPr>
                <w:p>
                  <w:pPr>
                    <w:pStyle w:val="118"/>
                    <w:bidi w:val="0"/>
                    <w:rPr>
                      <w:rFonts w:hint="default"/>
                      <w:color w:val="auto"/>
                      <w:lang w:val="en-US" w:eastAsia="zh-CN"/>
                    </w:rPr>
                  </w:pPr>
                  <w:r>
                    <w:rPr>
                      <w:rFonts w:hint="eastAsia"/>
                      <w:color w:val="auto"/>
                      <w:lang w:val="en-US" w:eastAsia="zh-CN"/>
                    </w:rPr>
                    <w:t>35.97</w:t>
                  </w:r>
                </w:p>
              </w:tc>
              <w:tc>
                <w:tcPr>
                  <w:tcW w:w="702" w:type="pct"/>
                  <w:noWrap w:val="0"/>
                  <w:vAlign w:val="top"/>
                </w:tcPr>
                <w:p>
                  <w:pPr>
                    <w:pStyle w:val="118"/>
                    <w:bidi w:val="0"/>
                    <w:rPr>
                      <w:rFonts w:hint="default"/>
                      <w:color w:val="auto"/>
                      <w:lang w:val="en-US" w:eastAsia="zh-CN"/>
                    </w:rPr>
                  </w:pPr>
                  <w:r>
                    <w:rPr>
                      <w:rFonts w:hint="eastAsia"/>
                      <w:color w:val="auto"/>
                      <w:lang w:val="en-US" w:eastAsia="zh-CN"/>
                    </w:rPr>
                    <w:t>26.43</w:t>
                  </w:r>
                </w:p>
              </w:tc>
              <w:tc>
                <w:tcPr>
                  <w:tcW w:w="702" w:type="pct"/>
                  <w:noWrap w:val="0"/>
                  <w:vAlign w:val="top"/>
                </w:tcPr>
                <w:p>
                  <w:pPr>
                    <w:pStyle w:val="118"/>
                    <w:bidi w:val="0"/>
                    <w:rPr>
                      <w:rFonts w:hint="default"/>
                      <w:color w:val="auto"/>
                      <w:lang w:val="en-US" w:eastAsia="zh-CN"/>
                    </w:rPr>
                  </w:pPr>
                  <w:r>
                    <w:rPr>
                      <w:rFonts w:hint="eastAsia"/>
                      <w:color w:val="auto"/>
                      <w:lang w:val="en-US" w:eastAsia="zh-CN"/>
                    </w:rPr>
                    <w:t>42</w:t>
                  </w:r>
                </w:p>
              </w:tc>
              <w:tc>
                <w:tcPr>
                  <w:tcW w:w="702" w:type="pct"/>
                  <w:noWrap w:val="0"/>
                  <w:vAlign w:val="top"/>
                </w:tcPr>
                <w:p>
                  <w:pPr>
                    <w:pStyle w:val="118"/>
                    <w:bidi w:val="0"/>
                    <w:rPr>
                      <w:rFonts w:hint="default"/>
                      <w:color w:val="auto"/>
                      <w:lang w:val="en-US" w:eastAsia="zh-CN"/>
                    </w:rPr>
                  </w:pPr>
                  <w:r>
                    <w:rPr>
                      <w:rFonts w:hint="eastAsia"/>
                      <w:color w:val="auto"/>
                      <w:lang w:val="en-US" w:eastAsia="zh-CN"/>
                    </w:rPr>
                    <w:t>35.97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7" w:hRule="atLeast"/>
                <w:jc w:val="center"/>
              </w:trPr>
              <w:tc>
                <w:tcPr>
                  <w:tcW w:w="267" w:type="pct"/>
                  <w:noWrap w:val="0"/>
                  <w:vAlign w:val="center"/>
                </w:tcPr>
                <w:p>
                  <w:pPr>
                    <w:pStyle w:val="118"/>
                    <w:bidi w:val="0"/>
                    <w:rPr>
                      <w:rFonts w:hint="eastAsia" w:eastAsia="宋体"/>
                      <w:color w:val="auto"/>
                      <w:lang w:eastAsia="zh-CN"/>
                    </w:rPr>
                  </w:pPr>
                  <w:r>
                    <w:rPr>
                      <w:rFonts w:hint="eastAsia"/>
                      <w:color w:val="auto"/>
                      <w:lang w:val="en-US" w:eastAsia="zh-CN"/>
                    </w:rPr>
                    <w:t>2</w:t>
                  </w:r>
                </w:p>
              </w:tc>
              <w:tc>
                <w:tcPr>
                  <w:tcW w:w="1134" w:type="pct"/>
                  <w:noWrap w:val="0"/>
                  <w:vAlign w:val="top"/>
                </w:tcPr>
                <w:p>
                  <w:pPr>
                    <w:pStyle w:val="118"/>
                    <w:bidi w:val="0"/>
                    <w:rPr>
                      <w:rFonts w:hint="eastAsia"/>
                      <w:color w:val="auto"/>
                    </w:rPr>
                  </w:pPr>
                  <w:r>
                    <w:rPr>
                      <w:color w:val="auto"/>
                    </w:rPr>
                    <w:t>宠物叫声</w:t>
                  </w:r>
                </w:p>
              </w:tc>
              <w:tc>
                <w:tcPr>
                  <w:tcW w:w="789" w:type="pct"/>
                  <w:noWrap w:val="0"/>
                  <w:vAlign w:val="center"/>
                </w:tcPr>
                <w:p>
                  <w:pPr>
                    <w:pStyle w:val="118"/>
                    <w:bidi w:val="0"/>
                    <w:rPr>
                      <w:rFonts w:hint="default"/>
                      <w:color w:val="auto"/>
                      <w:lang w:val="en-US" w:eastAsia="zh-CN"/>
                    </w:rPr>
                  </w:pPr>
                  <w:r>
                    <w:rPr>
                      <w:rFonts w:hint="eastAsia"/>
                      <w:color w:val="auto"/>
                      <w:lang w:val="en-US" w:eastAsia="zh-CN"/>
                    </w:rPr>
                    <w:t>65</w:t>
                  </w:r>
                </w:p>
              </w:tc>
              <w:tc>
                <w:tcPr>
                  <w:tcW w:w="702" w:type="pct"/>
                  <w:noWrap w:val="0"/>
                  <w:vAlign w:val="top"/>
                </w:tcPr>
                <w:p>
                  <w:pPr>
                    <w:pStyle w:val="118"/>
                    <w:bidi w:val="0"/>
                    <w:rPr>
                      <w:rFonts w:hint="default"/>
                      <w:color w:val="auto"/>
                      <w:lang w:val="en-US" w:eastAsia="zh-CN"/>
                    </w:rPr>
                  </w:pPr>
                  <w:r>
                    <w:rPr>
                      <w:rFonts w:hint="eastAsia"/>
                      <w:color w:val="auto"/>
                      <w:lang w:val="en-US" w:eastAsia="zh-CN"/>
                    </w:rPr>
                    <w:t>41.43</w:t>
                  </w:r>
                </w:p>
              </w:tc>
              <w:tc>
                <w:tcPr>
                  <w:tcW w:w="702" w:type="pct"/>
                  <w:noWrap w:val="0"/>
                  <w:vAlign w:val="top"/>
                </w:tcPr>
                <w:p>
                  <w:pPr>
                    <w:pStyle w:val="118"/>
                    <w:bidi w:val="0"/>
                    <w:rPr>
                      <w:rFonts w:hint="default"/>
                      <w:color w:val="auto"/>
                      <w:lang w:val="en-US" w:eastAsia="zh-CN"/>
                    </w:rPr>
                  </w:pPr>
                  <w:r>
                    <w:rPr>
                      <w:rFonts w:hint="eastAsia"/>
                      <w:color w:val="auto"/>
                      <w:lang w:val="en-US" w:eastAsia="zh-CN"/>
                    </w:rPr>
                    <w:t>50.97</w:t>
                  </w:r>
                </w:p>
              </w:tc>
              <w:tc>
                <w:tcPr>
                  <w:tcW w:w="702" w:type="pct"/>
                  <w:noWrap w:val="0"/>
                  <w:vAlign w:val="top"/>
                </w:tcPr>
                <w:p>
                  <w:pPr>
                    <w:pStyle w:val="118"/>
                    <w:bidi w:val="0"/>
                    <w:rPr>
                      <w:rFonts w:hint="default"/>
                      <w:color w:val="auto"/>
                      <w:lang w:val="en-US" w:eastAsia="zh-CN"/>
                    </w:rPr>
                  </w:pPr>
                  <w:r>
                    <w:rPr>
                      <w:rFonts w:hint="eastAsia"/>
                      <w:color w:val="auto"/>
                      <w:lang w:val="en-US" w:eastAsia="zh-CN"/>
                    </w:rPr>
                    <w:t>57</w:t>
                  </w:r>
                </w:p>
              </w:tc>
              <w:tc>
                <w:tcPr>
                  <w:tcW w:w="702" w:type="pct"/>
                  <w:noWrap w:val="0"/>
                  <w:vAlign w:val="top"/>
                </w:tcPr>
                <w:p>
                  <w:pPr>
                    <w:pStyle w:val="118"/>
                    <w:bidi w:val="0"/>
                    <w:rPr>
                      <w:rFonts w:hint="default"/>
                      <w:color w:val="auto"/>
                      <w:lang w:val="en-US" w:eastAsia="zh-CN"/>
                    </w:rPr>
                  </w:pPr>
                  <w:r>
                    <w:rPr>
                      <w:rFonts w:hint="eastAsia"/>
                      <w:color w:val="auto"/>
                      <w:lang w:val="en-US" w:eastAsia="zh-CN"/>
                    </w:rPr>
                    <w:t>38.93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jc w:val="center"/>
              </w:trPr>
              <w:tc>
                <w:tcPr>
                  <w:tcW w:w="2190" w:type="pct"/>
                  <w:gridSpan w:val="3"/>
                  <w:noWrap w:val="0"/>
                  <w:vAlign w:val="center"/>
                </w:tcPr>
                <w:p>
                  <w:pPr>
                    <w:pStyle w:val="118"/>
                    <w:bidi w:val="0"/>
                    <w:rPr>
                      <w:color w:val="auto"/>
                    </w:rPr>
                  </w:pPr>
                  <w:r>
                    <w:rPr>
                      <w:color w:val="auto"/>
                    </w:rPr>
                    <w:t>厂界噪声贡献值</w:t>
                  </w:r>
                </w:p>
              </w:tc>
              <w:tc>
                <w:tcPr>
                  <w:tcW w:w="702" w:type="pct"/>
                  <w:noWrap w:val="0"/>
                  <w:vAlign w:val="top"/>
                </w:tcPr>
                <w:p>
                  <w:pPr>
                    <w:pStyle w:val="118"/>
                    <w:bidi w:val="0"/>
                    <w:rPr>
                      <w:rFonts w:hint="default"/>
                      <w:color w:val="auto"/>
                      <w:lang w:val="en-US" w:eastAsia="zh-CN"/>
                    </w:rPr>
                  </w:pPr>
                  <w:r>
                    <w:rPr>
                      <w:rFonts w:hint="eastAsia"/>
                      <w:color w:val="auto"/>
                      <w:lang w:val="en-US" w:eastAsia="zh-CN"/>
                    </w:rPr>
                    <w:t>42.52</w:t>
                  </w:r>
                </w:p>
              </w:tc>
              <w:tc>
                <w:tcPr>
                  <w:tcW w:w="702" w:type="pct"/>
                  <w:noWrap w:val="0"/>
                  <w:vAlign w:val="top"/>
                </w:tcPr>
                <w:p>
                  <w:pPr>
                    <w:pStyle w:val="118"/>
                    <w:bidi w:val="0"/>
                    <w:rPr>
                      <w:rFonts w:hint="default"/>
                      <w:color w:val="auto"/>
                      <w:lang w:val="en-US" w:eastAsia="zh-CN"/>
                    </w:rPr>
                  </w:pPr>
                  <w:r>
                    <w:rPr>
                      <w:rFonts w:hint="eastAsia"/>
                      <w:color w:val="auto"/>
                      <w:lang w:val="en-US" w:eastAsia="zh-CN"/>
                    </w:rPr>
                    <w:t>50.99</w:t>
                  </w:r>
                </w:p>
              </w:tc>
              <w:tc>
                <w:tcPr>
                  <w:tcW w:w="702" w:type="pct"/>
                  <w:noWrap w:val="0"/>
                  <w:vAlign w:val="top"/>
                </w:tcPr>
                <w:p>
                  <w:pPr>
                    <w:pStyle w:val="118"/>
                    <w:bidi w:val="0"/>
                    <w:rPr>
                      <w:rFonts w:hint="default"/>
                      <w:color w:val="auto"/>
                      <w:lang w:val="en-US" w:eastAsia="zh-CN"/>
                    </w:rPr>
                  </w:pPr>
                  <w:r>
                    <w:rPr>
                      <w:rFonts w:hint="eastAsia"/>
                      <w:color w:val="auto"/>
                      <w:lang w:val="en-US" w:eastAsia="zh-CN"/>
                    </w:rPr>
                    <w:t>57.13</w:t>
                  </w:r>
                </w:p>
              </w:tc>
              <w:tc>
                <w:tcPr>
                  <w:tcW w:w="702" w:type="pct"/>
                  <w:noWrap w:val="0"/>
                  <w:vAlign w:val="top"/>
                </w:tcPr>
                <w:p>
                  <w:pPr>
                    <w:pStyle w:val="118"/>
                    <w:bidi w:val="0"/>
                    <w:rPr>
                      <w:rFonts w:hint="default"/>
                      <w:color w:val="auto"/>
                      <w:lang w:val="en-US" w:eastAsia="zh-CN"/>
                    </w:rPr>
                  </w:pPr>
                  <w:r>
                    <w:rPr>
                      <w:rFonts w:hint="eastAsia"/>
                      <w:color w:val="auto"/>
                      <w:lang w:val="en-US" w:eastAsia="zh-CN"/>
                    </w:rPr>
                    <w:t>40.71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401" w:type="pct"/>
                  <w:gridSpan w:val="2"/>
                  <w:vMerge w:val="restart"/>
                  <w:noWrap w:val="0"/>
                  <w:vAlign w:val="center"/>
                </w:tcPr>
                <w:p>
                  <w:pPr>
                    <w:pStyle w:val="118"/>
                    <w:bidi w:val="0"/>
                    <w:rPr>
                      <w:color w:val="auto"/>
                    </w:rPr>
                  </w:pPr>
                  <w:r>
                    <w:rPr>
                      <w:color w:val="auto"/>
                    </w:rPr>
                    <w:t>执行标准</w:t>
                  </w:r>
                  <w:r>
                    <w:rPr>
                      <w:rFonts w:hint="eastAsia"/>
                      <w:color w:val="auto"/>
                    </w:rPr>
                    <w:t>《工业企业厂界环境噪声排放标准》（GB12348-2008）2 类标准</w:t>
                  </w:r>
                </w:p>
              </w:tc>
              <w:tc>
                <w:tcPr>
                  <w:tcW w:w="789" w:type="pct"/>
                  <w:noWrap w:val="0"/>
                  <w:vAlign w:val="center"/>
                </w:tcPr>
                <w:p>
                  <w:pPr>
                    <w:pStyle w:val="118"/>
                    <w:bidi w:val="0"/>
                    <w:rPr>
                      <w:color w:val="auto"/>
                    </w:rPr>
                  </w:pPr>
                  <w:r>
                    <w:rPr>
                      <w:color w:val="auto"/>
                    </w:rPr>
                    <w:t>昼间</w:t>
                  </w:r>
                </w:p>
              </w:tc>
              <w:tc>
                <w:tcPr>
                  <w:tcW w:w="702" w:type="pct"/>
                  <w:noWrap w:val="0"/>
                  <w:vAlign w:val="center"/>
                </w:tcPr>
                <w:p>
                  <w:pPr>
                    <w:pStyle w:val="118"/>
                    <w:bidi w:val="0"/>
                    <w:rPr>
                      <w:color w:val="auto"/>
                    </w:rPr>
                  </w:pPr>
                  <w:r>
                    <w:rPr>
                      <w:color w:val="auto"/>
                    </w:rPr>
                    <w:t>60</w:t>
                  </w:r>
                </w:p>
              </w:tc>
              <w:tc>
                <w:tcPr>
                  <w:tcW w:w="702" w:type="pct"/>
                  <w:noWrap w:val="0"/>
                  <w:vAlign w:val="center"/>
                </w:tcPr>
                <w:p>
                  <w:pPr>
                    <w:pStyle w:val="118"/>
                    <w:bidi w:val="0"/>
                    <w:rPr>
                      <w:color w:val="auto"/>
                    </w:rPr>
                  </w:pPr>
                  <w:r>
                    <w:rPr>
                      <w:color w:val="auto"/>
                    </w:rPr>
                    <w:t>60</w:t>
                  </w:r>
                </w:p>
              </w:tc>
              <w:tc>
                <w:tcPr>
                  <w:tcW w:w="702" w:type="pct"/>
                  <w:noWrap w:val="0"/>
                  <w:vAlign w:val="center"/>
                </w:tcPr>
                <w:p>
                  <w:pPr>
                    <w:pStyle w:val="118"/>
                    <w:bidi w:val="0"/>
                    <w:rPr>
                      <w:color w:val="auto"/>
                    </w:rPr>
                  </w:pPr>
                  <w:r>
                    <w:rPr>
                      <w:rFonts w:hint="eastAsia"/>
                      <w:color w:val="auto"/>
                    </w:rPr>
                    <w:t>60</w:t>
                  </w:r>
                </w:p>
              </w:tc>
              <w:tc>
                <w:tcPr>
                  <w:tcW w:w="702" w:type="pct"/>
                  <w:noWrap w:val="0"/>
                  <w:vAlign w:val="center"/>
                </w:tcPr>
                <w:p>
                  <w:pPr>
                    <w:pStyle w:val="118"/>
                    <w:bidi w:val="0"/>
                    <w:rPr>
                      <w:color w:val="auto"/>
                    </w:rPr>
                  </w:pPr>
                  <w:r>
                    <w:rPr>
                      <w:rFonts w:hint="eastAsia"/>
                      <w:color w:val="auto"/>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9" w:hRule="atLeast"/>
                <w:jc w:val="center"/>
              </w:trPr>
              <w:tc>
                <w:tcPr>
                  <w:tcW w:w="1401" w:type="pct"/>
                  <w:gridSpan w:val="2"/>
                  <w:vMerge w:val="continue"/>
                  <w:noWrap w:val="0"/>
                  <w:vAlign w:val="center"/>
                </w:tcPr>
                <w:p>
                  <w:pPr>
                    <w:pStyle w:val="118"/>
                    <w:bidi w:val="0"/>
                    <w:rPr>
                      <w:color w:val="auto"/>
                    </w:rPr>
                  </w:pPr>
                </w:p>
              </w:tc>
              <w:tc>
                <w:tcPr>
                  <w:tcW w:w="789" w:type="pct"/>
                  <w:noWrap w:val="0"/>
                  <w:vAlign w:val="center"/>
                </w:tcPr>
                <w:p>
                  <w:pPr>
                    <w:pStyle w:val="118"/>
                    <w:bidi w:val="0"/>
                    <w:rPr>
                      <w:color w:val="auto"/>
                    </w:rPr>
                  </w:pPr>
                  <w:r>
                    <w:rPr>
                      <w:color w:val="auto"/>
                    </w:rPr>
                    <w:t>夜间</w:t>
                  </w:r>
                </w:p>
              </w:tc>
              <w:tc>
                <w:tcPr>
                  <w:tcW w:w="702" w:type="pct"/>
                  <w:noWrap w:val="0"/>
                  <w:vAlign w:val="center"/>
                </w:tcPr>
                <w:p>
                  <w:pPr>
                    <w:pStyle w:val="118"/>
                    <w:bidi w:val="0"/>
                    <w:rPr>
                      <w:color w:val="auto"/>
                    </w:rPr>
                  </w:pPr>
                  <w:r>
                    <w:rPr>
                      <w:rFonts w:hint="eastAsia"/>
                      <w:color w:val="auto"/>
                    </w:rPr>
                    <w:t>50</w:t>
                  </w:r>
                </w:p>
              </w:tc>
              <w:tc>
                <w:tcPr>
                  <w:tcW w:w="702" w:type="pct"/>
                  <w:noWrap w:val="0"/>
                  <w:vAlign w:val="center"/>
                </w:tcPr>
                <w:p>
                  <w:pPr>
                    <w:pStyle w:val="118"/>
                    <w:bidi w:val="0"/>
                    <w:rPr>
                      <w:color w:val="auto"/>
                    </w:rPr>
                  </w:pPr>
                  <w:r>
                    <w:rPr>
                      <w:rFonts w:hint="eastAsia"/>
                      <w:color w:val="auto"/>
                    </w:rPr>
                    <w:t>50</w:t>
                  </w:r>
                </w:p>
              </w:tc>
              <w:tc>
                <w:tcPr>
                  <w:tcW w:w="702" w:type="pct"/>
                  <w:noWrap w:val="0"/>
                  <w:vAlign w:val="center"/>
                </w:tcPr>
                <w:p>
                  <w:pPr>
                    <w:pStyle w:val="118"/>
                    <w:bidi w:val="0"/>
                    <w:rPr>
                      <w:color w:val="auto"/>
                    </w:rPr>
                  </w:pPr>
                  <w:r>
                    <w:rPr>
                      <w:rFonts w:hint="eastAsia"/>
                      <w:color w:val="auto"/>
                    </w:rPr>
                    <w:t>50</w:t>
                  </w:r>
                </w:p>
              </w:tc>
              <w:tc>
                <w:tcPr>
                  <w:tcW w:w="702" w:type="pct"/>
                  <w:noWrap w:val="0"/>
                  <w:vAlign w:val="center"/>
                </w:tcPr>
                <w:p>
                  <w:pPr>
                    <w:pStyle w:val="118"/>
                    <w:bidi w:val="0"/>
                    <w:rPr>
                      <w:color w:val="auto"/>
                    </w:rPr>
                  </w:pPr>
                  <w:r>
                    <w:rPr>
                      <w:rFonts w:hint="eastAsia"/>
                      <w:color w:val="auto"/>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9" w:hRule="atLeast"/>
                <w:jc w:val="center"/>
              </w:trPr>
              <w:tc>
                <w:tcPr>
                  <w:tcW w:w="1401" w:type="pct"/>
                  <w:gridSpan w:val="2"/>
                  <w:noWrap w:val="0"/>
                  <w:vAlign w:val="center"/>
                </w:tcPr>
                <w:p>
                  <w:pPr>
                    <w:pStyle w:val="118"/>
                    <w:bidi w:val="0"/>
                    <w:rPr>
                      <w:color w:val="auto"/>
                    </w:rPr>
                  </w:pPr>
                  <w:r>
                    <w:rPr>
                      <w:color w:val="auto"/>
                    </w:rPr>
                    <w:t>达标情况</w:t>
                  </w:r>
                </w:p>
              </w:tc>
              <w:tc>
                <w:tcPr>
                  <w:tcW w:w="789" w:type="pct"/>
                  <w:noWrap w:val="0"/>
                  <w:vAlign w:val="center"/>
                </w:tcPr>
                <w:p>
                  <w:pPr>
                    <w:pStyle w:val="118"/>
                    <w:bidi w:val="0"/>
                    <w:rPr>
                      <w:color w:val="auto"/>
                    </w:rPr>
                  </w:pPr>
                  <w:r>
                    <w:rPr>
                      <w:color w:val="auto"/>
                    </w:rPr>
                    <w:t>昼间</w:t>
                  </w:r>
                </w:p>
              </w:tc>
              <w:tc>
                <w:tcPr>
                  <w:tcW w:w="702" w:type="pct"/>
                  <w:noWrap w:val="0"/>
                  <w:vAlign w:val="center"/>
                </w:tcPr>
                <w:p>
                  <w:pPr>
                    <w:pStyle w:val="118"/>
                    <w:bidi w:val="0"/>
                    <w:rPr>
                      <w:color w:val="auto"/>
                    </w:rPr>
                  </w:pPr>
                  <w:r>
                    <w:rPr>
                      <w:color w:val="auto"/>
                    </w:rPr>
                    <w:t>达标</w:t>
                  </w:r>
                </w:p>
              </w:tc>
              <w:tc>
                <w:tcPr>
                  <w:tcW w:w="702" w:type="pct"/>
                  <w:noWrap w:val="0"/>
                  <w:vAlign w:val="center"/>
                </w:tcPr>
                <w:p>
                  <w:pPr>
                    <w:pStyle w:val="118"/>
                    <w:bidi w:val="0"/>
                    <w:rPr>
                      <w:color w:val="auto"/>
                    </w:rPr>
                  </w:pPr>
                  <w:r>
                    <w:rPr>
                      <w:color w:val="auto"/>
                    </w:rPr>
                    <w:t>达标</w:t>
                  </w:r>
                </w:p>
              </w:tc>
              <w:tc>
                <w:tcPr>
                  <w:tcW w:w="702" w:type="pct"/>
                  <w:noWrap w:val="0"/>
                  <w:vAlign w:val="center"/>
                </w:tcPr>
                <w:p>
                  <w:pPr>
                    <w:pStyle w:val="118"/>
                    <w:bidi w:val="0"/>
                    <w:rPr>
                      <w:color w:val="auto"/>
                    </w:rPr>
                  </w:pPr>
                  <w:r>
                    <w:rPr>
                      <w:color w:val="auto"/>
                    </w:rPr>
                    <w:t>达标</w:t>
                  </w:r>
                </w:p>
              </w:tc>
              <w:tc>
                <w:tcPr>
                  <w:tcW w:w="702" w:type="pct"/>
                  <w:noWrap w:val="0"/>
                  <w:vAlign w:val="center"/>
                </w:tcPr>
                <w:p>
                  <w:pPr>
                    <w:pStyle w:val="118"/>
                    <w:bidi w:val="0"/>
                    <w:rPr>
                      <w:color w:val="auto"/>
                    </w:rPr>
                  </w:pPr>
                  <w:r>
                    <w:rPr>
                      <w:color w:val="auto"/>
                    </w:rPr>
                    <w:t>达标</w:t>
                  </w:r>
                </w:p>
              </w:tc>
            </w:tr>
          </w:tbl>
          <w:p>
            <w:pPr>
              <w:bidi w:val="0"/>
              <w:rPr>
                <w:rFonts w:hint="eastAsia"/>
                <w:color w:val="auto"/>
              </w:rPr>
            </w:pPr>
            <w:r>
              <w:rPr>
                <w:rFonts w:hint="eastAsia"/>
                <w:color w:val="auto"/>
              </w:rPr>
              <w:t>由上表</w:t>
            </w:r>
            <w:r>
              <w:rPr>
                <w:rFonts w:hint="eastAsia"/>
                <w:color w:val="auto"/>
                <w:lang w:eastAsia="zh-CN"/>
              </w:rPr>
              <w:t>预测结果</w:t>
            </w:r>
            <w:r>
              <w:rPr>
                <w:rFonts w:hint="eastAsia"/>
                <w:color w:val="auto"/>
              </w:rPr>
              <w:t>可知，本项目正常运行状态下</w:t>
            </w:r>
            <w:r>
              <w:rPr>
                <w:rFonts w:hint="eastAsia"/>
                <w:color w:val="auto"/>
                <w:lang w:eastAsia="zh-CN"/>
              </w:rPr>
              <w:t>厂界四周噪声贡献值</w:t>
            </w:r>
            <w:r>
              <w:rPr>
                <w:rFonts w:hint="eastAsia"/>
                <w:color w:val="auto"/>
              </w:rPr>
              <w:t>均可满足《工业企业厂界环境噪声排放标准》（GB12348-2008）2 类标准（昼间≤60dB（A），夜间≤50dB（A））要求，不降低区域声环境质量。</w:t>
            </w:r>
          </w:p>
          <w:p>
            <w:pPr>
              <w:pStyle w:val="5"/>
              <w:ind w:firstLine="482"/>
              <w:rPr>
                <w:color w:val="auto"/>
              </w:rPr>
            </w:pPr>
            <w:r>
              <w:rPr>
                <w:color w:val="auto"/>
              </w:rPr>
              <w:t>4、监测要求</w:t>
            </w:r>
          </w:p>
          <w:p>
            <w:pPr>
              <w:pStyle w:val="104"/>
              <w:ind w:firstLine="480"/>
              <w:rPr>
                <w:rFonts w:hint="eastAsia"/>
                <w:color w:val="auto"/>
              </w:rPr>
            </w:pPr>
            <w:r>
              <w:rPr>
                <w:color w:val="auto"/>
              </w:rPr>
              <w:t>参考《排污单位自行监测技术指南总则》（HJ819-2017）、《排污许可证申请与核发技术规范 总则（HJ942-2018）》，本项目运营期噪声监测</w:t>
            </w:r>
            <w:r>
              <w:rPr>
                <w:rFonts w:hint="eastAsia"/>
                <w:color w:val="auto"/>
              </w:rPr>
              <w:t>计划见下表。</w:t>
            </w:r>
          </w:p>
          <w:p>
            <w:pPr>
              <w:pStyle w:val="117"/>
              <w:rPr>
                <w:rFonts w:hint="eastAsia"/>
                <w:color w:val="auto"/>
              </w:rPr>
            </w:pPr>
            <w:r>
              <w:rPr>
                <w:rFonts w:hint="eastAsia"/>
                <w:color w:val="auto"/>
              </w:rPr>
              <w:t>表4-</w:t>
            </w:r>
            <w:r>
              <w:rPr>
                <w:rFonts w:hint="eastAsia"/>
                <w:color w:val="auto"/>
                <w:lang w:val="en-US" w:eastAsia="zh-CN"/>
              </w:rPr>
              <w:t>6</w:t>
            </w:r>
            <w:r>
              <w:rPr>
                <w:rFonts w:hint="eastAsia"/>
                <w:color w:val="auto"/>
              </w:rPr>
              <w:t xml:space="preserve"> 本项目噪声监测计划一览表</w:t>
            </w:r>
          </w:p>
          <w:tbl>
            <w:tblPr>
              <w:tblStyle w:val="3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0"/>
              <w:gridCol w:w="1348"/>
              <w:gridCol w:w="1394"/>
              <w:gridCol w:w="2495"/>
              <w:gridCol w:w="22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21" w:type="pct"/>
                  <w:noWrap w:val="0"/>
                  <w:vAlign w:val="center"/>
                </w:tcPr>
                <w:p>
                  <w:pPr>
                    <w:pStyle w:val="118"/>
                    <w:rPr>
                      <w:b/>
                      <w:bCs/>
                      <w:color w:val="auto"/>
                    </w:rPr>
                  </w:pPr>
                  <w:r>
                    <w:rPr>
                      <w:b/>
                      <w:bCs/>
                      <w:color w:val="auto"/>
                    </w:rPr>
                    <w:t>类别</w:t>
                  </w:r>
                </w:p>
              </w:tc>
              <w:tc>
                <w:tcPr>
                  <w:tcW w:w="821" w:type="pct"/>
                  <w:noWrap w:val="0"/>
                  <w:vAlign w:val="center"/>
                </w:tcPr>
                <w:p>
                  <w:pPr>
                    <w:pStyle w:val="118"/>
                    <w:rPr>
                      <w:b/>
                      <w:bCs/>
                      <w:color w:val="auto"/>
                    </w:rPr>
                  </w:pPr>
                  <w:r>
                    <w:rPr>
                      <w:b/>
                      <w:bCs/>
                      <w:color w:val="auto"/>
                    </w:rPr>
                    <w:t>监测点位</w:t>
                  </w:r>
                </w:p>
              </w:tc>
              <w:tc>
                <w:tcPr>
                  <w:tcW w:w="849" w:type="pct"/>
                  <w:noWrap w:val="0"/>
                  <w:vAlign w:val="center"/>
                </w:tcPr>
                <w:p>
                  <w:pPr>
                    <w:pStyle w:val="118"/>
                    <w:rPr>
                      <w:b/>
                      <w:bCs/>
                      <w:color w:val="auto"/>
                    </w:rPr>
                  </w:pPr>
                  <w:r>
                    <w:rPr>
                      <w:b/>
                      <w:bCs/>
                      <w:color w:val="auto"/>
                    </w:rPr>
                    <w:t>监测项目</w:t>
                  </w:r>
                </w:p>
              </w:tc>
              <w:tc>
                <w:tcPr>
                  <w:tcW w:w="1520" w:type="pct"/>
                  <w:noWrap w:val="0"/>
                  <w:vAlign w:val="center"/>
                </w:tcPr>
                <w:p>
                  <w:pPr>
                    <w:pStyle w:val="118"/>
                    <w:rPr>
                      <w:b/>
                      <w:bCs/>
                      <w:color w:val="auto"/>
                    </w:rPr>
                  </w:pPr>
                  <w:r>
                    <w:rPr>
                      <w:b/>
                      <w:bCs/>
                      <w:color w:val="auto"/>
                    </w:rPr>
                    <w:t>监测频率</w:t>
                  </w:r>
                </w:p>
              </w:tc>
              <w:tc>
                <w:tcPr>
                  <w:tcW w:w="1389" w:type="pct"/>
                  <w:noWrap w:val="0"/>
                  <w:vAlign w:val="center"/>
                </w:tcPr>
                <w:p>
                  <w:pPr>
                    <w:pStyle w:val="118"/>
                    <w:rPr>
                      <w:b/>
                      <w:bCs/>
                      <w:color w:val="auto"/>
                    </w:rPr>
                  </w:pPr>
                  <w:r>
                    <w:rPr>
                      <w:b/>
                      <w:bCs/>
                      <w:color w:val="auto"/>
                    </w:rPr>
                    <w:t>监测方法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 w:hRule="atLeast"/>
                <w:jc w:val="center"/>
              </w:trPr>
              <w:tc>
                <w:tcPr>
                  <w:tcW w:w="421" w:type="pct"/>
                  <w:noWrap w:val="0"/>
                  <w:vAlign w:val="center"/>
                </w:tcPr>
                <w:p>
                  <w:pPr>
                    <w:pStyle w:val="118"/>
                    <w:rPr>
                      <w:color w:val="auto"/>
                    </w:rPr>
                  </w:pPr>
                  <w:r>
                    <w:rPr>
                      <w:color w:val="auto"/>
                    </w:rPr>
                    <w:t>噪声</w:t>
                  </w:r>
                </w:p>
              </w:tc>
              <w:tc>
                <w:tcPr>
                  <w:tcW w:w="821" w:type="pct"/>
                  <w:noWrap w:val="0"/>
                  <w:vAlign w:val="center"/>
                </w:tcPr>
                <w:p>
                  <w:pPr>
                    <w:pStyle w:val="118"/>
                    <w:rPr>
                      <w:color w:val="auto"/>
                    </w:rPr>
                  </w:pPr>
                  <w:r>
                    <w:rPr>
                      <w:color w:val="auto"/>
                    </w:rPr>
                    <w:t>厂界四周</w:t>
                  </w:r>
                </w:p>
              </w:tc>
              <w:tc>
                <w:tcPr>
                  <w:tcW w:w="849" w:type="pct"/>
                  <w:noWrap w:val="0"/>
                  <w:vAlign w:val="center"/>
                </w:tcPr>
                <w:p>
                  <w:pPr>
                    <w:pStyle w:val="118"/>
                    <w:rPr>
                      <w:color w:val="auto"/>
                    </w:rPr>
                  </w:pPr>
                  <w:r>
                    <w:rPr>
                      <w:color w:val="auto"/>
                    </w:rPr>
                    <w:t>等效声级</w:t>
                  </w:r>
                </w:p>
              </w:tc>
              <w:tc>
                <w:tcPr>
                  <w:tcW w:w="1520" w:type="pct"/>
                  <w:noWrap w:val="0"/>
                  <w:vAlign w:val="center"/>
                </w:tcPr>
                <w:p>
                  <w:pPr>
                    <w:pStyle w:val="118"/>
                    <w:rPr>
                      <w:color w:val="auto"/>
                    </w:rPr>
                  </w:pPr>
                  <w:r>
                    <w:rPr>
                      <w:color w:val="auto"/>
                    </w:rPr>
                    <w:t>每</w:t>
                  </w:r>
                  <w:r>
                    <w:rPr>
                      <w:rFonts w:hint="eastAsia"/>
                      <w:color w:val="auto"/>
                    </w:rPr>
                    <w:t>年</w:t>
                  </w:r>
                  <w:r>
                    <w:rPr>
                      <w:color w:val="auto"/>
                    </w:rPr>
                    <w:t>检测1次</w:t>
                  </w:r>
                </w:p>
              </w:tc>
              <w:tc>
                <w:tcPr>
                  <w:tcW w:w="1389" w:type="pct"/>
                  <w:noWrap w:val="0"/>
                  <w:vAlign w:val="center"/>
                </w:tcPr>
                <w:p>
                  <w:pPr>
                    <w:pStyle w:val="118"/>
                    <w:rPr>
                      <w:color w:val="auto"/>
                    </w:rPr>
                  </w:pPr>
                  <w:r>
                    <w:rPr>
                      <w:rFonts w:hint="eastAsia"/>
                      <w:color w:val="auto"/>
                    </w:rPr>
                    <w:t>《工业企业厂界环境噪声排放标准》中2类</w:t>
                  </w:r>
                </w:p>
              </w:tc>
            </w:tr>
          </w:tbl>
          <w:p>
            <w:pPr>
              <w:spacing w:after="120"/>
              <w:ind w:firstLine="0" w:firstLineChars="0"/>
              <w:jc w:val="left"/>
              <w:outlineLvl w:val="1"/>
              <w:rPr>
                <w:rFonts w:hint="eastAsia"/>
                <w:b/>
                <w:color w:val="auto"/>
                <w:kern w:val="0"/>
                <w:szCs w:val="28"/>
                <w:lang w:bidi="ar"/>
              </w:rPr>
            </w:pPr>
            <w:bookmarkStart w:id="67" w:name="_Toc7477"/>
            <w:r>
              <w:rPr>
                <w:rFonts w:hint="eastAsia"/>
                <w:b/>
                <w:color w:val="auto"/>
                <w:kern w:val="0"/>
                <w:szCs w:val="28"/>
                <w:lang w:bidi="ar"/>
              </w:rPr>
              <w:t>四、营运期固废环境影响分析和保护措施</w:t>
            </w:r>
            <w:bookmarkEnd w:id="67"/>
          </w:p>
          <w:p>
            <w:pPr>
              <w:ind w:firstLine="482"/>
              <w:rPr>
                <w:rFonts w:hint="eastAsia"/>
                <w:b/>
                <w:bCs/>
                <w:color w:val="auto"/>
              </w:rPr>
            </w:pPr>
            <w:r>
              <w:rPr>
                <w:rFonts w:hint="eastAsia"/>
                <w:b/>
                <w:bCs/>
                <w:color w:val="auto"/>
              </w:rPr>
              <w:t>1、固体废物的产生情况</w:t>
            </w:r>
          </w:p>
          <w:p>
            <w:pPr>
              <w:ind w:firstLine="480"/>
              <w:rPr>
                <w:rFonts w:hint="eastAsia"/>
                <w:color w:val="auto"/>
              </w:rPr>
            </w:pPr>
            <w:r>
              <w:rPr>
                <w:rFonts w:hint="eastAsia"/>
                <w:color w:val="auto"/>
              </w:rPr>
              <w:t>本项目营运期所产生的固废主要一般固废和危险固废，一般固废为生活垃圾、宠物毛发、宠物粪便，危险固废为宠物尸体、医疗垃圾、废紫外灯管（HW29）等。一体化医疗废水处理设施主要是对医疗废水进行消毒处理，不产生污泥，春天花园小区预处理池的清掏工作由小区负责，不在本项目责任范围内。</w:t>
            </w:r>
          </w:p>
          <w:p>
            <w:pPr>
              <w:pStyle w:val="101"/>
              <w:ind w:firstLine="482"/>
              <w:rPr>
                <w:b/>
                <w:bCs/>
                <w:color w:val="auto"/>
              </w:rPr>
            </w:pPr>
            <w:r>
              <w:rPr>
                <w:rFonts w:hint="eastAsia"/>
                <w:b/>
                <w:bCs/>
                <w:color w:val="auto"/>
              </w:rPr>
              <w:t>（1）一般固废</w:t>
            </w:r>
          </w:p>
          <w:p>
            <w:pPr>
              <w:ind w:firstLine="480"/>
              <w:rPr>
                <w:color w:val="auto"/>
              </w:rPr>
            </w:pPr>
            <w:r>
              <w:rPr>
                <w:color w:val="auto"/>
              </w:rPr>
              <w:t>①生活垃圾</w:t>
            </w:r>
          </w:p>
          <w:p>
            <w:pPr>
              <w:ind w:firstLine="480"/>
              <w:rPr>
                <w:color w:val="auto"/>
              </w:rPr>
            </w:pPr>
            <w:r>
              <w:rPr>
                <w:color w:val="auto"/>
              </w:rPr>
              <w:t>本项目产生的生活垃圾主要为员工和宠物主人产生，项目员工生活垃圾产生量按0.5kg/d人计，宠物主人产生生活垃圾按0.1kg计，则生活垃圾产生量为</w:t>
            </w:r>
            <w:r>
              <w:rPr>
                <w:rFonts w:hint="eastAsia"/>
                <w:color w:val="auto"/>
              </w:rPr>
              <w:t>0</w:t>
            </w:r>
            <w:r>
              <w:rPr>
                <w:color w:val="auto"/>
              </w:rPr>
              <w:t>.6kg/d（</w:t>
            </w:r>
            <w:r>
              <w:rPr>
                <w:rFonts w:hint="eastAsia"/>
                <w:color w:val="auto"/>
              </w:rPr>
              <w:t>0.18</w:t>
            </w:r>
            <w:r>
              <w:rPr>
                <w:color w:val="auto"/>
              </w:rPr>
              <w:t>t/a）；生活垃圾按照</w:t>
            </w:r>
            <w:r>
              <w:rPr>
                <w:rFonts w:hint="eastAsia"/>
                <w:color w:val="auto"/>
              </w:rPr>
              <w:t>相</w:t>
            </w:r>
            <w:r>
              <w:rPr>
                <w:color w:val="auto"/>
              </w:rPr>
              <w:t>关规定进行分类收集，生活垃圾集中收集至垃圾桶后，由环卫部门统一收运处置。</w:t>
            </w:r>
          </w:p>
          <w:p>
            <w:pPr>
              <w:ind w:firstLine="480"/>
              <w:rPr>
                <w:rFonts w:hint="eastAsia"/>
                <w:color w:val="auto"/>
              </w:rPr>
            </w:pPr>
            <w:r>
              <w:rPr>
                <w:rFonts w:hint="eastAsia"/>
                <w:color w:val="auto"/>
              </w:rPr>
              <w:t>②宠物毛发</w:t>
            </w:r>
          </w:p>
          <w:p>
            <w:pPr>
              <w:pStyle w:val="104"/>
              <w:ind w:firstLine="480"/>
              <w:rPr>
                <w:rFonts w:hint="eastAsia"/>
                <w:color w:val="auto"/>
              </w:rPr>
            </w:pPr>
            <w:r>
              <w:rPr>
                <w:rFonts w:hint="eastAsia"/>
                <w:color w:val="auto"/>
              </w:rPr>
              <w:t>本项目宠物毛发来源于对宠物在医院内毛发脱落、宠物手术及治疗过程中的修剪过程产生的毛发，根据建设单位资料提供，营运期宠物毛发产生量约为 0.05t/a。</w:t>
            </w:r>
          </w:p>
          <w:p>
            <w:pPr>
              <w:spacing w:before="199" w:line="271" w:lineRule="auto"/>
              <w:ind w:left="105" w:right="103" w:firstLine="480"/>
              <w:rPr>
                <w:rFonts w:hint="eastAsia"/>
                <w:color w:val="auto"/>
              </w:rPr>
            </w:pPr>
            <w:r>
              <w:rPr>
                <w:rFonts w:hint="eastAsia"/>
                <w:color w:val="auto"/>
              </w:rPr>
              <w:t>③宠物粪便</w:t>
            </w:r>
          </w:p>
          <w:p>
            <w:pPr>
              <w:ind w:firstLine="480"/>
              <w:rPr>
                <w:rFonts w:hint="eastAsia"/>
                <w:color w:val="auto"/>
              </w:rPr>
            </w:pPr>
            <w:r>
              <w:rPr>
                <w:rFonts w:hint="eastAsia"/>
                <w:color w:val="auto"/>
              </w:rPr>
              <w:t>针对宠物在笼子里的排泄物，产生量按照 0.05 千克/只宠物进行计算，平均每天就诊最大按照10 只、住院最大量按照10 只进行考虑，粪便产生量为 0.3t/a。</w:t>
            </w:r>
          </w:p>
          <w:p>
            <w:pPr>
              <w:pStyle w:val="104"/>
              <w:ind w:firstLine="482"/>
              <w:rPr>
                <w:rFonts w:hint="eastAsia"/>
                <w:b/>
                <w:bCs/>
                <w:color w:val="auto"/>
              </w:rPr>
            </w:pPr>
            <w:r>
              <w:rPr>
                <w:rFonts w:hint="eastAsia"/>
                <w:b/>
                <w:bCs/>
                <w:color w:val="auto"/>
              </w:rPr>
              <w:t>（2）危险废物</w:t>
            </w:r>
          </w:p>
          <w:p>
            <w:pPr>
              <w:ind w:firstLine="480"/>
              <w:rPr>
                <w:color w:val="auto"/>
              </w:rPr>
            </w:pPr>
            <w:r>
              <w:rPr>
                <w:rFonts w:hint="eastAsia"/>
                <w:color w:val="auto"/>
              </w:rPr>
              <w:t>①</w:t>
            </w:r>
            <w:r>
              <w:rPr>
                <w:color w:val="auto"/>
              </w:rPr>
              <w:t>动物尸体</w:t>
            </w:r>
          </w:p>
          <w:p>
            <w:pPr>
              <w:pStyle w:val="104"/>
              <w:ind w:firstLine="480"/>
              <w:rPr>
                <w:rFonts w:hint="eastAsia"/>
                <w:color w:val="auto"/>
              </w:rPr>
            </w:pPr>
            <w:r>
              <w:rPr>
                <w:rFonts w:hint="eastAsia"/>
                <w:color w:val="auto"/>
              </w:rPr>
              <w:t>本项目宠物毛发来源于对宠物在医院内毛发脱落、宠物手术及治疗过程中的修剪过程产生的毛发，营运期宠物毛发产生量约为0.5t/a。</w:t>
            </w:r>
          </w:p>
          <w:p>
            <w:pPr>
              <w:ind w:firstLine="480"/>
              <w:rPr>
                <w:rFonts w:hint="eastAsia"/>
                <w:color w:val="auto"/>
              </w:rPr>
            </w:pPr>
            <w:r>
              <w:rPr>
                <w:rFonts w:hint="eastAsia"/>
                <w:color w:val="auto"/>
              </w:rPr>
              <w:t>②</w:t>
            </w:r>
            <w:r>
              <w:rPr>
                <w:color w:val="auto"/>
              </w:rPr>
              <w:t>医疗</w:t>
            </w:r>
            <w:r>
              <w:rPr>
                <w:rFonts w:hint="eastAsia"/>
                <w:color w:val="auto"/>
              </w:rPr>
              <w:t>废物</w:t>
            </w:r>
          </w:p>
          <w:p>
            <w:pPr>
              <w:ind w:firstLine="480"/>
              <w:rPr>
                <w:color w:val="auto"/>
              </w:rPr>
            </w:pPr>
            <w:r>
              <w:rPr>
                <w:color w:val="auto"/>
              </w:rPr>
              <w:t>本项目产生的医疗废物主要来源于：（1）宠物检验过程中产生的带有血液的试管、棉球等；（2）宠物在治疗和手术过程中产生的病理组织（采用密封袋封存后暂存于冰箱内）和纱布等；（3）宠物输液过程产生的一次性针头，塑料药品瓶等；（4）过期药品；（5）废试剂盒。医疗垃圾废物类别为“HW01医疗废物”，属于危险废物，暂存于</w:t>
            </w:r>
            <w:r>
              <w:rPr>
                <w:rFonts w:hint="eastAsia"/>
                <w:color w:val="auto"/>
              </w:rPr>
              <w:t>医废间</w:t>
            </w:r>
            <w:r>
              <w:rPr>
                <w:color w:val="auto"/>
              </w:rPr>
              <w:t>内（医疗垃圾尽可能做到“日产日清”，院内暂存时间不得超过2天，对医疗废物需进行消毒处理），交由有资质单位进行处置。</w:t>
            </w:r>
          </w:p>
          <w:p>
            <w:pPr>
              <w:ind w:firstLine="480"/>
              <w:rPr>
                <w:rFonts w:hint="eastAsia"/>
                <w:color w:val="auto"/>
              </w:rPr>
            </w:pPr>
            <w:r>
              <w:rPr>
                <w:rFonts w:hint="eastAsia"/>
                <w:color w:val="auto"/>
              </w:rPr>
              <w:t>参照同类型企业在宠物诊疗、住院过程中产生的医疗废物量，本项目医疗废物产量见下表所示。</w:t>
            </w:r>
          </w:p>
          <w:p>
            <w:pPr>
              <w:pStyle w:val="102"/>
              <w:ind w:left="422" w:hanging="422"/>
              <w:rPr>
                <w:rFonts w:hint="eastAsia"/>
                <w:color w:val="auto"/>
              </w:rPr>
            </w:pPr>
            <w:r>
              <w:rPr>
                <w:rFonts w:hint="eastAsia"/>
                <w:color w:val="auto"/>
              </w:rPr>
              <w:t>表4-</w:t>
            </w:r>
            <w:r>
              <w:rPr>
                <w:rFonts w:hint="eastAsia"/>
                <w:color w:val="auto"/>
                <w:lang w:val="en-US" w:eastAsia="zh-CN"/>
              </w:rPr>
              <w:t>7</w:t>
            </w:r>
            <w:r>
              <w:rPr>
                <w:rFonts w:hint="eastAsia"/>
                <w:color w:val="auto"/>
              </w:rPr>
              <w:t xml:space="preserve">  项目医疗废物产生量</w:t>
            </w:r>
          </w:p>
          <w:tbl>
            <w:tblPr>
              <w:tblStyle w:val="38"/>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53"/>
              <w:gridCol w:w="1425"/>
              <w:gridCol w:w="1641"/>
              <w:gridCol w:w="1641"/>
              <w:gridCol w:w="16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pct"/>
                  <w:noWrap w:val="0"/>
                  <w:vAlign w:val="top"/>
                </w:tcPr>
                <w:p>
                  <w:pPr>
                    <w:pStyle w:val="69"/>
                    <w:rPr>
                      <w:color w:val="auto"/>
                    </w:rPr>
                  </w:pPr>
                  <w:r>
                    <w:rPr>
                      <w:color w:val="auto"/>
                    </w:rPr>
                    <w:t>产生源</w:t>
                  </w:r>
                </w:p>
              </w:tc>
              <w:tc>
                <w:tcPr>
                  <w:tcW w:w="868" w:type="pct"/>
                  <w:noWrap w:val="0"/>
                  <w:vAlign w:val="top"/>
                </w:tcPr>
                <w:p>
                  <w:pPr>
                    <w:pStyle w:val="69"/>
                    <w:rPr>
                      <w:color w:val="auto"/>
                    </w:rPr>
                  </w:pPr>
                  <w:r>
                    <w:rPr>
                      <w:color w:val="auto"/>
                    </w:rPr>
                    <w:t>数量（只）</w:t>
                  </w:r>
                </w:p>
              </w:tc>
              <w:tc>
                <w:tcPr>
                  <w:tcW w:w="1000" w:type="pct"/>
                  <w:noWrap w:val="0"/>
                  <w:vAlign w:val="top"/>
                </w:tcPr>
                <w:p>
                  <w:pPr>
                    <w:pStyle w:val="69"/>
                    <w:rPr>
                      <w:color w:val="auto"/>
                    </w:rPr>
                  </w:pPr>
                  <w:r>
                    <w:rPr>
                      <w:color w:val="auto"/>
                    </w:rPr>
                    <w:t>定额（kg/只·d）</w:t>
                  </w:r>
                </w:p>
              </w:tc>
              <w:tc>
                <w:tcPr>
                  <w:tcW w:w="1000" w:type="pct"/>
                  <w:noWrap w:val="0"/>
                  <w:vAlign w:val="top"/>
                </w:tcPr>
                <w:p>
                  <w:pPr>
                    <w:pStyle w:val="69"/>
                    <w:rPr>
                      <w:color w:val="auto"/>
                    </w:rPr>
                  </w:pPr>
                  <w:r>
                    <w:rPr>
                      <w:color w:val="auto"/>
                    </w:rPr>
                    <w:t>产生量（kg/d）</w:t>
                  </w:r>
                </w:p>
              </w:tc>
              <w:tc>
                <w:tcPr>
                  <w:tcW w:w="1001" w:type="pct"/>
                  <w:noWrap w:val="0"/>
                  <w:vAlign w:val="top"/>
                </w:tcPr>
                <w:p>
                  <w:pPr>
                    <w:pStyle w:val="69"/>
                    <w:rPr>
                      <w:color w:val="auto"/>
                    </w:rPr>
                  </w:pPr>
                  <w:r>
                    <w:rPr>
                      <w:rFonts w:hint="eastAsia"/>
                      <w:color w:val="auto"/>
                    </w:rPr>
                    <w:t>产生</w:t>
                  </w:r>
                  <w:r>
                    <w:rPr>
                      <w:color w:val="auto"/>
                    </w:rPr>
                    <w:t>量（t/a）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pct"/>
                  <w:noWrap w:val="0"/>
                  <w:vAlign w:val="top"/>
                </w:tcPr>
                <w:p>
                  <w:pPr>
                    <w:pStyle w:val="69"/>
                    <w:rPr>
                      <w:color w:val="auto"/>
                    </w:rPr>
                  </w:pPr>
                  <w:r>
                    <w:rPr>
                      <w:color w:val="auto"/>
                    </w:rPr>
                    <w:t>就诊、住院宠物</w:t>
                  </w:r>
                </w:p>
              </w:tc>
              <w:tc>
                <w:tcPr>
                  <w:tcW w:w="868" w:type="pct"/>
                  <w:noWrap w:val="0"/>
                  <w:vAlign w:val="top"/>
                </w:tcPr>
                <w:p>
                  <w:pPr>
                    <w:pStyle w:val="69"/>
                    <w:rPr>
                      <w:color w:val="auto"/>
                    </w:rPr>
                  </w:pPr>
                  <w:r>
                    <w:rPr>
                      <w:rFonts w:hint="eastAsia"/>
                      <w:color w:val="auto"/>
                    </w:rPr>
                    <w:t>30</w:t>
                  </w:r>
                </w:p>
              </w:tc>
              <w:tc>
                <w:tcPr>
                  <w:tcW w:w="1000" w:type="pct"/>
                  <w:noWrap w:val="0"/>
                  <w:vAlign w:val="top"/>
                </w:tcPr>
                <w:p>
                  <w:pPr>
                    <w:pStyle w:val="69"/>
                    <w:rPr>
                      <w:color w:val="auto"/>
                    </w:rPr>
                  </w:pPr>
                  <w:r>
                    <w:rPr>
                      <w:color w:val="auto"/>
                    </w:rPr>
                    <w:t>0.2</w:t>
                  </w:r>
                </w:p>
              </w:tc>
              <w:tc>
                <w:tcPr>
                  <w:tcW w:w="1000" w:type="pct"/>
                  <w:noWrap w:val="0"/>
                  <w:vAlign w:val="top"/>
                </w:tcPr>
                <w:p>
                  <w:pPr>
                    <w:pStyle w:val="69"/>
                    <w:rPr>
                      <w:rFonts w:hint="eastAsia"/>
                      <w:color w:val="auto"/>
                    </w:rPr>
                  </w:pPr>
                  <w:r>
                    <w:rPr>
                      <w:rFonts w:hint="eastAsia"/>
                      <w:color w:val="auto"/>
                    </w:rPr>
                    <w:t>6</w:t>
                  </w:r>
                </w:p>
              </w:tc>
              <w:tc>
                <w:tcPr>
                  <w:tcW w:w="1001" w:type="pct"/>
                  <w:noWrap w:val="0"/>
                  <w:vAlign w:val="top"/>
                </w:tcPr>
                <w:p>
                  <w:pPr>
                    <w:pStyle w:val="69"/>
                    <w:rPr>
                      <w:color w:val="auto"/>
                    </w:rPr>
                  </w:pPr>
                  <w:r>
                    <w:rPr>
                      <w:rFonts w:hint="eastAsia"/>
                      <w:color w:val="auto"/>
                    </w:rPr>
                    <w:t>1.8</w:t>
                  </w:r>
                </w:p>
              </w:tc>
            </w:tr>
          </w:tbl>
          <w:p>
            <w:pPr>
              <w:ind w:firstLine="480"/>
              <w:rPr>
                <w:rFonts w:hint="eastAsia"/>
                <w:color w:val="auto"/>
              </w:rPr>
            </w:pPr>
            <w:r>
              <w:rPr>
                <w:rFonts w:hint="eastAsia"/>
                <w:color w:val="auto"/>
              </w:rPr>
              <w:t>③废紫外灯管</w:t>
            </w:r>
          </w:p>
          <w:p>
            <w:pPr>
              <w:ind w:firstLine="480"/>
              <w:rPr>
                <w:rFonts w:hint="eastAsia"/>
                <w:color w:val="auto"/>
              </w:rPr>
            </w:pPr>
            <w:r>
              <w:rPr>
                <w:rFonts w:hint="eastAsia"/>
                <w:color w:val="auto"/>
              </w:rPr>
              <w:t>本项目安装有紫外线灯进行消毒，每年废气的紫外线灯管约2kg。根据《国家危险废物名录》（2021年版），紫外线灯管属于HW29含汞废物，非特定行业（900-023-29）项目产生的紫外线灯管严禁随意丢弃，应暂存在医废暂存间内并交由有资质单位处理。</w:t>
            </w:r>
          </w:p>
          <w:p>
            <w:pPr>
              <w:ind w:firstLine="480"/>
              <w:rPr>
                <w:rFonts w:hint="eastAsia"/>
                <w:color w:val="auto"/>
              </w:rPr>
            </w:pPr>
            <w:r>
              <w:rPr>
                <w:rFonts w:hint="eastAsia"/>
                <w:color w:val="auto"/>
              </w:rPr>
              <w:t>根据《医疗废物管理条例》、《医疗卫生机构医疗废物管理办法》中的相关要求，环评要求建设单位对其产生的各类医疗废物进行分类管理、分类收集、运送与暂存，被医疗废物污染的物品或废弃的容器按照医疗废物进行处理，并及时将各种医疗废物交由有资质的单位统一处置。禁止露天存放医疗废物，禁止将医疗废物混入其他废物、生活垃圾或向环境排放，或不按环保要求擅自进行处置。</w:t>
            </w:r>
          </w:p>
          <w:p>
            <w:pPr>
              <w:pStyle w:val="5"/>
              <w:ind w:firstLine="482"/>
              <w:rPr>
                <w:color w:val="auto"/>
              </w:rPr>
            </w:pPr>
            <w:r>
              <w:rPr>
                <w:color w:val="auto"/>
              </w:rPr>
              <w:t>2、现有治理措施</w:t>
            </w:r>
          </w:p>
          <w:p>
            <w:pPr>
              <w:pStyle w:val="101"/>
              <w:ind w:firstLine="480"/>
              <w:rPr>
                <w:rFonts w:hint="eastAsia"/>
                <w:color w:val="auto"/>
              </w:rPr>
            </w:pPr>
            <w:r>
              <w:rPr>
                <w:rFonts w:hint="eastAsia"/>
                <w:color w:val="auto"/>
              </w:rPr>
              <w:t>（1）生活垃圾：经各科室设置生活垃圾收集桶，生活垃圾统一收集后放置于社区生活垃圾暂存点待环卫部门转运处置。</w:t>
            </w:r>
          </w:p>
          <w:p>
            <w:pPr>
              <w:pStyle w:val="101"/>
              <w:ind w:firstLine="480"/>
              <w:rPr>
                <w:rFonts w:hint="eastAsia"/>
                <w:color w:val="auto"/>
              </w:rPr>
            </w:pPr>
            <w:r>
              <w:rPr>
                <w:rFonts w:hint="eastAsia"/>
                <w:color w:val="auto"/>
              </w:rPr>
              <w:t>（2）宠物粪便：项目采用喷洒消毒剂的方式对宠物粪便进行消毒灭活，消毒灭活后交由环卫部门收运处置。</w:t>
            </w:r>
          </w:p>
          <w:p>
            <w:pPr>
              <w:pStyle w:val="101"/>
              <w:ind w:firstLine="480"/>
              <w:rPr>
                <w:rFonts w:hint="eastAsia"/>
                <w:color w:val="auto"/>
              </w:rPr>
            </w:pPr>
            <w:r>
              <w:rPr>
                <w:rFonts w:hint="eastAsia"/>
                <w:color w:val="auto"/>
              </w:rPr>
              <w:t>（3）宠物毛发：经喷洒消毒剂处理后可作为一般固废与生活垃圾一起交由环卫部门处理。</w:t>
            </w:r>
          </w:p>
          <w:p>
            <w:pPr>
              <w:pStyle w:val="104"/>
              <w:ind w:firstLine="480"/>
              <w:rPr>
                <w:rFonts w:hint="eastAsia"/>
                <w:color w:val="auto"/>
              </w:rPr>
            </w:pPr>
            <w:r>
              <w:rPr>
                <w:rFonts w:hint="eastAsia"/>
                <w:color w:val="auto"/>
              </w:rPr>
              <w:t>（4）宠物尸体：除宠物主人自行带走处置的宠物外，留在院内处置的经消毒后采用密封袋封存当天通知并交由资质单位收运处置，不在院内储存。</w:t>
            </w:r>
          </w:p>
          <w:p>
            <w:pPr>
              <w:pStyle w:val="104"/>
              <w:ind w:firstLine="480"/>
              <w:rPr>
                <w:rFonts w:hint="eastAsia"/>
                <w:color w:val="auto"/>
              </w:rPr>
            </w:pPr>
            <w:r>
              <w:rPr>
                <w:rFonts w:hint="eastAsia"/>
                <w:color w:val="auto"/>
              </w:rPr>
              <w:t>（5）医疗废物：项目现状医疗废物交由成都市科农动物无害化处置有限公司，但目前医疗废物未按照《危险废物贮存污染控制标准》（GB18597-2001（2013年修订）中的相关要求进行规范化储存，应进行整改</w:t>
            </w:r>
          </w:p>
          <w:p>
            <w:pPr>
              <w:pStyle w:val="104"/>
              <w:ind w:firstLine="480"/>
              <w:rPr>
                <w:rFonts w:hint="eastAsia"/>
                <w:color w:val="auto"/>
              </w:rPr>
            </w:pPr>
            <w:r>
              <w:rPr>
                <w:rFonts w:hint="eastAsia"/>
                <w:color w:val="auto"/>
              </w:rPr>
              <w:t>（6）废紫外线灯管：根据《国家危险废物名录（2021 版）》，废紫外灯管属于“HW29 含汞废物中的 900-023-29生产、销售及使用过程中产生的废含汞荧光灯管及其他废含汞电光源”，项目现状未对废紫外线灯管进行规范化储存和处置，应进行整改。</w:t>
            </w:r>
          </w:p>
          <w:p>
            <w:pPr>
              <w:pStyle w:val="5"/>
              <w:ind w:left="480" w:firstLine="0" w:firstLineChars="0"/>
              <w:rPr>
                <w:color w:val="auto"/>
              </w:rPr>
            </w:pPr>
            <w:r>
              <w:rPr>
                <w:color w:val="auto"/>
              </w:rPr>
              <w:t>3、整改措施</w:t>
            </w:r>
          </w:p>
          <w:p>
            <w:pPr>
              <w:pStyle w:val="104"/>
              <w:ind w:firstLine="480"/>
              <w:rPr>
                <w:color w:val="auto"/>
              </w:rPr>
            </w:pPr>
            <w:r>
              <w:rPr>
                <w:rFonts w:hint="eastAsia"/>
                <w:color w:val="auto"/>
              </w:rPr>
              <w:t>由于本项目为未批先建，根据对项目现场勘查，项目对危险废物未采用合理妥当的贮存措施，因此，</w:t>
            </w:r>
            <w:r>
              <w:rPr>
                <w:rFonts w:hint="eastAsia"/>
                <w:b/>
                <w:bCs/>
                <w:color w:val="auto"/>
              </w:rPr>
              <w:t>本环评要求项目进行整改，严格按照《危险废物贮存污染控制标准》（GB18597-2001，2013年修改）的设计要求设置医疗废物暂存间</w:t>
            </w:r>
            <w:r>
              <w:rPr>
                <w:rFonts w:hint="eastAsia"/>
                <w:color w:val="auto"/>
              </w:rPr>
              <w:t>，并将运营期产生的危险废物（医疗废物、废紫外线灯管）暂存于医疗废物暂存间，明确危险废物处置单位，并签订相关危废处置协议，定期将危险废物交由资质单位处置。</w:t>
            </w:r>
          </w:p>
          <w:p>
            <w:pPr>
              <w:pStyle w:val="104"/>
              <w:ind w:firstLine="482"/>
              <w:rPr>
                <w:rFonts w:hint="eastAsia"/>
                <w:color w:val="auto"/>
              </w:rPr>
            </w:pPr>
            <w:r>
              <w:rPr>
                <w:rFonts w:hint="eastAsia"/>
                <w:b/>
                <w:bCs/>
                <w:color w:val="auto"/>
              </w:rPr>
              <w:t>此外，环评要求建设单位按照相关规定要求做到以下几点：</w:t>
            </w:r>
            <w:r>
              <w:rPr>
                <w:rFonts w:hint="eastAsia"/>
                <w:color w:val="auto"/>
              </w:rPr>
              <w:t xml:space="preserve"> </w:t>
            </w:r>
          </w:p>
          <w:p>
            <w:pPr>
              <w:ind w:firstLine="482"/>
              <w:rPr>
                <w:rFonts w:hint="eastAsia"/>
                <w:b/>
                <w:bCs/>
                <w:color w:val="auto"/>
              </w:rPr>
            </w:pPr>
            <w:r>
              <w:rPr>
                <w:rFonts w:hint="eastAsia"/>
                <w:b/>
                <w:bCs/>
                <w:color w:val="auto"/>
              </w:rPr>
              <w:t>（1）医疗废物分类收集要求</w:t>
            </w:r>
          </w:p>
          <w:p>
            <w:pPr>
              <w:ind w:firstLine="480"/>
              <w:rPr>
                <w:rFonts w:hint="eastAsia"/>
                <w:color w:val="auto"/>
              </w:rPr>
            </w:pPr>
            <w:r>
              <w:rPr>
                <w:rFonts w:hint="eastAsia"/>
                <w:color w:val="auto"/>
              </w:rPr>
              <w:t>A、根据医疗废物的类别，将医疗废物分类置于符合《医疗废物专用包装物、容器的标准和警示标识的规定》的包装物或者容器内；收集容器应符合规定要求，盛装医疗废物的每个单位、产生日期、类别及需要的特别说明等。</w:t>
            </w:r>
          </w:p>
          <w:p>
            <w:pPr>
              <w:ind w:firstLine="480"/>
              <w:rPr>
                <w:rFonts w:hint="eastAsia"/>
                <w:color w:val="auto"/>
              </w:rPr>
            </w:pPr>
            <w:r>
              <w:rPr>
                <w:rFonts w:hint="eastAsia"/>
                <w:color w:val="auto"/>
              </w:rPr>
              <w:t>B、在盛装医疗废物前，应当对医疗废物包装物或者容器进行认真检查， 确保无破损、渗漏和其它缺陷。</w:t>
            </w:r>
          </w:p>
          <w:p>
            <w:pPr>
              <w:ind w:firstLine="480"/>
              <w:rPr>
                <w:rFonts w:hint="eastAsia"/>
                <w:color w:val="auto"/>
              </w:rPr>
            </w:pPr>
            <w:r>
              <w:rPr>
                <w:rFonts w:hint="eastAsia"/>
                <w:color w:val="auto"/>
              </w:rPr>
              <w:t>C、各类医疗废物不能混合收集。</w:t>
            </w:r>
          </w:p>
          <w:p>
            <w:pPr>
              <w:ind w:firstLine="480"/>
              <w:rPr>
                <w:rFonts w:hint="eastAsia"/>
                <w:color w:val="auto"/>
              </w:rPr>
            </w:pPr>
            <w:r>
              <w:rPr>
                <w:rFonts w:hint="eastAsia"/>
                <w:color w:val="auto"/>
              </w:rPr>
              <w:t>D、在病房、诊疗室等高危区必须采用双层废物袋或可密封处理的聚丙烯塑料桶，针头等锐器不应和其他废物混放，使用后要稳妥安全地放入防漏、 防刺的专用锐器容器中。锐器容器要求有盖，并做好明显的标识，防止转运人员被锐器划伤引起疾病感染。</w:t>
            </w:r>
          </w:p>
          <w:p>
            <w:pPr>
              <w:ind w:firstLine="480"/>
              <w:rPr>
                <w:rFonts w:hint="eastAsia"/>
                <w:color w:val="auto"/>
              </w:rPr>
            </w:pPr>
            <w:r>
              <w:rPr>
                <w:rFonts w:hint="eastAsia"/>
                <w:color w:val="auto"/>
              </w:rPr>
              <w:t>E、医疗废物收集袋印有盛装医疗废物的文字说明和医疗废物警示标识， 装满3/4后就应当由专人密封清运至医疗垃圾暂存间。</w:t>
            </w:r>
          </w:p>
          <w:p>
            <w:pPr>
              <w:ind w:firstLine="480"/>
              <w:rPr>
                <w:rFonts w:hint="eastAsia"/>
                <w:color w:val="auto"/>
              </w:rPr>
            </w:pPr>
            <w:r>
              <w:rPr>
                <w:rFonts w:hint="eastAsia"/>
                <w:color w:val="auto"/>
              </w:rPr>
              <w:t>F、对医院内产生的医疗废物进行严格管理，对医院内所产生的医疗废物进行详细的登记，填写《医疗废物产生贮存台账》，台账保存期限不得少于五年。</w:t>
            </w:r>
          </w:p>
          <w:p>
            <w:pPr>
              <w:ind w:firstLine="482"/>
              <w:rPr>
                <w:rFonts w:hint="eastAsia"/>
                <w:b/>
                <w:bCs/>
                <w:color w:val="auto"/>
              </w:rPr>
            </w:pPr>
            <w:r>
              <w:rPr>
                <w:rFonts w:hint="eastAsia"/>
                <w:b/>
                <w:bCs/>
                <w:color w:val="auto"/>
              </w:rPr>
              <w:t>（2）医疗废物暂存要求</w:t>
            </w:r>
          </w:p>
          <w:p>
            <w:pPr>
              <w:ind w:firstLine="480"/>
              <w:rPr>
                <w:rFonts w:hint="eastAsia"/>
                <w:color w:val="auto"/>
              </w:rPr>
            </w:pPr>
            <w:r>
              <w:rPr>
                <w:rFonts w:hint="eastAsia"/>
                <w:color w:val="auto"/>
              </w:rPr>
              <w:t>本项目设有专门的医废暂存间。要求医疗垃圾暂存间严格按照《危险废物储存污染控制标准》相关要求进行建设，做好防风、防雨、防渗，防止二次污染；地面采用坚固、防渗、耐腐蚀的材料建造，设堵截泄漏的裙脚、 地沟等设施。同时，要求医疗垃圾暂存间应设置严密的封闭措施，并设专职管理人员，防止非工作人员接触医疗废物；有防鼠、防蚊蝇、防蟑螂、防盗和预防儿童的安全措施；易于清洁和消毒；设置明显的医疗废物警示标识和“禁止吸烟、饮食”的警示标识。根据《医疗卫生机构医疗废物管理办法》中“医疗废物暂时贮存的时间不得超过2天”的规定要求，要求医疗垃圾尽可 能做到“日产日清”的清运方式，院内暂存时间不得超过2天，对医疗废物需进行消毒处理。</w:t>
            </w:r>
          </w:p>
          <w:p>
            <w:pPr>
              <w:ind w:firstLine="482"/>
              <w:rPr>
                <w:rFonts w:hint="eastAsia"/>
                <w:b/>
                <w:bCs/>
                <w:color w:val="auto"/>
              </w:rPr>
            </w:pPr>
            <w:r>
              <w:rPr>
                <w:rFonts w:hint="eastAsia"/>
                <w:b/>
                <w:bCs/>
                <w:color w:val="auto"/>
              </w:rPr>
              <w:t>（3）医疗废物的交接</w:t>
            </w:r>
          </w:p>
          <w:p>
            <w:pPr>
              <w:ind w:firstLine="480"/>
              <w:rPr>
                <w:rFonts w:hint="eastAsia"/>
                <w:color w:val="auto"/>
              </w:rPr>
            </w:pPr>
            <w:r>
              <w:rPr>
                <w:rFonts w:hint="eastAsia"/>
                <w:color w:val="auto"/>
              </w:rPr>
              <w:t>医疗废物运送人员在接收医疗废物时，应外观检查医疗卫生机构是否按规定进行包装、标识，并盛装于周转箱内，不得打开包装袋取出医疗废物。对包装破损、包装外表污染或未盛装于周转箱内的医疗废物，医疗废物运送人员应当要求医疗卫生机构重新包装、标识并盛装于周转箱内。拒不按规定对医疗废物进行包装的，运送人员有权拒绝运送，并向当地环保部门报告。</w:t>
            </w:r>
          </w:p>
          <w:p>
            <w:pPr>
              <w:ind w:firstLine="482"/>
              <w:rPr>
                <w:rFonts w:hint="eastAsia"/>
                <w:b/>
                <w:bCs/>
                <w:color w:val="auto"/>
              </w:rPr>
            </w:pPr>
            <w:r>
              <w:rPr>
                <w:rFonts w:hint="eastAsia"/>
                <w:b/>
                <w:bCs/>
                <w:color w:val="auto"/>
              </w:rPr>
              <w:t>（4）医疗废物转运要求</w:t>
            </w:r>
          </w:p>
          <w:p>
            <w:pPr>
              <w:ind w:firstLine="480"/>
              <w:rPr>
                <w:rFonts w:hint="eastAsia"/>
                <w:color w:val="auto"/>
              </w:rPr>
            </w:pPr>
            <w:r>
              <w:rPr>
                <w:rFonts w:hint="eastAsia"/>
                <w:color w:val="auto"/>
              </w:rPr>
              <w:t>本项目医疗废物的交接和运输时应填写《医疗废物运送登记卡》，一车一卡，实施危险废物转移联单管理制度。在医疗废物运送过程中不得丢弃、 遗撒医疗废物，不得装载或混装其它货物和动植物。同时，医疗废物转运应当使用符合《医疗废物转运车技术要求》（GB19217）的专用车辆。</w:t>
            </w:r>
          </w:p>
          <w:p>
            <w:pPr>
              <w:ind w:firstLine="482"/>
              <w:rPr>
                <w:rFonts w:hint="eastAsia"/>
                <w:b/>
                <w:bCs/>
                <w:color w:val="auto"/>
              </w:rPr>
            </w:pPr>
            <w:r>
              <w:rPr>
                <w:rFonts w:hint="eastAsia"/>
                <w:b/>
                <w:bCs/>
                <w:color w:val="auto"/>
              </w:rPr>
              <w:t>（5）医疗废物处置要求</w:t>
            </w:r>
          </w:p>
          <w:p>
            <w:pPr>
              <w:ind w:firstLine="480"/>
              <w:rPr>
                <w:rFonts w:hint="eastAsia"/>
                <w:color w:val="auto"/>
              </w:rPr>
            </w:pPr>
            <w:r>
              <w:rPr>
                <w:rFonts w:hint="eastAsia"/>
                <w:color w:val="auto"/>
              </w:rPr>
              <w:t>项目运营过程中产生的动物切除病理组织、动物尸体暂存在专用冰柜内， 与其它医疗废物一起交由有资质的单位进行统一处置。禁止委托无资质的单位从事收集、运送、贮存和处置医疗废物；禁止将医疗废物混入其它废物、 生活垃圾或向环境排放，或不按环保要求擅自进行处置；禁止任何单位和个人转让、买卖医疗废物；禁止在运送过程中丢弃医疗废物。</w:t>
            </w:r>
          </w:p>
          <w:p>
            <w:pPr>
              <w:ind w:firstLine="480"/>
              <w:rPr>
                <w:rFonts w:hint="eastAsia"/>
                <w:color w:val="auto"/>
              </w:rPr>
            </w:pPr>
            <w:r>
              <w:rPr>
                <w:rFonts w:hint="eastAsia"/>
                <w:color w:val="auto"/>
              </w:rPr>
              <w:t>项目在营运过程中产生固体废物的产生情况及处置方式见下表。</w:t>
            </w:r>
          </w:p>
          <w:p>
            <w:pPr>
              <w:pStyle w:val="102"/>
              <w:ind w:left="422" w:hanging="422"/>
              <w:rPr>
                <w:rFonts w:hint="eastAsia"/>
                <w:color w:val="auto"/>
              </w:rPr>
            </w:pPr>
            <w:r>
              <w:rPr>
                <w:rFonts w:hint="eastAsia"/>
                <w:color w:val="auto"/>
              </w:rPr>
              <w:t>表4-</w:t>
            </w:r>
            <w:r>
              <w:rPr>
                <w:rFonts w:hint="eastAsia"/>
                <w:color w:val="auto"/>
                <w:lang w:val="en-US" w:eastAsia="zh-CN"/>
              </w:rPr>
              <w:t>8</w:t>
            </w:r>
            <w:r>
              <w:rPr>
                <w:rFonts w:hint="eastAsia"/>
                <w:color w:val="auto"/>
              </w:rPr>
              <w:t xml:space="preserve">  运营期固体废物产生情况及处置方式</w:t>
            </w:r>
          </w:p>
          <w:tbl>
            <w:tblPr>
              <w:tblStyle w:val="3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0"/>
              <w:gridCol w:w="1177"/>
              <w:gridCol w:w="899"/>
              <w:gridCol w:w="1499"/>
              <w:gridCol w:w="36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noWrap w:val="0"/>
                  <w:vAlign w:val="center"/>
                </w:tcPr>
                <w:p>
                  <w:pPr>
                    <w:pStyle w:val="69"/>
                    <w:rPr>
                      <w:rFonts w:hint="eastAsia"/>
                      <w:color w:val="auto"/>
                    </w:rPr>
                  </w:pPr>
                  <w:r>
                    <w:rPr>
                      <w:color w:val="auto"/>
                    </w:rPr>
                    <w:t>类别</w:t>
                  </w:r>
                </w:p>
              </w:tc>
              <w:tc>
                <w:tcPr>
                  <w:tcW w:w="0" w:type="auto"/>
                  <w:noWrap w:val="0"/>
                  <w:vAlign w:val="center"/>
                </w:tcPr>
                <w:p>
                  <w:pPr>
                    <w:pStyle w:val="69"/>
                    <w:rPr>
                      <w:rFonts w:hint="eastAsia"/>
                      <w:color w:val="auto"/>
                    </w:rPr>
                  </w:pPr>
                  <w:r>
                    <w:rPr>
                      <w:color w:val="auto"/>
                    </w:rPr>
                    <w:t>废弃物名称</w:t>
                  </w:r>
                </w:p>
              </w:tc>
              <w:tc>
                <w:tcPr>
                  <w:tcW w:w="0" w:type="auto"/>
                  <w:noWrap w:val="0"/>
                  <w:vAlign w:val="center"/>
                </w:tcPr>
                <w:p>
                  <w:pPr>
                    <w:pStyle w:val="69"/>
                    <w:rPr>
                      <w:rFonts w:hint="eastAsia"/>
                      <w:color w:val="auto"/>
                    </w:rPr>
                  </w:pPr>
                  <w:r>
                    <w:rPr>
                      <w:color w:val="auto"/>
                    </w:rPr>
                    <w:t>产生量</w:t>
                  </w:r>
                </w:p>
              </w:tc>
              <w:tc>
                <w:tcPr>
                  <w:tcW w:w="0" w:type="auto"/>
                  <w:noWrap w:val="0"/>
                  <w:vAlign w:val="center"/>
                </w:tcPr>
                <w:p>
                  <w:pPr>
                    <w:pStyle w:val="69"/>
                    <w:rPr>
                      <w:rFonts w:hint="eastAsia" w:eastAsia="宋体"/>
                      <w:color w:val="auto"/>
                      <w:lang w:eastAsia="zh-CN"/>
                    </w:rPr>
                  </w:pPr>
                  <w:r>
                    <w:rPr>
                      <w:rFonts w:hint="eastAsia"/>
                      <w:color w:val="auto"/>
                      <w:lang w:eastAsia="zh-CN"/>
                    </w:rPr>
                    <w:t>废物类别</w:t>
                  </w:r>
                  <w:r>
                    <w:rPr>
                      <w:rFonts w:hint="eastAsia"/>
                      <w:color w:val="auto"/>
                      <w:lang w:val="en-US" w:eastAsia="zh-CN"/>
                    </w:rPr>
                    <w:t>/</w:t>
                  </w:r>
                  <w:r>
                    <w:rPr>
                      <w:rFonts w:hint="eastAsia"/>
                      <w:color w:val="auto"/>
                      <w:lang w:eastAsia="zh-CN"/>
                    </w:rPr>
                    <w:t>代码</w:t>
                  </w:r>
                </w:p>
              </w:tc>
              <w:tc>
                <w:tcPr>
                  <w:tcW w:w="0" w:type="auto"/>
                  <w:noWrap w:val="0"/>
                  <w:vAlign w:val="center"/>
                </w:tcPr>
                <w:p>
                  <w:pPr>
                    <w:pStyle w:val="69"/>
                    <w:rPr>
                      <w:rFonts w:hint="eastAsia"/>
                      <w:color w:val="auto"/>
                    </w:rPr>
                  </w:pPr>
                  <w:r>
                    <w:rPr>
                      <w:color w:val="auto"/>
                    </w:rPr>
                    <w:t>处置方式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restart"/>
                  <w:noWrap w:val="0"/>
                  <w:vAlign w:val="center"/>
                </w:tcPr>
                <w:p>
                  <w:pPr>
                    <w:pStyle w:val="69"/>
                    <w:rPr>
                      <w:rFonts w:hint="eastAsia"/>
                      <w:color w:val="auto"/>
                    </w:rPr>
                  </w:pPr>
                  <w:r>
                    <w:rPr>
                      <w:color w:val="auto"/>
                    </w:rPr>
                    <w:t>一般固废</w:t>
                  </w:r>
                </w:p>
              </w:tc>
              <w:tc>
                <w:tcPr>
                  <w:tcW w:w="0" w:type="auto"/>
                  <w:noWrap w:val="0"/>
                  <w:vAlign w:val="center"/>
                </w:tcPr>
                <w:p>
                  <w:pPr>
                    <w:pStyle w:val="69"/>
                    <w:rPr>
                      <w:rFonts w:hint="eastAsia"/>
                      <w:color w:val="auto"/>
                    </w:rPr>
                  </w:pPr>
                  <w:r>
                    <w:rPr>
                      <w:color w:val="auto"/>
                    </w:rPr>
                    <w:t>生活垃圾</w:t>
                  </w:r>
                </w:p>
              </w:tc>
              <w:tc>
                <w:tcPr>
                  <w:tcW w:w="0" w:type="auto"/>
                  <w:noWrap w:val="0"/>
                  <w:vAlign w:val="center"/>
                </w:tcPr>
                <w:p>
                  <w:pPr>
                    <w:pStyle w:val="69"/>
                    <w:rPr>
                      <w:rFonts w:hint="eastAsia"/>
                      <w:color w:val="auto"/>
                    </w:rPr>
                  </w:pPr>
                  <w:r>
                    <w:rPr>
                      <w:rFonts w:hint="eastAsia"/>
                      <w:color w:val="auto"/>
                    </w:rPr>
                    <w:t>0.18</w:t>
                  </w:r>
                  <w:r>
                    <w:rPr>
                      <w:color w:val="auto"/>
                    </w:rPr>
                    <w:t>t/a</w:t>
                  </w:r>
                </w:p>
              </w:tc>
              <w:tc>
                <w:tcPr>
                  <w:tcW w:w="0" w:type="auto"/>
                  <w:noWrap w:val="0"/>
                  <w:vAlign w:val="center"/>
                </w:tcPr>
                <w:p>
                  <w:pPr>
                    <w:pStyle w:val="69"/>
                    <w:rPr>
                      <w:rFonts w:hint="default" w:eastAsia="宋体"/>
                      <w:color w:val="auto"/>
                      <w:lang w:val="en-US" w:eastAsia="zh-CN"/>
                    </w:rPr>
                  </w:pPr>
                  <w:r>
                    <w:rPr>
                      <w:rFonts w:hint="eastAsia"/>
                      <w:color w:val="auto"/>
                      <w:lang w:val="en-US" w:eastAsia="zh-CN"/>
                    </w:rPr>
                    <w:t>900-999-99</w:t>
                  </w:r>
                </w:p>
              </w:tc>
              <w:tc>
                <w:tcPr>
                  <w:tcW w:w="0" w:type="auto"/>
                  <w:noWrap w:val="0"/>
                  <w:vAlign w:val="center"/>
                </w:tcPr>
                <w:p>
                  <w:pPr>
                    <w:pStyle w:val="69"/>
                    <w:rPr>
                      <w:rFonts w:hint="eastAsia"/>
                      <w:color w:val="auto"/>
                    </w:rPr>
                  </w:pPr>
                  <w:r>
                    <w:rPr>
                      <w:color w:val="auto"/>
                    </w:rPr>
                    <w:t>由市环卫部门统一收集清运和处理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noWrap w:val="0"/>
                  <w:vAlign w:val="center"/>
                </w:tcPr>
                <w:p>
                  <w:pPr>
                    <w:pStyle w:val="69"/>
                    <w:rPr>
                      <w:rFonts w:hint="eastAsia"/>
                      <w:color w:val="auto"/>
                    </w:rPr>
                  </w:pPr>
                </w:p>
              </w:tc>
              <w:tc>
                <w:tcPr>
                  <w:tcW w:w="0" w:type="auto"/>
                  <w:noWrap w:val="0"/>
                  <w:vAlign w:val="center"/>
                </w:tcPr>
                <w:p>
                  <w:pPr>
                    <w:pStyle w:val="69"/>
                    <w:rPr>
                      <w:rFonts w:hint="eastAsia"/>
                      <w:color w:val="auto"/>
                    </w:rPr>
                  </w:pPr>
                  <w:r>
                    <w:rPr>
                      <w:color w:val="auto"/>
                    </w:rPr>
                    <w:t>宠物毛发</w:t>
                  </w:r>
                </w:p>
              </w:tc>
              <w:tc>
                <w:tcPr>
                  <w:tcW w:w="0" w:type="auto"/>
                  <w:noWrap w:val="0"/>
                  <w:vAlign w:val="center"/>
                </w:tcPr>
                <w:p>
                  <w:pPr>
                    <w:pStyle w:val="69"/>
                    <w:rPr>
                      <w:rFonts w:hint="eastAsia"/>
                      <w:color w:val="auto"/>
                    </w:rPr>
                  </w:pPr>
                  <w:r>
                    <w:rPr>
                      <w:color w:val="auto"/>
                    </w:rPr>
                    <w:t>0.05t/a</w:t>
                  </w:r>
                </w:p>
              </w:tc>
              <w:tc>
                <w:tcPr>
                  <w:tcW w:w="0" w:type="auto"/>
                  <w:noWrap w:val="0"/>
                  <w:vAlign w:val="center"/>
                </w:tcPr>
                <w:p>
                  <w:pPr>
                    <w:pStyle w:val="69"/>
                    <w:rPr>
                      <w:color w:val="auto"/>
                    </w:rPr>
                  </w:pPr>
                  <w:r>
                    <w:rPr>
                      <w:rFonts w:hint="eastAsia"/>
                      <w:color w:val="auto"/>
                      <w:lang w:val="en-US" w:eastAsia="zh-CN"/>
                    </w:rPr>
                    <w:t>900-999-99</w:t>
                  </w:r>
                </w:p>
              </w:tc>
              <w:tc>
                <w:tcPr>
                  <w:tcW w:w="0" w:type="auto"/>
                  <w:noWrap w:val="0"/>
                  <w:vAlign w:val="center"/>
                </w:tcPr>
                <w:p>
                  <w:pPr>
                    <w:pStyle w:val="69"/>
                    <w:rPr>
                      <w:rFonts w:hint="eastAsia"/>
                      <w:color w:val="auto"/>
                    </w:rPr>
                  </w:pPr>
                  <w:r>
                    <w:rPr>
                      <w:color w:val="auto"/>
                    </w:rPr>
                    <w:t>集中收集后由环卫部门统一收运处置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0" w:type="auto"/>
                  <w:vMerge w:val="continue"/>
                  <w:noWrap w:val="0"/>
                  <w:vAlign w:val="center"/>
                </w:tcPr>
                <w:p>
                  <w:pPr>
                    <w:pStyle w:val="69"/>
                    <w:rPr>
                      <w:rFonts w:hint="eastAsia"/>
                      <w:color w:val="auto"/>
                    </w:rPr>
                  </w:pPr>
                </w:p>
              </w:tc>
              <w:tc>
                <w:tcPr>
                  <w:tcW w:w="0" w:type="auto"/>
                  <w:noWrap w:val="0"/>
                  <w:vAlign w:val="center"/>
                </w:tcPr>
                <w:p>
                  <w:pPr>
                    <w:pStyle w:val="69"/>
                    <w:rPr>
                      <w:rFonts w:hint="eastAsia"/>
                      <w:color w:val="auto"/>
                    </w:rPr>
                  </w:pPr>
                  <w:r>
                    <w:rPr>
                      <w:color w:val="auto"/>
                    </w:rPr>
                    <w:t>宠物粪便</w:t>
                  </w:r>
                </w:p>
              </w:tc>
              <w:tc>
                <w:tcPr>
                  <w:tcW w:w="0" w:type="auto"/>
                  <w:noWrap w:val="0"/>
                  <w:vAlign w:val="center"/>
                </w:tcPr>
                <w:p>
                  <w:pPr>
                    <w:pStyle w:val="69"/>
                    <w:rPr>
                      <w:rFonts w:hint="eastAsia"/>
                      <w:color w:val="auto"/>
                    </w:rPr>
                  </w:pPr>
                  <w:r>
                    <w:rPr>
                      <w:color w:val="auto"/>
                    </w:rPr>
                    <w:t>0.</w:t>
                  </w:r>
                  <w:r>
                    <w:rPr>
                      <w:rFonts w:hint="eastAsia"/>
                      <w:color w:val="auto"/>
                    </w:rPr>
                    <w:t>3</w:t>
                  </w:r>
                  <w:r>
                    <w:rPr>
                      <w:color w:val="auto"/>
                    </w:rPr>
                    <w:t>t/a</w:t>
                  </w:r>
                </w:p>
              </w:tc>
              <w:tc>
                <w:tcPr>
                  <w:tcW w:w="0" w:type="auto"/>
                  <w:noWrap w:val="0"/>
                  <w:vAlign w:val="center"/>
                </w:tcPr>
                <w:p>
                  <w:pPr>
                    <w:pStyle w:val="69"/>
                    <w:rPr>
                      <w:color w:val="auto"/>
                    </w:rPr>
                  </w:pPr>
                  <w:r>
                    <w:rPr>
                      <w:rFonts w:hint="eastAsia"/>
                      <w:color w:val="auto"/>
                      <w:lang w:val="en-US" w:eastAsia="zh-CN"/>
                    </w:rPr>
                    <w:t>900-999-99</w:t>
                  </w:r>
                </w:p>
              </w:tc>
              <w:tc>
                <w:tcPr>
                  <w:tcW w:w="0" w:type="auto"/>
                  <w:noWrap w:val="0"/>
                  <w:vAlign w:val="center"/>
                </w:tcPr>
                <w:p>
                  <w:pPr>
                    <w:pStyle w:val="69"/>
                    <w:rPr>
                      <w:rFonts w:hint="eastAsia"/>
                      <w:color w:val="auto"/>
                    </w:rPr>
                  </w:pPr>
                  <w:r>
                    <w:rPr>
                      <w:color w:val="auto"/>
                    </w:rPr>
                    <w:t>生石灰灭活后，由环卫部门统一收运处置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5" w:hRule="atLeast"/>
              </w:trPr>
              <w:tc>
                <w:tcPr>
                  <w:tcW w:w="0" w:type="auto"/>
                  <w:vMerge w:val="restart"/>
                  <w:noWrap w:val="0"/>
                  <w:vAlign w:val="center"/>
                </w:tcPr>
                <w:p>
                  <w:pPr>
                    <w:pStyle w:val="69"/>
                    <w:rPr>
                      <w:rFonts w:hint="eastAsia"/>
                      <w:color w:val="auto"/>
                    </w:rPr>
                  </w:pPr>
                  <w:r>
                    <w:rPr>
                      <w:color w:val="auto"/>
                    </w:rPr>
                    <w:t>危险废物</w:t>
                  </w:r>
                </w:p>
              </w:tc>
              <w:tc>
                <w:tcPr>
                  <w:tcW w:w="0" w:type="auto"/>
                  <w:noWrap w:val="0"/>
                  <w:vAlign w:val="center"/>
                </w:tcPr>
                <w:p>
                  <w:pPr>
                    <w:pStyle w:val="69"/>
                    <w:rPr>
                      <w:rFonts w:hint="eastAsia"/>
                      <w:color w:val="auto"/>
                    </w:rPr>
                  </w:pPr>
                  <w:r>
                    <w:rPr>
                      <w:color w:val="auto"/>
                    </w:rPr>
                    <w:t>动物尸体</w:t>
                  </w:r>
                </w:p>
              </w:tc>
              <w:tc>
                <w:tcPr>
                  <w:tcW w:w="0" w:type="auto"/>
                  <w:noWrap w:val="0"/>
                  <w:vAlign w:val="center"/>
                </w:tcPr>
                <w:p>
                  <w:pPr>
                    <w:pStyle w:val="69"/>
                    <w:rPr>
                      <w:rFonts w:hint="eastAsia"/>
                      <w:color w:val="auto"/>
                    </w:rPr>
                  </w:pPr>
                  <w:r>
                    <w:rPr>
                      <w:color w:val="auto"/>
                    </w:rPr>
                    <w:t>0</w:t>
                  </w:r>
                  <w:r>
                    <w:rPr>
                      <w:rFonts w:hint="eastAsia"/>
                      <w:color w:val="auto"/>
                    </w:rPr>
                    <w:t>.</w:t>
                  </w:r>
                  <w:r>
                    <w:rPr>
                      <w:color w:val="auto"/>
                    </w:rPr>
                    <w:t>5t/a</w:t>
                  </w:r>
                </w:p>
              </w:tc>
              <w:tc>
                <w:tcPr>
                  <w:tcW w:w="0" w:type="auto"/>
                  <w:noWrap w:val="0"/>
                  <w:vAlign w:val="center"/>
                </w:tcPr>
                <w:p>
                  <w:pPr>
                    <w:pStyle w:val="69"/>
                    <w:rPr>
                      <w:rFonts w:hint="default" w:eastAsia="宋体"/>
                      <w:color w:val="auto"/>
                      <w:lang w:val="en-US" w:eastAsia="zh-CN"/>
                    </w:rPr>
                  </w:pPr>
                  <w:r>
                    <w:rPr>
                      <w:rFonts w:hint="eastAsia"/>
                      <w:color w:val="auto"/>
                      <w:lang w:val="en-US" w:eastAsia="zh-CN"/>
                    </w:rPr>
                    <w:t>841-003-01</w:t>
                  </w:r>
                </w:p>
              </w:tc>
              <w:tc>
                <w:tcPr>
                  <w:tcW w:w="0" w:type="auto"/>
                  <w:noWrap w:val="0"/>
                  <w:vAlign w:val="center"/>
                </w:tcPr>
                <w:p>
                  <w:pPr>
                    <w:pStyle w:val="69"/>
                    <w:rPr>
                      <w:rFonts w:hint="eastAsia"/>
                      <w:color w:val="auto"/>
                    </w:rPr>
                  </w:pPr>
                  <w:r>
                    <w:rPr>
                      <w:color w:val="auto"/>
                    </w:rPr>
                    <w:t>交由资质单位处置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noWrap w:val="0"/>
                  <w:vAlign w:val="center"/>
                </w:tcPr>
                <w:p>
                  <w:pPr>
                    <w:pStyle w:val="69"/>
                    <w:rPr>
                      <w:rFonts w:hint="eastAsia"/>
                      <w:color w:val="auto"/>
                    </w:rPr>
                  </w:pPr>
                </w:p>
              </w:tc>
              <w:tc>
                <w:tcPr>
                  <w:tcW w:w="0" w:type="auto"/>
                  <w:noWrap w:val="0"/>
                  <w:vAlign w:val="center"/>
                </w:tcPr>
                <w:p>
                  <w:pPr>
                    <w:pStyle w:val="69"/>
                    <w:rPr>
                      <w:rFonts w:hint="eastAsia"/>
                      <w:color w:val="auto"/>
                    </w:rPr>
                  </w:pPr>
                  <w:r>
                    <w:rPr>
                      <w:color w:val="auto"/>
                    </w:rPr>
                    <w:t>医疗垃圾</w:t>
                  </w:r>
                </w:p>
              </w:tc>
              <w:tc>
                <w:tcPr>
                  <w:tcW w:w="0" w:type="auto"/>
                  <w:noWrap w:val="0"/>
                  <w:vAlign w:val="center"/>
                </w:tcPr>
                <w:p>
                  <w:pPr>
                    <w:pStyle w:val="69"/>
                    <w:rPr>
                      <w:rFonts w:hint="eastAsia"/>
                      <w:color w:val="auto"/>
                    </w:rPr>
                  </w:pPr>
                  <w:r>
                    <w:rPr>
                      <w:color w:val="auto"/>
                    </w:rPr>
                    <w:t>1.</w:t>
                  </w:r>
                  <w:r>
                    <w:rPr>
                      <w:rFonts w:hint="eastAsia"/>
                      <w:color w:val="auto"/>
                    </w:rPr>
                    <w:t>8</w:t>
                  </w:r>
                  <w:r>
                    <w:rPr>
                      <w:color w:val="auto"/>
                    </w:rPr>
                    <w:t>t/a</w:t>
                  </w:r>
                </w:p>
              </w:tc>
              <w:tc>
                <w:tcPr>
                  <w:tcW w:w="0" w:type="auto"/>
                  <w:noWrap w:val="0"/>
                  <w:vAlign w:val="center"/>
                </w:tcPr>
                <w:p>
                  <w:pPr>
                    <w:pStyle w:val="69"/>
                    <w:rPr>
                      <w:rFonts w:hint="default" w:eastAsia="宋体"/>
                      <w:color w:val="auto"/>
                      <w:lang w:val="en-US" w:eastAsia="zh-CN"/>
                    </w:rPr>
                  </w:pPr>
                  <w:r>
                    <w:rPr>
                      <w:rFonts w:hint="eastAsia"/>
                      <w:color w:val="auto"/>
                      <w:lang w:val="en-US" w:eastAsia="zh-CN"/>
                    </w:rPr>
                    <w:t>841-005-01</w:t>
                  </w:r>
                </w:p>
              </w:tc>
              <w:tc>
                <w:tcPr>
                  <w:tcW w:w="0" w:type="auto"/>
                  <w:noWrap w:val="0"/>
                  <w:vAlign w:val="center"/>
                </w:tcPr>
                <w:p>
                  <w:pPr>
                    <w:pStyle w:val="69"/>
                    <w:rPr>
                      <w:rFonts w:hint="eastAsia"/>
                      <w:color w:val="auto"/>
                    </w:rPr>
                  </w:pPr>
                  <w:r>
                    <w:rPr>
                      <w:color w:val="auto"/>
                    </w:rPr>
                    <w:t>暂存于</w:t>
                  </w:r>
                  <w:r>
                    <w:rPr>
                      <w:rFonts w:hint="eastAsia"/>
                      <w:color w:val="auto"/>
                    </w:rPr>
                    <w:t>医废间</w:t>
                  </w:r>
                  <w:r>
                    <w:rPr>
                      <w:color w:val="auto"/>
                    </w:rPr>
                    <w:t>，交由有资质单位处置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noWrap w:val="0"/>
                  <w:vAlign w:val="center"/>
                </w:tcPr>
                <w:p>
                  <w:pPr>
                    <w:pStyle w:val="69"/>
                    <w:rPr>
                      <w:rFonts w:hint="eastAsia"/>
                      <w:color w:val="auto"/>
                    </w:rPr>
                  </w:pPr>
                </w:p>
              </w:tc>
              <w:tc>
                <w:tcPr>
                  <w:tcW w:w="0" w:type="auto"/>
                  <w:noWrap w:val="0"/>
                  <w:vAlign w:val="center"/>
                </w:tcPr>
                <w:p>
                  <w:pPr>
                    <w:pStyle w:val="69"/>
                    <w:rPr>
                      <w:color w:val="auto"/>
                    </w:rPr>
                  </w:pPr>
                  <w:r>
                    <w:rPr>
                      <w:color w:val="auto"/>
                    </w:rPr>
                    <w:t>废紫外灯管</w:t>
                  </w:r>
                </w:p>
              </w:tc>
              <w:tc>
                <w:tcPr>
                  <w:tcW w:w="0" w:type="auto"/>
                  <w:noWrap w:val="0"/>
                  <w:vAlign w:val="center"/>
                </w:tcPr>
                <w:p>
                  <w:pPr>
                    <w:pStyle w:val="69"/>
                    <w:rPr>
                      <w:color w:val="auto"/>
                    </w:rPr>
                  </w:pPr>
                  <w:r>
                    <w:rPr>
                      <w:color w:val="auto"/>
                    </w:rPr>
                    <w:t>0.0</w:t>
                  </w:r>
                  <w:r>
                    <w:rPr>
                      <w:rFonts w:hint="eastAsia"/>
                      <w:color w:val="auto"/>
                    </w:rPr>
                    <w:t>0</w:t>
                  </w:r>
                  <w:r>
                    <w:rPr>
                      <w:color w:val="auto"/>
                    </w:rPr>
                    <w:t>2t/a</w:t>
                  </w:r>
                </w:p>
              </w:tc>
              <w:tc>
                <w:tcPr>
                  <w:tcW w:w="0" w:type="auto"/>
                  <w:noWrap w:val="0"/>
                  <w:vAlign w:val="center"/>
                </w:tcPr>
                <w:p>
                  <w:pPr>
                    <w:pStyle w:val="69"/>
                    <w:rPr>
                      <w:rFonts w:hint="default" w:eastAsia="宋体"/>
                      <w:color w:val="auto"/>
                      <w:lang w:val="en-US" w:eastAsia="zh-CN"/>
                    </w:rPr>
                  </w:pPr>
                  <w:r>
                    <w:rPr>
                      <w:rFonts w:hint="eastAsia"/>
                      <w:color w:val="auto"/>
                      <w:lang w:val="en-US" w:eastAsia="zh-CN"/>
                    </w:rPr>
                    <w:t>900-023-29</w:t>
                  </w:r>
                </w:p>
              </w:tc>
              <w:tc>
                <w:tcPr>
                  <w:tcW w:w="0" w:type="auto"/>
                  <w:noWrap w:val="0"/>
                  <w:vAlign w:val="center"/>
                </w:tcPr>
                <w:p>
                  <w:pPr>
                    <w:pStyle w:val="69"/>
                    <w:rPr>
                      <w:color w:val="auto"/>
                    </w:rPr>
                  </w:pPr>
                  <w:r>
                    <w:rPr>
                      <w:color w:val="auto"/>
                    </w:rPr>
                    <w:t>应暂存在</w:t>
                  </w:r>
                  <w:r>
                    <w:rPr>
                      <w:rFonts w:hint="eastAsia"/>
                      <w:color w:val="auto"/>
                    </w:rPr>
                    <w:t>医废间</w:t>
                  </w:r>
                  <w:r>
                    <w:rPr>
                      <w:color w:val="auto"/>
                    </w:rPr>
                    <w:t>内并交由有资质单位处理</w:t>
                  </w:r>
                </w:p>
              </w:tc>
            </w:tr>
          </w:tbl>
          <w:p>
            <w:pPr>
              <w:ind w:firstLine="0" w:firstLineChars="0"/>
              <w:jc w:val="left"/>
              <w:rPr>
                <w:rFonts w:hint="eastAsia"/>
                <w:b/>
                <w:bCs/>
                <w:color w:val="auto"/>
              </w:rPr>
            </w:pPr>
            <w:r>
              <w:rPr>
                <w:b/>
                <w:bCs/>
                <w:color w:val="auto"/>
              </w:rPr>
              <w:t>五、环境风险</w:t>
            </w:r>
            <w:r>
              <w:rPr>
                <w:rFonts w:hint="eastAsia"/>
                <w:b/>
                <w:bCs/>
                <w:color w:val="auto"/>
              </w:rPr>
              <w:t>分析</w:t>
            </w:r>
          </w:p>
          <w:p>
            <w:pPr>
              <w:ind w:firstLine="480"/>
              <w:rPr>
                <w:color w:val="auto"/>
              </w:rPr>
            </w:pPr>
            <w:r>
              <w:rPr>
                <w:color w:val="auto"/>
              </w:rPr>
              <w:t>按照《建设项目环境风险评价技术导则》（HJ169-2018）的要求，环境风险评价应以突发性事故导致的危险物质环境急性损害防控为目标，对建设项目的环境风险进行分析、预测和评估，提出环境风险预防、控制、减缓措施，明确环境风险监控及应急建议要求，为建设项目环境风险防控提供科学依据。</w:t>
            </w:r>
          </w:p>
          <w:p>
            <w:pPr>
              <w:ind w:firstLine="480"/>
              <w:rPr>
                <w:color w:val="auto"/>
              </w:rPr>
            </w:pPr>
            <w:r>
              <w:rPr>
                <w:rFonts w:hint="eastAsia"/>
                <w:color w:val="auto"/>
              </w:rPr>
              <w:t>1、</w:t>
            </w:r>
            <w:r>
              <w:rPr>
                <w:color w:val="auto"/>
              </w:rPr>
              <w:t>评价依据</w:t>
            </w:r>
          </w:p>
          <w:p>
            <w:pPr>
              <w:ind w:firstLine="480"/>
              <w:rPr>
                <w:rFonts w:hint="eastAsia"/>
                <w:color w:val="auto"/>
              </w:rPr>
            </w:pPr>
            <w:r>
              <w:rPr>
                <w:rFonts w:hint="eastAsia"/>
                <w:color w:val="auto"/>
              </w:rPr>
              <w:t>根据《危险化学品重大危险源辨识》（GB1828-2018）中相关要求，本项目主要风险物质为医疗、二氧化氯泡腾片。因此，本次评价将医疗废物、二氧化氯泡腾片定为重要危险源。</w:t>
            </w:r>
          </w:p>
          <w:p>
            <w:pPr>
              <w:ind w:firstLine="480"/>
              <w:rPr>
                <w:rFonts w:hint="eastAsia"/>
                <w:color w:val="auto"/>
              </w:rPr>
            </w:pPr>
            <w:r>
              <w:rPr>
                <w:rFonts w:hint="eastAsia"/>
                <w:color w:val="auto"/>
              </w:rPr>
              <w:t>2、环境敏感目标调查</w:t>
            </w:r>
          </w:p>
          <w:p>
            <w:pPr>
              <w:ind w:firstLine="480"/>
              <w:rPr>
                <w:rFonts w:hint="eastAsia"/>
                <w:color w:val="auto"/>
              </w:rPr>
            </w:pPr>
            <w:r>
              <w:rPr>
                <w:rFonts w:hint="eastAsia"/>
                <w:color w:val="auto"/>
              </w:rPr>
              <w:t>项目周围主要环境敏感目标为周边住宅小区以及竹公溪。</w:t>
            </w:r>
          </w:p>
          <w:p>
            <w:pPr>
              <w:ind w:firstLine="480"/>
              <w:rPr>
                <w:rFonts w:hint="eastAsia"/>
                <w:color w:val="auto"/>
              </w:rPr>
            </w:pPr>
            <w:r>
              <w:rPr>
                <w:rFonts w:hint="eastAsia"/>
                <w:color w:val="auto"/>
              </w:rPr>
              <w:t>3、风险识别</w:t>
            </w:r>
          </w:p>
          <w:p>
            <w:pPr>
              <w:ind w:firstLine="480"/>
              <w:rPr>
                <w:rFonts w:hint="eastAsia"/>
                <w:color w:val="auto"/>
              </w:rPr>
            </w:pPr>
            <w:r>
              <w:rPr>
                <w:rFonts w:hint="eastAsia"/>
                <w:color w:val="auto"/>
              </w:rPr>
              <w:t>本项目风险主要包括医疗废物处置设施风险识别和处置过程所涉及的物质风险识别。包括医疗废物的收集、转移、处理处置等。</w:t>
            </w:r>
          </w:p>
          <w:p>
            <w:pPr>
              <w:ind w:firstLine="480"/>
              <w:rPr>
                <w:rFonts w:hint="eastAsia"/>
                <w:color w:val="auto"/>
              </w:rPr>
            </w:pPr>
            <w:r>
              <w:rPr>
                <w:rFonts w:hint="eastAsia"/>
                <w:color w:val="auto"/>
              </w:rPr>
              <w:t>4、事故风险分析</w:t>
            </w:r>
          </w:p>
          <w:p>
            <w:pPr>
              <w:ind w:firstLine="480"/>
              <w:rPr>
                <w:rFonts w:hint="eastAsia"/>
                <w:color w:val="auto"/>
              </w:rPr>
            </w:pPr>
            <w:r>
              <w:rPr>
                <w:rFonts w:hint="eastAsia"/>
                <w:color w:val="auto"/>
              </w:rPr>
              <w:t>营运期环境风险主要包括：</w:t>
            </w:r>
          </w:p>
          <w:p>
            <w:pPr>
              <w:ind w:firstLine="480"/>
              <w:rPr>
                <w:rFonts w:hint="eastAsia"/>
                <w:color w:val="auto"/>
              </w:rPr>
            </w:pPr>
            <w:r>
              <w:rPr>
                <w:rFonts w:hint="eastAsia"/>
                <w:color w:val="auto"/>
              </w:rPr>
              <w:t>①污水处理设施出现故障时，外排的医疗废水对外环境的污染。</w:t>
            </w:r>
          </w:p>
          <w:p>
            <w:pPr>
              <w:ind w:firstLine="480"/>
              <w:rPr>
                <w:rFonts w:hint="eastAsia"/>
                <w:color w:val="auto"/>
              </w:rPr>
            </w:pPr>
            <w:r>
              <w:rPr>
                <w:rFonts w:hint="eastAsia"/>
                <w:color w:val="auto"/>
              </w:rPr>
              <w:t>②各类医用化学品存储、使用过程中的环境风险。</w:t>
            </w:r>
          </w:p>
          <w:p>
            <w:pPr>
              <w:ind w:firstLine="480"/>
              <w:rPr>
                <w:rFonts w:hint="eastAsia"/>
                <w:color w:val="auto"/>
              </w:rPr>
            </w:pPr>
            <w:r>
              <w:rPr>
                <w:rFonts w:hint="eastAsia"/>
                <w:color w:val="auto"/>
              </w:rPr>
              <w:t>③医疗废物发生泄漏，本项目产生的医疗废物主要为药物性废物属危险废物，如处置不当，可能对人群健康造成危害。</w:t>
            </w:r>
          </w:p>
          <w:p>
            <w:pPr>
              <w:ind w:firstLine="480"/>
              <w:rPr>
                <w:rFonts w:hint="eastAsia"/>
                <w:color w:val="auto"/>
              </w:rPr>
            </w:pPr>
            <w:r>
              <w:rPr>
                <w:rFonts w:hint="eastAsia"/>
                <w:color w:val="auto"/>
              </w:rPr>
              <w:t>④医院涉及动物可能发生的传染病/疫情等对周边人群的影响。</w:t>
            </w:r>
          </w:p>
          <w:p>
            <w:pPr>
              <w:ind w:firstLine="480"/>
              <w:rPr>
                <w:rFonts w:hint="eastAsia"/>
                <w:color w:val="auto"/>
              </w:rPr>
            </w:pPr>
            <w:r>
              <w:rPr>
                <w:rFonts w:hint="eastAsia"/>
                <w:color w:val="auto"/>
              </w:rPr>
              <w:t>在上述风险中，考虑到项目各类医用化学品存储、使用量均较小，故评价主要针对废水事故性外排和可能涉及的动物发生的狂犬病等对周边人群的风险影响提出相关风险防范措施，并对危险化学品管理提出相关管理措施。</w:t>
            </w:r>
          </w:p>
          <w:p>
            <w:pPr>
              <w:ind w:firstLine="480"/>
              <w:rPr>
                <w:rFonts w:hint="eastAsia"/>
                <w:color w:val="auto"/>
              </w:rPr>
            </w:pPr>
            <w:r>
              <w:rPr>
                <w:rFonts w:hint="eastAsia"/>
                <w:color w:val="auto"/>
              </w:rPr>
              <w:t>5、应急处理</w:t>
            </w:r>
          </w:p>
          <w:p>
            <w:pPr>
              <w:ind w:left="480" w:firstLine="0" w:firstLineChars="0"/>
              <w:rPr>
                <w:rFonts w:hint="eastAsia"/>
                <w:color w:val="auto"/>
              </w:rPr>
            </w:pPr>
            <w:r>
              <w:rPr>
                <w:rFonts w:hint="eastAsia"/>
                <w:color w:val="auto"/>
              </w:rPr>
              <w:t>①污水处理设施的风险防范措施</w:t>
            </w:r>
          </w:p>
          <w:p>
            <w:pPr>
              <w:ind w:firstLine="480"/>
              <w:rPr>
                <w:rFonts w:hint="eastAsia"/>
                <w:color w:val="auto"/>
              </w:rPr>
            </w:pPr>
            <w:r>
              <w:rPr>
                <w:rFonts w:hint="eastAsia"/>
                <w:color w:val="auto"/>
              </w:rPr>
              <w:t>A、建设单位必须防止污水事故性外排。安排专人定期对污水处理设施进行维修，确保其正常运行，严防污水事故性排放。一旦污水处理设施出现故障时，立即通知科室停止用水，减少废水产生量，同时切断消毒设施和污水管网的接口，未处理废水经备用桶（1个，容积为50L）收集后待设备恢复正常运行再由污水处理设施进行处理，防止医疗废水未经消毒处理直接排入市政污水管网。</w:t>
            </w:r>
          </w:p>
          <w:p>
            <w:pPr>
              <w:ind w:firstLine="480"/>
              <w:rPr>
                <w:rFonts w:hint="eastAsia"/>
                <w:color w:val="auto"/>
              </w:rPr>
            </w:pPr>
            <w:r>
              <w:rPr>
                <w:rFonts w:hint="eastAsia"/>
                <w:color w:val="auto"/>
              </w:rPr>
              <w:t>B、加强污水处理设施的日常检查维护，医疗废水处理系统主要配件一旦设备出现故障应立即更换处理。</w:t>
            </w:r>
          </w:p>
          <w:p>
            <w:pPr>
              <w:ind w:firstLine="480"/>
              <w:rPr>
                <w:rFonts w:hint="eastAsia"/>
                <w:color w:val="auto"/>
              </w:rPr>
            </w:pPr>
            <w:r>
              <w:rPr>
                <w:rFonts w:hint="eastAsia"/>
                <w:color w:val="auto"/>
              </w:rPr>
              <w:t>C、要求加强项目污水处理设施的日常管理工作，定期检查污水处理设施内的药剂。</w:t>
            </w:r>
          </w:p>
          <w:p>
            <w:pPr>
              <w:ind w:firstLine="480"/>
              <w:rPr>
                <w:rFonts w:hint="eastAsia"/>
                <w:color w:val="auto"/>
              </w:rPr>
            </w:pPr>
            <w:r>
              <w:rPr>
                <w:rFonts w:hint="eastAsia"/>
                <w:color w:val="auto"/>
              </w:rPr>
              <w:t>D、在污水处理实施恢复使用后，建设单位应将污水处理设施处理池内暂存的未经处理的污水有效处理，再达标外排。</w:t>
            </w:r>
          </w:p>
          <w:p>
            <w:pPr>
              <w:ind w:firstLine="480"/>
              <w:rPr>
                <w:rFonts w:hint="eastAsia"/>
                <w:color w:val="auto"/>
              </w:rPr>
            </w:pPr>
            <w:r>
              <w:rPr>
                <w:rFonts w:hint="eastAsia"/>
                <w:color w:val="auto"/>
              </w:rPr>
              <w:t>②化学品管理</w:t>
            </w:r>
          </w:p>
          <w:p>
            <w:pPr>
              <w:ind w:firstLine="480"/>
              <w:rPr>
                <w:rFonts w:hint="eastAsia"/>
                <w:color w:val="auto"/>
              </w:rPr>
            </w:pPr>
            <w:r>
              <w:rPr>
                <w:rFonts w:hint="eastAsia"/>
                <w:color w:val="auto"/>
              </w:rPr>
              <w:t>对于化学品的购买、储存、保管、使用等需要按照《危险化学品安全管理条例》的规定管理，化学品出入库，必须进行核查登记，并定期监测库存。做好化学品的存储及使用的安全防范措施，具体如下：</w:t>
            </w:r>
          </w:p>
          <w:p>
            <w:pPr>
              <w:ind w:firstLine="480"/>
              <w:rPr>
                <w:rFonts w:hint="eastAsia"/>
                <w:color w:val="auto"/>
              </w:rPr>
            </w:pPr>
            <w:r>
              <w:rPr>
                <w:rFonts w:hint="eastAsia"/>
                <w:color w:val="auto"/>
              </w:rPr>
              <w:t>A、化学品必须储存在专用储存柜内，其储存方式、方法与储存量必须符合国家标准，并由专人管理。</w:t>
            </w:r>
          </w:p>
          <w:p>
            <w:pPr>
              <w:ind w:firstLine="480"/>
              <w:rPr>
                <w:rFonts w:hint="eastAsia"/>
                <w:color w:val="auto"/>
              </w:rPr>
            </w:pPr>
            <w:r>
              <w:rPr>
                <w:rFonts w:hint="eastAsia"/>
                <w:color w:val="auto"/>
              </w:rPr>
              <w:t>B、化学品设有专用存储柜，应当符合国家标准对安全、消防的要求，设置明显标志。</w:t>
            </w:r>
          </w:p>
          <w:p>
            <w:pPr>
              <w:ind w:firstLine="480"/>
              <w:rPr>
                <w:rFonts w:hint="eastAsia"/>
                <w:color w:val="auto"/>
              </w:rPr>
            </w:pPr>
            <w:r>
              <w:rPr>
                <w:rFonts w:hint="eastAsia"/>
                <w:color w:val="auto"/>
              </w:rPr>
              <w:t>③医疗废物储存风险防范措施</w:t>
            </w:r>
          </w:p>
          <w:p>
            <w:pPr>
              <w:ind w:firstLine="480"/>
              <w:rPr>
                <w:rFonts w:hint="eastAsia"/>
                <w:color w:val="auto"/>
              </w:rPr>
            </w:pPr>
            <w:r>
              <w:rPr>
                <w:rFonts w:hint="eastAsia"/>
                <w:color w:val="auto"/>
              </w:rPr>
              <w:t>A、应当使用防渗漏、防抛洒的专用储存工具，做好医疗废物存储地周围的防渗措施。</w:t>
            </w:r>
          </w:p>
          <w:p>
            <w:pPr>
              <w:ind w:firstLine="480"/>
              <w:rPr>
                <w:rFonts w:hint="eastAsia"/>
                <w:color w:val="auto"/>
              </w:rPr>
            </w:pPr>
            <w:r>
              <w:rPr>
                <w:rFonts w:hint="eastAsia"/>
                <w:color w:val="auto"/>
              </w:rPr>
              <w:t>B、医疗废物储存工具应定期进行消毒和清洁。</w:t>
            </w:r>
          </w:p>
          <w:p>
            <w:pPr>
              <w:ind w:firstLine="480"/>
              <w:rPr>
                <w:rFonts w:hint="eastAsia"/>
                <w:color w:val="auto"/>
              </w:rPr>
            </w:pPr>
            <w:r>
              <w:rPr>
                <w:rFonts w:hint="eastAsia"/>
                <w:color w:val="auto"/>
              </w:rPr>
              <w:t>C、医疗废物应分类收集、贮存，贴上醒目标签，不得与生活垃圾混合堆放；发生危险废物与生活垃圾混合的现象，应将所有被污染的生活垃圾当做危险废物处理。</w:t>
            </w:r>
          </w:p>
          <w:p>
            <w:pPr>
              <w:ind w:firstLine="480"/>
              <w:rPr>
                <w:rFonts w:hint="eastAsia"/>
                <w:color w:val="auto"/>
              </w:rPr>
            </w:pPr>
            <w:r>
              <w:rPr>
                <w:rFonts w:hint="eastAsia"/>
                <w:color w:val="auto"/>
              </w:rPr>
              <w:t>④可能发生的传染病/疫情等对周边人群的风险防范措施：</w:t>
            </w:r>
          </w:p>
          <w:p>
            <w:pPr>
              <w:ind w:firstLine="480"/>
              <w:rPr>
                <w:rFonts w:hint="eastAsia"/>
                <w:color w:val="auto"/>
              </w:rPr>
            </w:pPr>
            <w:r>
              <w:rPr>
                <w:rFonts w:hint="eastAsia"/>
                <w:color w:val="auto"/>
              </w:rPr>
              <w:t>A、在项目营业过程中，动物病防治服务范围仅针对猫、狗，不准涉及动物传染病，不涉及人畜共生病治疗科目。在检查过程中如发现传染病及人畜共生病，医院要采取隔离措施并立即将患病动物转移至专业的动物传染病防治医院。</w:t>
            </w:r>
          </w:p>
          <w:p>
            <w:pPr>
              <w:ind w:firstLine="480"/>
              <w:rPr>
                <w:rFonts w:hint="eastAsia"/>
                <w:color w:val="auto"/>
              </w:rPr>
            </w:pPr>
            <w:r>
              <w:rPr>
                <w:rFonts w:hint="eastAsia"/>
                <w:color w:val="auto"/>
              </w:rPr>
              <w:t>B、做好医院内部消毒、杀虫、灭鼠工作；严格遵守《中华人民共和国动物防疫法》、《重大动物疫情应急条例》、《动物疫情报告管理办法》等法律法规，一旦发现宠物传染病或疑似宠物疫情的，及时按规定程序上报，不得接受患传染病或疫情的宠物，并制定相应的环境风险事故应急预案。</w:t>
            </w:r>
          </w:p>
          <w:p>
            <w:pPr>
              <w:ind w:firstLine="480"/>
              <w:rPr>
                <w:rFonts w:hint="eastAsia"/>
                <w:color w:val="auto"/>
              </w:rPr>
            </w:pPr>
            <w:r>
              <w:rPr>
                <w:rFonts w:hint="eastAsia"/>
                <w:color w:val="auto"/>
              </w:rPr>
              <w:t>C、项目在营业过程中，要有针对性地开展消毒和污染物清除工作，对宠物的排泄物要严格消毒处理。</w:t>
            </w:r>
          </w:p>
          <w:p>
            <w:pPr>
              <w:ind w:firstLine="480"/>
              <w:rPr>
                <w:rFonts w:hint="eastAsia"/>
                <w:color w:val="auto"/>
              </w:rPr>
            </w:pPr>
            <w:r>
              <w:rPr>
                <w:rFonts w:hint="eastAsia"/>
                <w:color w:val="auto"/>
              </w:rPr>
              <w:t>D、在营业过程中，加强管理，防止宠物外逃，与人群保持一定的安全距离，严禁出现宠物伤人事件。</w:t>
            </w:r>
          </w:p>
          <w:p>
            <w:pPr>
              <w:ind w:firstLine="480"/>
              <w:rPr>
                <w:rFonts w:hint="eastAsia"/>
                <w:color w:val="auto"/>
              </w:rPr>
            </w:pPr>
            <w:r>
              <w:rPr>
                <w:rFonts w:hint="eastAsia"/>
                <w:color w:val="auto"/>
              </w:rPr>
              <w:t>④火灾风险防范措施</w:t>
            </w:r>
          </w:p>
          <w:p>
            <w:pPr>
              <w:ind w:firstLine="480"/>
              <w:rPr>
                <w:rFonts w:hint="eastAsia"/>
                <w:color w:val="auto"/>
              </w:rPr>
            </w:pPr>
            <w:r>
              <w:rPr>
                <w:rFonts w:hint="eastAsia"/>
                <w:color w:val="auto"/>
              </w:rPr>
              <w:t>A、必须保持消防通道畅通，出入口有明显标志，应急照明，消防通道及安全门不能锁闭，疏散路线有明显的引导图例。</w:t>
            </w:r>
          </w:p>
          <w:p>
            <w:pPr>
              <w:ind w:firstLine="480"/>
              <w:rPr>
                <w:rFonts w:hint="eastAsia"/>
                <w:color w:val="auto"/>
              </w:rPr>
            </w:pPr>
            <w:r>
              <w:rPr>
                <w:rFonts w:hint="eastAsia"/>
                <w:color w:val="auto"/>
              </w:rPr>
              <w:t>B、必须配备足够的消防器材，并依托所在大楼已建消防设施。</w:t>
            </w:r>
          </w:p>
          <w:p>
            <w:pPr>
              <w:ind w:firstLine="480"/>
              <w:rPr>
                <w:rFonts w:hint="eastAsia"/>
                <w:color w:val="auto"/>
              </w:rPr>
            </w:pPr>
            <w:r>
              <w:rPr>
                <w:rFonts w:hint="eastAsia"/>
                <w:color w:val="auto"/>
              </w:rPr>
              <w:t>C、火灾一旦发生，在消防员未赶到前全体员工必须保持清醒，听从指挥，根据职责和要求，分头迅速开展火灾抢救、报警、开启应急通道，疏散人流，切断电源工作。</w:t>
            </w:r>
          </w:p>
          <w:p>
            <w:pPr>
              <w:ind w:firstLine="480"/>
              <w:rPr>
                <w:rFonts w:hint="eastAsia"/>
                <w:color w:val="auto"/>
              </w:rPr>
            </w:pPr>
            <w:r>
              <w:rPr>
                <w:rFonts w:hint="eastAsia"/>
                <w:color w:val="auto"/>
              </w:rPr>
              <w:t>D、当火灾发生时，采用适当的方法组织灭火、疏散。所有参加灭火与应急疏散工作的领导、工作人员应打开通信工具，确保通讯畅通，确保行动协调统一指挥。通过以上措施，能够迅速及时地进行抢救，疏散和保卫工作，把突发事件造成的经济损失和人员伤亡减到最低。</w:t>
            </w:r>
          </w:p>
          <w:p>
            <w:pPr>
              <w:ind w:firstLine="480"/>
              <w:rPr>
                <w:rFonts w:hint="eastAsia"/>
                <w:color w:val="auto"/>
              </w:rPr>
            </w:pPr>
            <w:r>
              <w:rPr>
                <w:rFonts w:hint="eastAsia"/>
                <w:color w:val="auto"/>
              </w:rPr>
              <w:t>⑤其它</w:t>
            </w:r>
          </w:p>
          <w:p>
            <w:pPr>
              <w:ind w:firstLine="480"/>
              <w:rPr>
                <w:rFonts w:hint="eastAsia"/>
                <w:color w:val="auto"/>
              </w:rPr>
            </w:pPr>
            <w:r>
              <w:rPr>
                <w:rFonts w:hint="eastAsia"/>
                <w:color w:val="auto"/>
              </w:rPr>
              <w:t>A、强化工作人员的责任心和安全意识，认真开展安全检查工作，发现隐患及时整改，将事故消灭在萌芽状态。</w:t>
            </w:r>
          </w:p>
          <w:p>
            <w:pPr>
              <w:ind w:firstLine="480"/>
              <w:rPr>
                <w:rFonts w:hint="eastAsia"/>
                <w:color w:val="auto"/>
              </w:rPr>
            </w:pPr>
            <w:r>
              <w:rPr>
                <w:rFonts w:hint="eastAsia"/>
                <w:color w:val="auto"/>
              </w:rPr>
              <w:t>B、制定应急预案，建立健全安全、环境管理体系，一旦发生事故，要做到快速、高效、安全处置。</w:t>
            </w:r>
          </w:p>
          <w:p>
            <w:pPr>
              <w:ind w:firstLine="480"/>
              <w:rPr>
                <w:rFonts w:hint="eastAsia"/>
                <w:color w:val="auto"/>
              </w:rPr>
            </w:pPr>
            <w:r>
              <w:rPr>
                <w:rFonts w:hint="eastAsia"/>
                <w:color w:val="auto"/>
              </w:rPr>
              <w:t>C、各类医用化学品和危险和危险废物按要求分类存放并设置警示标识；危险废物采用专用容器分类盛装。</w:t>
            </w:r>
          </w:p>
          <w:p>
            <w:pPr>
              <w:ind w:firstLine="480"/>
              <w:rPr>
                <w:rFonts w:hint="eastAsia"/>
                <w:color w:val="auto"/>
              </w:rPr>
            </w:pPr>
            <w:r>
              <w:rPr>
                <w:rFonts w:hint="eastAsia"/>
                <w:color w:val="auto"/>
              </w:rPr>
              <w:t>D、医疗废物转运过程中由于盛装容器破损、车辆密封不严或者由于交通事故造成的渗漏和遗撒，可能造成传染性病菌的传播和蔓延。出现这些情况，应立即向卫生、公安等有关部门报告，封锁现场，并采取严密的清理和消毒措施。此外，应加强对转运过程中的操作人员和司乘人员加强防护知识和安全教育，配备必要的防护工具，如防护服和消毒剂等。加强和完善危险废物的收集、暂存、交接等环节的管理，对危险废物的处理应设专人责任负责制，负责人在接管前应全面学习有关危险废物处理的有关法规和操作方法。做好危险废物有关资料的记录。</w:t>
            </w:r>
          </w:p>
          <w:p>
            <w:pPr>
              <w:ind w:firstLine="480"/>
              <w:rPr>
                <w:rFonts w:hint="eastAsia"/>
                <w:color w:val="auto"/>
              </w:rPr>
            </w:pPr>
            <w:r>
              <w:rPr>
                <w:rFonts w:hint="eastAsia"/>
                <w:color w:val="auto"/>
              </w:rPr>
              <w:t>综合上述分析，建设单位应加强管理，建立健全相应的防范应急措施，并在管理及运行中得到认真落实，则可将前述风险事故隐患降至可接受的程度。</w:t>
            </w:r>
          </w:p>
          <w:p>
            <w:pPr>
              <w:ind w:firstLine="480"/>
              <w:rPr>
                <w:rFonts w:hint="eastAsia"/>
                <w:color w:val="auto"/>
              </w:rPr>
            </w:pPr>
            <w:r>
              <w:rPr>
                <w:rFonts w:hint="eastAsia"/>
                <w:color w:val="auto"/>
              </w:rPr>
              <w:t>6、环境风险评价结论</w:t>
            </w:r>
          </w:p>
          <w:p>
            <w:pPr>
              <w:ind w:firstLine="480"/>
              <w:rPr>
                <w:rFonts w:hint="eastAsia"/>
                <w:color w:val="auto"/>
              </w:rPr>
            </w:pPr>
            <w:r>
              <w:rPr>
                <w:rFonts w:hint="eastAsia"/>
                <w:color w:val="auto"/>
              </w:rPr>
              <w:t>本项目不构成重大危险源，在加强内部管理并采取相应的预防措施后对环境影响不大，环境风险水平可接受。</w:t>
            </w:r>
          </w:p>
          <w:p>
            <w:pPr>
              <w:ind w:firstLine="0" w:firstLineChars="0"/>
              <w:rPr>
                <w:rFonts w:hint="eastAsia"/>
                <w:b/>
                <w:bCs/>
                <w:color w:val="auto"/>
              </w:rPr>
            </w:pPr>
            <w:r>
              <w:rPr>
                <w:rFonts w:hint="eastAsia"/>
                <w:b/>
                <w:bCs/>
                <w:color w:val="auto"/>
              </w:rPr>
              <w:t>八</w:t>
            </w:r>
            <w:r>
              <w:rPr>
                <w:b/>
                <w:bCs/>
                <w:color w:val="auto"/>
              </w:rPr>
              <w:t>、地下水</w:t>
            </w:r>
            <w:r>
              <w:rPr>
                <w:rFonts w:hint="eastAsia"/>
                <w:b/>
                <w:bCs/>
                <w:color w:val="auto"/>
              </w:rPr>
              <w:t>和土壤分析</w:t>
            </w:r>
          </w:p>
          <w:p>
            <w:pPr>
              <w:bidi w:val="0"/>
              <w:rPr>
                <w:rFonts w:hint="eastAsia"/>
                <w:color w:val="auto"/>
                <w:lang w:eastAsia="zh-CN"/>
              </w:rPr>
            </w:pPr>
            <w:r>
              <w:rPr>
                <w:color w:val="auto"/>
              </w:rPr>
              <w:t>本项目</w:t>
            </w:r>
            <w:r>
              <w:rPr>
                <w:rFonts w:hint="eastAsia"/>
                <w:color w:val="auto"/>
                <w:lang w:eastAsia="zh-CN"/>
              </w:rPr>
              <w:t>运营期不取用地下水，也不向地下注水和排水，所有建筑均</w:t>
            </w:r>
            <w:r>
              <w:rPr>
                <w:color w:val="auto"/>
              </w:rPr>
              <w:t>进行</w:t>
            </w:r>
            <w:r>
              <w:rPr>
                <w:rFonts w:hint="eastAsia"/>
                <w:color w:val="auto"/>
                <w:lang w:eastAsia="zh-CN"/>
              </w:rPr>
              <w:t>地面</w:t>
            </w:r>
            <w:r>
              <w:rPr>
                <w:color w:val="auto"/>
              </w:rPr>
              <w:t>硬化防渗处理；</w:t>
            </w:r>
            <w:r>
              <w:rPr>
                <w:rFonts w:hint="eastAsia"/>
                <w:color w:val="auto"/>
              </w:rPr>
              <w:t>医废暂存间</w:t>
            </w:r>
            <w:r>
              <w:rPr>
                <w:color w:val="auto"/>
              </w:rPr>
              <w:t>和污水处理设备底部及管道均采取防渗、防水处理等措施，在原有地面硬化的基础上，铺设厚度为0.2mm的HDPE防渗膜作为防渗材料，贴瓷砖，确保</w:t>
            </w:r>
            <w:r>
              <w:rPr>
                <w:rFonts w:hint="eastAsia"/>
                <w:color w:val="auto"/>
              </w:rPr>
              <w:t>医废暂存间</w:t>
            </w:r>
            <w:r>
              <w:rPr>
                <w:color w:val="auto"/>
              </w:rPr>
              <w:t>下方的渗透系数≤1.0×10</w:t>
            </w:r>
            <w:r>
              <w:rPr>
                <w:color w:val="auto"/>
                <w:vertAlign w:val="superscript"/>
              </w:rPr>
              <w:t>-10</w:t>
            </w:r>
            <w:r>
              <w:rPr>
                <w:color w:val="auto"/>
              </w:rPr>
              <w:t>cm/s，污水处理设施底部及管道的渗透系数≤1.0×10</w:t>
            </w:r>
            <w:r>
              <w:rPr>
                <w:color w:val="auto"/>
                <w:vertAlign w:val="superscript"/>
              </w:rPr>
              <w:t>-7</w:t>
            </w:r>
            <w:r>
              <w:rPr>
                <w:color w:val="auto"/>
              </w:rPr>
              <w:t>cm/s，同时做好防风、防雨、防流失等措施。</w:t>
            </w:r>
            <w:r>
              <w:rPr>
                <w:rFonts w:hint="eastAsia"/>
                <w:color w:val="auto"/>
                <w:lang w:eastAsia="zh-CN"/>
              </w:rPr>
              <w:t>项目正常情况下不会对地下水及土壤环境造成污染影响。</w:t>
            </w:r>
          </w:p>
          <w:p>
            <w:pPr>
              <w:bidi w:val="0"/>
              <w:rPr>
                <w:rFonts w:hint="eastAsia"/>
                <w:color w:val="auto"/>
                <w:lang w:eastAsia="zh-CN"/>
              </w:rPr>
            </w:pPr>
            <w:r>
              <w:rPr>
                <w:rFonts w:hint="eastAsia"/>
                <w:color w:val="auto"/>
                <w:lang w:eastAsia="zh-CN"/>
              </w:rPr>
              <w:t>项目地下水与土壤污染防治措施和对策，应坚持“源头控制、分区防治、污染监控、应急响应”的原则。</w:t>
            </w:r>
          </w:p>
          <w:p>
            <w:pPr>
              <w:pStyle w:val="2"/>
              <w:numPr>
                <w:ilvl w:val="0"/>
                <w:numId w:val="28"/>
              </w:numPr>
              <w:rPr>
                <w:rFonts w:hint="default"/>
                <w:color w:val="auto"/>
                <w:lang w:val="en-US" w:eastAsia="zh-CN"/>
              </w:rPr>
            </w:pPr>
            <w:r>
              <w:rPr>
                <w:rFonts w:hint="eastAsia"/>
                <w:color w:val="auto"/>
                <w:lang w:val="en-US" w:eastAsia="zh-CN"/>
              </w:rPr>
              <w:t>项目现有治理措施</w:t>
            </w:r>
          </w:p>
          <w:p>
            <w:pPr>
              <w:rPr>
                <w:rFonts w:hint="eastAsia"/>
                <w:color w:val="auto"/>
                <w:lang w:eastAsia="zh-CN"/>
              </w:rPr>
            </w:pPr>
            <w:r>
              <w:rPr>
                <w:rFonts w:hint="eastAsia"/>
                <w:color w:val="auto"/>
                <w:lang w:val="en-US" w:eastAsia="zh-CN"/>
              </w:rPr>
              <w:t>本项目租用</w:t>
            </w:r>
            <w:r>
              <w:rPr>
                <w:rFonts w:hint="eastAsia"/>
                <w:color w:val="auto"/>
              </w:rPr>
              <w:t>春天花园小区配套临街商铺</w:t>
            </w:r>
            <w:r>
              <w:rPr>
                <w:rFonts w:hint="eastAsia"/>
                <w:color w:val="auto"/>
                <w:lang w:eastAsia="zh-CN"/>
              </w:rPr>
              <w:t>进行建设，根据现场勘查，本项目厂区地面已采用混凝土硬化。</w:t>
            </w:r>
          </w:p>
          <w:p>
            <w:pPr>
              <w:pStyle w:val="2"/>
              <w:numPr>
                <w:ilvl w:val="0"/>
                <w:numId w:val="28"/>
              </w:numPr>
              <w:ind w:left="960" w:leftChars="200" w:hanging="480" w:hangingChars="200"/>
              <w:rPr>
                <w:rFonts w:hint="eastAsia"/>
                <w:color w:val="auto"/>
                <w:lang w:val="en-US" w:eastAsia="zh-CN"/>
              </w:rPr>
            </w:pPr>
            <w:r>
              <w:rPr>
                <w:rFonts w:hint="eastAsia"/>
                <w:color w:val="auto"/>
                <w:lang w:val="en-US" w:eastAsia="zh-CN"/>
              </w:rPr>
              <w:t>存在问题及整改措施</w:t>
            </w:r>
          </w:p>
          <w:p>
            <w:pPr>
              <w:numPr>
                <w:ilvl w:val="0"/>
                <w:numId w:val="0"/>
              </w:numPr>
              <w:ind w:leftChars="0" w:firstLine="480"/>
              <w:rPr>
                <w:rFonts w:hint="eastAsia"/>
                <w:color w:val="auto"/>
                <w:lang w:eastAsia="zh-CN"/>
              </w:rPr>
            </w:pPr>
            <w:r>
              <w:rPr>
                <w:rFonts w:hint="eastAsia"/>
                <w:color w:val="auto"/>
                <w:lang w:val="en-US" w:eastAsia="zh-CN"/>
              </w:rPr>
              <w:t>存在问题：目前厂区地面已采取20cm厚P6抗渗混凝土，等效黏土防渗层Mb≥1.5m，K≤1.0*10</w:t>
            </w:r>
            <w:r>
              <w:rPr>
                <w:rFonts w:hint="eastAsia"/>
                <w:color w:val="auto"/>
                <w:vertAlign w:val="superscript"/>
                <w:lang w:val="en-US" w:eastAsia="zh-CN"/>
              </w:rPr>
              <w:t>-7</w:t>
            </w:r>
            <w:r>
              <w:rPr>
                <w:color w:val="auto"/>
              </w:rPr>
              <w:t>cm/s</w:t>
            </w:r>
            <w:r>
              <w:rPr>
                <w:rFonts w:hint="eastAsia"/>
                <w:color w:val="auto"/>
                <w:lang w:eastAsia="zh-CN"/>
              </w:rPr>
              <w:t>，满足一般防渗区和简单防渗区要求，不能满足“源头控制、过程防控”的要求。</w:t>
            </w:r>
          </w:p>
          <w:p>
            <w:pPr>
              <w:numPr>
                <w:ilvl w:val="0"/>
                <w:numId w:val="28"/>
              </w:numPr>
              <w:ind w:left="960" w:leftChars="200" w:hanging="480" w:hangingChars="200"/>
              <w:rPr>
                <w:rFonts w:hint="eastAsia"/>
                <w:color w:val="auto"/>
                <w:lang w:val="en-US" w:eastAsia="zh-CN"/>
              </w:rPr>
            </w:pPr>
            <w:r>
              <w:rPr>
                <w:rFonts w:hint="eastAsia"/>
                <w:color w:val="auto"/>
                <w:lang w:val="en-US" w:eastAsia="zh-CN"/>
              </w:rPr>
              <w:t>整改措施</w:t>
            </w:r>
          </w:p>
          <w:p>
            <w:pPr>
              <w:numPr>
                <w:ilvl w:val="0"/>
                <w:numId w:val="29"/>
              </w:numPr>
              <w:ind w:leftChars="0" w:firstLine="480" w:firstLineChars="200"/>
              <w:rPr>
                <w:rFonts w:hint="eastAsia"/>
                <w:color w:val="auto"/>
                <w:lang w:eastAsia="zh-CN"/>
              </w:rPr>
            </w:pPr>
            <w:r>
              <w:rPr>
                <w:rFonts w:hint="eastAsia"/>
                <w:color w:val="auto"/>
                <w:lang w:eastAsia="zh-CN"/>
              </w:rPr>
              <w:t>源头控制措施</w:t>
            </w:r>
          </w:p>
          <w:p>
            <w:pPr>
              <w:pStyle w:val="2"/>
              <w:ind w:left="0" w:leftChars="0" w:firstLine="0" w:firstLineChars="0"/>
              <w:rPr>
                <w:rFonts w:hint="default"/>
                <w:color w:val="auto"/>
                <w:lang w:val="en-US" w:eastAsia="zh-CN"/>
              </w:rPr>
            </w:pPr>
            <w:r>
              <w:rPr>
                <w:rFonts w:hint="eastAsia"/>
                <w:color w:val="auto"/>
                <w:lang w:val="en-US" w:eastAsia="zh-CN"/>
              </w:rPr>
              <w:t xml:space="preserve">     1）加强环境管理，采取防止和降低污染物跑、冒、滴、漏的措施。正常运营过程中应加强巡检及时处理污染物</w:t>
            </w:r>
          </w:p>
          <w:p>
            <w:pPr>
              <w:pStyle w:val="2"/>
              <w:numPr>
                <w:ilvl w:val="0"/>
                <w:numId w:val="29"/>
              </w:numPr>
              <w:rPr>
                <w:rFonts w:hint="eastAsia"/>
                <w:color w:val="auto"/>
                <w:lang w:eastAsia="zh-CN"/>
              </w:rPr>
            </w:pPr>
            <w:r>
              <w:rPr>
                <w:rFonts w:hint="eastAsia"/>
                <w:color w:val="auto"/>
                <w:lang w:eastAsia="zh-CN"/>
              </w:rPr>
              <w:t>分区防渗措施</w:t>
            </w:r>
          </w:p>
          <w:p>
            <w:pPr>
              <w:rPr>
                <w:rFonts w:hint="eastAsia"/>
                <w:color w:val="auto"/>
                <w:lang w:eastAsia="zh-CN"/>
              </w:rPr>
            </w:pPr>
            <w:r>
              <w:rPr>
                <w:rFonts w:hint="eastAsia"/>
                <w:color w:val="auto"/>
                <w:lang w:eastAsia="zh-CN"/>
              </w:rPr>
              <w:t>结合本项目实际情况将项目厂界或者污染物泄露的途经和生产功能单元所处的位置划分重点防渗区、一般防渗区、简单防渗区、地下水污染物防治区域。</w:t>
            </w:r>
          </w:p>
          <w:p>
            <w:pPr>
              <w:pStyle w:val="2"/>
              <w:rPr>
                <w:rFonts w:hint="eastAsia"/>
                <w:color w:val="auto"/>
                <w:lang w:eastAsia="zh-CN"/>
              </w:rPr>
            </w:pPr>
            <w:r>
              <w:rPr>
                <w:rFonts w:hint="eastAsia"/>
                <w:color w:val="auto"/>
                <w:lang w:eastAsia="zh-CN"/>
              </w:rPr>
              <w:t>重点防渗区主要为：污水处理设施处、医疗废物暂存间地面。</w:t>
            </w:r>
          </w:p>
          <w:p>
            <w:pPr>
              <w:rPr>
                <w:rFonts w:hint="eastAsia"/>
                <w:color w:val="auto"/>
                <w:lang w:eastAsia="zh-CN"/>
              </w:rPr>
            </w:pPr>
            <w:r>
              <w:rPr>
                <w:rFonts w:hint="eastAsia"/>
                <w:color w:val="auto"/>
                <w:lang w:eastAsia="zh-CN"/>
              </w:rPr>
              <w:t>一般防渗区主要为：卫生间、诊疗室、住院室。</w:t>
            </w:r>
          </w:p>
          <w:p>
            <w:pPr>
              <w:pStyle w:val="2"/>
              <w:rPr>
                <w:rFonts w:hint="default"/>
                <w:color w:val="auto"/>
                <w:lang w:val="en-US" w:eastAsia="zh-CN"/>
              </w:rPr>
            </w:pPr>
            <w:r>
              <w:rPr>
                <w:rFonts w:hint="eastAsia"/>
                <w:color w:val="auto"/>
                <w:lang w:eastAsia="zh-CN"/>
              </w:rPr>
              <w:t>简单防渗区主要为：办公区、过道。</w:t>
            </w:r>
          </w:p>
          <w:p>
            <w:pPr>
              <w:pStyle w:val="117"/>
              <w:bidi w:val="0"/>
              <w:rPr>
                <w:color w:val="auto"/>
              </w:rPr>
            </w:pPr>
            <w:r>
              <w:rPr>
                <w:color w:val="auto"/>
              </w:rPr>
              <w:t>表 4-</w:t>
            </w:r>
            <w:r>
              <w:rPr>
                <w:rFonts w:hint="eastAsia"/>
                <w:color w:val="auto"/>
                <w:lang w:val="en-US" w:eastAsia="zh-CN"/>
              </w:rPr>
              <w:t>9</w:t>
            </w:r>
            <w:r>
              <w:rPr>
                <w:color w:val="auto"/>
              </w:rPr>
              <w:t xml:space="preserve">  地</w:t>
            </w:r>
            <w:r>
              <w:rPr>
                <w:rFonts w:hint="eastAsia"/>
                <w:color w:val="auto"/>
                <w:lang w:eastAsia="zh-CN"/>
              </w:rPr>
              <w:t>项目分区防渗</w:t>
            </w:r>
            <w:r>
              <w:rPr>
                <w:color w:val="auto"/>
              </w:rPr>
              <w:t>一览表</w:t>
            </w:r>
          </w:p>
          <w:tbl>
            <w:tblPr>
              <w:tblStyle w:val="3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16"/>
              <w:gridCol w:w="1320"/>
              <w:gridCol w:w="1667"/>
              <w:gridCol w:w="1367"/>
              <w:gridCol w:w="814"/>
              <w:gridCol w:w="19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6" w:type="dxa"/>
                  <w:noWrap w:val="0"/>
                  <w:vAlign w:val="center"/>
                </w:tcPr>
                <w:p>
                  <w:pPr>
                    <w:pStyle w:val="69"/>
                    <w:rPr>
                      <w:rFonts w:hint="eastAsia" w:eastAsia="宋体"/>
                      <w:color w:val="auto"/>
                      <w:lang w:eastAsia="zh-CN"/>
                    </w:rPr>
                  </w:pPr>
                  <w:r>
                    <w:rPr>
                      <w:rFonts w:hint="eastAsia"/>
                      <w:color w:val="auto"/>
                      <w:lang w:eastAsia="zh-CN"/>
                    </w:rPr>
                    <w:t>分区防渗</w:t>
                  </w:r>
                </w:p>
              </w:tc>
              <w:tc>
                <w:tcPr>
                  <w:tcW w:w="1320" w:type="dxa"/>
                  <w:noWrap w:val="0"/>
                  <w:vAlign w:val="center"/>
                </w:tcPr>
                <w:p>
                  <w:pPr>
                    <w:pStyle w:val="69"/>
                    <w:rPr>
                      <w:rFonts w:hint="eastAsia"/>
                      <w:color w:val="auto"/>
                    </w:rPr>
                  </w:pPr>
                  <w:r>
                    <w:rPr>
                      <w:rFonts w:hint="eastAsia"/>
                      <w:color w:val="auto"/>
                      <w:lang w:eastAsia="zh-CN"/>
                    </w:rPr>
                    <w:t>地下水污染隐患单元</w:t>
                  </w:r>
                </w:p>
              </w:tc>
              <w:tc>
                <w:tcPr>
                  <w:tcW w:w="1667" w:type="dxa"/>
                  <w:noWrap w:val="0"/>
                  <w:vAlign w:val="center"/>
                </w:tcPr>
                <w:p>
                  <w:pPr>
                    <w:pStyle w:val="69"/>
                    <w:rPr>
                      <w:rFonts w:hint="eastAsia"/>
                      <w:color w:val="auto"/>
                    </w:rPr>
                  </w:pPr>
                  <w:r>
                    <w:rPr>
                      <w:rFonts w:hint="eastAsia"/>
                      <w:color w:val="auto"/>
                      <w:lang w:eastAsia="zh-CN"/>
                    </w:rPr>
                    <w:t>现有</w:t>
                  </w:r>
                  <w:r>
                    <w:rPr>
                      <w:color w:val="auto"/>
                    </w:rPr>
                    <w:t>防渗措施</w:t>
                  </w:r>
                </w:p>
              </w:tc>
              <w:tc>
                <w:tcPr>
                  <w:tcW w:w="1367" w:type="dxa"/>
                  <w:noWrap w:val="0"/>
                  <w:vAlign w:val="center"/>
                </w:tcPr>
                <w:p>
                  <w:pPr>
                    <w:pStyle w:val="69"/>
                    <w:rPr>
                      <w:rFonts w:hint="eastAsia"/>
                      <w:color w:val="auto"/>
                    </w:rPr>
                  </w:pPr>
                  <w:r>
                    <w:rPr>
                      <w:color w:val="auto"/>
                    </w:rPr>
                    <w:t>防渗要求</w:t>
                  </w:r>
                </w:p>
              </w:tc>
              <w:tc>
                <w:tcPr>
                  <w:tcW w:w="814" w:type="dxa"/>
                  <w:noWrap w:val="0"/>
                  <w:vAlign w:val="center"/>
                </w:tcPr>
                <w:p>
                  <w:pPr>
                    <w:pStyle w:val="69"/>
                    <w:rPr>
                      <w:rFonts w:hint="eastAsia" w:eastAsia="宋体"/>
                      <w:color w:val="auto"/>
                      <w:lang w:eastAsia="zh-CN"/>
                    </w:rPr>
                  </w:pPr>
                  <w:r>
                    <w:rPr>
                      <w:rFonts w:hint="eastAsia"/>
                      <w:color w:val="auto"/>
                      <w:lang w:eastAsia="zh-CN"/>
                    </w:rPr>
                    <w:t>是否满足</w:t>
                  </w:r>
                </w:p>
              </w:tc>
              <w:tc>
                <w:tcPr>
                  <w:tcW w:w="1920" w:type="dxa"/>
                  <w:noWrap w:val="0"/>
                  <w:vAlign w:val="center"/>
                </w:tcPr>
                <w:p>
                  <w:pPr>
                    <w:pStyle w:val="69"/>
                    <w:rPr>
                      <w:rFonts w:hint="eastAsia"/>
                      <w:color w:val="auto"/>
                      <w:lang w:eastAsia="zh-CN"/>
                    </w:rPr>
                  </w:pPr>
                  <w:r>
                    <w:rPr>
                      <w:rFonts w:hint="eastAsia"/>
                      <w:color w:val="auto"/>
                      <w:lang w:eastAsia="zh-CN"/>
                    </w:rPr>
                    <w:t>整改措施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6" w:type="dxa"/>
                  <w:vMerge w:val="restart"/>
                  <w:noWrap w:val="0"/>
                  <w:vAlign w:val="center"/>
                </w:tcPr>
                <w:p>
                  <w:pPr>
                    <w:pStyle w:val="69"/>
                    <w:rPr>
                      <w:rFonts w:hint="eastAsia"/>
                      <w:color w:val="auto"/>
                    </w:rPr>
                  </w:pPr>
                  <w:r>
                    <w:rPr>
                      <w:color w:val="auto"/>
                    </w:rPr>
                    <w:t>重点防渗区</w:t>
                  </w:r>
                </w:p>
              </w:tc>
              <w:tc>
                <w:tcPr>
                  <w:tcW w:w="1320" w:type="dxa"/>
                  <w:noWrap w:val="0"/>
                  <w:vAlign w:val="center"/>
                </w:tcPr>
                <w:p>
                  <w:pPr>
                    <w:pStyle w:val="69"/>
                    <w:rPr>
                      <w:rFonts w:hint="eastAsia"/>
                      <w:color w:val="auto"/>
                    </w:rPr>
                  </w:pPr>
                  <w:r>
                    <w:rPr>
                      <w:color w:val="auto"/>
                    </w:rPr>
                    <w:t>污水处理设施下方</w:t>
                  </w:r>
                </w:p>
              </w:tc>
              <w:tc>
                <w:tcPr>
                  <w:tcW w:w="1667" w:type="dxa"/>
                  <w:noWrap w:val="0"/>
                  <w:vAlign w:val="center"/>
                </w:tcPr>
                <w:p>
                  <w:pPr>
                    <w:pStyle w:val="69"/>
                    <w:rPr>
                      <w:rFonts w:hint="eastAsia"/>
                      <w:color w:val="auto"/>
                    </w:rPr>
                  </w:pPr>
                  <w:r>
                    <w:rPr>
                      <w:color w:val="auto"/>
                    </w:rPr>
                    <w:t>地面铺设0.2mmHDPE防渗膜，贴瓷砖</w:t>
                  </w:r>
                </w:p>
              </w:tc>
              <w:tc>
                <w:tcPr>
                  <w:tcW w:w="1367" w:type="dxa"/>
                  <w:vMerge w:val="restart"/>
                  <w:noWrap w:val="0"/>
                  <w:vAlign w:val="center"/>
                </w:tcPr>
                <w:p>
                  <w:pPr>
                    <w:pStyle w:val="69"/>
                    <w:rPr>
                      <w:color w:val="auto"/>
                    </w:rPr>
                  </w:pPr>
                  <w:r>
                    <w:rPr>
                      <w:rFonts w:hint="eastAsia"/>
                      <w:color w:val="auto"/>
                      <w:lang w:eastAsia="zh-CN"/>
                    </w:rPr>
                    <w:t>确保防渗层等效黏土防渗层</w:t>
                  </w:r>
                  <w:r>
                    <w:rPr>
                      <w:rFonts w:hint="eastAsia"/>
                      <w:color w:val="auto"/>
                      <w:lang w:val="en-US" w:eastAsia="zh-CN"/>
                    </w:rPr>
                    <w:t>Mb≥6.0m</w:t>
                  </w:r>
                  <w:r>
                    <w:rPr>
                      <w:rFonts w:hint="eastAsia"/>
                      <w:color w:val="auto"/>
                      <w:lang w:eastAsia="zh-CN"/>
                    </w:rPr>
                    <w:t>，</w:t>
                  </w:r>
                  <w:r>
                    <w:rPr>
                      <w:color w:val="auto"/>
                    </w:rPr>
                    <w:t>渗透系数≤</w:t>
                  </w:r>
                </w:p>
                <w:p>
                  <w:pPr>
                    <w:pStyle w:val="69"/>
                    <w:rPr>
                      <w:rFonts w:hint="default" w:eastAsia="宋体"/>
                      <w:color w:val="auto"/>
                      <w:lang w:val="en-US" w:eastAsia="zh-CN"/>
                    </w:rPr>
                  </w:pPr>
                  <w:r>
                    <w:rPr>
                      <w:color w:val="auto"/>
                    </w:rPr>
                    <w:t>10</w:t>
                  </w:r>
                  <w:r>
                    <w:rPr>
                      <w:color w:val="auto"/>
                      <w:vertAlign w:val="superscript"/>
                    </w:rPr>
                    <w:t>-10</w:t>
                  </w:r>
                  <w:r>
                    <w:rPr>
                      <w:color w:val="auto"/>
                    </w:rPr>
                    <w:t>cm/s</w:t>
                  </w:r>
                  <w:r>
                    <w:rPr>
                      <w:rFonts w:hint="eastAsia"/>
                      <w:color w:val="auto"/>
                      <w:lang w:val="en-US" w:eastAsia="zh-CN"/>
                    </w:rPr>
                    <w:t>.或参照GB18598执行</w:t>
                  </w:r>
                </w:p>
              </w:tc>
              <w:tc>
                <w:tcPr>
                  <w:tcW w:w="814" w:type="dxa"/>
                  <w:noWrap w:val="0"/>
                  <w:vAlign w:val="center"/>
                </w:tcPr>
                <w:p>
                  <w:pPr>
                    <w:pStyle w:val="69"/>
                    <w:rPr>
                      <w:rFonts w:hint="eastAsia" w:eastAsia="宋体"/>
                      <w:color w:val="auto"/>
                      <w:lang w:eastAsia="zh-CN"/>
                    </w:rPr>
                  </w:pPr>
                  <w:r>
                    <w:rPr>
                      <w:rFonts w:hint="eastAsia"/>
                      <w:color w:val="auto"/>
                      <w:lang w:eastAsia="zh-CN"/>
                    </w:rPr>
                    <w:t>否</w:t>
                  </w:r>
                </w:p>
              </w:tc>
              <w:tc>
                <w:tcPr>
                  <w:tcW w:w="1920" w:type="dxa"/>
                  <w:vMerge w:val="restart"/>
                  <w:noWrap w:val="0"/>
                  <w:vAlign w:val="center"/>
                </w:tcPr>
                <w:p>
                  <w:pPr>
                    <w:pStyle w:val="69"/>
                    <w:rPr>
                      <w:color w:val="auto"/>
                    </w:rPr>
                  </w:pPr>
                  <w:r>
                    <w:rPr>
                      <w:rFonts w:hint="eastAsia"/>
                      <w:color w:val="auto"/>
                      <w:lang w:eastAsia="zh-CN"/>
                    </w:rPr>
                    <w:t>在现有基础上防渗层等效黏土防渗层</w:t>
                  </w:r>
                  <w:r>
                    <w:rPr>
                      <w:rFonts w:hint="eastAsia"/>
                      <w:color w:val="auto"/>
                      <w:lang w:val="en-US" w:eastAsia="zh-CN"/>
                    </w:rPr>
                    <w:t>Mb≥6.0m</w:t>
                  </w:r>
                  <w:r>
                    <w:rPr>
                      <w:rFonts w:hint="eastAsia"/>
                      <w:color w:val="auto"/>
                      <w:lang w:eastAsia="zh-CN"/>
                    </w:rPr>
                    <w:t>，</w:t>
                  </w:r>
                  <w:r>
                    <w:rPr>
                      <w:color w:val="auto"/>
                    </w:rPr>
                    <w:t>渗透系数≤</w:t>
                  </w:r>
                </w:p>
                <w:p>
                  <w:pPr>
                    <w:pStyle w:val="69"/>
                    <w:rPr>
                      <w:rFonts w:hint="default" w:eastAsia="宋体"/>
                      <w:color w:val="auto"/>
                      <w:lang w:val="en-US" w:eastAsia="zh-CN"/>
                    </w:rPr>
                  </w:pPr>
                  <w:r>
                    <w:rPr>
                      <w:color w:val="auto"/>
                    </w:rPr>
                    <w:t>10</w:t>
                  </w:r>
                  <w:r>
                    <w:rPr>
                      <w:color w:val="auto"/>
                      <w:vertAlign w:val="superscript"/>
                    </w:rPr>
                    <w:t>-10</w:t>
                  </w:r>
                  <w:r>
                    <w:rPr>
                      <w:color w:val="auto"/>
                    </w:rPr>
                    <w:t>cm/s</w:t>
                  </w:r>
                  <w:r>
                    <w:rPr>
                      <w:rFonts w:hint="eastAsia"/>
                      <w:color w:val="auto"/>
                      <w:lang w:eastAsia="zh-CN"/>
                    </w:rPr>
                    <w:t>，危废暂存间在防渗混凝土上刷涂至少</w:t>
                  </w:r>
                  <w:r>
                    <w:rPr>
                      <w:rFonts w:hint="eastAsia"/>
                      <w:color w:val="auto"/>
                      <w:lang w:val="en-US" w:eastAsia="zh-CN"/>
                    </w:rPr>
                    <w:t>2mm厚的环氧树脂层，液提危废收集桶下方设置托盘，密闭暂存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6" w:type="dxa"/>
                  <w:vMerge w:val="continue"/>
                  <w:noWrap w:val="0"/>
                  <w:vAlign w:val="center"/>
                </w:tcPr>
                <w:p>
                  <w:pPr>
                    <w:pStyle w:val="69"/>
                    <w:rPr>
                      <w:rFonts w:hint="eastAsia"/>
                      <w:color w:val="auto"/>
                    </w:rPr>
                  </w:pPr>
                </w:p>
              </w:tc>
              <w:tc>
                <w:tcPr>
                  <w:tcW w:w="1320" w:type="dxa"/>
                  <w:noWrap w:val="0"/>
                  <w:vAlign w:val="center"/>
                </w:tcPr>
                <w:p>
                  <w:pPr>
                    <w:pStyle w:val="69"/>
                    <w:rPr>
                      <w:rFonts w:hint="eastAsia"/>
                      <w:color w:val="auto"/>
                    </w:rPr>
                  </w:pPr>
                  <w:r>
                    <w:rPr>
                      <w:color w:val="auto"/>
                    </w:rPr>
                    <w:t>医疗废</w:t>
                  </w:r>
                  <w:r>
                    <w:rPr>
                      <w:rFonts w:hint="eastAsia"/>
                      <w:color w:val="auto"/>
                      <w:lang w:eastAsia="zh-CN"/>
                    </w:rPr>
                    <w:t>物暂存间</w:t>
                  </w:r>
                  <w:r>
                    <w:rPr>
                      <w:color w:val="auto"/>
                    </w:rPr>
                    <w:t>地面</w:t>
                  </w:r>
                </w:p>
              </w:tc>
              <w:tc>
                <w:tcPr>
                  <w:tcW w:w="1667" w:type="dxa"/>
                  <w:noWrap w:val="0"/>
                  <w:vAlign w:val="center"/>
                </w:tcPr>
                <w:p>
                  <w:pPr>
                    <w:pStyle w:val="69"/>
                    <w:rPr>
                      <w:rFonts w:hint="eastAsia"/>
                      <w:color w:val="auto"/>
                    </w:rPr>
                  </w:pPr>
                  <w:r>
                    <w:rPr>
                      <w:color w:val="auto"/>
                    </w:rPr>
                    <w:t>地面铺设0.2mmHDPE防渗膜，贴瓷砖</w:t>
                  </w:r>
                </w:p>
              </w:tc>
              <w:tc>
                <w:tcPr>
                  <w:tcW w:w="1367" w:type="dxa"/>
                  <w:vMerge w:val="continue"/>
                  <w:noWrap w:val="0"/>
                  <w:vAlign w:val="center"/>
                </w:tcPr>
                <w:p>
                  <w:pPr>
                    <w:pStyle w:val="69"/>
                    <w:rPr>
                      <w:rFonts w:hint="eastAsia"/>
                      <w:color w:val="auto"/>
                    </w:rPr>
                  </w:pPr>
                </w:p>
              </w:tc>
              <w:tc>
                <w:tcPr>
                  <w:tcW w:w="814" w:type="dxa"/>
                  <w:noWrap w:val="0"/>
                  <w:vAlign w:val="center"/>
                </w:tcPr>
                <w:p>
                  <w:pPr>
                    <w:pStyle w:val="69"/>
                    <w:rPr>
                      <w:rFonts w:hint="eastAsia" w:eastAsia="宋体"/>
                      <w:color w:val="auto"/>
                      <w:lang w:eastAsia="zh-CN"/>
                    </w:rPr>
                  </w:pPr>
                  <w:r>
                    <w:rPr>
                      <w:rFonts w:hint="eastAsia"/>
                      <w:color w:val="auto"/>
                      <w:lang w:eastAsia="zh-CN"/>
                    </w:rPr>
                    <w:t>否</w:t>
                  </w:r>
                </w:p>
              </w:tc>
              <w:tc>
                <w:tcPr>
                  <w:tcW w:w="1920" w:type="dxa"/>
                  <w:vMerge w:val="continue"/>
                  <w:noWrap w:val="0"/>
                  <w:vAlign w:val="center"/>
                </w:tcPr>
                <w:p>
                  <w:pPr>
                    <w:pStyle w:val="69"/>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6" w:type="dxa"/>
                  <w:noWrap w:val="0"/>
                  <w:vAlign w:val="center"/>
                </w:tcPr>
                <w:p>
                  <w:pPr>
                    <w:pStyle w:val="69"/>
                    <w:rPr>
                      <w:rFonts w:hint="eastAsia"/>
                      <w:color w:val="auto"/>
                    </w:rPr>
                  </w:pPr>
                  <w:r>
                    <w:rPr>
                      <w:color w:val="auto"/>
                    </w:rPr>
                    <w:t>一般防渗区</w:t>
                  </w:r>
                </w:p>
              </w:tc>
              <w:tc>
                <w:tcPr>
                  <w:tcW w:w="1320" w:type="dxa"/>
                  <w:noWrap w:val="0"/>
                  <w:vAlign w:val="center"/>
                </w:tcPr>
                <w:p>
                  <w:pPr>
                    <w:pStyle w:val="69"/>
                    <w:rPr>
                      <w:rFonts w:hint="eastAsia" w:eastAsia="宋体"/>
                      <w:color w:val="auto"/>
                      <w:lang w:eastAsia="zh-CN"/>
                    </w:rPr>
                  </w:pPr>
                  <w:r>
                    <w:rPr>
                      <w:rFonts w:hint="eastAsia"/>
                      <w:color w:val="auto"/>
                      <w:lang w:eastAsia="zh-CN"/>
                    </w:rPr>
                    <w:t>卫生间、诊疗室、住院室</w:t>
                  </w:r>
                </w:p>
              </w:tc>
              <w:tc>
                <w:tcPr>
                  <w:tcW w:w="1667" w:type="dxa"/>
                  <w:noWrap w:val="0"/>
                  <w:vAlign w:val="center"/>
                </w:tcPr>
                <w:p>
                  <w:pPr>
                    <w:pStyle w:val="69"/>
                    <w:rPr>
                      <w:color w:val="auto"/>
                    </w:rPr>
                  </w:pPr>
                  <w:r>
                    <w:rPr>
                      <w:rFonts w:hint="eastAsia"/>
                      <w:color w:val="auto"/>
                      <w:lang w:eastAsia="zh-CN"/>
                    </w:rPr>
                    <w:t>进行了地面硬化、贴了瓷砖，</w:t>
                  </w:r>
                  <w:r>
                    <w:rPr>
                      <w:color w:val="auto"/>
                    </w:rPr>
                    <w:t>渗透系数≤</w:t>
                  </w:r>
                </w:p>
                <w:p>
                  <w:pPr>
                    <w:pStyle w:val="69"/>
                    <w:rPr>
                      <w:rFonts w:hint="eastAsia"/>
                      <w:color w:val="auto"/>
                    </w:rPr>
                  </w:pPr>
                  <w:r>
                    <w:rPr>
                      <w:color w:val="auto"/>
                    </w:rPr>
                    <w:t>10</w:t>
                  </w:r>
                  <w:r>
                    <w:rPr>
                      <w:color w:val="auto"/>
                      <w:vertAlign w:val="superscript"/>
                    </w:rPr>
                    <w:t>-10</w:t>
                  </w:r>
                  <w:r>
                    <w:rPr>
                      <w:color w:val="auto"/>
                    </w:rPr>
                    <w:t>cm/s</w:t>
                  </w:r>
                </w:p>
              </w:tc>
              <w:tc>
                <w:tcPr>
                  <w:tcW w:w="1367" w:type="dxa"/>
                  <w:noWrap w:val="0"/>
                  <w:vAlign w:val="center"/>
                </w:tcPr>
                <w:p>
                  <w:pPr>
                    <w:pStyle w:val="69"/>
                    <w:rPr>
                      <w:color w:val="auto"/>
                    </w:rPr>
                  </w:pPr>
                  <w:r>
                    <w:rPr>
                      <w:color w:val="auto"/>
                    </w:rPr>
                    <w:t>渗透系数≤</w:t>
                  </w:r>
                </w:p>
                <w:p>
                  <w:pPr>
                    <w:pStyle w:val="69"/>
                    <w:rPr>
                      <w:rFonts w:hint="eastAsia"/>
                      <w:color w:val="auto"/>
                    </w:rPr>
                  </w:pPr>
                  <w:r>
                    <w:rPr>
                      <w:color w:val="auto"/>
                    </w:rPr>
                    <w:t>10</w:t>
                  </w:r>
                  <w:r>
                    <w:rPr>
                      <w:color w:val="auto"/>
                      <w:vertAlign w:val="superscript"/>
                    </w:rPr>
                    <w:t>-7</w:t>
                  </w:r>
                  <w:r>
                    <w:rPr>
                      <w:color w:val="auto"/>
                    </w:rPr>
                    <w:t>cm/s</w:t>
                  </w:r>
                </w:p>
              </w:tc>
              <w:tc>
                <w:tcPr>
                  <w:tcW w:w="814" w:type="dxa"/>
                  <w:noWrap w:val="0"/>
                  <w:vAlign w:val="center"/>
                </w:tcPr>
                <w:p>
                  <w:pPr>
                    <w:pStyle w:val="69"/>
                    <w:rPr>
                      <w:rFonts w:hint="eastAsia" w:eastAsia="宋体"/>
                      <w:color w:val="auto"/>
                      <w:lang w:eastAsia="zh-CN"/>
                    </w:rPr>
                  </w:pPr>
                  <w:r>
                    <w:rPr>
                      <w:rFonts w:hint="eastAsia"/>
                      <w:color w:val="auto"/>
                      <w:lang w:eastAsia="zh-CN"/>
                    </w:rPr>
                    <w:t>是</w:t>
                  </w:r>
                </w:p>
              </w:tc>
              <w:tc>
                <w:tcPr>
                  <w:tcW w:w="1920" w:type="dxa"/>
                  <w:noWrap w:val="0"/>
                  <w:vAlign w:val="center"/>
                </w:tcPr>
                <w:p>
                  <w:pPr>
                    <w:pStyle w:val="69"/>
                    <w:rPr>
                      <w:rFonts w:hint="eastAsia" w:eastAsia="宋体"/>
                      <w:color w:val="auto"/>
                      <w:lang w:val="en-US" w:eastAsia="zh-CN"/>
                    </w:rPr>
                  </w:pPr>
                  <w:r>
                    <w:rPr>
                      <w:rFonts w:hint="eastAsia"/>
                      <w:color w:val="auto"/>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6" w:type="dxa"/>
                  <w:noWrap w:val="0"/>
                  <w:vAlign w:val="center"/>
                </w:tcPr>
                <w:p>
                  <w:pPr>
                    <w:pStyle w:val="69"/>
                    <w:rPr>
                      <w:rFonts w:hint="eastAsia" w:eastAsia="宋体"/>
                      <w:color w:val="auto"/>
                      <w:lang w:eastAsia="zh-CN"/>
                    </w:rPr>
                  </w:pPr>
                  <w:r>
                    <w:rPr>
                      <w:rFonts w:hint="eastAsia"/>
                      <w:color w:val="auto"/>
                      <w:lang w:eastAsia="zh-CN"/>
                    </w:rPr>
                    <w:t>简单防渗区</w:t>
                  </w:r>
                </w:p>
              </w:tc>
              <w:tc>
                <w:tcPr>
                  <w:tcW w:w="1320" w:type="dxa"/>
                  <w:noWrap w:val="0"/>
                  <w:vAlign w:val="center"/>
                </w:tcPr>
                <w:p>
                  <w:pPr>
                    <w:pStyle w:val="69"/>
                    <w:rPr>
                      <w:rFonts w:hint="eastAsia" w:eastAsia="宋体"/>
                      <w:color w:val="auto"/>
                      <w:lang w:eastAsia="zh-CN"/>
                    </w:rPr>
                  </w:pPr>
                  <w:r>
                    <w:rPr>
                      <w:rFonts w:hint="eastAsia"/>
                      <w:color w:val="auto"/>
                      <w:lang w:eastAsia="zh-CN"/>
                    </w:rPr>
                    <w:t>办公区</w:t>
                  </w:r>
                </w:p>
              </w:tc>
              <w:tc>
                <w:tcPr>
                  <w:tcW w:w="1667" w:type="dxa"/>
                  <w:noWrap w:val="0"/>
                  <w:vAlign w:val="center"/>
                </w:tcPr>
                <w:p>
                  <w:pPr>
                    <w:pStyle w:val="69"/>
                    <w:rPr>
                      <w:rFonts w:hint="eastAsia" w:eastAsia="宋体"/>
                      <w:color w:val="auto"/>
                      <w:lang w:eastAsia="zh-CN"/>
                    </w:rPr>
                  </w:pPr>
                  <w:r>
                    <w:rPr>
                      <w:rFonts w:hint="eastAsia"/>
                      <w:color w:val="auto"/>
                      <w:lang w:eastAsia="zh-CN"/>
                    </w:rPr>
                    <w:t>一般地面硬化</w:t>
                  </w:r>
                </w:p>
              </w:tc>
              <w:tc>
                <w:tcPr>
                  <w:tcW w:w="1367" w:type="dxa"/>
                  <w:noWrap w:val="0"/>
                  <w:vAlign w:val="center"/>
                </w:tcPr>
                <w:p>
                  <w:pPr>
                    <w:pStyle w:val="69"/>
                    <w:rPr>
                      <w:rFonts w:hint="eastAsia" w:eastAsia="宋体"/>
                      <w:color w:val="auto"/>
                      <w:lang w:eastAsia="zh-CN"/>
                    </w:rPr>
                  </w:pPr>
                  <w:r>
                    <w:rPr>
                      <w:rFonts w:hint="eastAsia"/>
                      <w:color w:val="auto"/>
                      <w:lang w:eastAsia="zh-CN"/>
                    </w:rPr>
                    <w:t>水泥硬化</w:t>
                  </w:r>
                </w:p>
              </w:tc>
              <w:tc>
                <w:tcPr>
                  <w:tcW w:w="814" w:type="dxa"/>
                  <w:noWrap w:val="0"/>
                  <w:vAlign w:val="center"/>
                </w:tcPr>
                <w:p>
                  <w:pPr>
                    <w:pStyle w:val="69"/>
                    <w:rPr>
                      <w:rFonts w:hint="eastAsia" w:eastAsia="宋体"/>
                      <w:color w:val="auto"/>
                      <w:lang w:eastAsia="zh-CN"/>
                    </w:rPr>
                  </w:pPr>
                  <w:r>
                    <w:rPr>
                      <w:rFonts w:hint="eastAsia"/>
                      <w:color w:val="auto"/>
                      <w:lang w:eastAsia="zh-CN"/>
                    </w:rPr>
                    <w:t>是</w:t>
                  </w:r>
                </w:p>
              </w:tc>
              <w:tc>
                <w:tcPr>
                  <w:tcW w:w="1920" w:type="dxa"/>
                  <w:noWrap w:val="0"/>
                  <w:vAlign w:val="center"/>
                </w:tcPr>
                <w:p>
                  <w:pPr>
                    <w:pStyle w:val="69"/>
                    <w:rPr>
                      <w:rFonts w:hint="eastAsia" w:eastAsia="宋体"/>
                      <w:color w:val="auto"/>
                      <w:lang w:val="en-US" w:eastAsia="zh-CN"/>
                    </w:rPr>
                  </w:pPr>
                  <w:r>
                    <w:rPr>
                      <w:rFonts w:hint="eastAsia"/>
                      <w:color w:val="auto"/>
                      <w:lang w:val="en-US" w:eastAsia="zh-CN"/>
                    </w:rPr>
                    <w:t>/</w:t>
                  </w:r>
                </w:p>
              </w:tc>
            </w:tr>
          </w:tbl>
          <w:p>
            <w:pPr>
              <w:ind w:firstLine="480"/>
              <w:rPr>
                <w:rFonts w:hint="eastAsia" w:eastAsia="宋体"/>
                <w:color w:val="auto"/>
                <w:lang w:eastAsia="zh-CN"/>
              </w:rPr>
            </w:pPr>
            <w:r>
              <w:rPr>
                <w:rFonts w:hint="eastAsia"/>
                <w:color w:val="auto"/>
                <w:lang w:eastAsia="zh-CN"/>
              </w:rPr>
              <w:t>综上，</w:t>
            </w:r>
            <w:r>
              <w:rPr>
                <w:color w:val="auto"/>
              </w:rPr>
              <w:t>经过采取以上措施后，</w:t>
            </w:r>
            <w:r>
              <w:rPr>
                <w:rFonts w:hint="eastAsia"/>
                <w:color w:val="auto"/>
                <w:lang w:eastAsia="zh-CN"/>
              </w:rPr>
              <w:t>并加强维护和项目环境管理的前提下，可有效控制项目的污染物下渗现象，有效防止污染物渗漏污染地下水及土壤。</w:t>
            </w:r>
          </w:p>
          <w:p>
            <w:pPr>
              <w:ind w:firstLine="0" w:firstLineChars="0"/>
              <w:rPr>
                <w:rFonts w:hint="eastAsia"/>
                <w:b/>
                <w:bCs/>
                <w:color w:val="auto"/>
              </w:rPr>
            </w:pPr>
            <w:r>
              <w:rPr>
                <w:rFonts w:hint="eastAsia"/>
                <w:b/>
                <w:bCs/>
                <w:color w:val="auto"/>
              </w:rPr>
              <w:t>九</w:t>
            </w:r>
            <w:r>
              <w:rPr>
                <w:b/>
                <w:bCs/>
                <w:color w:val="auto"/>
              </w:rPr>
              <w:t>、生态环境</w:t>
            </w:r>
            <w:r>
              <w:rPr>
                <w:rFonts w:hint="eastAsia"/>
                <w:b/>
                <w:bCs/>
                <w:color w:val="auto"/>
              </w:rPr>
              <w:t>影响分析</w:t>
            </w:r>
          </w:p>
          <w:p>
            <w:pPr>
              <w:ind w:firstLine="480"/>
              <w:rPr>
                <w:rFonts w:hint="eastAsia"/>
                <w:color w:val="auto"/>
              </w:rPr>
            </w:pPr>
            <w:r>
              <w:rPr>
                <w:color w:val="auto"/>
              </w:rPr>
              <w:t>根据现场调查，本项目所在地由于人类活动频繁，不存在原生植被，区域内以人工植被为主，区域内无大型野生动物和古大珍稀植物，无特殊文物保护单位等。</w:t>
            </w:r>
          </w:p>
          <w:p>
            <w:pPr>
              <w:ind w:firstLine="0" w:firstLineChars="0"/>
              <w:rPr>
                <w:b/>
                <w:bCs/>
                <w:color w:val="auto"/>
              </w:rPr>
            </w:pPr>
            <w:r>
              <w:rPr>
                <w:rFonts w:hint="eastAsia"/>
                <w:b/>
                <w:bCs/>
                <w:color w:val="auto"/>
              </w:rPr>
              <w:t>十</w:t>
            </w:r>
            <w:r>
              <w:rPr>
                <w:b/>
                <w:bCs/>
                <w:color w:val="auto"/>
              </w:rPr>
              <w:t>、环保投资估算</w:t>
            </w:r>
          </w:p>
          <w:p>
            <w:pPr>
              <w:ind w:firstLine="480"/>
              <w:rPr>
                <w:color w:val="auto"/>
              </w:rPr>
            </w:pPr>
            <w:r>
              <w:rPr>
                <w:color w:val="auto"/>
              </w:rPr>
              <w:t>为了做好环境保护及废物的处理工作，把污染物排放对周围环境的影响降低到最低限度，本项目对“三废”污染源采取如下防治措施。本项目总投资</w:t>
            </w:r>
            <w:r>
              <w:rPr>
                <w:rFonts w:hint="eastAsia"/>
                <w:color w:val="auto"/>
              </w:rPr>
              <w:t>15</w:t>
            </w:r>
            <w:r>
              <w:rPr>
                <w:color w:val="auto"/>
              </w:rPr>
              <w:t>万元，其中环保投资</w:t>
            </w:r>
            <w:r>
              <w:rPr>
                <w:rFonts w:hint="eastAsia"/>
                <w:color w:val="auto"/>
              </w:rPr>
              <w:t>3.5</w:t>
            </w:r>
            <w:r>
              <w:rPr>
                <w:color w:val="auto"/>
              </w:rPr>
              <w:t>万，占总投资的</w:t>
            </w:r>
            <w:r>
              <w:rPr>
                <w:rFonts w:hint="eastAsia"/>
                <w:color w:val="auto"/>
              </w:rPr>
              <w:t>23.3</w:t>
            </w:r>
            <w:r>
              <w:rPr>
                <w:color w:val="auto"/>
              </w:rPr>
              <w:t>%。</w:t>
            </w:r>
          </w:p>
          <w:p>
            <w:pPr>
              <w:pStyle w:val="102"/>
              <w:ind w:left="422" w:hanging="422"/>
              <w:rPr>
                <w:color w:val="auto"/>
              </w:rPr>
            </w:pPr>
            <w:r>
              <w:rPr>
                <w:color w:val="auto"/>
              </w:rPr>
              <w:t>表 4-</w:t>
            </w:r>
            <w:r>
              <w:rPr>
                <w:rFonts w:hint="eastAsia"/>
                <w:color w:val="auto"/>
                <w:lang w:val="en-US" w:eastAsia="zh-CN"/>
              </w:rPr>
              <w:t>10</w:t>
            </w:r>
            <w:r>
              <w:rPr>
                <w:rFonts w:hint="eastAsia"/>
                <w:color w:val="auto"/>
              </w:rPr>
              <w:t xml:space="preserve">  </w:t>
            </w:r>
            <w:r>
              <w:rPr>
                <w:color w:val="auto"/>
              </w:rPr>
              <w:t>项目环保措施及投资估算一览表</w:t>
            </w:r>
          </w:p>
          <w:tbl>
            <w:tblPr>
              <w:tblStyle w:val="3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11"/>
              <w:gridCol w:w="868"/>
              <w:gridCol w:w="3102"/>
              <w:gridCol w:w="1353"/>
              <w:gridCol w:w="13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11" w:type="dxa"/>
                  <w:noWrap w:val="0"/>
                  <w:vAlign w:val="center"/>
                </w:tcPr>
                <w:p>
                  <w:pPr>
                    <w:pStyle w:val="69"/>
                    <w:rPr>
                      <w:rFonts w:hint="eastAsia"/>
                      <w:color w:val="auto"/>
                    </w:rPr>
                  </w:pPr>
                  <w:r>
                    <w:rPr>
                      <w:color w:val="auto"/>
                    </w:rPr>
                    <mc:AlternateContent>
                      <mc:Choice Requires="wps">
                        <w:drawing>
                          <wp:anchor distT="0" distB="0" distL="114300" distR="114300" simplePos="0" relativeHeight="251664384" behindDoc="0" locked="0" layoutInCell="1" allowOverlap="1">
                            <wp:simplePos x="0" y="0"/>
                            <wp:positionH relativeFrom="page">
                              <wp:posOffset>69215</wp:posOffset>
                            </wp:positionH>
                            <wp:positionV relativeFrom="page">
                              <wp:posOffset>7620</wp:posOffset>
                            </wp:positionV>
                            <wp:extent cx="3175" cy="194310"/>
                            <wp:effectExtent l="0" t="0" r="15875" b="15240"/>
                            <wp:wrapNone/>
                            <wp:docPr id="17" name="矩形 17"/>
                            <wp:cNvGraphicFramePr/>
                            <a:graphic xmlns:a="http://schemas.openxmlformats.org/drawingml/2006/main">
                              <a:graphicData uri="http://schemas.microsoft.com/office/word/2010/wordprocessingShape">
                                <wps:wsp>
                                  <wps:cNvSpPr/>
                                  <wps:spPr>
                                    <a:xfrm>
                                      <a:off x="0" y="0"/>
                                      <a:ext cx="3175" cy="194310"/>
                                    </a:xfrm>
                                    <a:prstGeom prst="rect">
                                      <a:avLst/>
                                    </a:prstGeom>
                                    <a:solidFill>
                                      <a:srgbClr val="000000">
                                        <a:alpha val="80392"/>
                                      </a:srgbClr>
                                    </a:solidFill>
                                    <a:ln>
                                      <a:noFill/>
                                    </a:ln>
                                  </wps:spPr>
                                  <wps:bodyPr upright="1"/>
                                </wps:wsp>
                              </a:graphicData>
                            </a:graphic>
                          </wp:anchor>
                        </w:drawing>
                      </mc:Choice>
                      <mc:Fallback>
                        <w:pict>
                          <v:rect id="_x0000_s1026" o:spid="_x0000_s1026" o:spt="1" style="position:absolute;left:0pt;margin-left:5.45pt;margin-top:0.6pt;height:15.3pt;width:0.25pt;mso-position-horizontal-relative:page;mso-position-vertical-relative:page;z-index:251664384;mso-width-relative:page;mso-height-relative:page;" fillcolor="#000000" filled="t" stroked="f" coordsize="21600,21600" o:gfxdata="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CSH+ETWAAAABgEAAA8AAAAAAAAAAQAgAAAAIgAAAGRycy9kb3ducmV2LnhtbFBL&#10;AQIUABQAAAAIAIdO4kBNuXvwvwEAAH8DAAAOAAAAAAAAAAEAIAAAACUBAABkcnMvZTJvRG9jLnht&#10;bFBLBQYAAAAABgAGAFkBAABWBQAAAAA=&#10;">
                            <v:fill on="t" opacity="52685f" focussize="0,0"/>
                            <v:stroke on="f"/>
                            <v:imagedata o:title=""/>
                            <o:lock v:ext="edit" aspectratio="f"/>
                          </v:rect>
                        </w:pict>
                      </mc:Fallback>
                    </mc:AlternateContent>
                  </w:r>
                  <w:r>
                    <w:rPr>
                      <w:color w:val="auto"/>
                    </w:rPr>
                    <w:t>项目</w:t>
                  </w:r>
                </w:p>
              </w:tc>
              <w:tc>
                <w:tcPr>
                  <w:tcW w:w="3970" w:type="dxa"/>
                  <w:gridSpan w:val="2"/>
                  <w:noWrap w:val="0"/>
                  <w:vAlign w:val="center"/>
                </w:tcPr>
                <w:p>
                  <w:pPr>
                    <w:pStyle w:val="69"/>
                    <w:rPr>
                      <w:rFonts w:hint="eastAsia"/>
                      <w:color w:val="auto"/>
                    </w:rPr>
                  </w:pPr>
                  <w:r>
                    <w:rPr>
                      <w:color w:val="auto"/>
                    </w:rPr>
                    <w:t>内容、数量及规模</w:t>
                  </w:r>
                </w:p>
              </w:tc>
              <w:tc>
                <w:tcPr>
                  <w:tcW w:w="1353" w:type="dxa"/>
                  <w:noWrap w:val="0"/>
                  <w:vAlign w:val="center"/>
                </w:tcPr>
                <w:p>
                  <w:pPr>
                    <w:pStyle w:val="69"/>
                    <w:rPr>
                      <w:rFonts w:hint="eastAsia"/>
                      <w:color w:val="auto"/>
                    </w:rPr>
                  </w:pPr>
                  <w:r>
                    <w:rPr>
                      <w:color w:val="auto"/>
                    </w:rPr>
                    <w:t>投资</w:t>
                  </w:r>
                  <w:r>
                    <w:rPr>
                      <w:rFonts w:hint="eastAsia"/>
                      <w:color w:val="auto"/>
                    </w:rPr>
                    <w:t>（万元）</w:t>
                  </w:r>
                </w:p>
              </w:tc>
              <w:tc>
                <w:tcPr>
                  <w:tcW w:w="1312" w:type="dxa"/>
                  <w:noWrap w:val="0"/>
                  <w:vAlign w:val="center"/>
                </w:tcPr>
                <w:p>
                  <w:pPr>
                    <w:pStyle w:val="69"/>
                    <w:rPr>
                      <w:rFonts w:hint="eastAsia"/>
                      <w:color w:val="auto"/>
                    </w:rPr>
                  </w:pPr>
                  <w:r>
                    <w:rPr>
                      <w:color w:val="auto"/>
                    </w:rPr>
                    <mc:AlternateContent>
                      <mc:Choice Requires="wps">
                        <w:drawing>
                          <wp:anchor distT="0" distB="0" distL="114300" distR="114300" simplePos="0" relativeHeight="251665408" behindDoc="0" locked="0" layoutInCell="1" allowOverlap="1">
                            <wp:simplePos x="0" y="0"/>
                            <wp:positionH relativeFrom="page">
                              <wp:posOffset>521335</wp:posOffset>
                            </wp:positionH>
                            <wp:positionV relativeFrom="page">
                              <wp:posOffset>7620</wp:posOffset>
                            </wp:positionV>
                            <wp:extent cx="3175" cy="194310"/>
                            <wp:effectExtent l="0" t="0" r="15875" b="15240"/>
                            <wp:wrapNone/>
                            <wp:docPr id="18" name="矩形 18"/>
                            <wp:cNvGraphicFramePr/>
                            <a:graphic xmlns:a="http://schemas.openxmlformats.org/drawingml/2006/main">
                              <a:graphicData uri="http://schemas.microsoft.com/office/word/2010/wordprocessingShape">
                                <wps:wsp>
                                  <wps:cNvSpPr/>
                                  <wps:spPr>
                                    <a:xfrm>
                                      <a:off x="0" y="0"/>
                                      <a:ext cx="3175" cy="194310"/>
                                    </a:xfrm>
                                    <a:prstGeom prst="rect">
                                      <a:avLst/>
                                    </a:prstGeom>
                                    <a:solidFill>
                                      <a:srgbClr val="000000">
                                        <a:alpha val="70197"/>
                                      </a:srgbClr>
                                    </a:solidFill>
                                    <a:ln>
                                      <a:noFill/>
                                    </a:ln>
                                  </wps:spPr>
                                  <wps:bodyPr upright="1"/>
                                </wps:wsp>
                              </a:graphicData>
                            </a:graphic>
                          </wp:anchor>
                        </w:drawing>
                      </mc:Choice>
                      <mc:Fallback>
                        <w:pict>
                          <v:rect id="_x0000_s1026" o:spid="_x0000_s1026" o:spt="1" style="position:absolute;left:0pt;margin-left:41.05pt;margin-top:0.6pt;height:15.3pt;width:0.25pt;mso-position-horizontal-relative:page;mso-position-vertical-relative:page;z-index:251665408;mso-width-relative:page;mso-height-relative:page;" fillcolor="#000000" filled="t" stroked="f" coordsize="21600,21600" o:gfxdata="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mVXEa9MAAAAGAQAADwAAAAAAAAABACAAAAAiAAAAZHJzL2Rvd25yZXYueG1sUEsBAhQA&#10;FAAAAAgAh07iQC5mHGO+AQAAfwMAAA4AAAAAAAAAAQAgAAAAIgEAAGRycy9lMm9Eb2MueG1sUEsF&#10;BgAAAAAGAAYAWQEAAFIFAAAAAA==&#10;">
                            <v:fill on="t" opacity="46004f" focussize="0,0"/>
                            <v:stroke on="f"/>
                            <v:imagedata o:title=""/>
                            <o:lock v:ext="edit" aspectratio="f"/>
                          </v:rect>
                        </w:pict>
                      </mc:Fallback>
                    </mc:AlternateContent>
                  </w:r>
                  <w:r>
                    <w:rPr>
                      <w:color w:val="auto"/>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11" w:type="dxa"/>
                  <w:vMerge w:val="restart"/>
                  <w:noWrap w:val="0"/>
                  <w:vAlign w:val="center"/>
                </w:tcPr>
                <w:p>
                  <w:pPr>
                    <w:pStyle w:val="69"/>
                    <w:rPr>
                      <w:color w:val="auto"/>
                    </w:rPr>
                  </w:pPr>
                  <w:r>
                    <w:rPr>
                      <w:color w:val="auto"/>
                    </w:rPr>
                    <w:t>废水</w:t>
                  </w:r>
                </w:p>
                <w:p>
                  <w:pPr>
                    <w:pStyle w:val="69"/>
                    <w:rPr>
                      <w:rFonts w:hint="eastAsia"/>
                      <w:color w:val="auto"/>
                    </w:rPr>
                  </w:pPr>
                  <w:r>
                    <w:rPr>
                      <w:color w:val="auto"/>
                    </w:rPr>
                    <w:t>治理</w:t>
                  </w:r>
                </w:p>
              </w:tc>
              <w:tc>
                <w:tcPr>
                  <w:tcW w:w="3970" w:type="dxa"/>
                  <w:gridSpan w:val="2"/>
                  <w:noWrap w:val="0"/>
                  <w:vAlign w:val="center"/>
                </w:tcPr>
                <w:p>
                  <w:pPr>
                    <w:pStyle w:val="69"/>
                    <w:rPr>
                      <w:rFonts w:hint="eastAsia"/>
                      <w:color w:val="auto"/>
                    </w:rPr>
                  </w:pPr>
                  <w:r>
                    <w:rPr>
                      <w:color w:val="auto"/>
                    </w:rPr>
                    <w:t>医疗废水预处理池：</w:t>
                  </w:r>
                  <w:r>
                    <w:rPr>
                      <w:rFonts w:hint="eastAsia"/>
                      <w:color w:val="auto"/>
                    </w:rPr>
                    <w:t>污水处理设施1</w:t>
                  </w:r>
                  <w:r>
                    <w:rPr>
                      <w:color w:val="auto"/>
                    </w:rPr>
                    <w:t>套</w:t>
                  </w:r>
                </w:p>
              </w:tc>
              <w:tc>
                <w:tcPr>
                  <w:tcW w:w="1353" w:type="dxa"/>
                  <w:noWrap w:val="0"/>
                  <w:vAlign w:val="center"/>
                </w:tcPr>
                <w:p>
                  <w:pPr>
                    <w:pStyle w:val="69"/>
                    <w:rPr>
                      <w:color w:val="auto"/>
                    </w:rPr>
                  </w:pPr>
                  <w:r>
                    <w:rPr>
                      <w:rFonts w:hint="eastAsia"/>
                      <w:color w:val="auto"/>
                    </w:rPr>
                    <w:t>0.5</w:t>
                  </w:r>
                </w:p>
              </w:tc>
              <w:tc>
                <w:tcPr>
                  <w:tcW w:w="1312" w:type="dxa"/>
                  <w:noWrap w:val="0"/>
                  <w:vAlign w:val="center"/>
                </w:tcPr>
                <w:p>
                  <w:pPr>
                    <w:pStyle w:val="69"/>
                    <w:rPr>
                      <w:rFonts w:hint="eastAsia"/>
                      <w:color w:val="auto"/>
                    </w:rPr>
                  </w:pPr>
                  <w:r>
                    <w:rPr>
                      <w:rFonts w:hint="eastAsia"/>
                      <w:color w:val="auto"/>
                    </w:rPr>
                    <w:t>改建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11" w:type="dxa"/>
                  <w:vMerge w:val="continue"/>
                  <w:noWrap w:val="0"/>
                  <w:vAlign w:val="center"/>
                </w:tcPr>
                <w:p>
                  <w:pPr>
                    <w:pStyle w:val="69"/>
                    <w:rPr>
                      <w:rFonts w:hint="eastAsia"/>
                      <w:color w:val="auto"/>
                    </w:rPr>
                  </w:pPr>
                </w:p>
              </w:tc>
              <w:tc>
                <w:tcPr>
                  <w:tcW w:w="3970" w:type="dxa"/>
                  <w:gridSpan w:val="2"/>
                  <w:noWrap w:val="0"/>
                  <w:vAlign w:val="center"/>
                </w:tcPr>
                <w:p>
                  <w:pPr>
                    <w:pStyle w:val="69"/>
                    <w:rPr>
                      <w:rFonts w:hint="eastAsia"/>
                      <w:color w:val="auto"/>
                    </w:rPr>
                  </w:pPr>
                  <w:r>
                    <w:rPr>
                      <w:color w:val="auto"/>
                    </w:rPr>
                    <w:t>生活污水预处理：利用</w:t>
                  </w:r>
                  <w:r>
                    <w:rPr>
                      <w:rFonts w:hint="eastAsia"/>
                      <w:color w:val="auto"/>
                    </w:rPr>
                    <w:t>春天花园预处理池</w:t>
                  </w:r>
                </w:p>
              </w:tc>
              <w:tc>
                <w:tcPr>
                  <w:tcW w:w="1353" w:type="dxa"/>
                  <w:noWrap w:val="0"/>
                  <w:vAlign w:val="center"/>
                </w:tcPr>
                <w:p>
                  <w:pPr>
                    <w:pStyle w:val="69"/>
                    <w:rPr>
                      <w:rFonts w:hint="eastAsia"/>
                      <w:color w:val="auto"/>
                    </w:rPr>
                  </w:pPr>
                  <w:r>
                    <w:rPr>
                      <w:color w:val="auto"/>
                    </w:rPr>
                    <w:t>/</w:t>
                  </w:r>
                </w:p>
              </w:tc>
              <w:tc>
                <w:tcPr>
                  <w:tcW w:w="1312" w:type="dxa"/>
                  <w:noWrap w:val="0"/>
                  <w:vAlign w:val="center"/>
                </w:tcPr>
                <w:p>
                  <w:pPr>
                    <w:pStyle w:val="69"/>
                    <w:rPr>
                      <w:rFonts w:hint="eastAsia"/>
                      <w:color w:val="auto"/>
                    </w:rPr>
                  </w:pPr>
                  <w:r>
                    <w:rPr>
                      <w:color w:val="auto"/>
                    </w:rPr>
                    <w:t>依托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11" w:type="dxa"/>
                  <w:noWrap w:val="0"/>
                  <w:vAlign w:val="center"/>
                </w:tcPr>
                <w:p>
                  <w:pPr>
                    <w:pStyle w:val="69"/>
                    <w:rPr>
                      <w:color w:val="auto"/>
                    </w:rPr>
                  </w:pPr>
                  <w:r>
                    <w:rPr>
                      <w:color w:val="auto"/>
                    </w:rPr>
                    <w:t>废气</w:t>
                  </w:r>
                </w:p>
                <w:p>
                  <w:pPr>
                    <w:pStyle w:val="69"/>
                    <w:rPr>
                      <w:rFonts w:hint="eastAsia"/>
                      <w:color w:val="auto"/>
                    </w:rPr>
                  </w:pPr>
                  <w:r>
                    <w:rPr>
                      <w:color w:val="auto"/>
                    </w:rPr>
                    <w:t>治理</w:t>
                  </w:r>
                </w:p>
              </w:tc>
              <w:tc>
                <w:tcPr>
                  <w:tcW w:w="3970" w:type="dxa"/>
                  <w:gridSpan w:val="2"/>
                  <w:noWrap w:val="0"/>
                  <w:vAlign w:val="center"/>
                </w:tcPr>
                <w:p>
                  <w:pPr>
                    <w:pStyle w:val="69"/>
                    <w:rPr>
                      <w:rFonts w:hint="eastAsia"/>
                      <w:color w:val="auto"/>
                    </w:rPr>
                  </w:pPr>
                  <w:r>
                    <w:rPr>
                      <w:color w:val="auto"/>
                    </w:rPr>
                    <w:t>采用除臭剂进行室内空气净化，以及紫外消毒</w:t>
                  </w:r>
                </w:p>
              </w:tc>
              <w:tc>
                <w:tcPr>
                  <w:tcW w:w="1353" w:type="dxa"/>
                  <w:noWrap w:val="0"/>
                  <w:vAlign w:val="center"/>
                </w:tcPr>
                <w:p>
                  <w:pPr>
                    <w:pStyle w:val="69"/>
                    <w:rPr>
                      <w:color w:val="auto"/>
                    </w:rPr>
                  </w:pPr>
                  <w:r>
                    <w:rPr>
                      <w:rFonts w:hint="eastAsia"/>
                      <w:color w:val="auto"/>
                    </w:rPr>
                    <w:t>0.5</w:t>
                  </w:r>
                </w:p>
              </w:tc>
              <w:tc>
                <w:tcPr>
                  <w:tcW w:w="1312" w:type="dxa"/>
                  <w:noWrap w:val="0"/>
                  <w:vAlign w:val="center"/>
                </w:tcPr>
                <w:p>
                  <w:pPr>
                    <w:pStyle w:val="69"/>
                    <w:rPr>
                      <w:rFonts w:hint="eastAsia"/>
                      <w:color w:val="auto"/>
                    </w:rPr>
                  </w:pPr>
                  <w:r>
                    <w:rPr>
                      <w:rFonts w:hint="eastAsia"/>
                      <w:color w:val="auto"/>
                    </w:rPr>
                    <w:t>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11" w:type="dxa"/>
                  <w:noWrap w:val="0"/>
                  <w:vAlign w:val="center"/>
                </w:tcPr>
                <w:p>
                  <w:pPr>
                    <w:pStyle w:val="69"/>
                    <w:rPr>
                      <w:color w:val="auto"/>
                    </w:rPr>
                  </w:pPr>
                  <w:r>
                    <w:rPr>
                      <w:color w:val="auto"/>
                    </w:rPr>
                    <w:t>噪声</w:t>
                  </w:r>
                </w:p>
                <w:p>
                  <w:pPr>
                    <w:pStyle w:val="69"/>
                    <w:rPr>
                      <w:rFonts w:hint="eastAsia"/>
                      <w:color w:val="auto"/>
                    </w:rPr>
                  </w:pPr>
                  <w:r>
                    <w:rPr>
                      <w:color w:val="auto"/>
                    </w:rPr>
                    <w:t>治理</w:t>
                  </w:r>
                </w:p>
              </w:tc>
              <w:tc>
                <w:tcPr>
                  <w:tcW w:w="3970" w:type="dxa"/>
                  <w:gridSpan w:val="2"/>
                  <w:noWrap w:val="0"/>
                  <w:vAlign w:val="center"/>
                </w:tcPr>
                <w:p>
                  <w:pPr>
                    <w:pStyle w:val="69"/>
                    <w:rPr>
                      <w:rFonts w:hint="eastAsia"/>
                      <w:color w:val="auto"/>
                    </w:rPr>
                  </w:pPr>
                  <w:r>
                    <w:rPr>
                      <w:color w:val="auto"/>
                    </w:rPr>
                    <w:t>距离衰减、宠物佩戴口罩和住院室</w:t>
                  </w:r>
                  <w:r>
                    <w:rPr>
                      <w:rFonts w:hint="eastAsia"/>
                      <w:color w:val="auto"/>
                    </w:rPr>
                    <w:t>诊疗室手术室</w:t>
                  </w:r>
                  <w:r>
                    <w:rPr>
                      <w:color w:val="auto"/>
                    </w:rPr>
                    <w:t>采用隔声处理</w:t>
                  </w:r>
                </w:p>
              </w:tc>
              <w:tc>
                <w:tcPr>
                  <w:tcW w:w="1353" w:type="dxa"/>
                  <w:noWrap w:val="0"/>
                  <w:vAlign w:val="center"/>
                </w:tcPr>
                <w:p>
                  <w:pPr>
                    <w:pStyle w:val="69"/>
                    <w:rPr>
                      <w:rFonts w:hint="eastAsia"/>
                      <w:color w:val="auto"/>
                    </w:rPr>
                  </w:pPr>
                  <w:r>
                    <w:rPr>
                      <w:color w:val="auto"/>
                    </w:rPr>
                    <w:t>0.5</w:t>
                  </w:r>
                </w:p>
              </w:tc>
              <w:tc>
                <w:tcPr>
                  <w:tcW w:w="1312" w:type="dxa"/>
                  <w:noWrap w:val="0"/>
                  <w:vAlign w:val="center"/>
                </w:tcPr>
                <w:p>
                  <w:pPr>
                    <w:pStyle w:val="69"/>
                    <w:rPr>
                      <w:rFonts w:hint="eastAsia"/>
                      <w:color w:val="auto"/>
                    </w:rPr>
                  </w:pPr>
                  <w:r>
                    <w:rPr>
                      <w:rFonts w:hint="eastAsia"/>
                      <w:color w:val="auto"/>
                    </w:rPr>
                    <w:t>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11" w:type="dxa"/>
                  <w:vMerge w:val="restart"/>
                  <w:noWrap w:val="0"/>
                  <w:vAlign w:val="center"/>
                </w:tcPr>
                <w:p>
                  <w:pPr>
                    <w:pStyle w:val="69"/>
                    <w:rPr>
                      <w:color w:val="auto"/>
                    </w:rPr>
                  </w:pPr>
                </w:p>
                <w:p>
                  <w:pPr>
                    <w:pStyle w:val="69"/>
                    <w:rPr>
                      <w:color w:val="auto"/>
                    </w:rPr>
                  </w:pPr>
                  <w:r>
                    <w:rPr>
                      <w:color w:val="auto"/>
                    </w:rPr>
                    <w:t>固废</w:t>
                  </w:r>
                </w:p>
                <w:p>
                  <w:pPr>
                    <w:pStyle w:val="69"/>
                    <w:rPr>
                      <w:rFonts w:hint="eastAsia"/>
                      <w:color w:val="auto"/>
                    </w:rPr>
                  </w:pPr>
                  <w:r>
                    <w:rPr>
                      <w:color w:val="auto"/>
                    </w:rPr>
                    <w:t>处理</w:t>
                  </w:r>
                </w:p>
              </w:tc>
              <w:tc>
                <w:tcPr>
                  <w:tcW w:w="868" w:type="dxa"/>
                  <w:vMerge w:val="restart"/>
                  <w:noWrap w:val="0"/>
                  <w:vAlign w:val="center"/>
                </w:tcPr>
                <w:p>
                  <w:pPr>
                    <w:pStyle w:val="69"/>
                    <w:rPr>
                      <w:color w:val="auto"/>
                    </w:rPr>
                  </w:pPr>
                  <w:r>
                    <w:rPr>
                      <w:color w:val="auto"/>
                    </w:rPr>
                    <w:t>一般</w:t>
                  </w:r>
                </w:p>
                <w:p>
                  <w:pPr>
                    <w:pStyle w:val="69"/>
                    <w:rPr>
                      <w:rFonts w:hint="eastAsia"/>
                      <w:color w:val="auto"/>
                    </w:rPr>
                  </w:pPr>
                  <w:r>
                    <w:rPr>
                      <w:color w:val="auto"/>
                    </w:rPr>
                    <w:t>固废</w:t>
                  </w:r>
                </w:p>
              </w:tc>
              <w:tc>
                <w:tcPr>
                  <w:tcW w:w="3102" w:type="dxa"/>
                  <w:noWrap w:val="0"/>
                  <w:vAlign w:val="center"/>
                </w:tcPr>
                <w:p>
                  <w:pPr>
                    <w:pStyle w:val="69"/>
                    <w:rPr>
                      <w:color w:val="auto"/>
                    </w:rPr>
                  </w:pPr>
                  <w:r>
                    <w:rPr>
                      <w:color w:val="auto"/>
                    </w:rPr>
                    <w:t>生活垃圾：设置生活垃圾收集桶，由市政卫生部门统一清运</w:t>
                  </w:r>
                </w:p>
              </w:tc>
              <w:tc>
                <w:tcPr>
                  <w:tcW w:w="1353" w:type="dxa"/>
                  <w:noWrap w:val="0"/>
                  <w:vAlign w:val="center"/>
                </w:tcPr>
                <w:p>
                  <w:pPr>
                    <w:pStyle w:val="69"/>
                    <w:rPr>
                      <w:rFonts w:hint="eastAsia"/>
                      <w:color w:val="auto"/>
                    </w:rPr>
                  </w:pPr>
                  <w:r>
                    <w:rPr>
                      <w:color w:val="auto"/>
                    </w:rPr>
                    <w:t>0.</w:t>
                  </w:r>
                  <w:r>
                    <w:rPr>
                      <w:rFonts w:hint="eastAsia"/>
                      <w:color w:val="auto"/>
                    </w:rPr>
                    <w:t>3</w:t>
                  </w:r>
                </w:p>
              </w:tc>
              <w:tc>
                <w:tcPr>
                  <w:tcW w:w="1312" w:type="dxa"/>
                  <w:vMerge w:val="restart"/>
                  <w:noWrap w:val="0"/>
                  <w:vAlign w:val="center"/>
                </w:tcPr>
                <w:p>
                  <w:pPr>
                    <w:pStyle w:val="69"/>
                    <w:rPr>
                      <w:rFonts w:hint="eastAsia"/>
                      <w:color w:val="auto"/>
                    </w:rPr>
                  </w:pPr>
                  <w:r>
                    <w:rPr>
                      <w:rFonts w:hint="eastAsia"/>
                      <w:color w:val="auto"/>
                    </w:rPr>
                    <w:t>依托</w:t>
                  </w:r>
                </w:p>
                <w:p>
                  <w:pPr>
                    <w:pStyle w:val="69"/>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11" w:type="dxa"/>
                  <w:vMerge w:val="continue"/>
                  <w:noWrap w:val="0"/>
                  <w:vAlign w:val="center"/>
                </w:tcPr>
                <w:p>
                  <w:pPr>
                    <w:pStyle w:val="69"/>
                    <w:rPr>
                      <w:rFonts w:hint="eastAsia"/>
                      <w:color w:val="auto"/>
                    </w:rPr>
                  </w:pPr>
                </w:p>
              </w:tc>
              <w:tc>
                <w:tcPr>
                  <w:tcW w:w="868" w:type="dxa"/>
                  <w:vMerge w:val="continue"/>
                  <w:noWrap w:val="0"/>
                  <w:vAlign w:val="center"/>
                </w:tcPr>
                <w:p>
                  <w:pPr>
                    <w:pStyle w:val="69"/>
                    <w:rPr>
                      <w:rFonts w:hint="eastAsia"/>
                      <w:color w:val="auto"/>
                    </w:rPr>
                  </w:pPr>
                </w:p>
              </w:tc>
              <w:tc>
                <w:tcPr>
                  <w:tcW w:w="3102" w:type="dxa"/>
                  <w:noWrap w:val="0"/>
                  <w:vAlign w:val="center"/>
                </w:tcPr>
                <w:p>
                  <w:pPr>
                    <w:pStyle w:val="69"/>
                    <w:rPr>
                      <w:color w:val="auto"/>
                    </w:rPr>
                  </w:pPr>
                  <w:r>
                    <w:rPr>
                      <w:color w:val="auto"/>
                    </w:rPr>
                    <w:t>宠物毛发：可作为一般固废与生活垃圾一起交由环卫部门处理</w:t>
                  </w:r>
                </w:p>
              </w:tc>
              <w:tc>
                <w:tcPr>
                  <w:tcW w:w="1353" w:type="dxa"/>
                  <w:noWrap w:val="0"/>
                  <w:vAlign w:val="center"/>
                </w:tcPr>
                <w:p>
                  <w:pPr>
                    <w:pStyle w:val="69"/>
                    <w:rPr>
                      <w:rFonts w:hint="eastAsia"/>
                      <w:color w:val="auto"/>
                    </w:rPr>
                  </w:pPr>
                  <w:r>
                    <w:rPr>
                      <w:color w:val="auto"/>
                    </w:rPr>
                    <w:t>0.</w:t>
                  </w:r>
                  <w:r>
                    <w:rPr>
                      <w:rFonts w:hint="eastAsia"/>
                      <w:color w:val="auto"/>
                    </w:rPr>
                    <w:t>2</w:t>
                  </w:r>
                </w:p>
              </w:tc>
              <w:tc>
                <w:tcPr>
                  <w:tcW w:w="1312" w:type="dxa"/>
                  <w:vMerge w:val="continue"/>
                  <w:noWrap w:val="0"/>
                  <w:vAlign w:val="center"/>
                </w:tcPr>
                <w:p>
                  <w:pPr>
                    <w:pStyle w:val="69"/>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11" w:type="dxa"/>
                  <w:vMerge w:val="continue"/>
                  <w:noWrap w:val="0"/>
                  <w:vAlign w:val="center"/>
                </w:tcPr>
                <w:p>
                  <w:pPr>
                    <w:pStyle w:val="69"/>
                    <w:rPr>
                      <w:rFonts w:hint="eastAsia"/>
                      <w:color w:val="auto"/>
                    </w:rPr>
                  </w:pPr>
                </w:p>
              </w:tc>
              <w:tc>
                <w:tcPr>
                  <w:tcW w:w="868" w:type="dxa"/>
                  <w:vMerge w:val="continue"/>
                  <w:noWrap w:val="0"/>
                  <w:vAlign w:val="center"/>
                </w:tcPr>
                <w:p>
                  <w:pPr>
                    <w:pStyle w:val="69"/>
                    <w:rPr>
                      <w:rFonts w:hint="eastAsia"/>
                      <w:color w:val="auto"/>
                    </w:rPr>
                  </w:pPr>
                </w:p>
              </w:tc>
              <w:tc>
                <w:tcPr>
                  <w:tcW w:w="3102" w:type="dxa"/>
                  <w:noWrap w:val="0"/>
                  <w:vAlign w:val="center"/>
                </w:tcPr>
                <w:p>
                  <w:pPr>
                    <w:pStyle w:val="69"/>
                    <w:rPr>
                      <w:color w:val="auto"/>
                    </w:rPr>
                  </w:pPr>
                  <w:r>
                    <w:rPr>
                      <w:color w:val="auto"/>
                    </w:rPr>
                    <w:t>宠物粪便：消毒灭活后交由环卫部门收运处置</w:t>
                  </w:r>
                </w:p>
              </w:tc>
              <w:tc>
                <w:tcPr>
                  <w:tcW w:w="1353" w:type="dxa"/>
                  <w:noWrap w:val="0"/>
                  <w:vAlign w:val="center"/>
                </w:tcPr>
                <w:p>
                  <w:pPr>
                    <w:pStyle w:val="69"/>
                    <w:rPr>
                      <w:rFonts w:hint="eastAsia"/>
                      <w:color w:val="auto"/>
                    </w:rPr>
                  </w:pPr>
                  <w:r>
                    <w:rPr>
                      <w:color w:val="auto"/>
                    </w:rPr>
                    <w:t>0.</w:t>
                  </w:r>
                  <w:r>
                    <w:rPr>
                      <w:rFonts w:hint="eastAsia"/>
                      <w:color w:val="auto"/>
                    </w:rPr>
                    <w:t>2</w:t>
                  </w:r>
                </w:p>
              </w:tc>
              <w:tc>
                <w:tcPr>
                  <w:tcW w:w="1312" w:type="dxa"/>
                  <w:vMerge w:val="continue"/>
                  <w:noWrap w:val="0"/>
                  <w:vAlign w:val="center"/>
                </w:tcPr>
                <w:p>
                  <w:pPr>
                    <w:pStyle w:val="69"/>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11" w:type="dxa"/>
                  <w:vMerge w:val="continue"/>
                  <w:noWrap w:val="0"/>
                  <w:vAlign w:val="center"/>
                </w:tcPr>
                <w:p>
                  <w:pPr>
                    <w:pStyle w:val="69"/>
                    <w:rPr>
                      <w:rFonts w:hint="eastAsia"/>
                      <w:color w:val="auto"/>
                    </w:rPr>
                  </w:pPr>
                </w:p>
              </w:tc>
              <w:tc>
                <w:tcPr>
                  <w:tcW w:w="868" w:type="dxa"/>
                  <w:noWrap w:val="0"/>
                  <w:vAlign w:val="center"/>
                </w:tcPr>
                <w:p>
                  <w:pPr>
                    <w:pStyle w:val="69"/>
                    <w:rPr>
                      <w:color w:val="auto"/>
                    </w:rPr>
                  </w:pPr>
                  <w:r>
                    <w:rPr>
                      <w:color w:val="auto"/>
                    </w:rPr>
                    <w:t>危险</w:t>
                  </w:r>
                </w:p>
                <w:p>
                  <w:pPr>
                    <w:pStyle w:val="69"/>
                    <w:rPr>
                      <w:rFonts w:hint="eastAsia"/>
                      <w:color w:val="auto"/>
                    </w:rPr>
                  </w:pPr>
                  <w:r>
                    <w:rPr>
                      <w:color w:val="auto"/>
                    </w:rPr>
                    <w:t>废物</w:t>
                  </w:r>
                </w:p>
              </w:tc>
              <w:tc>
                <w:tcPr>
                  <w:tcW w:w="3102" w:type="dxa"/>
                  <w:noWrap w:val="0"/>
                  <w:vAlign w:val="center"/>
                </w:tcPr>
                <w:p>
                  <w:pPr>
                    <w:pStyle w:val="69"/>
                    <w:rPr>
                      <w:color w:val="auto"/>
                    </w:rPr>
                  </w:pPr>
                  <w:r>
                    <w:rPr>
                      <w:color w:val="auto"/>
                    </w:rPr>
                    <w:t>交由有资质单位收运处置</w:t>
                  </w:r>
                </w:p>
              </w:tc>
              <w:tc>
                <w:tcPr>
                  <w:tcW w:w="1353" w:type="dxa"/>
                  <w:noWrap w:val="0"/>
                  <w:vAlign w:val="center"/>
                </w:tcPr>
                <w:p>
                  <w:pPr>
                    <w:pStyle w:val="69"/>
                    <w:rPr>
                      <w:rFonts w:hint="eastAsia"/>
                      <w:color w:val="auto"/>
                    </w:rPr>
                  </w:pPr>
                  <w:r>
                    <w:rPr>
                      <w:color w:val="auto"/>
                    </w:rPr>
                    <w:t>0.</w:t>
                  </w:r>
                  <w:r>
                    <w:rPr>
                      <w:rFonts w:hint="eastAsia"/>
                      <w:color w:val="auto"/>
                    </w:rPr>
                    <w:t>3</w:t>
                  </w:r>
                </w:p>
              </w:tc>
              <w:tc>
                <w:tcPr>
                  <w:tcW w:w="1312" w:type="dxa"/>
                  <w:vMerge w:val="continue"/>
                  <w:noWrap w:val="0"/>
                  <w:vAlign w:val="center"/>
                </w:tcPr>
                <w:p>
                  <w:pPr>
                    <w:pStyle w:val="69"/>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11" w:type="dxa"/>
                  <w:noWrap w:val="0"/>
                  <w:vAlign w:val="center"/>
                </w:tcPr>
                <w:p>
                  <w:pPr>
                    <w:pStyle w:val="69"/>
                    <w:rPr>
                      <w:rFonts w:hint="eastAsia"/>
                      <w:color w:val="auto"/>
                    </w:rPr>
                  </w:pPr>
                  <w:r>
                    <w:rPr>
                      <w:rFonts w:hint="eastAsia"/>
                      <w:color w:val="auto"/>
                    </w:rPr>
                    <w:t>地下水防渗处理</w:t>
                  </w:r>
                </w:p>
              </w:tc>
              <w:tc>
                <w:tcPr>
                  <w:tcW w:w="3970" w:type="dxa"/>
                  <w:gridSpan w:val="2"/>
                  <w:noWrap w:val="0"/>
                  <w:vAlign w:val="center"/>
                </w:tcPr>
                <w:p>
                  <w:pPr>
                    <w:pStyle w:val="69"/>
                    <w:rPr>
                      <w:color w:val="auto"/>
                    </w:rPr>
                  </w:pPr>
                  <w:r>
                    <w:rPr>
                      <w:color w:val="auto"/>
                    </w:rPr>
                    <w:t>在原有防渗地面基础上铺设硬质地板砖进行一般防渗处理；</w:t>
                  </w:r>
                  <w:r>
                    <w:rPr>
                      <w:rFonts w:hint="eastAsia"/>
                      <w:color w:val="auto"/>
                    </w:rPr>
                    <w:t>医废间</w:t>
                  </w:r>
                  <w:r>
                    <w:rPr>
                      <w:color w:val="auto"/>
                    </w:rPr>
                    <w:t>、</w:t>
                  </w:r>
                  <w:r>
                    <w:rPr>
                      <w:rFonts w:hint="eastAsia"/>
                      <w:color w:val="auto"/>
                    </w:rPr>
                    <w:t>污水处理设施</w:t>
                  </w:r>
                  <w:r>
                    <w:rPr>
                      <w:color w:val="auto"/>
                    </w:rPr>
                    <w:t>所在位置在原有地面硬化的基础上铺设2mm厚环氧树脂地坪漆+不锈钢金属托盘</w:t>
                  </w:r>
                </w:p>
              </w:tc>
              <w:tc>
                <w:tcPr>
                  <w:tcW w:w="1353" w:type="dxa"/>
                  <w:noWrap w:val="0"/>
                  <w:vAlign w:val="center"/>
                </w:tcPr>
                <w:p>
                  <w:pPr>
                    <w:pStyle w:val="69"/>
                    <w:rPr>
                      <w:rFonts w:hint="eastAsia"/>
                      <w:color w:val="auto"/>
                    </w:rPr>
                  </w:pPr>
                  <w:r>
                    <w:rPr>
                      <w:rFonts w:hint="eastAsia"/>
                      <w:color w:val="auto"/>
                    </w:rPr>
                    <w:t>1</w:t>
                  </w:r>
                </w:p>
              </w:tc>
              <w:tc>
                <w:tcPr>
                  <w:tcW w:w="1312" w:type="dxa"/>
                  <w:noWrap w:val="0"/>
                  <w:vAlign w:val="center"/>
                </w:tcPr>
                <w:p>
                  <w:pPr>
                    <w:pStyle w:val="69"/>
                    <w:rPr>
                      <w:rFonts w:hint="eastAsia"/>
                      <w:color w:val="auto"/>
                    </w:rPr>
                  </w:pPr>
                  <w:r>
                    <w:rPr>
                      <w:rFonts w:hint="eastAsia"/>
                      <w:color w:val="auto"/>
                    </w:rPr>
                    <w:t>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11" w:type="dxa"/>
                  <w:noWrap w:val="0"/>
                  <w:vAlign w:val="center"/>
                </w:tcPr>
                <w:p>
                  <w:pPr>
                    <w:pStyle w:val="69"/>
                    <w:rPr>
                      <w:rFonts w:hint="eastAsia"/>
                      <w:color w:val="auto"/>
                    </w:rPr>
                  </w:pPr>
                  <w:r>
                    <w:rPr>
                      <w:rFonts w:hint="eastAsia"/>
                      <w:color w:val="auto"/>
                    </w:rPr>
                    <w:t>合计</w:t>
                  </w:r>
                </w:p>
              </w:tc>
              <w:tc>
                <w:tcPr>
                  <w:tcW w:w="3970" w:type="dxa"/>
                  <w:gridSpan w:val="2"/>
                  <w:noWrap w:val="0"/>
                  <w:vAlign w:val="center"/>
                </w:tcPr>
                <w:p>
                  <w:pPr>
                    <w:pStyle w:val="69"/>
                    <w:rPr>
                      <w:color w:val="auto"/>
                    </w:rPr>
                  </w:pPr>
                  <w:r>
                    <w:rPr>
                      <w:color w:val="auto"/>
                    </w:rPr>
                    <w:t>/</w:t>
                  </w:r>
                </w:p>
              </w:tc>
              <w:tc>
                <w:tcPr>
                  <w:tcW w:w="1353" w:type="dxa"/>
                  <w:noWrap w:val="0"/>
                  <w:vAlign w:val="center"/>
                </w:tcPr>
                <w:p>
                  <w:pPr>
                    <w:pStyle w:val="69"/>
                    <w:rPr>
                      <w:color w:val="auto"/>
                    </w:rPr>
                  </w:pPr>
                  <w:r>
                    <w:rPr>
                      <w:rFonts w:hint="eastAsia"/>
                      <w:color w:val="auto"/>
                    </w:rPr>
                    <w:t>3.5</w:t>
                  </w:r>
                </w:p>
              </w:tc>
              <w:tc>
                <w:tcPr>
                  <w:tcW w:w="1312" w:type="dxa"/>
                  <w:noWrap w:val="0"/>
                  <w:vAlign w:val="center"/>
                </w:tcPr>
                <w:p>
                  <w:pPr>
                    <w:pStyle w:val="69"/>
                    <w:rPr>
                      <w:color w:val="auto"/>
                    </w:rPr>
                  </w:pPr>
                  <w:r>
                    <w:rPr>
                      <w:color w:val="auto"/>
                    </w:rPr>
                    <w:t>/</w:t>
                  </w:r>
                </w:p>
              </w:tc>
            </w:tr>
          </w:tbl>
          <w:p>
            <w:pPr>
              <w:pStyle w:val="104"/>
              <w:ind w:firstLine="0" w:firstLineChars="0"/>
              <w:rPr>
                <w:rFonts w:ascii="宋体" w:hAnsi="宋体" w:cs="宋体"/>
                <w:color w:val="auto"/>
                <w:spacing w:val="-2"/>
                <w:sz w:val="21"/>
                <w:szCs w:val="21"/>
              </w:rPr>
            </w:pPr>
          </w:p>
        </w:tc>
      </w:tr>
    </w:tbl>
    <w:p>
      <w:pPr>
        <w:adjustRightInd w:val="0"/>
        <w:snapToGrid w:val="0"/>
        <w:spacing w:line="360" w:lineRule="auto"/>
        <w:ind w:firstLine="562"/>
        <w:rPr>
          <w:rFonts w:hint="eastAsia" w:ascii="宋体" w:cs="宋体"/>
          <w:b/>
          <w:color w:val="auto"/>
          <w:kern w:val="0"/>
          <w:sz w:val="28"/>
          <w:szCs w:val="28"/>
        </w:rPr>
        <w:sectPr>
          <w:pgSz w:w="11907" w:h="16840"/>
          <w:pgMar w:top="1701" w:right="1531" w:bottom="2127" w:left="1531" w:header="851" w:footer="851" w:gutter="0"/>
          <w:pgNumType w:fmt="decimal"/>
          <w:cols w:space="720" w:num="1"/>
          <w:docGrid w:linePitch="312" w:charSpace="0"/>
        </w:sectPr>
      </w:pPr>
    </w:p>
    <w:p>
      <w:pPr>
        <w:pStyle w:val="3"/>
        <w:rPr>
          <w:color w:val="auto"/>
        </w:rPr>
      </w:pPr>
      <w:bookmarkStart w:id="68" w:name="_Toc11350"/>
      <w:bookmarkStart w:id="69" w:name="_Toc22114"/>
      <w:bookmarkStart w:id="70" w:name="_Toc12421"/>
      <w:bookmarkStart w:id="71" w:name="_Toc24232"/>
      <w:r>
        <w:rPr>
          <w:rFonts w:hint="eastAsia"/>
          <w:color w:val="auto"/>
        </w:rPr>
        <w:t>五、环境保护措施监督检查清单</w:t>
      </w:r>
      <w:bookmarkEnd w:id="68"/>
      <w:bookmarkEnd w:id="69"/>
      <w:bookmarkEnd w:id="70"/>
      <w:bookmarkEnd w:id="71"/>
    </w:p>
    <w:tbl>
      <w:tblPr>
        <w:tblStyle w:val="38"/>
        <w:tblpPr w:leftFromText="180" w:rightFromText="180" w:vertAnchor="text" w:tblpXSpec="center" w:tblpY="1"/>
        <w:tblOverlap w:val="never"/>
        <w:tblW w:w="0" w:type="auto"/>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159"/>
        <w:gridCol w:w="1550"/>
        <w:gridCol w:w="1234"/>
        <w:gridCol w:w="3439"/>
        <w:gridCol w:w="1678"/>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159" w:type="dxa"/>
            <w:tcBorders>
              <w:tl2br w:val="single" w:color="auto" w:sz="4" w:space="0"/>
            </w:tcBorders>
            <w:noWrap w:val="0"/>
            <w:vAlign w:val="top"/>
          </w:tcPr>
          <w:p>
            <w:pPr>
              <w:pStyle w:val="118"/>
              <w:rPr>
                <w:rFonts w:hint="eastAsia"/>
                <w:color w:val="auto"/>
              </w:rPr>
            </w:pPr>
            <w:r>
              <w:rPr>
                <w:rFonts w:hint="eastAsia"/>
                <w:color w:val="auto"/>
              </w:rPr>
              <w:t xml:space="preserve">    内容</w:t>
            </w:r>
          </w:p>
          <w:p>
            <w:pPr>
              <w:pStyle w:val="118"/>
              <w:jc w:val="both"/>
              <w:rPr>
                <w:rFonts w:hint="eastAsia"/>
                <w:color w:val="auto"/>
              </w:rPr>
            </w:pPr>
            <w:r>
              <w:rPr>
                <w:rFonts w:hint="eastAsia"/>
                <w:color w:val="auto"/>
              </w:rPr>
              <w:t>要素</w:t>
            </w:r>
          </w:p>
        </w:tc>
        <w:tc>
          <w:tcPr>
            <w:tcW w:w="1550" w:type="dxa"/>
            <w:noWrap w:val="0"/>
            <w:vAlign w:val="center"/>
          </w:tcPr>
          <w:p>
            <w:pPr>
              <w:pStyle w:val="118"/>
              <w:rPr>
                <w:rFonts w:hint="eastAsia"/>
                <w:color w:val="auto"/>
              </w:rPr>
            </w:pPr>
            <w:r>
              <w:rPr>
                <w:rFonts w:hint="eastAsia"/>
                <w:color w:val="auto"/>
              </w:rPr>
              <w:t>排放口(编号、名称)/污染源</w:t>
            </w:r>
          </w:p>
        </w:tc>
        <w:tc>
          <w:tcPr>
            <w:tcW w:w="1234" w:type="dxa"/>
            <w:noWrap w:val="0"/>
            <w:vAlign w:val="center"/>
          </w:tcPr>
          <w:p>
            <w:pPr>
              <w:pStyle w:val="118"/>
              <w:rPr>
                <w:rFonts w:hint="eastAsia"/>
                <w:color w:val="auto"/>
              </w:rPr>
            </w:pPr>
            <w:r>
              <w:rPr>
                <w:rFonts w:hint="eastAsia"/>
                <w:color w:val="auto"/>
              </w:rPr>
              <w:t>污染物项目</w:t>
            </w:r>
          </w:p>
        </w:tc>
        <w:tc>
          <w:tcPr>
            <w:tcW w:w="3439" w:type="dxa"/>
            <w:noWrap w:val="0"/>
            <w:vAlign w:val="center"/>
          </w:tcPr>
          <w:p>
            <w:pPr>
              <w:pStyle w:val="118"/>
              <w:rPr>
                <w:rFonts w:hint="eastAsia"/>
                <w:color w:val="auto"/>
              </w:rPr>
            </w:pPr>
            <w:r>
              <w:rPr>
                <w:rFonts w:hint="eastAsia"/>
                <w:color w:val="auto"/>
              </w:rPr>
              <w:t>环境保护措施</w:t>
            </w:r>
          </w:p>
        </w:tc>
        <w:tc>
          <w:tcPr>
            <w:tcW w:w="1678" w:type="dxa"/>
            <w:noWrap w:val="0"/>
            <w:vAlign w:val="center"/>
          </w:tcPr>
          <w:p>
            <w:pPr>
              <w:pStyle w:val="118"/>
              <w:rPr>
                <w:rFonts w:hint="eastAsia"/>
                <w:color w:val="auto"/>
              </w:rPr>
            </w:pPr>
            <w:r>
              <w:rPr>
                <w:rFonts w:hint="eastAsia"/>
                <w:color w:val="auto"/>
              </w:rPr>
              <w:t>执行标准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159" w:type="dxa"/>
            <w:vMerge w:val="restart"/>
            <w:noWrap w:val="0"/>
            <w:vAlign w:val="center"/>
          </w:tcPr>
          <w:p>
            <w:pPr>
              <w:pStyle w:val="118"/>
              <w:rPr>
                <w:rFonts w:hint="eastAsia"/>
                <w:color w:val="auto"/>
              </w:rPr>
            </w:pPr>
            <w:r>
              <w:rPr>
                <w:rFonts w:hint="eastAsia"/>
                <w:color w:val="auto"/>
              </w:rPr>
              <w:t>大气环境</w:t>
            </w:r>
          </w:p>
        </w:tc>
        <w:tc>
          <w:tcPr>
            <w:tcW w:w="1550" w:type="dxa"/>
            <w:noWrap w:val="0"/>
            <w:vAlign w:val="center"/>
          </w:tcPr>
          <w:p>
            <w:pPr>
              <w:pStyle w:val="69"/>
              <w:rPr>
                <w:rFonts w:hint="eastAsia"/>
                <w:color w:val="auto"/>
              </w:rPr>
            </w:pPr>
            <w:r>
              <w:rPr>
                <w:rFonts w:hint="eastAsia"/>
                <w:color w:val="auto"/>
              </w:rPr>
              <w:t>医废间</w:t>
            </w:r>
            <w:r>
              <w:rPr>
                <w:color w:val="auto"/>
              </w:rPr>
              <w:t>异味</w:t>
            </w:r>
            <w:r>
              <w:rPr>
                <w:rFonts w:hint="eastAsia"/>
                <w:color w:val="auto"/>
              </w:rPr>
              <w:t>、污水处理设施</w:t>
            </w:r>
            <w:r>
              <w:rPr>
                <w:color w:val="auto"/>
              </w:rPr>
              <w:t>异味</w:t>
            </w:r>
            <w:r>
              <w:rPr>
                <w:rFonts w:hint="eastAsia"/>
                <w:color w:val="auto"/>
              </w:rPr>
              <w:t>、宠物散发的异味、</w:t>
            </w:r>
            <w:r>
              <w:rPr>
                <w:color w:val="auto"/>
              </w:rPr>
              <w:t>带菌空气</w:t>
            </w:r>
          </w:p>
        </w:tc>
        <w:tc>
          <w:tcPr>
            <w:tcW w:w="1234" w:type="dxa"/>
            <w:noWrap w:val="0"/>
            <w:vAlign w:val="center"/>
          </w:tcPr>
          <w:p>
            <w:pPr>
              <w:pStyle w:val="69"/>
              <w:rPr>
                <w:rFonts w:hint="eastAsia"/>
                <w:color w:val="auto"/>
              </w:rPr>
            </w:pPr>
            <w:r>
              <w:rPr>
                <w:rFonts w:hint="eastAsia"/>
                <w:color w:val="auto"/>
              </w:rPr>
              <w:t>氨、</w:t>
            </w:r>
            <w:r>
              <w:rPr>
                <w:color w:val="auto"/>
              </w:rPr>
              <w:t>硫化氢</w:t>
            </w:r>
            <w:r>
              <w:rPr>
                <w:rFonts w:hint="eastAsia"/>
                <w:color w:val="auto"/>
              </w:rPr>
              <w:t>、臭气浓度</w:t>
            </w:r>
          </w:p>
        </w:tc>
        <w:tc>
          <w:tcPr>
            <w:tcW w:w="3439" w:type="dxa"/>
            <w:noWrap w:val="0"/>
            <w:vAlign w:val="center"/>
          </w:tcPr>
          <w:p>
            <w:pPr>
              <w:pStyle w:val="69"/>
              <w:rPr>
                <w:rFonts w:hint="eastAsia"/>
                <w:color w:val="auto"/>
              </w:rPr>
            </w:pPr>
            <w:r>
              <w:rPr>
                <w:color w:val="auto"/>
              </w:rPr>
              <w:t>做好医疗废物的密封、清运和消毒工作，做好</w:t>
            </w:r>
            <w:r>
              <w:rPr>
                <w:rFonts w:hint="eastAsia"/>
                <w:color w:val="auto"/>
              </w:rPr>
              <w:t>暂存柜</w:t>
            </w:r>
            <w:r>
              <w:rPr>
                <w:color w:val="auto"/>
              </w:rPr>
              <w:t>的防鼠、防蚊蝇等措施</w:t>
            </w:r>
            <w:r>
              <w:rPr>
                <w:rFonts w:hint="eastAsia"/>
                <w:color w:val="auto"/>
              </w:rPr>
              <w:t>；</w:t>
            </w:r>
            <w:r>
              <w:rPr>
                <w:color w:val="auto"/>
              </w:rPr>
              <w:t>定期进行设备的清洁和消毒工作</w:t>
            </w:r>
            <w:r>
              <w:rPr>
                <w:rFonts w:hint="eastAsia"/>
                <w:color w:val="auto"/>
              </w:rPr>
              <w:t>；日常采用移动式紫外线灯照射净化空气</w:t>
            </w:r>
            <w:r>
              <w:rPr>
                <w:color w:val="auto"/>
              </w:rPr>
              <w:t>加强室内通风，同时增加清洗次数，并采用除臭剂进行室内空气净化</w:t>
            </w:r>
            <w:r>
              <w:rPr>
                <w:rFonts w:hint="eastAsia"/>
                <w:color w:val="auto"/>
              </w:rPr>
              <w:t>。</w:t>
            </w:r>
          </w:p>
        </w:tc>
        <w:tc>
          <w:tcPr>
            <w:tcW w:w="1678" w:type="dxa"/>
            <w:noWrap w:val="0"/>
            <w:vAlign w:val="center"/>
          </w:tcPr>
          <w:p>
            <w:pPr>
              <w:pStyle w:val="118"/>
              <w:rPr>
                <w:rFonts w:hint="eastAsia"/>
                <w:color w:val="auto"/>
              </w:rPr>
            </w:pPr>
            <w:r>
              <w:rPr>
                <w:rFonts w:hint="eastAsia"/>
                <w:color w:val="auto"/>
              </w:rPr>
              <w:t>《恶臭污染物排放标准》（GB14554-1993）表1标准限值</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159" w:type="dxa"/>
            <w:vMerge w:val="restart"/>
            <w:noWrap w:val="0"/>
            <w:vAlign w:val="center"/>
          </w:tcPr>
          <w:p>
            <w:pPr>
              <w:pStyle w:val="118"/>
              <w:rPr>
                <w:rFonts w:hint="eastAsia"/>
                <w:color w:val="auto"/>
              </w:rPr>
            </w:pPr>
            <w:r>
              <w:rPr>
                <w:rFonts w:hint="eastAsia"/>
                <w:color w:val="auto"/>
              </w:rPr>
              <w:t>地表水环境</w:t>
            </w:r>
          </w:p>
        </w:tc>
        <w:tc>
          <w:tcPr>
            <w:tcW w:w="1550" w:type="dxa"/>
            <w:noWrap w:val="0"/>
            <w:vAlign w:val="center"/>
          </w:tcPr>
          <w:p>
            <w:pPr>
              <w:pStyle w:val="69"/>
              <w:rPr>
                <w:rFonts w:hint="eastAsia"/>
                <w:color w:val="auto"/>
              </w:rPr>
            </w:pPr>
            <w:r>
              <w:rPr>
                <w:color w:val="auto"/>
              </w:rPr>
              <w:t>生活污水</w:t>
            </w:r>
          </w:p>
        </w:tc>
        <w:tc>
          <w:tcPr>
            <w:tcW w:w="1234" w:type="dxa"/>
            <w:vMerge w:val="restart"/>
            <w:noWrap w:val="0"/>
            <w:vAlign w:val="center"/>
          </w:tcPr>
          <w:p>
            <w:pPr>
              <w:pStyle w:val="69"/>
              <w:rPr>
                <w:color w:val="auto"/>
              </w:rPr>
            </w:pPr>
            <w:r>
              <w:rPr>
                <w:color w:val="auto"/>
              </w:rPr>
              <w:t>COD、BOD</w:t>
            </w:r>
            <w:r>
              <w:rPr>
                <w:color w:val="auto"/>
                <w:vertAlign w:val="subscript"/>
              </w:rPr>
              <w:t>5</w:t>
            </w:r>
            <w:r>
              <w:rPr>
                <w:color w:val="auto"/>
              </w:rPr>
              <w:t>、SS、NH</w:t>
            </w:r>
            <w:r>
              <w:rPr>
                <w:color w:val="auto"/>
                <w:vertAlign w:val="subscript"/>
              </w:rPr>
              <w:t>3</w:t>
            </w:r>
            <w:r>
              <w:rPr>
                <w:color w:val="auto"/>
              </w:rPr>
              <w:t>-N、总磷</w:t>
            </w:r>
          </w:p>
          <w:p>
            <w:pPr>
              <w:pStyle w:val="69"/>
              <w:rPr>
                <w:rFonts w:hint="eastAsia"/>
                <w:color w:val="auto"/>
              </w:rPr>
            </w:pPr>
          </w:p>
        </w:tc>
        <w:tc>
          <w:tcPr>
            <w:tcW w:w="3439" w:type="dxa"/>
            <w:noWrap w:val="0"/>
            <w:vAlign w:val="center"/>
          </w:tcPr>
          <w:p>
            <w:pPr>
              <w:pStyle w:val="69"/>
              <w:rPr>
                <w:rFonts w:hint="eastAsia"/>
                <w:color w:val="auto"/>
              </w:rPr>
            </w:pPr>
            <w:r>
              <w:rPr>
                <w:color w:val="auto"/>
              </w:rPr>
              <w:t>利用卫生间污水管道进入</w:t>
            </w:r>
            <w:r>
              <w:rPr>
                <w:rFonts w:hint="eastAsia"/>
                <w:color w:val="auto"/>
              </w:rPr>
              <w:t>春天花园预处理池处理</w:t>
            </w:r>
            <w:r>
              <w:rPr>
                <w:color w:val="auto"/>
              </w:rPr>
              <w:t>，最终进入</w:t>
            </w:r>
            <w:r>
              <w:rPr>
                <w:rFonts w:hint="eastAsia"/>
                <w:color w:val="auto"/>
              </w:rPr>
              <w:t>乐山第一污水处理厂</w:t>
            </w:r>
            <w:r>
              <w:rPr>
                <w:color w:val="auto"/>
              </w:rPr>
              <w:t>处理达标后排入</w:t>
            </w:r>
            <w:r>
              <w:rPr>
                <w:rFonts w:hint="eastAsia"/>
                <w:color w:val="auto"/>
              </w:rPr>
              <w:t>岷江</w:t>
            </w:r>
          </w:p>
        </w:tc>
        <w:tc>
          <w:tcPr>
            <w:tcW w:w="1678" w:type="dxa"/>
            <w:vMerge w:val="restart"/>
            <w:noWrap w:val="0"/>
            <w:vAlign w:val="center"/>
          </w:tcPr>
          <w:p>
            <w:pPr>
              <w:pStyle w:val="118"/>
              <w:rPr>
                <w:rFonts w:hint="eastAsia"/>
                <w:color w:val="auto"/>
              </w:rPr>
            </w:pPr>
            <w:r>
              <w:rPr>
                <w:color w:val="auto"/>
              </w:rPr>
              <w:t>《污水综合排放标准》 （GB8978- 1996）表4中</w:t>
            </w:r>
            <w:r>
              <w:rPr>
                <w:rFonts w:hint="eastAsia"/>
                <w:color w:val="auto"/>
              </w:rPr>
              <w:t>三</w:t>
            </w:r>
            <w:r>
              <w:rPr>
                <w:color w:val="auto"/>
              </w:rPr>
              <w:t>级标准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159" w:type="dxa"/>
            <w:vMerge w:val="continue"/>
            <w:noWrap w:val="0"/>
            <w:vAlign w:val="center"/>
          </w:tcPr>
          <w:p>
            <w:pPr>
              <w:pStyle w:val="118"/>
              <w:rPr>
                <w:rFonts w:hint="eastAsia"/>
                <w:color w:val="auto"/>
              </w:rPr>
            </w:pPr>
          </w:p>
        </w:tc>
        <w:tc>
          <w:tcPr>
            <w:tcW w:w="1550" w:type="dxa"/>
            <w:noWrap w:val="0"/>
            <w:vAlign w:val="center"/>
          </w:tcPr>
          <w:p>
            <w:pPr>
              <w:pStyle w:val="69"/>
              <w:rPr>
                <w:rFonts w:hint="eastAsia"/>
                <w:color w:val="auto"/>
              </w:rPr>
            </w:pPr>
            <w:r>
              <w:rPr>
                <w:color w:val="auto"/>
              </w:rPr>
              <w:t>医疗废水</w:t>
            </w:r>
          </w:p>
        </w:tc>
        <w:tc>
          <w:tcPr>
            <w:tcW w:w="1234" w:type="dxa"/>
            <w:vMerge w:val="continue"/>
            <w:noWrap w:val="0"/>
            <w:vAlign w:val="center"/>
          </w:tcPr>
          <w:p>
            <w:pPr>
              <w:pStyle w:val="69"/>
              <w:rPr>
                <w:rFonts w:hint="eastAsia"/>
                <w:color w:val="auto"/>
              </w:rPr>
            </w:pPr>
          </w:p>
        </w:tc>
        <w:tc>
          <w:tcPr>
            <w:tcW w:w="3439" w:type="dxa"/>
            <w:noWrap w:val="0"/>
            <w:vAlign w:val="center"/>
          </w:tcPr>
          <w:p>
            <w:pPr>
              <w:pStyle w:val="69"/>
              <w:rPr>
                <w:rFonts w:hint="eastAsia"/>
                <w:color w:val="auto"/>
              </w:rPr>
            </w:pPr>
            <w:r>
              <w:rPr>
                <w:color w:val="auto"/>
              </w:rPr>
              <w:t>经</w:t>
            </w:r>
            <w:r>
              <w:rPr>
                <w:rFonts w:hint="eastAsia"/>
                <w:color w:val="auto"/>
              </w:rPr>
              <w:t>污水处理设施</w:t>
            </w:r>
            <w:r>
              <w:rPr>
                <w:color w:val="auto"/>
              </w:rPr>
              <w:t>处理后，通过</w:t>
            </w:r>
            <w:r>
              <w:rPr>
                <w:rFonts w:hint="eastAsia"/>
                <w:color w:val="auto"/>
              </w:rPr>
              <w:t>卫生间</w:t>
            </w:r>
            <w:r>
              <w:rPr>
                <w:color w:val="auto"/>
              </w:rPr>
              <w:t>管道排入</w:t>
            </w:r>
            <w:r>
              <w:rPr>
                <w:rFonts w:hint="eastAsia"/>
                <w:color w:val="auto"/>
              </w:rPr>
              <w:t>春天花园预处理池处理</w:t>
            </w:r>
            <w:r>
              <w:rPr>
                <w:color w:val="auto"/>
              </w:rPr>
              <w:t>，</w:t>
            </w:r>
            <w:r>
              <w:rPr>
                <w:rFonts w:hint="eastAsia"/>
                <w:color w:val="auto"/>
              </w:rPr>
              <w:t>而后通过市政污水管网排</w:t>
            </w:r>
            <w:r>
              <w:rPr>
                <w:color w:val="auto"/>
              </w:rPr>
              <w:t>入</w:t>
            </w:r>
            <w:r>
              <w:rPr>
                <w:rFonts w:hint="eastAsia"/>
                <w:color w:val="auto"/>
              </w:rPr>
              <w:t>乐山第一污水处理厂</w:t>
            </w:r>
            <w:r>
              <w:rPr>
                <w:color w:val="auto"/>
              </w:rPr>
              <w:t>处理达标后排入</w:t>
            </w:r>
            <w:r>
              <w:rPr>
                <w:rFonts w:hint="eastAsia"/>
                <w:color w:val="auto"/>
              </w:rPr>
              <w:t>岷江</w:t>
            </w:r>
          </w:p>
        </w:tc>
        <w:tc>
          <w:tcPr>
            <w:tcW w:w="1678" w:type="dxa"/>
            <w:vMerge w:val="continue"/>
            <w:noWrap w:val="0"/>
            <w:vAlign w:val="center"/>
          </w:tcPr>
          <w:p>
            <w:pPr>
              <w:pStyle w:val="118"/>
              <w:rPr>
                <w:rFonts w:hint="eastAsia"/>
                <w:color w:val="auto"/>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159" w:type="dxa"/>
            <w:vMerge w:val="restart"/>
            <w:noWrap w:val="0"/>
            <w:vAlign w:val="center"/>
          </w:tcPr>
          <w:p>
            <w:pPr>
              <w:pStyle w:val="118"/>
              <w:rPr>
                <w:rFonts w:hint="eastAsia"/>
                <w:color w:val="auto"/>
              </w:rPr>
            </w:pPr>
            <w:r>
              <w:rPr>
                <w:rFonts w:hint="eastAsia"/>
                <w:color w:val="auto"/>
              </w:rPr>
              <w:t>声环境</w:t>
            </w:r>
          </w:p>
        </w:tc>
        <w:tc>
          <w:tcPr>
            <w:tcW w:w="1550" w:type="dxa"/>
            <w:noWrap w:val="0"/>
            <w:vAlign w:val="center"/>
          </w:tcPr>
          <w:p>
            <w:pPr>
              <w:pStyle w:val="69"/>
              <w:rPr>
                <w:rFonts w:hint="eastAsia"/>
                <w:color w:val="auto"/>
              </w:rPr>
            </w:pPr>
            <w:r>
              <w:rPr>
                <w:rFonts w:hint="eastAsia"/>
                <w:color w:val="auto"/>
              </w:rPr>
              <w:t>空调外机</w:t>
            </w:r>
          </w:p>
        </w:tc>
        <w:tc>
          <w:tcPr>
            <w:tcW w:w="1234" w:type="dxa"/>
            <w:vMerge w:val="restart"/>
            <w:noWrap w:val="0"/>
            <w:vAlign w:val="center"/>
          </w:tcPr>
          <w:p>
            <w:pPr>
              <w:pStyle w:val="118"/>
              <w:rPr>
                <w:rFonts w:hint="eastAsia"/>
                <w:color w:val="auto"/>
              </w:rPr>
            </w:pPr>
            <w:r>
              <w:rPr>
                <w:rFonts w:hint="eastAsia"/>
                <w:color w:val="auto"/>
              </w:rPr>
              <w:t>噪声</w:t>
            </w:r>
          </w:p>
        </w:tc>
        <w:tc>
          <w:tcPr>
            <w:tcW w:w="3439" w:type="dxa"/>
            <w:noWrap w:val="0"/>
            <w:vAlign w:val="center"/>
          </w:tcPr>
          <w:p>
            <w:pPr>
              <w:pStyle w:val="118"/>
              <w:rPr>
                <w:rFonts w:hint="eastAsia"/>
                <w:color w:val="auto"/>
              </w:rPr>
            </w:pPr>
            <w:r>
              <w:rPr>
                <w:rFonts w:hint="eastAsia"/>
                <w:color w:val="auto"/>
              </w:rPr>
              <w:t>噪声较小，且项目只在白天营业，空调运转时产生的噪声经隔声和距离衰减后对周围住户不会产生较大影响</w:t>
            </w:r>
          </w:p>
        </w:tc>
        <w:tc>
          <w:tcPr>
            <w:tcW w:w="1678" w:type="dxa"/>
            <w:vMerge w:val="restart"/>
            <w:noWrap w:val="0"/>
            <w:vAlign w:val="center"/>
          </w:tcPr>
          <w:p>
            <w:pPr>
              <w:pStyle w:val="118"/>
              <w:rPr>
                <w:rFonts w:hint="eastAsia"/>
                <w:color w:val="auto"/>
              </w:rPr>
            </w:pPr>
            <w:r>
              <w:rPr>
                <w:rFonts w:hint="eastAsia"/>
                <w:color w:val="auto"/>
              </w:rPr>
              <w:t>《工业企业厂界环境噪声排放标准》（</w:t>
            </w:r>
            <w:r>
              <w:rPr>
                <w:color w:val="auto"/>
              </w:rPr>
              <w:t>GB12348-2008</w:t>
            </w:r>
            <w:r>
              <w:rPr>
                <w:rFonts w:hint="eastAsia"/>
                <w:color w:val="auto"/>
              </w:rPr>
              <w:t>）</w:t>
            </w:r>
            <w:r>
              <w:rPr>
                <w:color w:val="auto"/>
              </w:rPr>
              <w:t xml:space="preserve">2 </w:t>
            </w:r>
            <w:r>
              <w:rPr>
                <w:rFonts w:hint="eastAsia"/>
                <w:color w:val="auto"/>
              </w:rPr>
              <w:t>类标准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159" w:type="dxa"/>
            <w:vMerge w:val="continue"/>
            <w:noWrap w:val="0"/>
            <w:vAlign w:val="center"/>
          </w:tcPr>
          <w:p>
            <w:pPr>
              <w:pStyle w:val="118"/>
              <w:rPr>
                <w:rFonts w:hint="eastAsia"/>
                <w:color w:val="auto"/>
              </w:rPr>
            </w:pPr>
          </w:p>
        </w:tc>
        <w:tc>
          <w:tcPr>
            <w:tcW w:w="1550" w:type="dxa"/>
            <w:noWrap w:val="0"/>
            <w:vAlign w:val="center"/>
          </w:tcPr>
          <w:p>
            <w:pPr>
              <w:pStyle w:val="69"/>
              <w:rPr>
                <w:rFonts w:hint="eastAsia"/>
                <w:color w:val="auto"/>
              </w:rPr>
            </w:pPr>
            <w:r>
              <w:rPr>
                <w:rFonts w:hint="eastAsia"/>
                <w:color w:val="auto"/>
              </w:rPr>
              <w:t>宠物叫声</w:t>
            </w:r>
          </w:p>
        </w:tc>
        <w:tc>
          <w:tcPr>
            <w:tcW w:w="1234" w:type="dxa"/>
            <w:vMerge w:val="continue"/>
            <w:noWrap w:val="0"/>
            <w:vAlign w:val="center"/>
          </w:tcPr>
          <w:p>
            <w:pPr>
              <w:pStyle w:val="118"/>
              <w:rPr>
                <w:rFonts w:hint="eastAsia"/>
                <w:color w:val="auto"/>
              </w:rPr>
            </w:pPr>
          </w:p>
        </w:tc>
        <w:tc>
          <w:tcPr>
            <w:tcW w:w="3439" w:type="dxa"/>
            <w:noWrap w:val="0"/>
            <w:vAlign w:val="center"/>
          </w:tcPr>
          <w:p>
            <w:pPr>
              <w:pStyle w:val="118"/>
              <w:rPr>
                <w:rFonts w:hint="eastAsia"/>
                <w:color w:val="auto"/>
              </w:rPr>
            </w:pPr>
            <w:r>
              <w:rPr>
                <w:rFonts w:hint="eastAsia"/>
                <w:color w:val="auto"/>
              </w:rPr>
              <w:t>采用实体隔墙、吸声材料、各科室全部使用隔音门、加强宠物管理、留院观察，宠物佩戴口罩等</w:t>
            </w:r>
          </w:p>
        </w:tc>
        <w:tc>
          <w:tcPr>
            <w:tcW w:w="1678" w:type="dxa"/>
            <w:vMerge w:val="continue"/>
            <w:noWrap w:val="0"/>
            <w:vAlign w:val="center"/>
          </w:tcPr>
          <w:p>
            <w:pPr>
              <w:pStyle w:val="118"/>
              <w:rPr>
                <w:rFonts w:hint="eastAsia"/>
                <w:color w:val="auto"/>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159" w:type="dxa"/>
            <w:noWrap w:val="0"/>
            <w:vAlign w:val="center"/>
          </w:tcPr>
          <w:p>
            <w:pPr>
              <w:pStyle w:val="118"/>
              <w:rPr>
                <w:rFonts w:hint="eastAsia"/>
                <w:color w:val="auto"/>
              </w:rPr>
            </w:pPr>
            <w:r>
              <w:rPr>
                <w:rFonts w:hint="eastAsia"/>
                <w:color w:val="auto"/>
              </w:rPr>
              <w:t>电磁辐射</w:t>
            </w:r>
          </w:p>
        </w:tc>
        <w:tc>
          <w:tcPr>
            <w:tcW w:w="1550" w:type="dxa"/>
            <w:noWrap w:val="0"/>
            <w:vAlign w:val="center"/>
          </w:tcPr>
          <w:p>
            <w:pPr>
              <w:pStyle w:val="118"/>
              <w:rPr>
                <w:rFonts w:hint="eastAsia"/>
                <w:color w:val="auto"/>
              </w:rPr>
            </w:pPr>
            <w:r>
              <w:rPr>
                <w:rFonts w:hint="eastAsia"/>
                <w:color w:val="auto"/>
              </w:rPr>
              <w:t>/</w:t>
            </w:r>
          </w:p>
        </w:tc>
        <w:tc>
          <w:tcPr>
            <w:tcW w:w="1234" w:type="dxa"/>
            <w:noWrap w:val="0"/>
            <w:vAlign w:val="center"/>
          </w:tcPr>
          <w:p>
            <w:pPr>
              <w:pStyle w:val="118"/>
              <w:rPr>
                <w:rFonts w:hint="eastAsia"/>
                <w:color w:val="auto"/>
              </w:rPr>
            </w:pPr>
            <w:r>
              <w:rPr>
                <w:rFonts w:hint="eastAsia"/>
                <w:color w:val="auto"/>
              </w:rPr>
              <w:t>/</w:t>
            </w:r>
          </w:p>
        </w:tc>
        <w:tc>
          <w:tcPr>
            <w:tcW w:w="3439" w:type="dxa"/>
            <w:noWrap w:val="0"/>
            <w:vAlign w:val="center"/>
          </w:tcPr>
          <w:p>
            <w:pPr>
              <w:pStyle w:val="118"/>
              <w:rPr>
                <w:rFonts w:hint="eastAsia"/>
                <w:color w:val="auto"/>
              </w:rPr>
            </w:pPr>
            <w:r>
              <w:rPr>
                <w:rFonts w:hint="eastAsia"/>
                <w:color w:val="auto"/>
              </w:rPr>
              <w:t>/</w:t>
            </w:r>
          </w:p>
        </w:tc>
        <w:tc>
          <w:tcPr>
            <w:tcW w:w="1678" w:type="dxa"/>
            <w:noWrap w:val="0"/>
            <w:vAlign w:val="center"/>
          </w:tcPr>
          <w:p>
            <w:pPr>
              <w:pStyle w:val="118"/>
              <w:rPr>
                <w:rFonts w:hint="eastAsia"/>
                <w:color w:val="auto"/>
              </w:rPr>
            </w:pPr>
            <w:r>
              <w:rPr>
                <w:rFonts w:hint="eastAsia"/>
                <w:color w:val="auto"/>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159" w:type="dxa"/>
            <w:vMerge w:val="restart"/>
            <w:noWrap w:val="0"/>
            <w:vAlign w:val="center"/>
          </w:tcPr>
          <w:p>
            <w:pPr>
              <w:pStyle w:val="118"/>
              <w:rPr>
                <w:rFonts w:hint="eastAsia"/>
                <w:color w:val="auto"/>
              </w:rPr>
            </w:pPr>
            <w:r>
              <w:rPr>
                <w:rFonts w:hint="eastAsia"/>
                <w:color w:val="auto"/>
              </w:rPr>
              <w:t>固体废物</w:t>
            </w:r>
          </w:p>
        </w:tc>
        <w:tc>
          <w:tcPr>
            <w:tcW w:w="1550" w:type="dxa"/>
            <w:vMerge w:val="restart"/>
            <w:noWrap w:val="0"/>
            <w:vAlign w:val="center"/>
          </w:tcPr>
          <w:p>
            <w:pPr>
              <w:pStyle w:val="118"/>
              <w:rPr>
                <w:rFonts w:hint="eastAsia"/>
                <w:color w:val="auto"/>
              </w:rPr>
            </w:pPr>
            <w:r>
              <w:rPr>
                <w:rFonts w:hint="eastAsia"/>
                <w:color w:val="auto"/>
              </w:rPr>
              <w:t>一般固废</w:t>
            </w:r>
          </w:p>
        </w:tc>
        <w:tc>
          <w:tcPr>
            <w:tcW w:w="1234" w:type="dxa"/>
            <w:noWrap w:val="0"/>
            <w:vAlign w:val="center"/>
          </w:tcPr>
          <w:p>
            <w:pPr>
              <w:pStyle w:val="69"/>
              <w:rPr>
                <w:rFonts w:hint="eastAsia"/>
                <w:color w:val="auto"/>
              </w:rPr>
            </w:pPr>
            <w:r>
              <w:rPr>
                <w:rFonts w:hint="eastAsia"/>
                <w:color w:val="auto"/>
              </w:rPr>
              <w:t>生活垃圾</w:t>
            </w:r>
          </w:p>
        </w:tc>
        <w:tc>
          <w:tcPr>
            <w:tcW w:w="3439" w:type="dxa"/>
            <w:vMerge w:val="restart"/>
            <w:noWrap w:val="0"/>
            <w:vAlign w:val="center"/>
          </w:tcPr>
          <w:p>
            <w:pPr>
              <w:pStyle w:val="69"/>
              <w:rPr>
                <w:rFonts w:hint="eastAsia"/>
                <w:color w:val="auto"/>
              </w:rPr>
            </w:pPr>
            <w:r>
              <w:rPr>
                <w:rFonts w:hint="eastAsia"/>
                <w:color w:val="auto"/>
              </w:rPr>
              <w:t>生活垃圾收集后放置于生活垃圾暂存点待环卫部门转运处置；宠物毛发和粪便集中收集，喷洒消毒剂后同生活垃圾交由市环卫部门统一收集清运和处理</w:t>
            </w:r>
          </w:p>
        </w:tc>
        <w:tc>
          <w:tcPr>
            <w:tcW w:w="1678" w:type="dxa"/>
            <w:vMerge w:val="restart"/>
            <w:noWrap w:val="0"/>
            <w:vAlign w:val="center"/>
          </w:tcPr>
          <w:p>
            <w:pPr>
              <w:pStyle w:val="118"/>
              <w:rPr>
                <w:rFonts w:hint="eastAsia"/>
                <w:color w:val="auto"/>
              </w:rPr>
            </w:pPr>
            <w:r>
              <w:rPr>
                <w:rFonts w:hint="eastAsia"/>
                <w:color w:val="auto"/>
              </w:rPr>
              <w:t>《一般工业固体废物贮存和填埋污染控制标准》（GB18599-2020）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159" w:type="dxa"/>
            <w:vMerge w:val="continue"/>
            <w:noWrap w:val="0"/>
            <w:vAlign w:val="center"/>
          </w:tcPr>
          <w:p>
            <w:pPr>
              <w:pStyle w:val="118"/>
              <w:rPr>
                <w:rFonts w:hint="eastAsia"/>
                <w:color w:val="auto"/>
              </w:rPr>
            </w:pPr>
          </w:p>
        </w:tc>
        <w:tc>
          <w:tcPr>
            <w:tcW w:w="1550" w:type="dxa"/>
            <w:vMerge w:val="continue"/>
            <w:noWrap w:val="0"/>
            <w:vAlign w:val="center"/>
          </w:tcPr>
          <w:p>
            <w:pPr>
              <w:pStyle w:val="118"/>
              <w:rPr>
                <w:rFonts w:hint="eastAsia"/>
                <w:color w:val="auto"/>
              </w:rPr>
            </w:pPr>
          </w:p>
        </w:tc>
        <w:tc>
          <w:tcPr>
            <w:tcW w:w="1234" w:type="dxa"/>
            <w:noWrap w:val="0"/>
            <w:vAlign w:val="center"/>
          </w:tcPr>
          <w:p>
            <w:pPr>
              <w:pStyle w:val="69"/>
              <w:rPr>
                <w:rFonts w:hint="eastAsia"/>
                <w:color w:val="auto"/>
              </w:rPr>
            </w:pPr>
            <w:r>
              <w:rPr>
                <w:rFonts w:hint="eastAsia"/>
                <w:color w:val="auto"/>
              </w:rPr>
              <w:t>宠物粪便</w:t>
            </w:r>
          </w:p>
        </w:tc>
        <w:tc>
          <w:tcPr>
            <w:tcW w:w="3439" w:type="dxa"/>
            <w:vMerge w:val="continue"/>
            <w:noWrap w:val="0"/>
            <w:vAlign w:val="center"/>
          </w:tcPr>
          <w:p>
            <w:pPr>
              <w:pStyle w:val="118"/>
              <w:rPr>
                <w:rFonts w:hint="eastAsia"/>
                <w:color w:val="auto"/>
              </w:rPr>
            </w:pPr>
          </w:p>
        </w:tc>
        <w:tc>
          <w:tcPr>
            <w:tcW w:w="1678" w:type="dxa"/>
            <w:vMerge w:val="continue"/>
            <w:noWrap w:val="0"/>
            <w:vAlign w:val="center"/>
          </w:tcPr>
          <w:p>
            <w:pPr>
              <w:pStyle w:val="118"/>
              <w:rPr>
                <w:rFonts w:hint="eastAsia"/>
                <w:color w:val="auto"/>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159" w:type="dxa"/>
            <w:vMerge w:val="continue"/>
            <w:noWrap w:val="0"/>
            <w:vAlign w:val="center"/>
          </w:tcPr>
          <w:p>
            <w:pPr>
              <w:pStyle w:val="118"/>
              <w:rPr>
                <w:rFonts w:hint="eastAsia"/>
                <w:color w:val="auto"/>
              </w:rPr>
            </w:pPr>
          </w:p>
        </w:tc>
        <w:tc>
          <w:tcPr>
            <w:tcW w:w="1550" w:type="dxa"/>
            <w:vMerge w:val="continue"/>
            <w:noWrap w:val="0"/>
            <w:vAlign w:val="center"/>
          </w:tcPr>
          <w:p>
            <w:pPr>
              <w:pStyle w:val="118"/>
              <w:rPr>
                <w:rFonts w:hint="eastAsia"/>
                <w:color w:val="auto"/>
              </w:rPr>
            </w:pPr>
          </w:p>
        </w:tc>
        <w:tc>
          <w:tcPr>
            <w:tcW w:w="1234" w:type="dxa"/>
            <w:noWrap w:val="0"/>
            <w:vAlign w:val="center"/>
          </w:tcPr>
          <w:p>
            <w:pPr>
              <w:pStyle w:val="69"/>
              <w:rPr>
                <w:rFonts w:hint="eastAsia"/>
                <w:color w:val="auto"/>
              </w:rPr>
            </w:pPr>
            <w:r>
              <w:rPr>
                <w:rFonts w:hint="eastAsia"/>
                <w:color w:val="auto"/>
              </w:rPr>
              <w:t>宠物毛发</w:t>
            </w:r>
          </w:p>
        </w:tc>
        <w:tc>
          <w:tcPr>
            <w:tcW w:w="3439" w:type="dxa"/>
            <w:vMerge w:val="continue"/>
            <w:noWrap w:val="0"/>
            <w:vAlign w:val="center"/>
          </w:tcPr>
          <w:p>
            <w:pPr>
              <w:pStyle w:val="118"/>
              <w:rPr>
                <w:rFonts w:hint="eastAsia"/>
                <w:color w:val="auto"/>
              </w:rPr>
            </w:pPr>
          </w:p>
        </w:tc>
        <w:tc>
          <w:tcPr>
            <w:tcW w:w="1678" w:type="dxa"/>
            <w:vMerge w:val="continue"/>
            <w:noWrap w:val="0"/>
            <w:vAlign w:val="center"/>
          </w:tcPr>
          <w:p>
            <w:pPr>
              <w:pStyle w:val="118"/>
              <w:rPr>
                <w:rFonts w:hint="eastAsia"/>
                <w:color w:val="auto"/>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159" w:type="dxa"/>
            <w:vMerge w:val="continue"/>
            <w:noWrap w:val="0"/>
            <w:vAlign w:val="center"/>
          </w:tcPr>
          <w:p>
            <w:pPr>
              <w:pStyle w:val="118"/>
              <w:rPr>
                <w:rFonts w:hint="eastAsia"/>
                <w:color w:val="auto"/>
              </w:rPr>
            </w:pPr>
          </w:p>
        </w:tc>
        <w:tc>
          <w:tcPr>
            <w:tcW w:w="1550" w:type="dxa"/>
            <w:vMerge w:val="restart"/>
            <w:noWrap w:val="0"/>
            <w:vAlign w:val="center"/>
          </w:tcPr>
          <w:p>
            <w:pPr>
              <w:pStyle w:val="118"/>
              <w:rPr>
                <w:rFonts w:hint="eastAsia"/>
                <w:color w:val="auto"/>
              </w:rPr>
            </w:pPr>
            <w:r>
              <w:rPr>
                <w:rFonts w:hint="eastAsia"/>
                <w:color w:val="auto"/>
              </w:rPr>
              <w:t>危险废物</w:t>
            </w:r>
          </w:p>
        </w:tc>
        <w:tc>
          <w:tcPr>
            <w:tcW w:w="1234" w:type="dxa"/>
            <w:noWrap w:val="0"/>
            <w:vAlign w:val="center"/>
          </w:tcPr>
          <w:p>
            <w:pPr>
              <w:pStyle w:val="69"/>
              <w:rPr>
                <w:rFonts w:hint="eastAsia"/>
                <w:color w:val="auto"/>
              </w:rPr>
            </w:pPr>
            <w:r>
              <w:rPr>
                <w:color w:val="auto"/>
              </w:rPr>
              <w:t>动物尸体</w:t>
            </w:r>
          </w:p>
        </w:tc>
        <w:tc>
          <w:tcPr>
            <w:tcW w:w="3439" w:type="dxa"/>
            <w:noWrap w:val="0"/>
            <w:vAlign w:val="center"/>
          </w:tcPr>
          <w:p>
            <w:pPr>
              <w:pStyle w:val="69"/>
              <w:rPr>
                <w:rFonts w:hint="eastAsia"/>
                <w:color w:val="auto"/>
              </w:rPr>
            </w:pPr>
            <w:r>
              <w:rPr>
                <w:rFonts w:hint="eastAsia"/>
                <w:color w:val="auto"/>
              </w:rPr>
              <w:t>消毒后采用密封袋封存并暂存于冰箱内，交由资质单位处置，不在院内储存</w:t>
            </w:r>
          </w:p>
        </w:tc>
        <w:tc>
          <w:tcPr>
            <w:tcW w:w="1678" w:type="dxa"/>
            <w:vMerge w:val="restart"/>
            <w:noWrap w:val="0"/>
            <w:vAlign w:val="center"/>
          </w:tcPr>
          <w:p>
            <w:pPr>
              <w:pStyle w:val="118"/>
              <w:rPr>
                <w:rFonts w:hint="eastAsia"/>
                <w:color w:val="auto"/>
              </w:rPr>
            </w:pPr>
            <w:r>
              <w:rPr>
                <w:rFonts w:hint="eastAsia"/>
                <w:color w:val="auto"/>
              </w:rPr>
              <w:t>《危险废物贮存污染物控制标准》</w:t>
            </w:r>
            <w:r>
              <w:rPr>
                <w:color w:val="auto"/>
              </w:rPr>
              <w:t>（GB18597-2001）</w:t>
            </w:r>
            <w:r>
              <w:rPr>
                <w:rFonts w:hint="eastAsia"/>
                <w:color w:val="auto"/>
              </w:rPr>
              <w:t>及其修改单</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159" w:type="dxa"/>
            <w:vMerge w:val="continue"/>
            <w:noWrap w:val="0"/>
            <w:vAlign w:val="center"/>
          </w:tcPr>
          <w:p>
            <w:pPr>
              <w:pStyle w:val="118"/>
              <w:rPr>
                <w:rFonts w:hint="eastAsia"/>
                <w:color w:val="auto"/>
              </w:rPr>
            </w:pPr>
          </w:p>
        </w:tc>
        <w:tc>
          <w:tcPr>
            <w:tcW w:w="1550" w:type="dxa"/>
            <w:vMerge w:val="continue"/>
            <w:noWrap w:val="0"/>
            <w:vAlign w:val="center"/>
          </w:tcPr>
          <w:p>
            <w:pPr>
              <w:pStyle w:val="118"/>
              <w:rPr>
                <w:rFonts w:hint="eastAsia"/>
                <w:color w:val="auto"/>
              </w:rPr>
            </w:pPr>
          </w:p>
        </w:tc>
        <w:tc>
          <w:tcPr>
            <w:tcW w:w="1234" w:type="dxa"/>
            <w:noWrap w:val="0"/>
            <w:vAlign w:val="center"/>
          </w:tcPr>
          <w:p>
            <w:pPr>
              <w:pStyle w:val="69"/>
              <w:rPr>
                <w:rFonts w:hint="eastAsia"/>
                <w:color w:val="auto"/>
              </w:rPr>
            </w:pPr>
            <w:r>
              <w:rPr>
                <w:color w:val="auto"/>
              </w:rPr>
              <w:t>医疗垃圾</w:t>
            </w:r>
          </w:p>
        </w:tc>
        <w:tc>
          <w:tcPr>
            <w:tcW w:w="3439" w:type="dxa"/>
            <w:noWrap w:val="0"/>
            <w:vAlign w:val="center"/>
          </w:tcPr>
          <w:p>
            <w:pPr>
              <w:pStyle w:val="69"/>
              <w:rPr>
                <w:rFonts w:hint="eastAsia"/>
                <w:color w:val="auto"/>
              </w:rPr>
            </w:pPr>
            <w:r>
              <w:rPr>
                <w:rFonts w:hint="eastAsia"/>
                <w:color w:val="auto"/>
              </w:rPr>
              <w:t>分类收集，暂存于医疗废物暂存间，定期交由资质单位处置；病理组织暂存在专用冰柜内，与其它医疗废物一起交由有资质的单位进行统一处置，</w:t>
            </w:r>
          </w:p>
        </w:tc>
        <w:tc>
          <w:tcPr>
            <w:tcW w:w="1678" w:type="dxa"/>
            <w:vMerge w:val="continue"/>
            <w:noWrap w:val="0"/>
            <w:vAlign w:val="center"/>
          </w:tcPr>
          <w:p>
            <w:pPr>
              <w:pStyle w:val="118"/>
              <w:rPr>
                <w:rFonts w:hint="eastAsia"/>
                <w:color w:val="auto"/>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159" w:type="dxa"/>
            <w:vMerge w:val="continue"/>
            <w:noWrap w:val="0"/>
            <w:vAlign w:val="center"/>
          </w:tcPr>
          <w:p>
            <w:pPr>
              <w:pStyle w:val="118"/>
              <w:rPr>
                <w:rFonts w:hint="eastAsia"/>
                <w:color w:val="auto"/>
              </w:rPr>
            </w:pPr>
          </w:p>
        </w:tc>
        <w:tc>
          <w:tcPr>
            <w:tcW w:w="1550" w:type="dxa"/>
            <w:vMerge w:val="continue"/>
            <w:noWrap w:val="0"/>
            <w:vAlign w:val="center"/>
          </w:tcPr>
          <w:p>
            <w:pPr>
              <w:pStyle w:val="118"/>
              <w:rPr>
                <w:rFonts w:hint="eastAsia"/>
                <w:color w:val="auto"/>
              </w:rPr>
            </w:pPr>
          </w:p>
        </w:tc>
        <w:tc>
          <w:tcPr>
            <w:tcW w:w="1234" w:type="dxa"/>
            <w:noWrap w:val="0"/>
            <w:vAlign w:val="center"/>
          </w:tcPr>
          <w:p>
            <w:pPr>
              <w:pStyle w:val="69"/>
              <w:rPr>
                <w:rFonts w:hint="eastAsia"/>
                <w:color w:val="auto"/>
              </w:rPr>
            </w:pPr>
            <w:r>
              <w:rPr>
                <w:color w:val="auto"/>
              </w:rPr>
              <w:t>废紫外灯管</w:t>
            </w:r>
          </w:p>
        </w:tc>
        <w:tc>
          <w:tcPr>
            <w:tcW w:w="3439" w:type="dxa"/>
            <w:noWrap w:val="0"/>
            <w:vAlign w:val="center"/>
          </w:tcPr>
          <w:p>
            <w:pPr>
              <w:pStyle w:val="118"/>
              <w:rPr>
                <w:rFonts w:hint="eastAsia"/>
                <w:color w:val="auto"/>
              </w:rPr>
            </w:pPr>
            <w:r>
              <w:rPr>
                <w:rFonts w:hint="eastAsia"/>
                <w:color w:val="auto"/>
              </w:rPr>
              <w:t>收集后暂存于医疗废物暂存间，定期交由资质单位处置</w:t>
            </w:r>
          </w:p>
        </w:tc>
        <w:tc>
          <w:tcPr>
            <w:tcW w:w="1678" w:type="dxa"/>
            <w:vMerge w:val="continue"/>
            <w:noWrap w:val="0"/>
            <w:vAlign w:val="center"/>
          </w:tcPr>
          <w:p>
            <w:pPr>
              <w:pStyle w:val="118"/>
              <w:rPr>
                <w:rFonts w:hint="eastAsia"/>
                <w:color w:val="auto"/>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159" w:type="dxa"/>
            <w:noWrap w:val="0"/>
            <w:vAlign w:val="center"/>
          </w:tcPr>
          <w:p>
            <w:pPr>
              <w:pStyle w:val="118"/>
              <w:rPr>
                <w:rFonts w:hint="eastAsia"/>
                <w:color w:val="auto"/>
              </w:rPr>
            </w:pPr>
            <w:r>
              <w:rPr>
                <w:rFonts w:hint="eastAsia"/>
                <w:color w:val="auto"/>
              </w:rPr>
              <w:t>土壤及地下水</w:t>
            </w:r>
          </w:p>
          <w:p>
            <w:pPr>
              <w:pStyle w:val="118"/>
              <w:rPr>
                <w:rFonts w:hint="eastAsia"/>
                <w:color w:val="auto"/>
              </w:rPr>
            </w:pPr>
            <w:r>
              <w:rPr>
                <w:rFonts w:hint="eastAsia"/>
                <w:color w:val="auto"/>
              </w:rPr>
              <w:t>污染防治措施</w:t>
            </w:r>
          </w:p>
        </w:tc>
        <w:tc>
          <w:tcPr>
            <w:tcW w:w="7901" w:type="dxa"/>
            <w:gridSpan w:val="4"/>
            <w:noWrap w:val="0"/>
            <w:vAlign w:val="top"/>
          </w:tcPr>
          <w:p>
            <w:pPr>
              <w:pStyle w:val="118"/>
              <w:jc w:val="both"/>
              <w:rPr>
                <w:rFonts w:hint="eastAsia"/>
                <w:color w:val="auto"/>
              </w:rPr>
            </w:pPr>
            <w:r>
              <w:rPr>
                <w:rFonts w:hint="eastAsia"/>
                <w:color w:val="auto"/>
              </w:rPr>
              <w:t>本项目营运期用水由市政供水管网提供，污水通过污水管道排入春天花园预处理池处理达标后排入市政污水管网，流入乐山市第一污水处理厂处理达到《四川省岷江、沱江流域水污染物排放标准》（DB51/2311-2016）要求后排入岷江。</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159" w:type="dxa"/>
            <w:noWrap w:val="0"/>
            <w:vAlign w:val="center"/>
          </w:tcPr>
          <w:p>
            <w:pPr>
              <w:pStyle w:val="118"/>
              <w:rPr>
                <w:rFonts w:hint="eastAsia"/>
                <w:color w:val="auto"/>
              </w:rPr>
            </w:pPr>
            <w:r>
              <w:rPr>
                <w:rFonts w:hint="eastAsia"/>
                <w:color w:val="auto"/>
              </w:rPr>
              <w:t>生态保护措施</w:t>
            </w:r>
          </w:p>
        </w:tc>
        <w:tc>
          <w:tcPr>
            <w:tcW w:w="7901" w:type="dxa"/>
            <w:gridSpan w:val="4"/>
            <w:noWrap w:val="0"/>
            <w:vAlign w:val="top"/>
          </w:tcPr>
          <w:p>
            <w:pPr>
              <w:pStyle w:val="118"/>
              <w:jc w:val="both"/>
              <w:rPr>
                <w:rFonts w:hint="eastAsia"/>
                <w:color w:val="auto"/>
              </w:rPr>
            </w:pPr>
            <w:r>
              <w:rPr>
                <w:rFonts w:hint="eastAsia"/>
                <w:color w:val="auto"/>
              </w:rPr>
              <w:t>项目所在地为城市环境，生态环境受人类活动影响显著，无珍稀动植物，区域内无自然保护区、风景名胜区等生态敏感区分布。项目各类污染物在采取有效的环保措施后均能做到达标排放。因此，不会对区域生态环境产生不良影响，无须特殊的生态保护措施。</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159" w:type="dxa"/>
            <w:noWrap w:val="0"/>
            <w:vAlign w:val="center"/>
          </w:tcPr>
          <w:p>
            <w:pPr>
              <w:pStyle w:val="118"/>
              <w:rPr>
                <w:color w:val="auto"/>
              </w:rPr>
            </w:pPr>
            <w:r>
              <w:rPr>
                <w:rFonts w:hint="eastAsia"/>
                <w:color w:val="auto"/>
              </w:rPr>
              <w:t>环境风险</w:t>
            </w:r>
          </w:p>
          <w:p>
            <w:pPr>
              <w:pStyle w:val="118"/>
              <w:rPr>
                <w:rFonts w:hint="eastAsia"/>
                <w:color w:val="auto"/>
              </w:rPr>
            </w:pPr>
            <w:r>
              <w:rPr>
                <w:rFonts w:hint="eastAsia"/>
                <w:color w:val="auto"/>
              </w:rPr>
              <w:t>防范措施</w:t>
            </w:r>
          </w:p>
        </w:tc>
        <w:tc>
          <w:tcPr>
            <w:tcW w:w="7901" w:type="dxa"/>
            <w:gridSpan w:val="4"/>
            <w:noWrap w:val="0"/>
            <w:vAlign w:val="top"/>
          </w:tcPr>
          <w:p>
            <w:pPr>
              <w:pStyle w:val="69"/>
              <w:jc w:val="both"/>
              <w:rPr>
                <w:rFonts w:hint="eastAsia"/>
                <w:color w:val="auto"/>
              </w:rPr>
            </w:pPr>
            <w:r>
              <w:rPr>
                <w:rFonts w:hint="eastAsia"/>
                <w:color w:val="auto"/>
              </w:rPr>
              <w:t xml:space="preserve">加强对化验室化学品管理： </w:t>
            </w:r>
          </w:p>
          <w:p>
            <w:pPr>
              <w:pStyle w:val="69"/>
              <w:jc w:val="both"/>
              <w:rPr>
                <w:rFonts w:hint="eastAsia"/>
                <w:color w:val="auto"/>
              </w:rPr>
            </w:pPr>
            <w:r>
              <w:rPr>
                <w:rFonts w:hint="eastAsia"/>
                <w:color w:val="auto"/>
              </w:rPr>
              <w:t>对于化学品的购买、储存、保管、使用等需要按照《危险化学品安全管理条例》的规定管理，化学品出入库，必须进行核查登记，并定期监测库存。做好化学品的存储及使用的安全防范措施，具体如下：</w:t>
            </w:r>
          </w:p>
          <w:p>
            <w:pPr>
              <w:pStyle w:val="69"/>
              <w:jc w:val="both"/>
              <w:rPr>
                <w:rFonts w:hint="eastAsia"/>
                <w:color w:val="auto"/>
              </w:rPr>
            </w:pPr>
            <w:r>
              <w:rPr>
                <w:rFonts w:hint="eastAsia"/>
                <w:color w:val="auto"/>
              </w:rPr>
              <w:t>A、化学品必须储存在专用储存柜内，其储存方式、方法与储存量必须符合国家标准，并由专人管理。</w:t>
            </w:r>
          </w:p>
          <w:p>
            <w:pPr>
              <w:pStyle w:val="69"/>
              <w:jc w:val="both"/>
              <w:rPr>
                <w:rFonts w:hint="eastAsia"/>
                <w:color w:val="auto"/>
              </w:rPr>
            </w:pPr>
            <w:r>
              <w:rPr>
                <w:rFonts w:hint="eastAsia"/>
                <w:color w:val="auto"/>
              </w:rPr>
              <w:t xml:space="preserve">B、化学品设有专用存储柜，应当符合国家标准对安全、消防的要求，设置明显标志。 </w:t>
            </w:r>
          </w:p>
          <w:p>
            <w:pPr>
              <w:pStyle w:val="69"/>
              <w:jc w:val="both"/>
              <w:rPr>
                <w:rFonts w:hint="eastAsia"/>
                <w:color w:val="auto"/>
              </w:rPr>
            </w:pPr>
            <w:r>
              <w:rPr>
                <w:rFonts w:hint="eastAsia"/>
                <w:color w:val="auto"/>
              </w:rPr>
              <w:t>医疗废物储存风险防范措施：</w:t>
            </w:r>
          </w:p>
          <w:p>
            <w:pPr>
              <w:pStyle w:val="69"/>
              <w:jc w:val="both"/>
              <w:rPr>
                <w:rFonts w:hint="eastAsia"/>
                <w:color w:val="auto"/>
              </w:rPr>
            </w:pPr>
            <w:r>
              <w:rPr>
                <w:rFonts w:hint="eastAsia"/>
                <w:color w:val="auto"/>
              </w:rPr>
              <w:t xml:space="preserve">A、应当使用防渗漏、防抛洒的专用储存工具，做好医疗废物存储地周围的防渗措施。 </w:t>
            </w:r>
          </w:p>
          <w:p>
            <w:pPr>
              <w:pStyle w:val="69"/>
              <w:jc w:val="both"/>
              <w:rPr>
                <w:rFonts w:hint="eastAsia"/>
                <w:color w:val="auto"/>
              </w:rPr>
            </w:pPr>
            <w:r>
              <w:rPr>
                <w:rFonts w:hint="eastAsia"/>
                <w:color w:val="auto"/>
              </w:rPr>
              <w:t xml:space="preserve">B、医疗废物储存工具应定期进行消毒和清洁。 </w:t>
            </w:r>
          </w:p>
          <w:p>
            <w:pPr>
              <w:pStyle w:val="69"/>
              <w:jc w:val="both"/>
              <w:rPr>
                <w:rFonts w:hint="eastAsia"/>
                <w:color w:val="auto"/>
              </w:rPr>
            </w:pPr>
            <w:r>
              <w:rPr>
                <w:rFonts w:hint="eastAsia"/>
                <w:color w:val="auto"/>
              </w:rPr>
              <w:t>C、医疗废物应分类收集、贮存，贴上醒目标签，不得与生活垃圾混合堆放；发生危险废物与生活垃圾混合的现象，应将所有被污染的生活垃圾当做危险废物处理。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159" w:type="dxa"/>
            <w:noWrap w:val="0"/>
            <w:vAlign w:val="center"/>
          </w:tcPr>
          <w:p>
            <w:pPr>
              <w:pStyle w:val="118"/>
              <w:rPr>
                <w:color w:val="auto"/>
              </w:rPr>
            </w:pPr>
            <w:r>
              <w:rPr>
                <w:rFonts w:hint="eastAsia"/>
                <w:color w:val="auto"/>
              </w:rPr>
              <w:t>其他环境</w:t>
            </w:r>
          </w:p>
          <w:p>
            <w:pPr>
              <w:pStyle w:val="118"/>
              <w:rPr>
                <w:rFonts w:hint="eastAsia"/>
                <w:color w:val="auto"/>
              </w:rPr>
            </w:pPr>
            <w:r>
              <w:rPr>
                <w:rFonts w:hint="eastAsia"/>
                <w:color w:val="auto"/>
              </w:rPr>
              <w:t>管理要求</w:t>
            </w:r>
          </w:p>
        </w:tc>
        <w:tc>
          <w:tcPr>
            <w:tcW w:w="7901" w:type="dxa"/>
            <w:gridSpan w:val="4"/>
            <w:noWrap w:val="0"/>
            <w:vAlign w:val="top"/>
          </w:tcPr>
          <w:p>
            <w:pPr>
              <w:pStyle w:val="69"/>
              <w:jc w:val="both"/>
              <w:rPr>
                <w:rFonts w:hint="eastAsia"/>
                <w:color w:val="auto"/>
              </w:rPr>
            </w:pPr>
            <w:r>
              <w:rPr>
                <w:rFonts w:hint="eastAsia"/>
                <w:color w:val="auto"/>
              </w:rPr>
              <w:t>环境及医疗器械卫生消毒制度：</w:t>
            </w:r>
          </w:p>
          <w:p>
            <w:pPr>
              <w:pStyle w:val="69"/>
              <w:jc w:val="both"/>
              <w:rPr>
                <w:rFonts w:hint="eastAsia"/>
                <w:color w:val="auto"/>
              </w:rPr>
            </w:pPr>
            <w:r>
              <w:rPr>
                <w:rFonts w:hint="eastAsia"/>
                <w:color w:val="auto"/>
              </w:rPr>
              <w:t xml:space="preserve">①保持室内清洁，每天工作结束后应进行彻底消毒处理； </w:t>
            </w:r>
          </w:p>
          <w:p>
            <w:pPr>
              <w:pStyle w:val="69"/>
              <w:jc w:val="both"/>
              <w:rPr>
                <w:rFonts w:hint="eastAsia"/>
                <w:color w:val="auto"/>
              </w:rPr>
            </w:pPr>
            <w:r>
              <w:rPr>
                <w:rFonts w:hint="eastAsia"/>
                <w:color w:val="auto"/>
              </w:rPr>
              <w:t>②工作人员必须穿工作服、带工作帽、戴口罩、手套。使用合格的一次性检验用品；</w:t>
            </w:r>
          </w:p>
          <w:p>
            <w:pPr>
              <w:pStyle w:val="69"/>
              <w:jc w:val="both"/>
              <w:rPr>
                <w:rFonts w:hint="eastAsia"/>
                <w:color w:val="auto"/>
              </w:rPr>
            </w:pPr>
            <w:r>
              <w:rPr>
                <w:rFonts w:hint="eastAsia"/>
                <w:color w:val="auto"/>
              </w:rPr>
              <w:t xml:space="preserve">③无菌物品如：棉签、棉球、纱布等应在有效期内使用，开封后使用时间不得超过24小时； </w:t>
            </w:r>
          </w:p>
          <w:p>
            <w:pPr>
              <w:pStyle w:val="69"/>
              <w:jc w:val="both"/>
              <w:rPr>
                <w:rFonts w:hint="eastAsia"/>
                <w:color w:val="auto"/>
              </w:rPr>
            </w:pPr>
            <w:r>
              <w:rPr>
                <w:rFonts w:hint="eastAsia"/>
                <w:color w:val="auto"/>
              </w:rPr>
              <w:t>④各种医疗器械应及时消毒、清洗；各种废弃标本分类处理。进行治疗时，必须先洗手或消毒。结束操作后也应及时洗手，毛巾专用，并每天消毒。</w:t>
            </w:r>
          </w:p>
          <w:p>
            <w:pPr>
              <w:pStyle w:val="69"/>
              <w:jc w:val="both"/>
              <w:rPr>
                <w:rFonts w:hint="eastAsia"/>
                <w:color w:val="auto"/>
              </w:rPr>
            </w:pPr>
            <w:r>
              <w:rPr>
                <w:rFonts w:hint="eastAsia"/>
                <w:color w:val="auto"/>
              </w:rPr>
              <w:t>危险废物处置和管理：</w:t>
            </w:r>
          </w:p>
          <w:p>
            <w:pPr>
              <w:pStyle w:val="118"/>
              <w:jc w:val="both"/>
              <w:rPr>
                <w:rFonts w:hint="eastAsia"/>
                <w:color w:val="auto"/>
              </w:rPr>
            </w:pPr>
            <w:r>
              <w:rPr>
                <w:rFonts w:hint="eastAsia"/>
                <w:color w:val="auto"/>
              </w:rPr>
              <w:t>对诊疗过程中产生的医疗废物要求及时交予资质单位处置，并做好医疗废弃物的转运台账。</w:t>
            </w:r>
          </w:p>
        </w:tc>
      </w:tr>
    </w:tbl>
    <w:p>
      <w:pPr>
        <w:pStyle w:val="3"/>
        <w:rPr>
          <w:rFonts w:ascii="黑体" w:hAnsi="黑体"/>
          <w:snapToGrid w:val="0"/>
          <w:color w:val="auto"/>
        </w:rPr>
      </w:pPr>
      <w:r>
        <w:rPr>
          <w:snapToGrid w:val="0"/>
          <w:color w:val="auto"/>
        </w:rPr>
        <w:br w:type="page"/>
      </w:r>
      <w:bookmarkStart w:id="72" w:name="_Toc22831"/>
      <w:bookmarkStart w:id="73" w:name="_Toc11423"/>
      <w:bookmarkStart w:id="74" w:name="_Toc22245"/>
      <w:bookmarkStart w:id="75" w:name="_Toc32607"/>
      <w:r>
        <w:rPr>
          <w:rFonts w:hint="eastAsia" w:ascii="黑体" w:hAnsi="黑体"/>
          <w:snapToGrid w:val="0"/>
          <w:color w:val="auto"/>
        </w:rPr>
        <w:t>六、结论</w:t>
      </w:r>
      <w:bookmarkEnd w:id="72"/>
      <w:bookmarkEnd w:id="73"/>
      <w:bookmarkEnd w:id="74"/>
      <w:bookmarkEnd w:id="75"/>
    </w:p>
    <w:tbl>
      <w:tblPr>
        <w:tblStyle w:val="3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865"/>
      </w:tblGrid>
      <w:tr>
        <w:tblPrEx>
          <w:tblCellMar>
            <w:top w:w="0" w:type="dxa"/>
            <w:left w:w="108" w:type="dxa"/>
            <w:bottom w:w="0" w:type="dxa"/>
            <w:right w:w="108" w:type="dxa"/>
          </w:tblCellMar>
        </w:tblPrEx>
        <w:trPr>
          <w:trHeight w:val="2346" w:hRule="atLeast"/>
          <w:jc w:val="center"/>
        </w:trPr>
        <w:tc>
          <w:tcPr>
            <w:tcW w:w="8865" w:type="dxa"/>
            <w:noWrap w:val="0"/>
            <w:vAlign w:val="center"/>
          </w:tcPr>
          <w:p>
            <w:pPr>
              <w:pStyle w:val="104"/>
              <w:ind w:firstLine="480"/>
              <w:rPr>
                <w:rFonts w:hint="eastAsia"/>
                <w:color w:val="auto"/>
              </w:rPr>
            </w:pPr>
            <w:r>
              <w:rPr>
                <w:rFonts w:hint="eastAsia"/>
                <w:color w:val="auto"/>
              </w:rPr>
              <w:t>综上所述，本项目符合国家产业政策，选址符合功能定位和发展规划要求。采取的污染防治措施可使污染物达标排放；项目总平面布置基本合理。项目所在区域内无重大环境制约要素，环境质量现状较好。因此，本项目只要全面严格落实环境影响报告表和工程设计提出的环保对策及措施，严格执行“三同时”制度，确保项目产生的污染物达标排放。则本项目的建设从环保角度上是可行的。</w:t>
            </w:r>
          </w:p>
          <w:p>
            <w:pPr>
              <w:pStyle w:val="2"/>
              <w:ind w:left="960" w:hanging="480"/>
              <w:rPr>
                <w:rFonts w:hint="eastAsia"/>
                <w:color w:val="auto"/>
              </w:rPr>
            </w:pPr>
          </w:p>
          <w:p>
            <w:pPr>
              <w:ind w:firstLine="480"/>
              <w:rPr>
                <w:rFonts w:hint="eastAsia"/>
                <w:color w:val="auto"/>
              </w:rPr>
            </w:pPr>
          </w:p>
          <w:p>
            <w:pPr>
              <w:pStyle w:val="2"/>
              <w:ind w:left="960" w:hanging="480"/>
              <w:rPr>
                <w:rFonts w:hint="eastAsia"/>
                <w:color w:val="auto"/>
              </w:rPr>
            </w:pPr>
          </w:p>
          <w:p>
            <w:pPr>
              <w:ind w:firstLine="480"/>
              <w:rPr>
                <w:rFonts w:hint="eastAsia"/>
                <w:color w:val="auto"/>
              </w:rPr>
            </w:pPr>
          </w:p>
          <w:p>
            <w:pPr>
              <w:pStyle w:val="2"/>
              <w:ind w:left="960" w:hanging="480"/>
              <w:rPr>
                <w:rFonts w:hint="eastAsia"/>
                <w:color w:val="auto"/>
              </w:rPr>
            </w:pPr>
          </w:p>
          <w:p>
            <w:pPr>
              <w:ind w:firstLine="480"/>
              <w:rPr>
                <w:rFonts w:hint="eastAsia"/>
                <w:color w:val="auto"/>
              </w:rPr>
            </w:pPr>
          </w:p>
          <w:p>
            <w:pPr>
              <w:pStyle w:val="2"/>
              <w:ind w:left="960" w:hanging="480"/>
              <w:rPr>
                <w:rFonts w:hint="eastAsia"/>
                <w:color w:val="auto"/>
              </w:rPr>
            </w:pPr>
          </w:p>
          <w:p>
            <w:pPr>
              <w:ind w:firstLine="480"/>
              <w:rPr>
                <w:rFonts w:hint="eastAsia"/>
                <w:color w:val="auto"/>
              </w:rPr>
            </w:pPr>
          </w:p>
          <w:p>
            <w:pPr>
              <w:pStyle w:val="2"/>
              <w:ind w:left="960" w:hanging="480"/>
              <w:rPr>
                <w:rFonts w:hint="eastAsia"/>
                <w:color w:val="auto"/>
              </w:rPr>
            </w:pPr>
          </w:p>
          <w:p>
            <w:pPr>
              <w:ind w:firstLine="480"/>
              <w:rPr>
                <w:rFonts w:hint="eastAsia"/>
                <w:color w:val="auto"/>
              </w:rPr>
            </w:pPr>
          </w:p>
          <w:p>
            <w:pPr>
              <w:pStyle w:val="2"/>
              <w:ind w:left="960" w:hanging="480"/>
              <w:rPr>
                <w:rFonts w:hint="eastAsia"/>
                <w:color w:val="auto"/>
              </w:rPr>
            </w:pPr>
          </w:p>
          <w:p>
            <w:pPr>
              <w:ind w:firstLine="480"/>
              <w:rPr>
                <w:rFonts w:hint="eastAsia"/>
                <w:color w:val="auto"/>
              </w:rPr>
            </w:pPr>
          </w:p>
          <w:p>
            <w:pPr>
              <w:pStyle w:val="2"/>
              <w:ind w:left="960" w:hanging="480"/>
              <w:rPr>
                <w:rFonts w:hint="eastAsia"/>
                <w:color w:val="auto"/>
              </w:rPr>
            </w:pPr>
          </w:p>
          <w:p>
            <w:pPr>
              <w:ind w:firstLine="480"/>
              <w:rPr>
                <w:rFonts w:hint="eastAsia"/>
                <w:color w:val="auto"/>
              </w:rPr>
            </w:pPr>
          </w:p>
          <w:p>
            <w:pPr>
              <w:pStyle w:val="2"/>
              <w:ind w:left="960" w:hanging="480"/>
              <w:rPr>
                <w:rFonts w:hint="eastAsia"/>
                <w:color w:val="auto"/>
              </w:rPr>
            </w:pPr>
          </w:p>
          <w:p>
            <w:pPr>
              <w:ind w:firstLine="480"/>
              <w:rPr>
                <w:rFonts w:hint="eastAsia"/>
                <w:color w:val="auto"/>
              </w:rPr>
            </w:pPr>
          </w:p>
          <w:p>
            <w:pPr>
              <w:pStyle w:val="2"/>
              <w:ind w:left="960" w:hanging="480"/>
              <w:rPr>
                <w:rFonts w:hint="eastAsia"/>
                <w:color w:val="auto"/>
              </w:rPr>
            </w:pPr>
          </w:p>
          <w:p>
            <w:pPr>
              <w:ind w:firstLine="480"/>
              <w:rPr>
                <w:rFonts w:hint="eastAsia"/>
                <w:color w:val="auto"/>
              </w:rPr>
            </w:pPr>
          </w:p>
          <w:p>
            <w:pPr>
              <w:pStyle w:val="2"/>
              <w:ind w:left="960" w:hanging="480"/>
              <w:rPr>
                <w:rFonts w:hint="eastAsia"/>
                <w:color w:val="auto"/>
              </w:rPr>
            </w:pPr>
          </w:p>
          <w:p>
            <w:pPr>
              <w:ind w:firstLine="480"/>
              <w:rPr>
                <w:color w:val="auto"/>
              </w:rPr>
            </w:pPr>
          </w:p>
        </w:tc>
      </w:tr>
    </w:tbl>
    <w:p>
      <w:pPr>
        <w:ind w:firstLine="480"/>
        <w:rPr>
          <w:rFonts w:ascii="宋体"/>
          <w:color w:val="auto"/>
        </w:rPr>
        <w:sectPr>
          <w:pgSz w:w="11906" w:h="16838"/>
          <w:pgMar w:top="1701" w:right="1531" w:bottom="1701" w:left="1531" w:header="851" w:footer="851" w:gutter="0"/>
          <w:pgNumType w:fmt="decimal"/>
          <w:cols w:space="720" w:num="1"/>
          <w:docGrid w:linePitch="312" w:charSpace="0"/>
        </w:sectPr>
      </w:pPr>
    </w:p>
    <w:p>
      <w:pPr>
        <w:pStyle w:val="33"/>
        <w:adjustRightInd w:val="0"/>
        <w:snapToGrid w:val="0"/>
        <w:spacing w:before="0" w:beforeAutospacing="0" w:after="0" w:afterAutospacing="0" w:line="648" w:lineRule="auto"/>
        <w:ind w:firstLine="640"/>
        <w:outlineLvl w:val="0"/>
        <w:rPr>
          <w:rFonts w:ascii="黑体" w:hAnsi="黑体" w:eastAsia="黑体"/>
          <w:snapToGrid w:val="0"/>
          <w:color w:val="auto"/>
          <w:sz w:val="32"/>
          <w:szCs w:val="32"/>
        </w:rPr>
      </w:pPr>
      <w:bookmarkStart w:id="76" w:name="_Toc12613"/>
      <w:bookmarkStart w:id="77" w:name="_Toc427"/>
      <w:bookmarkStart w:id="78" w:name="_Toc1256"/>
      <w:bookmarkStart w:id="79" w:name="_Toc31070"/>
      <w:r>
        <w:rPr>
          <w:rFonts w:hint="eastAsia" w:ascii="黑体" w:hAnsi="黑体" w:eastAsia="黑体"/>
          <w:snapToGrid w:val="0"/>
          <w:color w:val="auto"/>
          <w:sz w:val="32"/>
          <w:szCs w:val="32"/>
        </w:rPr>
        <w:t>附表</w:t>
      </w:r>
      <w:bookmarkEnd w:id="76"/>
      <w:bookmarkEnd w:id="77"/>
      <w:bookmarkEnd w:id="78"/>
      <w:bookmarkEnd w:id="79"/>
    </w:p>
    <w:p>
      <w:pPr>
        <w:pStyle w:val="3"/>
        <w:rPr>
          <w:rFonts w:hint="eastAsia"/>
          <w:color w:val="auto"/>
        </w:rPr>
      </w:pPr>
      <w:bookmarkStart w:id="80" w:name="_Toc5353"/>
      <w:bookmarkStart w:id="81" w:name="_Toc16974"/>
      <w:bookmarkStart w:id="82" w:name="_Toc13230"/>
      <w:bookmarkStart w:id="83" w:name="_Toc31336"/>
      <w:r>
        <w:rPr>
          <w:rFonts w:hint="eastAsia"/>
          <w:color w:val="auto"/>
        </w:rPr>
        <w:t>建设项目污染物排放量汇总表</w:t>
      </w:r>
      <w:bookmarkEnd w:id="80"/>
      <w:bookmarkEnd w:id="81"/>
      <w:bookmarkEnd w:id="82"/>
      <w:bookmarkEnd w:id="83"/>
    </w:p>
    <w:tbl>
      <w:tblPr>
        <w:tblStyle w:val="38"/>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626"/>
        <w:gridCol w:w="1192"/>
        <w:gridCol w:w="1083"/>
        <w:gridCol w:w="664"/>
        <w:gridCol w:w="996"/>
        <w:gridCol w:w="1460"/>
        <w:gridCol w:w="953"/>
        <w:gridCol w:w="1460"/>
        <w:gridCol w:w="466"/>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319" w:type="pct"/>
            <w:tcBorders>
              <w:tl2br w:val="single" w:color="auto" w:sz="4" w:space="0"/>
            </w:tcBorders>
            <w:noWrap w:val="0"/>
            <w:tcMar>
              <w:left w:w="28" w:type="dxa"/>
              <w:right w:w="28" w:type="dxa"/>
            </w:tcMar>
            <w:vAlign w:val="center"/>
          </w:tcPr>
          <w:p>
            <w:pPr>
              <w:pStyle w:val="103"/>
              <w:spacing w:beforeLines="0" w:afterLines="0" w:line="240" w:lineRule="auto"/>
              <w:ind w:firstLine="0" w:firstLineChars="0"/>
              <w:rPr>
                <w:rFonts w:hint="eastAsia" w:hAnsi="宋体" w:cs="宋体"/>
                <w:snapToGrid w:val="0"/>
                <w:color w:val="auto"/>
                <w:spacing w:val="-6"/>
                <w:kern w:val="21"/>
                <w:sz w:val="21"/>
                <w:szCs w:val="21"/>
              </w:rPr>
            </w:pPr>
            <w:r>
              <w:rPr>
                <w:rFonts w:hint="eastAsia" w:hAnsi="宋体" w:cs="宋体"/>
                <w:snapToGrid w:val="0"/>
                <w:color w:val="auto"/>
                <w:spacing w:val="-6"/>
                <w:kern w:val="21"/>
                <w:sz w:val="21"/>
                <w:szCs w:val="21"/>
              </w:rPr>
              <w:t xml:space="preserve">  项目</w:t>
            </w:r>
          </w:p>
          <w:p>
            <w:pPr>
              <w:pStyle w:val="103"/>
              <w:spacing w:beforeLines="0" w:afterLines="0" w:line="240" w:lineRule="auto"/>
              <w:ind w:firstLine="0" w:firstLineChars="0"/>
              <w:jc w:val="both"/>
              <w:rPr>
                <w:rFonts w:hint="eastAsia" w:hAnsi="宋体" w:cs="宋体"/>
                <w:snapToGrid w:val="0"/>
                <w:color w:val="auto"/>
                <w:spacing w:val="-6"/>
                <w:kern w:val="21"/>
                <w:sz w:val="21"/>
                <w:szCs w:val="21"/>
              </w:rPr>
            </w:pPr>
            <w:r>
              <w:rPr>
                <w:rFonts w:hint="eastAsia" w:hAnsi="宋体" w:cs="宋体"/>
                <w:snapToGrid w:val="0"/>
                <w:color w:val="auto"/>
                <w:spacing w:val="-6"/>
                <w:kern w:val="21"/>
                <w:sz w:val="21"/>
                <w:szCs w:val="21"/>
              </w:rPr>
              <w:t>分类</w:t>
            </w:r>
          </w:p>
        </w:tc>
        <w:tc>
          <w:tcPr>
            <w:tcW w:w="734" w:type="pct"/>
            <w:noWrap w:val="0"/>
            <w:tcMar>
              <w:left w:w="28" w:type="dxa"/>
              <w:right w:w="28" w:type="dxa"/>
            </w:tcMar>
            <w:vAlign w:val="center"/>
          </w:tcPr>
          <w:p>
            <w:pPr>
              <w:pStyle w:val="103"/>
              <w:spacing w:beforeLines="0" w:afterLines="0" w:line="240" w:lineRule="auto"/>
              <w:ind w:firstLine="0" w:firstLineChars="0"/>
              <w:rPr>
                <w:rFonts w:hint="eastAsia" w:hAnsi="宋体" w:cs="宋体"/>
                <w:snapToGrid w:val="0"/>
                <w:color w:val="auto"/>
                <w:spacing w:val="-6"/>
                <w:kern w:val="21"/>
                <w:sz w:val="21"/>
                <w:szCs w:val="21"/>
              </w:rPr>
            </w:pPr>
            <w:r>
              <w:rPr>
                <w:rFonts w:hint="eastAsia" w:hAnsi="宋体" w:cs="宋体"/>
                <w:snapToGrid w:val="0"/>
                <w:color w:val="auto"/>
                <w:spacing w:val="-6"/>
                <w:kern w:val="21"/>
                <w:sz w:val="21"/>
                <w:szCs w:val="21"/>
              </w:rPr>
              <w:t>污染物名称</w:t>
            </w:r>
          </w:p>
        </w:tc>
        <w:tc>
          <w:tcPr>
            <w:tcW w:w="673" w:type="pct"/>
            <w:noWrap w:val="0"/>
            <w:tcMar>
              <w:left w:w="28" w:type="dxa"/>
              <w:right w:w="28" w:type="dxa"/>
            </w:tcMar>
            <w:vAlign w:val="center"/>
          </w:tcPr>
          <w:p>
            <w:pPr>
              <w:pStyle w:val="103"/>
              <w:spacing w:beforeLines="0" w:afterLines="0" w:line="240" w:lineRule="auto"/>
              <w:ind w:firstLine="0" w:firstLineChars="0"/>
              <w:rPr>
                <w:rFonts w:hint="eastAsia" w:hAnsi="宋体" w:cs="宋体"/>
                <w:snapToGrid w:val="0"/>
                <w:color w:val="auto"/>
                <w:spacing w:val="-6"/>
                <w:kern w:val="21"/>
                <w:sz w:val="21"/>
                <w:szCs w:val="21"/>
              </w:rPr>
            </w:pPr>
            <w:r>
              <w:rPr>
                <w:rFonts w:hint="eastAsia" w:hAnsi="宋体" w:cs="宋体"/>
                <w:snapToGrid w:val="0"/>
                <w:color w:val="auto"/>
                <w:spacing w:val="-6"/>
                <w:kern w:val="21"/>
                <w:sz w:val="21"/>
                <w:szCs w:val="21"/>
              </w:rPr>
              <w:t>现有工程</w:t>
            </w:r>
          </w:p>
          <w:p>
            <w:pPr>
              <w:pStyle w:val="103"/>
              <w:spacing w:beforeLines="0" w:afterLines="0" w:line="240" w:lineRule="auto"/>
              <w:ind w:firstLine="0" w:firstLineChars="0"/>
              <w:rPr>
                <w:rFonts w:hint="eastAsia" w:hAnsi="宋体" w:cs="宋体"/>
                <w:snapToGrid w:val="0"/>
                <w:color w:val="auto"/>
                <w:spacing w:val="-6"/>
                <w:kern w:val="21"/>
                <w:sz w:val="21"/>
                <w:szCs w:val="21"/>
              </w:rPr>
            </w:pPr>
            <w:r>
              <w:rPr>
                <w:rFonts w:hint="eastAsia" w:hAnsi="宋体" w:cs="宋体"/>
                <w:snapToGrid w:val="0"/>
                <w:color w:val="auto"/>
                <w:spacing w:val="-6"/>
                <w:kern w:val="21"/>
                <w:sz w:val="21"/>
                <w:szCs w:val="21"/>
              </w:rPr>
              <w:t>排放量（固体废物产生量）</w:t>
            </w:r>
            <w:r>
              <w:rPr>
                <w:rFonts w:hint="eastAsia" w:hAnsi="宋体" w:cs="宋体"/>
                <w:snapToGrid w:val="0"/>
                <w:color w:val="auto"/>
                <w:spacing w:val="-6"/>
                <w:kern w:val="21"/>
                <w:sz w:val="21"/>
                <w:szCs w:val="21"/>
              </w:rPr>
              <w:fldChar w:fldCharType="begin"/>
            </w:r>
            <w:r>
              <w:rPr>
                <w:rFonts w:hint="eastAsia" w:hAnsi="宋体" w:cs="宋体"/>
                <w:snapToGrid w:val="0"/>
                <w:color w:val="auto"/>
                <w:spacing w:val="-6"/>
                <w:kern w:val="21"/>
                <w:sz w:val="21"/>
                <w:szCs w:val="21"/>
              </w:rPr>
              <w:instrText xml:space="preserve"> = 1 \* GB3 \* MERGEFORMAT </w:instrText>
            </w:r>
            <w:r>
              <w:rPr>
                <w:rFonts w:hint="eastAsia" w:hAnsi="宋体" w:cs="宋体"/>
                <w:snapToGrid w:val="0"/>
                <w:color w:val="auto"/>
                <w:spacing w:val="-6"/>
                <w:kern w:val="21"/>
                <w:sz w:val="21"/>
                <w:szCs w:val="21"/>
              </w:rPr>
              <w:fldChar w:fldCharType="separate"/>
            </w:r>
            <w:r>
              <w:rPr>
                <w:rFonts w:hint="eastAsia" w:hAnsi="宋体" w:cs="宋体"/>
                <w:color w:val="auto"/>
                <w:kern w:val="2"/>
                <w:sz w:val="21"/>
                <w:szCs w:val="21"/>
              </w:rPr>
              <w:t>①</w:t>
            </w:r>
            <w:r>
              <w:rPr>
                <w:rFonts w:hint="eastAsia" w:hAnsi="宋体" w:cs="宋体"/>
                <w:snapToGrid w:val="0"/>
                <w:color w:val="auto"/>
                <w:spacing w:val="-6"/>
                <w:kern w:val="21"/>
                <w:sz w:val="21"/>
                <w:szCs w:val="21"/>
              </w:rPr>
              <w:fldChar w:fldCharType="end"/>
            </w:r>
          </w:p>
        </w:tc>
        <w:tc>
          <w:tcPr>
            <w:tcW w:w="438" w:type="pct"/>
            <w:noWrap w:val="0"/>
            <w:tcMar>
              <w:left w:w="28" w:type="dxa"/>
              <w:right w:w="28" w:type="dxa"/>
            </w:tcMar>
            <w:vAlign w:val="center"/>
          </w:tcPr>
          <w:p>
            <w:pPr>
              <w:pStyle w:val="103"/>
              <w:spacing w:beforeLines="0" w:afterLines="0" w:line="240" w:lineRule="auto"/>
              <w:ind w:firstLine="0" w:firstLineChars="0"/>
              <w:rPr>
                <w:rFonts w:hint="eastAsia" w:hAnsi="宋体" w:cs="宋体"/>
                <w:snapToGrid w:val="0"/>
                <w:color w:val="auto"/>
                <w:spacing w:val="-6"/>
                <w:kern w:val="21"/>
                <w:sz w:val="21"/>
                <w:szCs w:val="21"/>
              </w:rPr>
            </w:pPr>
            <w:r>
              <w:rPr>
                <w:rFonts w:hint="eastAsia" w:hAnsi="宋体" w:cs="宋体"/>
                <w:snapToGrid w:val="0"/>
                <w:color w:val="auto"/>
                <w:spacing w:val="-6"/>
                <w:kern w:val="21"/>
                <w:sz w:val="21"/>
                <w:szCs w:val="21"/>
              </w:rPr>
              <w:t>现有工程</w:t>
            </w:r>
          </w:p>
          <w:p>
            <w:pPr>
              <w:pStyle w:val="103"/>
              <w:spacing w:beforeLines="0" w:afterLines="0" w:line="240" w:lineRule="auto"/>
              <w:ind w:firstLine="0" w:firstLineChars="0"/>
              <w:rPr>
                <w:rFonts w:hint="eastAsia" w:hAnsi="宋体" w:cs="宋体"/>
                <w:snapToGrid w:val="0"/>
                <w:color w:val="auto"/>
                <w:spacing w:val="-6"/>
                <w:kern w:val="21"/>
                <w:sz w:val="21"/>
                <w:szCs w:val="21"/>
              </w:rPr>
            </w:pPr>
            <w:r>
              <w:rPr>
                <w:rFonts w:hint="eastAsia" w:hAnsi="宋体" w:cs="宋体"/>
                <w:snapToGrid w:val="0"/>
                <w:color w:val="auto"/>
                <w:spacing w:val="-6"/>
                <w:kern w:val="21"/>
                <w:sz w:val="21"/>
                <w:szCs w:val="21"/>
              </w:rPr>
              <w:t>许可排放量</w:t>
            </w:r>
          </w:p>
          <w:p>
            <w:pPr>
              <w:pStyle w:val="103"/>
              <w:spacing w:beforeLines="0" w:afterLines="0"/>
              <w:ind w:firstLine="0" w:firstLineChars="0"/>
              <w:rPr>
                <w:rFonts w:hint="eastAsia" w:hAnsi="宋体" w:cs="宋体"/>
                <w:snapToGrid w:val="0"/>
                <w:color w:val="auto"/>
                <w:spacing w:val="-6"/>
                <w:kern w:val="21"/>
                <w:sz w:val="21"/>
                <w:szCs w:val="21"/>
              </w:rPr>
            </w:pPr>
            <w:r>
              <w:rPr>
                <w:rFonts w:hint="eastAsia" w:hAnsi="宋体" w:cs="宋体"/>
                <w:snapToGrid w:val="0"/>
                <w:color w:val="auto"/>
                <w:spacing w:val="-6"/>
                <w:kern w:val="21"/>
                <w:sz w:val="21"/>
                <w:szCs w:val="21"/>
              </w:rPr>
              <w:fldChar w:fldCharType="begin"/>
            </w:r>
            <w:r>
              <w:rPr>
                <w:rFonts w:hint="eastAsia" w:hAnsi="宋体" w:cs="宋体"/>
                <w:snapToGrid w:val="0"/>
                <w:color w:val="auto"/>
                <w:spacing w:val="-6"/>
                <w:kern w:val="21"/>
                <w:sz w:val="21"/>
                <w:szCs w:val="21"/>
              </w:rPr>
              <w:instrText xml:space="preserve"> = 2 \* GB3 \* MERGEFORMAT </w:instrText>
            </w:r>
            <w:r>
              <w:rPr>
                <w:rFonts w:hint="eastAsia" w:hAnsi="宋体" w:cs="宋体"/>
                <w:snapToGrid w:val="0"/>
                <w:color w:val="auto"/>
                <w:spacing w:val="-6"/>
                <w:kern w:val="21"/>
                <w:sz w:val="21"/>
                <w:szCs w:val="21"/>
              </w:rPr>
              <w:fldChar w:fldCharType="separate"/>
            </w:r>
            <w:r>
              <w:rPr>
                <w:rFonts w:hint="eastAsia" w:hAnsi="宋体" w:cs="宋体"/>
                <w:snapToGrid w:val="0"/>
                <w:color w:val="auto"/>
                <w:spacing w:val="-6"/>
                <w:kern w:val="21"/>
                <w:sz w:val="21"/>
                <w:szCs w:val="21"/>
              </w:rPr>
              <w:t>②</w:t>
            </w:r>
            <w:r>
              <w:rPr>
                <w:rFonts w:hint="eastAsia" w:hAnsi="宋体" w:cs="宋体"/>
                <w:snapToGrid w:val="0"/>
                <w:color w:val="auto"/>
                <w:spacing w:val="-6"/>
                <w:kern w:val="21"/>
                <w:sz w:val="21"/>
                <w:szCs w:val="21"/>
              </w:rPr>
              <w:fldChar w:fldCharType="end"/>
            </w:r>
          </w:p>
        </w:tc>
        <w:tc>
          <w:tcPr>
            <w:tcW w:w="624" w:type="pct"/>
            <w:noWrap w:val="0"/>
            <w:tcMar>
              <w:left w:w="28" w:type="dxa"/>
              <w:right w:w="28" w:type="dxa"/>
            </w:tcMar>
            <w:vAlign w:val="center"/>
          </w:tcPr>
          <w:p>
            <w:pPr>
              <w:pStyle w:val="103"/>
              <w:spacing w:beforeLines="0" w:afterLines="0" w:line="240" w:lineRule="auto"/>
              <w:ind w:firstLine="0" w:firstLineChars="0"/>
              <w:rPr>
                <w:rFonts w:hint="eastAsia" w:hAnsi="宋体" w:cs="宋体"/>
                <w:snapToGrid w:val="0"/>
                <w:color w:val="auto"/>
                <w:spacing w:val="-6"/>
                <w:kern w:val="21"/>
                <w:sz w:val="21"/>
                <w:szCs w:val="21"/>
              </w:rPr>
            </w:pPr>
            <w:r>
              <w:rPr>
                <w:rFonts w:hint="eastAsia" w:hAnsi="宋体" w:cs="宋体"/>
                <w:snapToGrid w:val="0"/>
                <w:color w:val="auto"/>
                <w:spacing w:val="-6"/>
                <w:kern w:val="21"/>
                <w:sz w:val="21"/>
                <w:szCs w:val="21"/>
              </w:rPr>
              <w:t>在建工程</w:t>
            </w:r>
          </w:p>
          <w:p>
            <w:pPr>
              <w:pStyle w:val="103"/>
              <w:spacing w:beforeLines="0" w:afterLines="0" w:line="240" w:lineRule="auto"/>
              <w:ind w:firstLine="0" w:firstLineChars="0"/>
              <w:rPr>
                <w:rFonts w:hint="eastAsia" w:hAnsi="宋体" w:cs="宋体"/>
                <w:snapToGrid w:val="0"/>
                <w:color w:val="auto"/>
                <w:spacing w:val="-6"/>
                <w:kern w:val="21"/>
                <w:sz w:val="21"/>
                <w:szCs w:val="21"/>
              </w:rPr>
            </w:pPr>
            <w:r>
              <w:rPr>
                <w:rFonts w:hint="eastAsia" w:hAnsi="宋体" w:cs="宋体"/>
                <w:snapToGrid w:val="0"/>
                <w:color w:val="auto"/>
                <w:spacing w:val="-6"/>
                <w:kern w:val="21"/>
                <w:sz w:val="21"/>
                <w:szCs w:val="21"/>
              </w:rPr>
              <w:t>排放量（固体废物产生量）</w:t>
            </w:r>
            <w:r>
              <w:rPr>
                <w:rFonts w:hint="eastAsia" w:hAnsi="宋体" w:cs="宋体"/>
                <w:snapToGrid w:val="0"/>
                <w:color w:val="auto"/>
                <w:spacing w:val="-6"/>
                <w:kern w:val="21"/>
                <w:sz w:val="21"/>
                <w:szCs w:val="21"/>
              </w:rPr>
              <w:fldChar w:fldCharType="begin"/>
            </w:r>
            <w:r>
              <w:rPr>
                <w:rFonts w:hint="eastAsia" w:hAnsi="宋体" w:cs="宋体"/>
                <w:snapToGrid w:val="0"/>
                <w:color w:val="auto"/>
                <w:spacing w:val="-6"/>
                <w:kern w:val="21"/>
                <w:sz w:val="21"/>
                <w:szCs w:val="21"/>
              </w:rPr>
              <w:instrText xml:space="preserve"> = 3 \* GB3 \* MERGEFORMAT </w:instrText>
            </w:r>
            <w:r>
              <w:rPr>
                <w:rFonts w:hint="eastAsia" w:hAnsi="宋体" w:cs="宋体"/>
                <w:snapToGrid w:val="0"/>
                <w:color w:val="auto"/>
                <w:spacing w:val="-6"/>
                <w:kern w:val="21"/>
                <w:sz w:val="21"/>
                <w:szCs w:val="21"/>
              </w:rPr>
              <w:fldChar w:fldCharType="separate"/>
            </w:r>
            <w:r>
              <w:rPr>
                <w:rFonts w:hint="eastAsia" w:hAnsi="宋体" w:cs="宋体"/>
                <w:color w:val="auto"/>
                <w:kern w:val="2"/>
                <w:sz w:val="21"/>
                <w:szCs w:val="21"/>
              </w:rPr>
              <w:t>③</w:t>
            </w:r>
            <w:r>
              <w:rPr>
                <w:rFonts w:hint="eastAsia" w:hAnsi="宋体" w:cs="宋体"/>
                <w:snapToGrid w:val="0"/>
                <w:color w:val="auto"/>
                <w:spacing w:val="-6"/>
                <w:kern w:val="21"/>
                <w:sz w:val="21"/>
                <w:szCs w:val="21"/>
              </w:rPr>
              <w:fldChar w:fldCharType="end"/>
            </w:r>
          </w:p>
        </w:tc>
        <w:tc>
          <w:tcPr>
            <w:tcW w:w="695" w:type="pct"/>
            <w:noWrap w:val="0"/>
            <w:tcMar>
              <w:left w:w="28" w:type="dxa"/>
              <w:right w:w="28" w:type="dxa"/>
            </w:tcMar>
            <w:vAlign w:val="center"/>
          </w:tcPr>
          <w:p>
            <w:pPr>
              <w:pStyle w:val="103"/>
              <w:spacing w:beforeLines="0" w:afterLines="0" w:line="240" w:lineRule="auto"/>
              <w:ind w:firstLine="0" w:firstLineChars="0"/>
              <w:rPr>
                <w:rFonts w:hint="eastAsia" w:hAnsi="宋体" w:cs="宋体"/>
                <w:snapToGrid w:val="0"/>
                <w:color w:val="auto"/>
                <w:spacing w:val="-6"/>
                <w:kern w:val="21"/>
                <w:sz w:val="21"/>
                <w:szCs w:val="21"/>
              </w:rPr>
            </w:pPr>
            <w:r>
              <w:rPr>
                <w:rFonts w:hint="eastAsia" w:hAnsi="宋体" w:cs="宋体"/>
                <w:snapToGrid w:val="0"/>
                <w:color w:val="auto"/>
                <w:spacing w:val="-6"/>
                <w:kern w:val="21"/>
                <w:sz w:val="21"/>
                <w:szCs w:val="21"/>
              </w:rPr>
              <w:t>本项目</w:t>
            </w:r>
          </w:p>
          <w:p>
            <w:pPr>
              <w:pStyle w:val="103"/>
              <w:spacing w:beforeLines="0" w:afterLines="0" w:line="240" w:lineRule="auto"/>
              <w:ind w:firstLine="0" w:firstLineChars="0"/>
              <w:rPr>
                <w:rFonts w:hint="eastAsia" w:hAnsi="宋体" w:cs="宋体"/>
                <w:snapToGrid w:val="0"/>
                <w:color w:val="auto"/>
                <w:spacing w:val="-6"/>
                <w:kern w:val="21"/>
                <w:sz w:val="21"/>
                <w:szCs w:val="21"/>
              </w:rPr>
            </w:pPr>
            <w:r>
              <w:rPr>
                <w:rFonts w:hint="eastAsia" w:hAnsi="宋体" w:cs="宋体"/>
                <w:snapToGrid w:val="0"/>
                <w:color w:val="auto"/>
                <w:spacing w:val="-6"/>
                <w:kern w:val="21"/>
                <w:sz w:val="21"/>
                <w:szCs w:val="21"/>
              </w:rPr>
              <w:t>排放量（固体废物产生量）</w:t>
            </w:r>
            <w:r>
              <w:rPr>
                <w:rFonts w:hint="eastAsia" w:hAnsi="宋体" w:cs="宋体"/>
                <w:snapToGrid w:val="0"/>
                <w:color w:val="auto"/>
                <w:spacing w:val="-6"/>
                <w:kern w:val="21"/>
                <w:sz w:val="21"/>
                <w:szCs w:val="21"/>
              </w:rPr>
              <w:fldChar w:fldCharType="begin"/>
            </w:r>
            <w:r>
              <w:rPr>
                <w:rFonts w:hint="eastAsia" w:hAnsi="宋体" w:cs="宋体"/>
                <w:snapToGrid w:val="0"/>
                <w:color w:val="auto"/>
                <w:spacing w:val="-6"/>
                <w:kern w:val="21"/>
                <w:sz w:val="21"/>
                <w:szCs w:val="21"/>
              </w:rPr>
              <w:instrText xml:space="preserve"> = 4 \* GB3 \* MERGEFORMAT </w:instrText>
            </w:r>
            <w:r>
              <w:rPr>
                <w:rFonts w:hint="eastAsia" w:hAnsi="宋体" w:cs="宋体"/>
                <w:snapToGrid w:val="0"/>
                <w:color w:val="auto"/>
                <w:spacing w:val="-6"/>
                <w:kern w:val="21"/>
                <w:sz w:val="21"/>
                <w:szCs w:val="21"/>
              </w:rPr>
              <w:fldChar w:fldCharType="separate"/>
            </w:r>
            <w:r>
              <w:rPr>
                <w:rFonts w:hint="eastAsia" w:hAnsi="宋体" w:cs="宋体"/>
                <w:color w:val="auto"/>
                <w:kern w:val="2"/>
                <w:sz w:val="21"/>
                <w:szCs w:val="21"/>
              </w:rPr>
              <w:t>④</w:t>
            </w:r>
            <w:r>
              <w:rPr>
                <w:rFonts w:hint="eastAsia" w:hAnsi="宋体" w:cs="宋体"/>
                <w:snapToGrid w:val="0"/>
                <w:color w:val="auto"/>
                <w:spacing w:val="-6"/>
                <w:kern w:val="21"/>
                <w:sz w:val="21"/>
                <w:szCs w:val="21"/>
              </w:rPr>
              <w:fldChar w:fldCharType="end"/>
            </w:r>
          </w:p>
        </w:tc>
        <w:tc>
          <w:tcPr>
            <w:tcW w:w="600" w:type="pct"/>
            <w:noWrap w:val="0"/>
            <w:tcMar>
              <w:left w:w="28" w:type="dxa"/>
              <w:right w:w="28" w:type="dxa"/>
            </w:tcMar>
            <w:vAlign w:val="center"/>
          </w:tcPr>
          <w:p>
            <w:pPr>
              <w:pStyle w:val="103"/>
              <w:spacing w:beforeLines="0" w:afterLines="0" w:line="240" w:lineRule="auto"/>
              <w:ind w:firstLine="0" w:firstLineChars="0"/>
              <w:rPr>
                <w:rFonts w:hint="eastAsia" w:hAnsi="宋体" w:cs="宋体"/>
                <w:snapToGrid w:val="0"/>
                <w:color w:val="auto"/>
                <w:spacing w:val="-16"/>
                <w:kern w:val="21"/>
                <w:sz w:val="21"/>
                <w:szCs w:val="21"/>
              </w:rPr>
            </w:pPr>
            <w:r>
              <w:rPr>
                <w:rFonts w:hint="eastAsia" w:hAnsi="宋体" w:cs="宋体"/>
                <w:snapToGrid w:val="0"/>
                <w:color w:val="auto"/>
                <w:spacing w:val="-16"/>
                <w:kern w:val="21"/>
                <w:sz w:val="21"/>
                <w:szCs w:val="21"/>
              </w:rPr>
              <w:t>以新带老削减量</w:t>
            </w:r>
          </w:p>
          <w:p>
            <w:pPr>
              <w:pStyle w:val="103"/>
              <w:spacing w:beforeLines="0" w:afterLines="0" w:line="240" w:lineRule="auto"/>
              <w:ind w:firstLine="0" w:firstLineChars="0"/>
              <w:rPr>
                <w:rFonts w:hint="eastAsia" w:hAnsi="宋体" w:cs="宋体"/>
                <w:snapToGrid w:val="0"/>
                <w:color w:val="auto"/>
                <w:spacing w:val="-16"/>
                <w:kern w:val="21"/>
                <w:sz w:val="21"/>
                <w:szCs w:val="21"/>
              </w:rPr>
            </w:pPr>
            <w:r>
              <w:rPr>
                <w:rFonts w:hint="eastAsia" w:hAnsi="宋体" w:cs="宋体"/>
                <w:snapToGrid w:val="0"/>
                <w:color w:val="auto"/>
                <w:spacing w:val="-16"/>
                <w:kern w:val="21"/>
                <w:sz w:val="21"/>
                <w:szCs w:val="21"/>
              </w:rPr>
              <w:t>（新建项目不填）</w:t>
            </w:r>
            <w:r>
              <w:rPr>
                <w:rFonts w:hint="eastAsia" w:hAnsi="宋体" w:cs="宋体"/>
                <w:snapToGrid w:val="0"/>
                <w:color w:val="auto"/>
                <w:spacing w:val="-16"/>
                <w:kern w:val="21"/>
                <w:sz w:val="21"/>
                <w:szCs w:val="21"/>
              </w:rPr>
              <w:fldChar w:fldCharType="begin"/>
            </w:r>
            <w:r>
              <w:rPr>
                <w:rFonts w:hint="eastAsia" w:hAnsi="宋体" w:cs="宋体"/>
                <w:snapToGrid w:val="0"/>
                <w:color w:val="auto"/>
                <w:spacing w:val="-16"/>
                <w:kern w:val="21"/>
                <w:sz w:val="21"/>
                <w:szCs w:val="21"/>
              </w:rPr>
              <w:instrText xml:space="preserve"> = 5 \* GB3 \* MERGEFORMAT </w:instrText>
            </w:r>
            <w:r>
              <w:rPr>
                <w:rFonts w:hint="eastAsia" w:hAnsi="宋体" w:cs="宋体"/>
                <w:snapToGrid w:val="0"/>
                <w:color w:val="auto"/>
                <w:spacing w:val="-16"/>
                <w:kern w:val="21"/>
                <w:sz w:val="21"/>
                <w:szCs w:val="21"/>
              </w:rPr>
              <w:fldChar w:fldCharType="separate"/>
            </w:r>
            <w:r>
              <w:rPr>
                <w:rFonts w:hint="eastAsia" w:hAnsi="宋体" w:cs="宋体"/>
                <w:color w:val="auto"/>
                <w:kern w:val="2"/>
                <w:sz w:val="21"/>
                <w:szCs w:val="21"/>
              </w:rPr>
              <w:t>⑤</w:t>
            </w:r>
            <w:r>
              <w:rPr>
                <w:rFonts w:hint="eastAsia" w:hAnsi="宋体" w:cs="宋体"/>
                <w:snapToGrid w:val="0"/>
                <w:color w:val="auto"/>
                <w:spacing w:val="-16"/>
                <w:kern w:val="21"/>
                <w:sz w:val="21"/>
                <w:szCs w:val="21"/>
              </w:rPr>
              <w:fldChar w:fldCharType="end"/>
            </w:r>
          </w:p>
        </w:tc>
        <w:tc>
          <w:tcPr>
            <w:tcW w:w="717" w:type="pct"/>
            <w:noWrap w:val="0"/>
            <w:tcMar>
              <w:left w:w="28" w:type="dxa"/>
              <w:right w:w="28" w:type="dxa"/>
            </w:tcMar>
            <w:vAlign w:val="center"/>
          </w:tcPr>
          <w:p>
            <w:pPr>
              <w:pStyle w:val="103"/>
              <w:spacing w:beforeLines="0" w:afterLines="0" w:line="240" w:lineRule="auto"/>
              <w:ind w:firstLine="0" w:firstLineChars="0"/>
              <w:rPr>
                <w:rFonts w:hint="eastAsia" w:hAnsi="宋体" w:cs="宋体"/>
                <w:snapToGrid w:val="0"/>
                <w:color w:val="auto"/>
                <w:spacing w:val="-16"/>
                <w:kern w:val="21"/>
                <w:sz w:val="21"/>
                <w:szCs w:val="21"/>
              </w:rPr>
            </w:pPr>
            <w:r>
              <w:rPr>
                <w:rFonts w:hint="eastAsia" w:hAnsi="宋体" w:cs="宋体"/>
                <w:snapToGrid w:val="0"/>
                <w:color w:val="auto"/>
                <w:spacing w:val="-16"/>
                <w:kern w:val="21"/>
                <w:sz w:val="21"/>
                <w:szCs w:val="21"/>
              </w:rPr>
              <w:t>本项目建成后</w:t>
            </w:r>
          </w:p>
          <w:p>
            <w:pPr>
              <w:pStyle w:val="103"/>
              <w:spacing w:beforeLines="0" w:afterLines="0" w:line="240" w:lineRule="auto"/>
              <w:ind w:firstLine="0" w:firstLineChars="0"/>
              <w:rPr>
                <w:rFonts w:hint="eastAsia" w:hAnsi="宋体" w:cs="宋体"/>
                <w:snapToGrid w:val="0"/>
                <w:color w:val="auto"/>
                <w:spacing w:val="-16"/>
                <w:kern w:val="21"/>
                <w:sz w:val="21"/>
                <w:szCs w:val="21"/>
              </w:rPr>
            </w:pPr>
            <w:r>
              <w:rPr>
                <w:rFonts w:hint="eastAsia" w:hAnsi="宋体" w:cs="宋体"/>
                <w:snapToGrid w:val="0"/>
                <w:color w:val="auto"/>
                <w:spacing w:val="-16"/>
                <w:kern w:val="21"/>
                <w:sz w:val="21"/>
                <w:szCs w:val="21"/>
              </w:rPr>
              <w:t>全厂排放量（固体废物产生量）</w:t>
            </w:r>
            <w:r>
              <w:rPr>
                <w:rFonts w:hint="eastAsia" w:hAnsi="宋体" w:cs="宋体"/>
                <w:snapToGrid w:val="0"/>
                <w:color w:val="auto"/>
                <w:spacing w:val="-16"/>
                <w:kern w:val="21"/>
                <w:sz w:val="21"/>
                <w:szCs w:val="21"/>
              </w:rPr>
              <w:fldChar w:fldCharType="begin"/>
            </w:r>
            <w:r>
              <w:rPr>
                <w:rFonts w:hint="eastAsia" w:hAnsi="宋体" w:cs="宋体"/>
                <w:snapToGrid w:val="0"/>
                <w:color w:val="auto"/>
                <w:spacing w:val="-16"/>
                <w:kern w:val="21"/>
                <w:sz w:val="21"/>
                <w:szCs w:val="21"/>
              </w:rPr>
              <w:instrText xml:space="preserve"> = 6 \* GB3 \* MERGEFORMAT </w:instrText>
            </w:r>
            <w:r>
              <w:rPr>
                <w:rFonts w:hint="eastAsia" w:hAnsi="宋体" w:cs="宋体"/>
                <w:snapToGrid w:val="0"/>
                <w:color w:val="auto"/>
                <w:spacing w:val="-16"/>
                <w:kern w:val="21"/>
                <w:sz w:val="21"/>
                <w:szCs w:val="21"/>
              </w:rPr>
              <w:fldChar w:fldCharType="separate"/>
            </w:r>
            <w:r>
              <w:rPr>
                <w:rFonts w:hint="eastAsia" w:hAnsi="宋体" w:cs="宋体"/>
                <w:color w:val="auto"/>
                <w:kern w:val="2"/>
                <w:sz w:val="21"/>
                <w:szCs w:val="21"/>
              </w:rPr>
              <w:t>⑥</w:t>
            </w:r>
            <w:r>
              <w:rPr>
                <w:rFonts w:hint="eastAsia" w:hAnsi="宋体" w:cs="宋体"/>
                <w:snapToGrid w:val="0"/>
                <w:color w:val="auto"/>
                <w:spacing w:val="-16"/>
                <w:kern w:val="21"/>
                <w:sz w:val="21"/>
                <w:szCs w:val="21"/>
              </w:rPr>
              <w:fldChar w:fldCharType="end"/>
            </w:r>
          </w:p>
        </w:tc>
        <w:tc>
          <w:tcPr>
            <w:tcW w:w="196" w:type="pct"/>
            <w:noWrap w:val="0"/>
            <w:tcMar>
              <w:left w:w="28" w:type="dxa"/>
              <w:right w:w="28" w:type="dxa"/>
            </w:tcMar>
            <w:vAlign w:val="center"/>
          </w:tcPr>
          <w:p>
            <w:pPr>
              <w:pStyle w:val="103"/>
              <w:spacing w:beforeLines="0" w:afterLines="0" w:line="240" w:lineRule="auto"/>
              <w:ind w:firstLine="0" w:firstLineChars="0"/>
              <w:rPr>
                <w:rFonts w:hint="eastAsia" w:hAnsi="宋体" w:cs="宋体"/>
                <w:snapToGrid w:val="0"/>
                <w:color w:val="auto"/>
                <w:spacing w:val="-6"/>
                <w:kern w:val="21"/>
                <w:sz w:val="21"/>
                <w:szCs w:val="21"/>
              </w:rPr>
            </w:pPr>
            <w:r>
              <w:rPr>
                <w:rFonts w:hint="eastAsia" w:hAnsi="宋体" w:cs="宋体"/>
                <w:snapToGrid w:val="0"/>
                <w:color w:val="auto"/>
                <w:spacing w:val="-6"/>
                <w:kern w:val="21"/>
                <w:sz w:val="21"/>
                <w:szCs w:val="21"/>
              </w:rPr>
              <w:t>变化量</w:t>
            </w:r>
          </w:p>
          <w:p>
            <w:pPr>
              <w:pStyle w:val="103"/>
              <w:spacing w:beforeLines="0" w:afterLines="0" w:line="240" w:lineRule="auto"/>
              <w:ind w:firstLine="0" w:firstLineChars="0"/>
              <w:rPr>
                <w:rFonts w:hint="eastAsia" w:hAnsi="宋体" w:cs="宋体"/>
                <w:snapToGrid w:val="0"/>
                <w:color w:val="auto"/>
                <w:spacing w:val="-6"/>
                <w:kern w:val="21"/>
                <w:sz w:val="21"/>
                <w:szCs w:val="21"/>
              </w:rPr>
            </w:pPr>
            <w:r>
              <w:rPr>
                <w:rFonts w:hint="eastAsia" w:hAnsi="宋体" w:cs="宋体"/>
                <w:snapToGrid w:val="0"/>
                <w:color w:val="auto"/>
                <w:spacing w:val="-6"/>
                <w:kern w:val="21"/>
                <w:sz w:val="21"/>
                <w:szCs w:val="21"/>
              </w:rPr>
              <w:fldChar w:fldCharType="begin"/>
            </w:r>
            <w:r>
              <w:rPr>
                <w:rFonts w:hint="eastAsia" w:hAnsi="宋体" w:cs="宋体"/>
                <w:snapToGrid w:val="0"/>
                <w:color w:val="auto"/>
                <w:spacing w:val="-6"/>
                <w:kern w:val="21"/>
                <w:sz w:val="21"/>
                <w:szCs w:val="21"/>
              </w:rPr>
              <w:instrText xml:space="preserve"> = 7 \* GB3 \* MERGEFORMAT </w:instrText>
            </w:r>
            <w:r>
              <w:rPr>
                <w:rFonts w:hint="eastAsia" w:hAnsi="宋体" w:cs="宋体"/>
                <w:snapToGrid w:val="0"/>
                <w:color w:val="auto"/>
                <w:spacing w:val="-6"/>
                <w:kern w:val="21"/>
                <w:sz w:val="21"/>
                <w:szCs w:val="21"/>
              </w:rPr>
              <w:fldChar w:fldCharType="separate"/>
            </w:r>
            <w:r>
              <w:rPr>
                <w:rFonts w:hint="eastAsia" w:hAnsi="宋体" w:cs="宋体"/>
                <w:color w:val="auto"/>
                <w:kern w:val="2"/>
                <w:sz w:val="21"/>
                <w:szCs w:val="21"/>
              </w:rPr>
              <w:t>⑦</w:t>
            </w:r>
            <w:r>
              <w:rPr>
                <w:rFonts w:hint="eastAsia" w:hAnsi="宋体" w:cs="宋体"/>
                <w:snapToGrid w:val="0"/>
                <w:color w:val="auto"/>
                <w:spacing w:val="-6"/>
                <w:kern w:val="21"/>
                <w:sz w:val="21"/>
                <w:szCs w:val="21"/>
              </w:rPr>
              <w:fldChar w:fldCharType="end"/>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319" w:type="pct"/>
            <w:vMerge w:val="restar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r>
              <w:rPr>
                <w:rFonts w:hint="eastAsia" w:hAnsi="宋体" w:cs="宋体"/>
                <w:snapToGrid w:val="0"/>
                <w:color w:val="auto"/>
                <w:kern w:val="21"/>
                <w:sz w:val="21"/>
                <w:szCs w:val="21"/>
              </w:rPr>
              <w:t>废气</w:t>
            </w:r>
          </w:p>
        </w:tc>
        <w:tc>
          <w:tcPr>
            <w:tcW w:w="734" w:type="pct"/>
            <w:noWrap w:val="0"/>
            <w:vAlign w:val="center"/>
          </w:tcPr>
          <w:p>
            <w:pPr>
              <w:spacing w:before="140" w:line="185" w:lineRule="auto"/>
              <w:ind w:firstLine="0" w:firstLineChars="0"/>
              <w:jc w:val="center"/>
              <w:rPr>
                <w:rFonts w:hint="eastAsia" w:ascii="宋体" w:hAnsi="宋体" w:cs="宋体"/>
                <w:color w:val="auto"/>
                <w:spacing w:val="-5"/>
                <w:sz w:val="21"/>
                <w:szCs w:val="21"/>
              </w:rPr>
            </w:pPr>
            <w:r>
              <w:rPr>
                <w:rFonts w:hint="eastAsia" w:ascii="宋体" w:hAnsi="宋体" w:cs="宋体"/>
                <w:color w:val="auto"/>
                <w:spacing w:val="-5"/>
                <w:sz w:val="21"/>
                <w:szCs w:val="21"/>
              </w:rPr>
              <w:t>医废暂存间的异味</w:t>
            </w:r>
          </w:p>
        </w:tc>
        <w:tc>
          <w:tcPr>
            <w:tcW w:w="673"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438"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624"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695" w:type="pct"/>
            <w:noWrap w:val="0"/>
            <w:vAlign w:val="center"/>
          </w:tcPr>
          <w:p>
            <w:pPr>
              <w:spacing w:before="137" w:line="184" w:lineRule="auto"/>
              <w:ind w:firstLine="400"/>
              <w:jc w:val="center"/>
              <w:rPr>
                <w:rFonts w:hint="eastAsia" w:ascii="宋体" w:hAnsi="宋体" w:cs="宋体"/>
                <w:snapToGrid w:val="0"/>
                <w:color w:val="auto"/>
                <w:kern w:val="21"/>
                <w:sz w:val="21"/>
                <w:szCs w:val="21"/>
              </w:rPr>
            </w:pPr>
            <w:r>
              <w:rPr>
                <w:rFonts w:hint="eastAsia" w:ascii="宋体" w:hAnsi="宋体" w:cs="宋体"/>
                <w:color w:val="auto"/>
                <w:spacing w:val="-5"/>
                <w:sz w:val="21"/>
                <w:szCs w:val="21"/>
              </w:rPr>
              <w:t>少量</w:t>
            </w:r>
          </w:p>
        </w:tc>
        <w:tc>
          <w:tcPr>
            <w:tcW w:w="600"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717" w:type="pct"/>
            <w:noWrap w:val="0"/>
            <w:vAlign w:val="center"/>
          </w:tcPr>
          <w:p>
            <w:pPr>
              <w:spacing w:before="137" w:line="184" w:lineRule="auto"/>
              <w:ind w:firstLine="400"/>
              <w:jc w:val="center"/>
              <w:rPr>
                <w:rFonts w:hint="eastAsia" w:ascii="宋体" w:hAnsi="宋体" w:cs="宋体"/>
                <w:snapToGrid w:val="0"/>
                <w:color w:val="auto"/>
                <w:kern w:val="21"/>
                <w:sz w:val="21"/>
                <w:szCs w:val="21"/>
              </w:rPr>
            </w:pPr>
            <w:r>
              <w:rPr>
                <w:rFonts w:hint="eastAsia" w:ascii="宋体" w:hAnsi="宋体" w:cs="宋体"/>
                <w:color w:val="auto"/>
                <w:spacing w:val="-5"/>
                <w:sz w:val="21"/>
                <w:szCs w:val="21"/>
              </w:rPr>
              <w:t>少量</w:t>
            </w:r>
          </w:p>
        </w:tc>
        <w:tc>
          <w:tcPr>
            <w:tcW w:w="196"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319" w:type="pct"/>
            <w:vMerge w:val="continue"/>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734" w:type="pct"/>
            <w:noWrap w:val="0"/>
            <w:vAlign w:val="center"/>
          </w:tcPr>
          <w:p>
            <w:pPr>
              <w:spacing w:before="140" w:line="185" w:lineRule="auto"/>
              <w:ind w:firstLine="0" w:firstLineChars="0"/>
              <w:jc w:val="center"/>
              <w:rPr>
                <w:rFonts w:hint="eastAsia" w:ascii="宋体" w:hAnsi="宋体" w:cs="宋体"/>
                <w:color w:val="auto"/>
                <w:spacing w:val="-5"/>
                <w:sz w:val="21"/>
                <w:szCs w:val="21"/>
              </w:rPr>
            </w:pPr>
            <w:r>
              <w:rPr>
                <w:rFonts w:hint="eastAsia" w:ascii="宋体" w:hAnsi="宋体" w:cs="宋体"/>
                <w:color w:val="auto"/>
                <w:spacing w:val="-5"/>
                <w:sz w:val="21"/>
                <w:szCs w:val="21"/>
              </w:rPr>
              <w:t>污水处理设施废气</w:t>
            </w:r>
          </w:p>
        </w:tc>
        <w:tc>
          <w:tcPr>
            <w:tcW w:w="673"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438"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624"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695" w:type="pct"/>
            <w:noWrap w:val="0"/>
            <w:vAlign w:val="center"/>
          </w:tcPr>
          <w:p>
            <w:pPr>
              <w:spacing w:before="138" w:line="184" w:lineRule="auto"/>
              <w:ind w:firstLine="400"/>
              <w:jc w:val="center"/>
              <w:rPr>
                <w:rFonts w:hint="eastAsia" w:ascii="宋体" w:hAnsi="宋体" w:cs="宋体"/>
                <w:snapToGrid w:val="0"/>
                <w:color w:val="auto"/>
                <w:kern w:val="21"/>
                <w:sz w:val="21"/>
                <w:szCs w:val="21"/>
              </w:rPr>
            </w:pPr>
            <w:r>
              <w:rPr>
                <w:rFonts w:hint="eastAsia" w:ascii="宋体" w:hAnsi="宋体" w:cs="宋体"/>
                <w:color w:val="auto"/>
                <w:spacing w:val="-5"/>
                <w:sz w:val="21"/>
                <w:szCs w:val="21"/>
              </w:rPr>
              <w:t>少量</w:t>
            </w:r>
          </w:p>
        </w:tc>
        <w:tc>
          <w:tcPr>
            <w:tcW w:w="600"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717" w:type="pct"/>
            <w:noWrap w:val="0"/>
            <w:vAlign w:val="center"/>
          </w:tcPr>
          <w:p>
            <w:pPr>
              <w:spacing w:before="138" w:line="184" w:lineRule="auto"/>
              <w:ind w:firstLine="400"/>
              <w:jc w:val="center"/>
              <w:rPr>
                <w:rFonts w:hint="eastAsia" w:ascii="宋体" w:hAnsi="宋体" w:cs="宋体"/>
                <w:snapToGrid w:val="0"/>
                <w:color w:val="auto"/>
                <w:kern w:val="21"/>
                <w:sz w:val="21"/>
                <w:szCs w:val="21"/>
              </w:rPr>
            </w:pPr>
            <w:r>
              <w:rPr>
                <w:rFonts w:hint="eastAsia" w:ascii="宋体" w:hAnsi="宋体" w:cs="宋体"/>
                <w:color w:val="auto"/>
                <w:spacing w:val="-5"/>
                <w:sz w:val="21"/>
                <w:szCs w:val="21"/>
              </w:rPr>
              <w:t>少量</w:t>
            </w:r>
          </w:p>
        </w:tc>
        <w:tc>
          <w:tcPr>
            <w:tcW w:w="196"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319" w:type="pct"/>
            <w:vMerge w:val="continue"/>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734" w:type="pct"/>
            <w:noWrap w:val="0"/>
            <w:vAlign w:val="center"/>
          </w:tcPr>
          <w:p>
            <w:pPr>
              <w:spacing w:before="140" w:line="185" w:lineRule="auto"/>
              <w:ind w:firstLine="0" w:firstLineChars="0"/>
              <w:jc w:val="center"/>
              <w:rPr>
                <w:rFonts w:hint="eastAsia" w:ascii="宋体" w:hAnsi="宋体" w:cs="宋体"/>
                <w:color w:val="auto"/>
                <w:spacing w:val="-5"/>
                <w:sz w:val="21"/>
                <w:szCs w:val="21"/>
              </w:rPr>
            </w:pPr>
            <w:r>
              <w:rPr>
                <w:rFonts w:hint="eastAsia" w:ascii="宋体" w:hAnsi="宋体" w:cs="宋体"/>
                <w:color w:val="auto"/>
                <w:spacing w:val="-5"/>
                <w:sz w:val="21"/>
                <w:szCs w:val="21"/>
              </w:rPr>
              <w:t>宠物异味</w:t>
            </w:r>
          </w:p>
        </w:tc>
        <w:tc>
          <w:tcPr>
            <w:tcW w:w="673"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438"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624"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695" w:type="pct"/>
            <w:noWrap w:val="0"/>
            <w:vAlign w:val="center"/>
          </w:tcPr>
          <w:p>
            <w:pPr>
              <w:spacing w:before="139" w:line="184" w:lineRule="auto"/>
              <w:ind w:firstLine="400"/>
              <w:jc w:val="center"/>
              <w:rPr>
                <w:rFonts w:hint="eastAsia" w:ascii="宋体" w:hAnsi="宋体" w:cs="宋体"/>
                <w:snapToGrid w:val="0"/>
                <w:color w:val="auto"/>
                <w:kern w:val="21"/>
                <w:sz w:val="21"/>
                <w:szCs w:val="21"/>
              </w:rPr>
            </w:pPr>
            <w:r>
              <w:rPr>
                <w:rFonts w:hint="eastAsia" w:ascii="宋体" w:hAnsi="宋体" w:cs="宋体"/>
                <w:color w:val="auto"/>
                <w:spacing w:val="-5"/>
                <w:sz w:val="21"/>
                <w:szCs w:val="21"/>
              </w:rPr>
              <w:t>少量</w:t>
            </w:r>
          </w:p>
        </w:tc>
        <w:tc>
          <w:tcPr>
            <w:tcW w:w="600"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717" w:type="pct"/>
            <w:noWrap w:val="0"/>
            <w:vAlign w:val="center"/>
          </w:tcPr>
          <w:p>
            <w:pPr>
              <w:spacing w:before="139" w:line="184" w:lineRule="auto"/>
              <w:ind w:firstLine="400"/>
              <w:jc w:val="center"/>
              <w:rPr>
                <w:rFonts w:hint="eastAsia" w:ascii="宋体" w:hAnsi="宋体" w:cs="宋体"/>
                <w:snapToGrid w:val="0"/>
                <w:color w:val="auto"/>
                <w:kern w:val="21"/>
                <w:sz w:val="21"/>
                <w:szCs w:val="21"/>
              </w:rPr>
            </w:pPr>
            <w:r>
              <w:rPr>
                <w:rFonts w:hint="eastAsia" w:ascii="宋体" w:hAnsi="宋体" w:cs="宋体"/>
                <w:color w:val="auto"/>
                <w:spacing w:val="-5"/>
                <w:sz w:val="21"/>
                <w:szCs w:val="21"/>
              </w:rPr>
              <w:t>少量</w:t>
            </w:r>
          </w:p>
        </w:tc>
        <w:tc>
          <w:tcPr>
            <w:tcW w:w="196"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319" w:type="pct"/>
            <w:vMerge w:val="continue"/>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734" w:type="pct"/>
            <w:noWrap w:val="0"/>
            <w:vAlign w:val="center"/>
          </w:tcPr>
          <w:p>
            <w:pPr>
              <w:spacing w:before="140" w:line="185" w:lineRule="auto"/>
              <w:ind w:firstLine="0" w:firstLineChars="0"/>
              <w:jc w:val="center"/>
              <w:rPr>
                <w:rFonts w:hint="eastAsia" w:ascii="宋体" w:hAnsi="宋体" w:cs="宋体"/>
                <w:color w:val="auto"/>
                <w:spacing w:val="-5"/>
                <w:sz w:val="21"/>
                <w:szCs w:val="21"/>
              </w:rPr>
            </w:pPr>
            <w:r>
              <w:rPr>
                <w:rFonts w:hint="eastAsia" w:ascii="宋体" w:hAnsi="宋体" w:cs="宋体"/>
                <w:color w:val="auto"/>
                <w:spacing w:val="-5"/>
                <w:sz w:val="21"/>
                <w:szCs w:val="21"/>
              </w:rPr>
              <w:t>院内带菌空气</w:t>
            </w:r>
          </w:p>
        </w:tc>
        <w:tc>
          <w:tcPr>
            <w:tcW w:w="673"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438"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624"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695" w:type="pct"/>
            <w:noWrap w:val="0"/>
            <w:vAlign w:val="center"/>
          </w:tcPr>
          <w:p>
            <w:pPr>
              <w:spacing w:before="140" w:line="184" w:lineRule="auto"/>
              <w:ind w:firstLine="400"/>
              <w:jc w:val="center"/>
              <w:rPr>
                <w:rFonts w:hint="eastAsia" w:ascii="宋体" w:hAnsi="宋体" w:cs="宋体"/>
                <w:snapToGrid w:val="0"/>
                <w:color w:val="auto"/>
                <w:kern w:val="21"/>
                <w:sz w:val="21"/>
                <w:szCs w:val="21"/>
              </w:rPr>
            </w:pPr>
            <w:r>
              <w:rPr>
                <w:rFonts w:hint="eastAsia" w:ascii="宋体" w:hAnsi="宋体" w:cs="宋体"/>
                <w:color w:val="auto"/>
                <w:spacing w:val="-5"/>
                <w:sz w:val="21"/>
                <w:szCs w:val="21"/>
              </w:rPr>
              <w:t>少量</w:t>
            </w:r>
          </w:p>
        </w:tc>
        <w:tc>
          <w:tcPr>
            <w:tcW w:w="600"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717" w:type="pct"/>
            <w:noWrap w:val="0"/>
            <w:vAlign w:val="center"/>
          </w:tcPr>
          <w:p>
            <w:pPr>
              <w:spacing w:before="140" w:line="184" w:lineRule="auto"/>
              <w:ind w:firstLine="400"/>
              <w:jc w:val="center"/>
              <w:rPr>
                <w:rFonts w:hint="eastAsia" w:ascii="宋体" w:hAnsi="宋体" w:cs="宋体"/>
                <w:snapToGrid w:val="0"/>
                <w:color w:val="auto"/>
                <w:kern w:val="21"/>
                <w:sz w:val="21"/>
                <w:szCs w:val="21"/>
              </w:rPr>
            </w:pPr>
            <w:r>
              <w:rPr>
                <w:rFonts w:hint="eastAsia" w:ascii="宋体" w:hAnsi="宋体" w:cs="宋体"/>
                <w:color w:val="auto"/>
                <w:spacing w:val="-5"/>
                <w:sz w:val="21"/>
                <w:szCs w:val="21"/>
              </w:rPr>
              <w:t>少量</w:t>
            </w:r>
          </w:p>
        </w:tc>
        <w:tc>
          <w:tcPr>
            <w:tcW w:w="196"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319" w:type="pct"/>
            <w:vMerge w:val="restar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r>
              <w:rPr>
                <w:rFonts w:hint="eastAsia" w:hAnsi="宋体" w:cs="宋体"/>
                <w:snapToGrid w:val="0"/>
                <w:color w:val="auto"/>
                <w:kern w:val="21"/>
                <w:sz w:val="21"/>
                <w:szCs w:val="21"/>
              </w:rPr>
              <w:t>废水</w:t>
            </w:r>
          </w:p>
        </w:tc>
        <w:tc>
          <w:tcPr>
            <w:tcW w:w="734" w:type="pct"/>
            <w:noWrap w:val="0"/>
            <w:vAlign w:val="center"/>
          </w:tcPr>
          <w:p>
            <w:pPr>
              <w:spacing w:before="177" w:line="180" w:lineRule="auto"/>
              <w:ind w:firstLine="404"/>
              <w:jc w:val="center"/>
              <w:rPr>
                <w:rFonts w:hint="eastAsia" w:ascii="宋体" w:hAnsi="宋体" w:cs="宋体"/>
                <w:snapToGrid w:val="0"/>
                <w:color w:val="auto"/>
                <w:kern w:val="21"/>
                <w:sz w:val="21"/>
                <w:szCs w:val="21"/>
              </w:rPr>
            </w:pPr>
            <w:r>
              <w:rPr>
                <w:rFonts w:hint="eastAsia" w:ascii="宋体" w:hAnsi="宋体" w:cs="宋体"/>
                <w:color w:val="auto"/>
                <w:spacing w:val="-4"/>
                <w:sz w:val="21"/>
                <w:szCs w:val="21"/>
              </w:rPr>
              <w:t>COD</w:t>
            </w:r>
          </w:p>
        </w:tc>
        <w:tc>
          <w:tcPr>
            <w:tcW w:w="673"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438"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624"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695"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r>
              <w:rPr>
                <w:rFonts w:hint="eastAsia" w:hAnsi="宋体" w:cs="宋体"/>
                <w:snapToGrid w:val="0"/>
                <w:color w:val="auto"/>
                <w:kern w:val="21"/>
                <w:sz w:val="21"/>
                <w:szCs w:val="21"/>
              </w:rPr>
              <w:t>0.186</w:t>
            </w:r>
            <w:r>
              <w:rPr>
                <w:rFonts w:hint="eastAsia" w:hAnsi="宋体" w:cs="宋体"/>
                <w:color w:val="auto"/>
                <w:spacing w:val="-2"/>
                <w:sz w:val="21"/>
                <w:szCs w:val="21"/>
              </w:rPr>
              <w:t>t/a</w:t>
            </w:r>
          </w:p>
        </w:tc>
        <w:tc>
          <w:tcPr>
            <w:tcW w:w="600"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717"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r>
              <w:rPr>
                <w:rFonts w:hint="eastAsia" w:hAnsi="宋体" w:cs="宋体"/>
                <w:snapToGrid w:val="0"/>
                <w:color w:val="auto"/>
                <w:kern w:val="21"/>
                <w:sz w:val="21"/>
                <w:szCs w:val="21"/>
              </w:rPr>
              <w:t>0.186</w:t>
            </w:r>
            <w:r>
              <w:rPr>
                <w:rFonts w:hint="eastAsia" w:hAnsi="宋体" w:cs="宋体"/>
                <w:color w:val="auto"/>
                <w:spacing w:val="-2"/>
                <w:sz w:val="21"/>
                <w:szCs w:val="21"/>
              </w:rPr>
              <w:t>t/a</w:t>
            </w:r>
          </w:p>
        </w:tc>
        <w:tc>
          <w:tcPr>
            <w:tcW w:w="196"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319" w:type="pct"/>
            <w:vMerge w:val="continue"/>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734" w:type="pct"/>
            <w:noWrap w:val="0"/>
            <w:vAlign w:val="center"/>
          </w:tcPr>
          <w:p>
            <w:pPr>
              <w:spacing w:before="181" w:line="180" w:lineRule="auto"/>
              <w:ind w:firstLine="416"/>
              <w:jc w:val="center"/>
              <w:rPr>
                <w:rFonts w:hint="eastAsia" w:ascii="宋体" w:hAnsi="宋体" w:cs="宋体"/>
                <w:snapToGrid w:val="0"/>
                <w:color w:val="auto"/>
                <w:kern w:val="21"/>
                <w:sz w:val="21"/>
                <w:szCs w:val="21"/>
              </w:rPr>
            </w:pPr>
            <w:r>
              <w:rPr>
                <w:rFonts w:hint="eastAsia" w:ascii="宋体" w:hAnsi="宋体" w:cs="宋体"/>
                <w:color w:val="auto"/>
                <w:spacing w:val="-1"/>
                <w:sz w:val="21"/>
                <w:szCs w:val="21"/>
              </w:rPr>
              <w:t>NH</w:t>
            </w:r>
            <w:r>
              <w:rPr>
                <w:rFonts w:hint="eastAsia" w:ascii="宋体" w:hAnsi="宋体" w:cs="宋体"/>
                <w:color w:val="auto"/>
                <w:spacing w:val="-1"/>
                <w:position w:val="-1"/>
                <w:sz w:val="21"/>
                <w:szCs w:val="21"/>
                <w:vertAlign w:val="subscript"/>
              </w:rPr>
              <w:t>3</w:t>
            </w:r>
            <w:r>
              <w:rPr>
                <w:rFonts w:hint="eastAsia" w:ascii="宋体" w:hAnsi="宋体" w:cs="宋体"/>
                <w:color w:val="auto"/>
                <w:spacing w:val="-1"/>
                <w:sz w:val="21"/>
                <w:szCs w:val="21"/>
              </w:rPr>
              <w:t>-N</w:t>
            </w:r>
          </w:p>
        </w:tc>
        <w:tc>
          <w:tcPr>
            <w:tcW w:w="673"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438"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624"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695"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r>
              <w:rPr>
                <w:rFonts w:hint="eastAsia" w:hAnsi="宋体" w:cs="宋体"/>
                <w:snapToGrid w:val="0"/>
                <w:color w:val="auto"/>
                <w:kern w:val="21"/>
                <w:sz w:val="21"/>
                <w:szCs w:val="21"/>
              </w:rPr>
              <w:t>0.01674</w:t>
            </w:r>
            <w:r>
              <w:rPr>
                <w:rFonts w:hint="eastAsia" w:hAnsi="宋体" w:cs="宋体"/>
                <w:color w:val="auto"/>
                <w:spacing w:val="-2"/>
                <w:sz w:val="21"/>
                <w:szCs w:val="21"/>
              </w:rPr>
              <w:t>t/a</w:t>
            </w:r>
          </w:p>
        </w:tc>
        <w:tc>
          <w:tcPr>
            <w:tcW w:w="600"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717"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r>
              <w:rPr>
                <w:rFonts w:hint="eastAsia" w:hAnsi="宋体" w:cs="宋体"/>
                <w:snapToGrid w:val="0"/>
                <w:color w:val="auto"/>
                <w:kern w:val="21"/>
                <w:sz w:val="21"/>
                <w:szCs w:val="21"/>
              </w:rPr>
              <w:t>0.01674</w:t>
            </w:r>
            <w:r>
              <w:rPr>
                <w:rFonts w:hint="eastAsia" w:hAnsi="宋体" w:cs="宋体"/>
                <w:color w:val="auto"/>
                <w:spacing w:val="-2"/>
                <w:sz w:val="21"/>
                <w:szCs w:val="21"/>
              </w:rPr>
              <w:t>t/a</w:t>
            </w:r>
          </w:p>
        </w:tc>
        <w:tc>
          <w:tcPr>
            <w:tcW w:w="196"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319" w:type="pct"/>
            <w:vMerge w:val="continue"/>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734" w:type="pct"/>
            <w:noWrap w:val="0"/>
            <w:vAlign w:val="center"/>
          </w:tcPr>
          <w:p>
            <w:pPr>
              <w:spacing w:before="143" w:line="184" w:lineRule="auto"/>
              <w:ind w:firstLine="396"/>
              <w:jc w:val="center"/>
              <w:rPr>
                <w:rFonts w:hint="eastAsia" w:ascii="宋体" w:hAnsi="宋体" w:cs="宋体"/>
                <w:snapToGrid w:val="0"/>
                <w:color w:val="auto"/>
                <w:kern w:val="21"/>
                <w:sz w:val="21"/>
                <w:szCs w:val="21"/>
              </w:rPr>
            </w:pPr>
            <w:r>
              <w:rPr>
                <w:rFonts w:hint="eastAsia" w:ascii="宋体" w:hAnsi="宋体" w:cs="宋体"/>
                <w:color w:val="auto"/>
                <w:spacing w:val="-6"/>
                <w:sz w:val="21"/>
                <w:szCs w:val="21"/>
              </w:rPr>
              <w:t>总磷</w:t>
            </w:r>
          </w:p>
        </w:tc>
        <w:tc>
          <w:tcPr>
            <w:tcW w:w="673"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438"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624"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695"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r>
              <w:rPr>
                <w:rFonts w:hint="eastAsia" w:hAnsi="宋体" w:cs="宋体"/>
                <w:snapToGrid w:val="0"/>
                <w:color w:val="auto"/>
                <w:kern w:val="21"/>
                <w:sz w:val="21"/>
                <w:szCs w:val="21"/>
              </w:rPr>
              <w:t>0.00297</w:t>
            </w:r>
            <w:r>
              <w:rPr>
                <w:rFonts w:hint="eastAsia" w:hAnsi="宋体" w:cs="宋体"/>
                <w:color w:val="auto"/>
                <w:spacing w:val="-2"/>
                <w:sz w:val="21"/>
                <w:szCs w:val="21"/>
              </w:rPr>
              <w:t>t/a</w:t>
            </w:r>
          </w:p>
        </w:tc>
        <w:tc>
          <w:tcPr>
            <w:tcW w:w="600"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717"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r>
              <w:rPr>
                <w:rFonts w:hint="eastAsia" w:hAnsi="宋体" w:cs="宋体"/>
                <w:snapToGrid w:val="0"/>
                <w:color w:val="auto"/>
                <w:kern w:val="21"/>
                <w:sz w:val="21"/>
                <w:szCs w:val="21"/>
              </w:rPr>
              <w:t>0.00297</w:t>
            </w:r>
            <w:r>
              <w:rPr>
                <w:rFonts w:hint="eastAsia" w:hAnsi="宋体" w:cs="宋体"/>
                <w:color w:val="auto"/>
                <w:spacing w:val="-2"/>
                <w:sz w:val="21"/>
                <w:szCs w:val="21"/>
              </w:rPr>
              <w:t>t/a</w:t>
            </w:r>
          </w:p>
        </w:tc>
        <w:tc>
          <w:tcPr>
            <w:tcW w:w="196"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319" w:type="pct"/>
            <w:vMerge w:val="restar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r>
              <w:rPr>
                <w:rFonts w:hint="eastAsia" w:hAnsi="宋体" w:cs="宋体"/>
                <w:snapToGrid w:val="0"/>
                <w:color w:val="auto"/>
                <w:kern w:val="21"/>
                <w:sz w:val="21"/>
                <w:szCs w:val="21"/>
              </w:rPr>
              <w:t>一般</w:t>
            </w:r>
          </w:p>
          <w:p>
            <w:pPr>
              <w:pStyle w:val="103"/>
              <w:spacing w:beforeLines="0" w:afterLines="0" w:line="240" w:lineRule="auto"/>
              <w:ind w:firstLine="0" w:firstLineChars="0"/>
              <w:rPr>
                <w:rFonts w:hint="eastAsia" w:hAnsi="宋体" w:cs="宋体"/>
                <w:snapToGrid w:val="0"/>
                <w:color w:val="auto"/>
                <w:kern w:val="21"/>
                <w:sz w:val="21"/>
                <w:szCs w:val="21"/>
              </w:rPr>
            </w:pPr>
            <w:r>
              <w:rPr>
                <w:rFonts w:hint="eastAsia" w:hAnsi="宋体" w:cs="宋体"/>
                <w:snapToGrid w:val="0"/>
                <w:color w:val="auto"/>
                <w:kern w:val="21"/>
                <w:sz w:val="21"/>
                <w:szCs w:val="21"/>
              </w:rPr>
              <w:t>固体废物</w:t>
            </w:r>
          </w:p>
        </w:tc>
        <w:tc>
          <w:tcPr>
            <w:tcW w:w="734" w:type="pct"/>
            <w:noWrap w:val="0"/>
            <w:vAlign w:val="center"/>
          </w:tcPr>
          <w:p>
            <w:pPr>
              <w:spacing w:before="144" w:line="184" w:lineRule="auto"/>
              <w:ind w:firstLine="0" w:firstLineChars="0"/>
              <w:jc w:val="center"/>
              <w:rPr>
                <w:rFonts w:hint="eastAsia" w:ascii="宋体" w:hAnsi="宋体" w:cs="宋体"/>
                <w:snapToGrid w:val="0"/>
                <w:color w:val="auto"/>
                <w:kern w:val="21"/>
                <w:sz w:val="21"/>
                <w:szCs w:val="21"/>
              </w:rPr>
            </w:pPr>
            <w:r>
              <w:rPr>
                <w:rFonts w:hint="eastAsia" w:ascii="宋体" w:hAnsi="宋体" w:cs="宋体"/>
                <w:color w:val="auto"/>
                <w:spacing w:val="-5"/>
                <w:sz w:val="21"/>
                <w:szCs w:val="21"/>
              </w:rPr>
              <w:t>生活垃圾</w:t>
            </w:r>
          </w:p>
        </w:tc>
        <w:tc>
          <w:tcPr>
            <w:tcW w:w="673"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438"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624"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695"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r>
              <w:rPr>
                <w:rFonts w:hint="eastAsia" w:hAnsi="宋体" w:cs="宋体"/>
                <w:snapToGrid w:val="0"/>
                <w:color w:val="auto"/>
                <w:kern w:val="21"/>
                <w:sz w:val="21"/>
                <w:szCs w:val="21"/>
              </w:rPr>
              <w:t>0.18</w:t>
            </w:r>
            <w:r>
              <w:rPr>
                <w:rFonts w:hint="eastAsia" w:hAnsi="宋体" w:cs="宋体"/>
                <w:color w:val="auto"/>
                <w:spacing w:val="-2"/>
                <w:sz w:val="21"/>
                <w:szCs w:val="21"/>
              </w:rPr>
              <w:t>t/a</w:t>
            </w:r>
          </w:p>
        </w:tc>
        <w:tc>
          <w:tcPr>
            <w:tcW w:w="600"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717"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r>
              <w:rPr>
                <w:rFonts w:hint="eastAsia" w:hAnsi="宋体" w:cs="宋体"/>
                <w:snapToGrid w:val="0"/>
                <w:color w:val="auto"/>
                <w:kern w:val="21"/>
                <w:sz w:val="21"/>
                <w:szCs w:val="21"/>
              </w:rPr>
              <w:t>0.18</w:t>
            </w:r>
            <w:r>
              <w:rPr>
                <w:rFonts w:hint="eastAsia" w:hAnsi="宋体" w:cs="宋体"/>
                <w:color w:val="auto"/>
                <w:spacing w:val="-2"/>
                <w:sz w:val="21"/>
                <w:szCs w:val="21"/>
              </w:rPr>
              <w:t>t/a</w:t>
            </w:r>
          </w:p>
        </w:tc>
        <w:tc>
          <w:tcPr>
            <w:tcW w:w="196"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319" w:type="pct"/>
            <w:vMerge w:val="continue"/>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734" w:type="pct"/>
            <w:noWrap w:val="0"/>
            <w:vAlign w:val="center"/>
          </w:tcPr>
          <w:p>
            <w:pPr>
              <w:spacing w:before="145" w:line="184" w:lineRule="auto"/>
              <w:ind w:firstLine="0" w:firstLineChars="0"/>
              <w:jc w:val="center"/>
              <w:rPr>
                <w:rFonts w:hint="eastAsia" w:ascii="宋体" w:hAnsi="宋体" w:cs="宋体"/>
                <w:snapToGrid w:val="0"/>
                <w:color w:val="auto"/>
                <w:kern w:val="21"/>
                <w:sz w:val="21"/>
                <w:szCs w:val="21"/>
              </w:rPr>
            </w:pPr>
            <w:r>
              <w:rPr>
                <w:rFonts w:hint="eastAsia" w:ascii="宋体" w:hAnsi="宋体" w:cs="宋体"/>
                <w:color w:val="auto"/>
                <w:spacing w:val="-5"/>
                <w:sz w:val="21"/>
                <w:szCs w:val="21"/>
              </w:rPr>
              <w:t>宠物毛发</w:t>
            </w:r>
          </w:p>
        </w:tc>
        <w:tc>
          <w:tcPr>
            <w:tcW w:w="673"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438"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624"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695"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r>
              <w:rPr>
                <w:rFonts w:hint="eastAsia" w:hAnsi="宋体" w:cs="宋体"/>
                <w:snapToGrid w:val="0"/>
                <w:color w:val="auto"/>
                <w:kern w:val="21"/>
                <w:sz w:val="21"/>
                <w:szCs w:val="21"/>
              </w:rPr>
              <w:t>0.05</w:t>
            </w:r>
            <w:r>
              <w:rPr>
                <w:rFonts w:hint="eastAsia" w:hAnsi="宋体" w:cs="宋体"/>
                <w:color w:val="auto"/>
                <w:spacing w:val="-2"/>
                <w:sz w:val="21"/>
                <w:szCs w:val="21"/>
              </w:rPr>
              <w:t>t/a</w:t>
            </w:r>
          </w:p>
        </w:tc>
        <w:tc>
          <w:tcPr>
            <w:tcW w:w="600"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717"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r>
              <w:rPr>
                <w:rFonts w:hint="eastAsia" w:hAnsi="宋体" w:cs="宋体"/>
                <w:snapToGrid w:val="0"/>
                <w:color w:val="auto"/>
                <w:kern w:val="21"/>
                <w:sz w:val="21"/>
                <w:szCs w:val="21"/>
              </w:rPr>
              <w:t>0.05</w:t>
            </w:r>
            <w:r>
              <w:rPr>
                <w:rFonts w:hint="eastAsia" w:hAnsi="宋体" w:cs="宋体"/>
                <w:color w:val="auto"/>
                <w:spacing w:val="-2"/>
                <w:sz w:val="21"/>
                <w:szCs w:val="21"/>
              </w:rPr>
              <w:t>t/a</w:t>
            </w:r>
          </w:p>
        </w:tc>
        <w:tc>
          <w:tcPr>
            <w:tcW w:w="196"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319" w:type="pct"/>
            <w:vMerge w:val="continue"/>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734" w:type="pct"/>
            <w:noWrap w:val="0"/>
            <w:vAlign w:val="center"/>
          </w:tcPr>
          <w:p>
            <w:pPr>
              <w:spacing w:before="145" w:line="184" w:lineRule="auto"/>
              <w:ind w:firstLine="0" w:firstLineChars="0"/>
              <w:jc w:val="center"/>
              <w:rPr>
                <w:rFonts w:hint="eastAsia" w:ascii="宋体" w:hAnsi="宋体" w:cs="宋体"/>
                <w:color w:val="auto"/>
                <w:spacing w:val="-5"/>
                <w:sz w:val="21"/>
                <w:szCs w:val="21"/>
              </w:rPr>
            </w:pPr>
            <w:r>
              <w:rPr>
                <w:rFonts w:hint="eastAsia" w:ascii="宋体" w:hAnsi="宋体" w:cs="宋体"/>
                <w:color w:val="auto"/>
                <w:spacing w:val="-5"/>
                <w:sz w:val="21"/>
                <w:szCs w:val="21"/>
              </w:rPr>
              <w:t>宠物粪便</w:t>
            </w:r>
          </w:p>
        </w:tc>
        <w:tc>
          <w:tcPr>
            <w:tcW w:w="673"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438"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624"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695"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r>
              <w:rPr>
                <w:rFonts w:hint="eastAsia" w:hAnsi="宋体" w:cs="宋体"/>
                <w:snapToGrid w:val="0"/>
                <w:color w:val="auto"/>
                <w:kern w:val="21"/>
                <w:sz w:val="21"/>
                <w:szCs w:val="21"/>
              </w:rPr>
              <w:t>0.3</w:t>
            </w:r>
            <w:r>
              <w:rPr>
                <w:rFonts w:hint="eastAsia" w:hAnsi="宋体" w:cs="宋体"/>
                <w:color w:val="auto"/>
                <w:spacing w:val="-2"/>
                <w:sz w:val="21"/>
                <w:szCs w:val="21"/>
              </w:rPr>
              <w:t>t/a</w:t>
            </w:r>
          </w:p>
        </w:tc>
        <w:tc>
          <w:tcPr>
            <w:tcW w:w="600"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717"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r>
              <w:rPr>
                <w:rFonts w:hint="eastAsia" w:hAnsi="宋体" w:cs="宋体"/>
                <w:snapToGrid w:val="0"/>
                <w:color w:val="auto"/>
                <w:kern w:val="21"/>
                <w:sz w:val="21"/>
                <w:szCs w:val="21"/>
              </w:rPr>
              <w:t>0.3</w:t>
            </w:r>
            <w:r>
              <w:rPr>
                <w:rFonts w:hint="eastAsia" w:hAnsi="宋体" w:cs="宋体"/>
                <w:color w:val="auto"/>
                <w:spacing w:val="-2"/>
                <w:sz w:val="21"/>
                <w:szCs w:val="21"/>
              </w:rPr>
              <w:t>t/a</w:t>
            </w:r>
          </w:p>
        </w:tc>
        <w:tc>
          <w:tcPr>
            <w:tcW w:w="196"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319" w:type="pct"/>
            <w:vMerge w:val="restar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r>
              <w:rPr>
                <w:rFonts w:hint="eastAsia" w:hAnsi="宋体" w:cs="宋体"/>
                <w:snapToGrid w:val="0"/>
                <w:color w:val="auto"/>
                <w:kern w:val="21"/>
                <w:sz w:val="21"/>
                <w:szCs w:val="21"/>
              </w:rPr>
              <w:t>危险废物</w:t>
            </w:r>
          </w:p>
        </w:tc>
        <w:tc>
          <w:tcPr>
            <w:tcW w:w="734" w:type="pct"/>
            <w:noWrap w:val="0"/>
            <w:vAlign w:val="center"/>
          </w:tcPr>
          <w:p>
            <w:pPr>
              <w:spacing w:before="145" w:line="184" w:lineRule="auto"/>
              <w:ind w:firstLine="0" w:firstLineChars="0"/>
              <w:jc w:val="center"/>
              <w:rPr>
                <w:rFonts w:hint="eastAsia" w:ascii="宋体" w:hAnsi="宋体" w:cs="宋体"/>
                <w:color w:val="auto"/>
                <w:spacing w:val="-5"/>
                <w:sz w:val="21"/>
                <w:szCs w:val="21"/>
              </w:rPr>
            </w:pPr>
            <w:r>
              <w:rPr>
                <w:rFonts w:hint="eastAsia" w:ascii="宋体" w:hAnsi="宋体" w:cs="宋体"/>
                <w:color w:val="auto"/>
                <w:spacing w:val="-5"/>
                <w:sz w:val="21"/>
                <w:szCs w:val="21"/>
              </w:rPr>
              <w:t>动物尸体</w:t>
            </w:r>
          </w:p>
        </w:tc>
        <w:tc>
          <w:tcPr>
            <w:tcW w:w="673"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438"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624"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695" w:type="pct"/>
            <w:noWrap w:val="0"/>
            <w:vAlign w:val="center"/>
          </w:tcPr>
          <w:p>
            <w:pPr>
              <w:pStyle w:val="69"/>
              <w:rPr>
                <w:rFonts w:hint="eastAsia" w:ascii="宋体" w:hAnsi="宋体" w:cs="宋体"/>
                <w:snapToGrid w:val="0"/>
                <w:color w:val="auto"/>
                <w:kern w:val="21"/>
              </w:rPr>
            </w:pPr>
            <w:r>
              <w:rPr>
                <w:rFonts w:hint="eastAsia" w:ascii="宋体" w:hAnsi="宋体" w:cs="宋体"/>
                <w:color w:val="auto"/>
              </w:rPr>
              <w:t>0.5t/a</w:t>
            </w:r>
          </w:p>
        </w:tc>
        <w:tc>
          <w:tcPr>
            <w:tcW w:w="600"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717" w:type="pct"/>
            <w:noWrap w:val="0"/>
            <w:vAlign w:val="center"/>
          </w:tcPr>
          <w:p>
            <w:pPr>
              <w:pStyle w:val="69"/>
              <w:rPr>
                <w:rFonts w:hint="eastAsia" w:ascii="宋体" w:hAnsi="宋体" w:cs="宋体"/>
                <w:color w:val="auto"/>
              </w:rPr>
            </w:pPr>
            <w:r>
              <w:rPr>
                <w:rFonts w:hint="eastAsia" w:ascii="宋体" w:hAnsi="宋体" w:cs="宋体"/>
                <w:color w:val="auto"/>
              </w:rPr>
              <w:t>0.5t/a</w:t>
            </w:r>
          </w:p>
        </w:tc>
        <w:tc>
          <w:tcPr>
            <w:tcW w:w="196"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319" w:type="pct"/>
            <w:vMerge w:val="continue"/>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734" w:type="pct"/>
            <w:noWrap w:val="0"/>
            <w:vAlign w:val="center"/>
          </w:tcPr>
          <w:p>
            <w:pPr>
              <w:spacing w:before="145" w:line="184" w:lineRule="auto"/>
              <w:ind w:firstLine="0" w:firstLineChars="0"/>
              <w:jc w:val="center"/>
              <w:rPr>
                <w:rFonts w:hint="eastAsia" w:ascii="宋体" w:hAnsi="宋体" w:cs="宋体"/>
                <w:color w:val="auto"/>
                <w:spacing w:val="-5"/>
                <w:sz w:val="21"/>
                <w:szCs w:val="21"/>
              </w:rPr>
            </w:pPr>
            <w:r>
              <w:rPr>
                <w:rFonts w:hint="eastAsia" w:ascii="宋体" w:hAnsi="宋体" w:cs="宋体"/>
                <w:color w:val="auto"/>
                <w:spacing w:val="-5"/>
                <w:sz w:val="21"/>
                <w:szCs w:val="21"/>
              </w:rPr>
              <w:t>医疗垃圾</w:t>
            </w:r>
          </w:p>
        </w:tc>
        <w:tc>
          <w:tcPr>
            <w:tcW w:w="673"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438"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624"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695" w:type="pct"/>
            <w:noWrap w:val="0"/>
            <w:vAlign w:val="center"/>
          </w:tcPr>
          <w:p>
            <w:pPr>
              <w:pStyle w:val="69"/>
              <w:rPr>
                <w:rFonts w:hint="eastAsia" w:ascii="宋体" w:hAnsi="宋体" w:cs="宋体"/>
                <w:snapToGrid w:val="0"/>
                <w:color w:val="auto"/>
                <w:kern w:val="21"/>
              </w:rPr>
            </w:pPr>
            <w:r>
              <w:rPr>
                <w:rFonts w:hint="eastAsia" w:ascii="宋体" w:hAnsi="宋体" w:cs="宋体"/>
                <w:color w:val="auto"/>
              </w:rPr>
              <w:t>1.8t/a</w:t>
            </w:r>
          </w:p>
        </w:tc>
        <w:tc>
          <w:tcPr>
            <w:tcW w:w="600"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717" w:type="pct"/>
            <w:noWrap w:val="0"/>
            <w:vAlign w:val="center"/>
          </w:tcPr>
          <w:p>
            <w:pPr>
              <w:pStyle w:val="69"/>
              <w:rPr>
                <w:rFonts w:hint="eastAsia" w:ascii="宋体" w:hAnsi="宋体" w:cs="宋体"/>
                <w:color w:val="auto"/>
              </w:rPr>
            </w:pPr>
            <w:r>
              <w:rPr>
                <w:rFonts w:hint="eastAsia" w:ascii="宋体" w:hAnsi="宋体" w:cs="宋体"/>
                <w:color w:val="auto"/>
              </w:rPr>
              <w:t>1.8t/a</w:t>
            </w:r>
          </w:p>
        </w:tc>
        <w:tc>
          <w:tcPr>
            <w:tcW w:w="196"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319" w:type="pct"/>
            <w:vMerge w:val="continue"/>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734" w:type="pct"/>
            <w:noWrap w:val="0"/>
            <w:vAlign w:val="center"/>
          </w:tcPr>
          <w:p>
            <w:pPr>
              <w:spacing w:before="145" w:line="184" w:lineRule="auto"/>
              <w:ind w:firstLine="0" w:firstLineChars="0"/>
              <w:jc w:val="center"/>
              <w:rPr>
                <w:rFonts w:hint="eastAsia" w:ascii="宋体" w:hAnsi="宋体" w:cs="宋体"/>
                <w:color w:val="auto"/>
                <w:spacing w:val="-5"/>
                <w:sz w:val="21"/>
                <w:szCs w:val="21"/>
              </w:rPr>
            </w:pPr>
            <w:r>
              <w:rPr>
                <w:rFonts w:hint="eastAsia" w:ascii="宋体" w:hAnsi="宋体" w:cs="宋体"/>
                <w:color w:val="auto"/>
                <w:spacing w:val="-5"/>
                <w:sz w:val="21"/>
                <w:szCs w:val="21"/>
              </w:rPr>
              <w:t>废紫外灯管</w:t>
            </w:r>
          </w:p>
        </w:tc>
        <w:tc>
          <w:tcPr>
            <w:tcW w:w="673"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438"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624"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695" w:type="pct"/>
            <w:noWrap w:val="0"/>
            <w:vAlign w:val="center"/>
          </w:tcPr>
          <w:p>
            <w:pPr>
              <w:pStyle w:val="69"/>
              <w:rPr>
                <w:rFonts w:hint="eastAsia" w:ascii="宋体" w:hAnsi="宋体" w:cs="宋体"/>
                <w:snapToGrid w:val="0"/>
                <w:color w:val="auto"/>
                <w:kern w:val="21"/>
              </w:rPr>
            </w:pPr>
            <w:r>
              <w:rPr>
                <w:rFonts w:hint="eastAsia" w:ascii="宋体" w:hAnsi="宋体" w:cs="宋体"/>
                <w:color w:val="auto"/>
              </w:rPr>
              <w:t>0.002t/a</w:t>
            </w:r>
          </w:p>
        </w:tc>
        <w:tc>
          <w:tcPr>
            <w:tcW w:w="600"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717" w:type="pct"/>
            <w:noWrap w:val="0"/>
            <w:vAlign w:val="center"/>
          </w:tcPr>
          <w:p>
            <w:pPr>
              <w:pStyle w:val="69"/>
              <w:rPr>
                <w:rFonts w:hint="eastAsia" w:ascii="宋体" w:hAnsi="宋体" w:cs="宋体"/>
                <w:color w:val="auto"/>
              </w:rPr>
            </w:pPr>
            <w:r>
              <w:rPr>
                <w:rFonts w:hint="eastAsia" w:ascii="宋体" w:hAnsi="宋体" w:cs="宋体"/>
                <w:color w:val="auto"/>
              </w:rPr>
              <w:t>0.002t/a</w:t>
            </w:r>
          </w:p>
        </w:tc>
        <w:tc>
          <w:tcPr>
            <w:tcW w:w="196" w:type="pc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r>
    </w:tbl>
    <w:p>
      <w:pPr>
        <w:pStyle w:val="3"/>
        <w:rPr>
          <w:rFonts w:hint="eastAsia"/>
          <w:color w:val="auto"/>
        </w:rPr>
      </w:pPr>
    </w:p>
    <w:p>
      <w:pPr>
        <w:pStyle w:val="103"/>
        <w:spacing w:before="192" w:beforeLines="80" w:after="24"/>
        <w:ind w:firstLine="480"/>
        <w:jc w:val="left"/>
        <w:rPr>
          <w:rFonts w:hint="eastAsia" w:hAnsi="宋体"/>
          <w:snapToGrid w:val="0"/>
          <w:color w:val="auto"/>
          <w:spacing w:val="-6"/>
          <w:kern w:val="21"/>
          <w:szCs w:val="21"/>
        </w:rPr>
      </w:pPr>
      <w:r>
        <w:rPr>
          <w:rFonts w:hAnsi="宋体"/>
          <w:snapToGrid w:val="0"/>
          <w:color w:val="auto"/>
          <w:kern w:val="21"/>
          <w:szCs w:val="21"/>
        </w:rPr>
        <w:t>注：</w:t>
      </w:r>
      <w:r>
        <w:rPr>
          <w:rFonts w:hAnsi="宋体"/>
          <w:snapToGrid w:val="0"/>
          <w:color w:val="auto"/>
          <w:spacing w:val="-16"/>
          <w:kern w:val="21"/>
          <w:szCs w:val="21"/>
        </w:rPr>
        <w:fldChar w:fldCharType="begin"/>
      </w:r>
      <w:r>
        <w:rPr>
          <w:rFonts w:hAnsi="宋体"/>
          <w:snapToGrid w:val="0"/>
          <w:color w:val="auto"/>
          <w:spacing w:val="-16"/>
          <w:kern w:val="21"/>
          <w:szCs w:val="21"/>
        </w:rPr>
        <w:instrText xml:space="preserve"> = 6 \* GB3 \* MERGEFORMAT </w:instrText>
      </w:r>
      <w:r>
        <w:rPr>
          <w:rFonts w:hAnsi="宋体"/>
          <w:snapToGrid w:val="0"/>
          <w:color w:val="auto"/>
          <w:spacing w:val="-16"/>
          <w:kern w:val="21"/>
          <w:szCs w:val="21"/>
        </w:rPr>
        <w:fldChar w:fldCharType="separate"/>
      </w:r>
      <w:r>
        <w:rPr>
          <w:rFonts w:hint="eastAsia" w:hAnsi="宋体"/>
          <w:color w:val="auto"/>
          <w:szCs w:val="21"/>
        </w:rPr>
        <w:t>⑥</w:t>
      </w:r>
      <w:r>
        <w:rPr>
          <w:rFonts w:hAnsi="宋体"/>
          <w:snapToGrid w:val="0"/>
          <w:color w:val="auto"/>
          <w:spacing w:val="-16"/>
          <w:kern w:val="21"/>
          <w:szCs w:val="21"/>
        </w:rPr>
        <w:fldChar w:fldCharType="end"/>
      </w:r>
      <w:r>
        <w:rPr>
          <w:rFonts w:hAnsi="宋体"/>
          <w:snapToGrid w:val="0"/>
          <w:color w:val="auto"/>
          <w:spacing w:val="-16"/>
          <w:kern w:val="21"/>
          <w:szCs w:val="21"/>
        </w:rPr>
        <w:t>=</w:t>
      </w:r>
      <w:r>
        <w:rPr>
          <w:rFonts w:hAnsi="宋体"/>
          <w:snapToGrid w:val="0"/>
          <w:color w:val="auto"/>
          <w:spacing w:val="-6"/>
          <w:kern w:val="21"/>
          <w:szCs w:val="21"/>
        </w:rPr>
        <w:fldChar w:fldCharType="begin"/>
      </w:r>
      <w:r>
        <w:rPr>
          <w:rFonts w:hAnsi="宋体"/>
          <w:snapToGrid w:val="0"/>
          <w:color w:val="auto"/>
          <w:spacing w:val="-6"/>
          <w:kern w:val="21"/>
          <w:szCs w:val="21"/>
        </w:rPr>
        <w:instrText xml:space="preserve"> = 1 \* GB3 \* MERGEFORMAT </w:instrText>
      </w:r>
      <w:r>
        <w:rPr>
          <w:rFonts w:hAnsi="宋体"/>
          <w:snapToGrid w:val="0"/>
          <w:color w:val="auto"/>
          <w:spacing w:val="-6"/>
          <w:kern w:val="21"/>
          <w:szCs w:val="21"/>
        </w:rPr>
        <w:fldChar w:fldCharType="separate"/>
      </w:r>
      <w:r>
        <w:rPr>
          <w:rFonts w:hint="eastAsia" w:hAnsi="宋体"/>
          <w:color w:val="auto"/>
          <w:szCs w:val="21"/>
        </w:rPr>
        <w:t>①</w:t>
      </w:r>
      <w:r>
        <w:rPr>
          <w:rFonts w:hAnsi="宋体"/>
          <w:snapToGrid w:val="0"/>
          <w:color w:val="auto"/>
          <w:spacing w:val="-6"/>
          <w:kern w:val="21"/>
          <w:szCs w:val="21"/>
        </w:rPr>
        <w:fldChar w:fldCharType="end"/>
      </w:r>
      <w:r>
        <w:rPr>
          <w:rFonts w:hAnsi="宋体"/>
          <w:snapToGrid w:val="0"/>
          <w:color w:val="auto"/>
          <w:spacing w:val="-6"/>
          <w:kern w:val="21"/>
          <w:szCs w:val="21"/>
        </w:rPr>
        <w:t>+</w:t>
      </w:r>
      <w:r>
        <w:rPr>
          <w:rFonts w:hAnsi="宋体"/>
          <w:snapToGrid w:val="0"/>
          <w:color w:val="auto"/>
          <w:spacing w:val="-6"/>
          <w:kern w:val="21"/>
          <w:szCs w:val="21"/>
        </w:rPr>
        <w:fldChar w:fldCharType="begin"/>
      </w:r>
      <w:r>
        <w:rPr>
          <w:rFonts w:hAnsi="宋体"/>
          <w:snapToGrid w:val="0"/>
          <w:color w:val="auto"/>
          <w:spacing w:val="-6"/>
          <w:kern w:val="21"/>
          <w:szCs w:val="21"/>
        </w:rPr>
        <w:instrText xml:space="preserve"> = 3 \* GB3 \* MERGEFORMAT </w:instrText>
      </w:r>
      <w:r>
        <w:rPr>
          <w:rFonts w:hAnsi="宋体"/>
          <w:snapToGrid w:val="0"/>
          <w:color w:val="auto"/>
          <w:spacing w:val="-6"/>
          <w:kern w:val="21"/>
          <w:szCs w:val="21"/>
        </w:rPr>
        <w:fldChar w:fldCharType="separate"/>
      </w:r>
      <w:r>
        <w:rPr>
          <w:rFonts w:hint="eastAsia" w:hAnsi="宋体"/>
          <w:color w:val="auto"/>
          <w:szCs w:val="21"/>
        </w:rPr>
        <w:t>③</w:t>
      </w:r>
      <w:r>
        <w:rPr>
          <w:rFonts w:hAnsi="宋体"/>
          <w:snapToGrid w:val="0"/>
          <w:color w:val="auto"/>
          <w:spacing w:val="-6"/>
          <w:kern w:val="21"/>
          <w:szCs w:val="21"/>
        </w:rPr>
        <w:fldChar w:fldCharType="end"/>
      </w:r>
      <w:r>
        <w:rPr>
          <w:rFonts w:hAnsi="宋体"/>
          <w:snapToGrid w:val="0"/>
          <w:color w:val="auto"/>
          <w:spacing w:val="-6"/>
          <w:kern w:val="21"/>
          <w:szCs w:val="21"/>
        </w:rPr>
        <w:t>+</w:t>
      </w:r>
      <w:r>
        <w:rPr>
          <w:rFonts w:hAnsi="宋体"/>
          <w:snapToGrid w:val="0"/>
          <w:color w:val="auto"/>
          <w:spacing w:val="-6"/>
          <w:kern w:val="21"/>
          <w:szCs w:val="21"/>
        </w:rPr>
        <w:fldChar w:fldCharType="begin"/>
      </w:r>
      <w:r>
        <w:rPr>
          <w:rFonts w:hAnsi="宋体"/>
          <w:snapToGrid w:val="0"/>
          <w:color w:val="auto"/>
          <w:spacing w:val="-6"/>
          <w:kern w:val="21"/>
          <w:szCs w:val="21"/>
        </w:rPr>
        <w:instrText xml:space="preserve"> = 4 \* GB3 \* MERGEFORMAT </w:instrText>
      </w:r>
      <w:r>
        <w:rPr>
          <w:rFonts w:hAnsi="宋体"/>
          <w:snapToGrid w:val="0"/>
          <w:color w:val="auto"/>
          <w:spacing w:val="-6"/>
          <w:kern w:val="21"/>
          <w:szCs w:val="21"/>
        </w:rPr>
        <w:fldChar w:fldCharType="separate"/>
      </w:r>
      <w:r>
        <w:rPr>
          <w:rFonts w:hint="eastAsia" w:hAnsi="宋体"/>
          <w:color w:val="auto"/>
          <w:szCs w:val="21"/>
        </w:rPr>
        <w:t>④</w:t>
      </w:r>
      <w:r>
        <w:rPr>
          <w:rFonts w:hAnsi="宋体"/>
          <w:snapToGrid w:val="0"/>
          <w:color w:val="auto"/>
          <w:spacing w:val="-6"/>
          <w:kern w:val="21"/>
          <w:szCs w:val="21"/>
        </w:rPr>
        <w:fldChar w:fldCharType="end"/>
      </w:r>
      <w:r>
        <w:rPr>
          <w:rFonts w:hAnsi="宋体"/>
          <w:snapToGrid w:val="0"/>
          <w:color w:val="auto"/>
          <w:spacing w:val="-6"/>
          <w:kern w:val="21"/>
          <w:szCs w:val="21"/>
        </w:rPr>
        <w:t>-</w:t>
      </w:r>
      <w:r>
        <w:rPr>
          <w:rFonts w:hAnsi="宋体"/>
          <w:snapToGrid w:val="0"/>
          <w:color w:val="auto"/>
          <w:spacing w:val="-16"/>
          <w:kern w:val="21"/>
          <w:szCs w:val="21"/>
        </w:rPr>
        <w:fldChar w:fldCharType="begin"/>
      </w:r>
      <w:r>
        <w:rPr>
          <w:rFonts w:hAnsi="宋体"/>
          <w:snapToGrid w:val="0"/>
          <w:color w:val="auto"/>
          <w:spacing w:val="-16"/>
          <w:kern w:val="21"/>
          <w:szCs w:val="21"/>
        </w:rPr>
        <w:instrText xml:space="preserve"> = 5 \* GB3 \* MERGEFORMAT </w:instrText>
      </w:r>
      <w:r>
        <w:rPr>
          <w:rFonts w:hAnsi="宋体"/>
          <w:snapToGrid w:val="0"/>
          <w:color w:val="auto"/>
          <w:spacing w:val="-16"/>
          <w:kern w:val="21"/>
          <w:szCs w:val="21"/>
        </w:rPr>
        <w:fldChar w:fldCharType="separate"/>
      </w:r>
      <w:r>
        <w:rPr>
          <w:rFonts w:hint="eastAsia" w:hAnsi="宋体"/>
          <w:color w:val="auto"/>
          <w:szCs w:val="21"/>
        </w:rPr>
        <w:t>⑤</w:t>
      </w:r>
      <w:r>
        <w:rPr>
          <w:rFonts w:hAnsi="宋体"/>
          <w:snapToGrid w:val="0"/>
          <w:color w:val="auto"/>
          <w:spacing w:val="-16"/>
          <w:kern w:val="21"/>
          <w:szCs w:val="21"/>
        </w:rPr>
        <w:fldChar w:fldCharType="end"/>
      </w:r>
      <w:r>
        <w:rPr>
          <w:rFonts w:hAnsi="宋体"/>
          <w:snapToGrid w:val="0"/>
          <w:color w:val="auto"/>
          <w:spacing w:val="-16"/>
          <w:kern w:val="21"/>
          <w:szCs w:val="21"/>
        </w:rPr>
        <w:t>；</w:t>
      </w:r>
      <w:r>
        <w:rPr>
          <w:rFonts w:hAnsi="宋体"/>
          <w:snapToGrid w:val="0"/>
          <w:color w:val="auto"/>
          <w:spacing w:val="-6"/>
          <w:kern w:val="21"/>
          <w:szCs w:val="21"/>
        </w:rPr>
        <w:fldChar w:fldCharType="begin"/>
      </w:r>
      <w:r>
        <w:rPr>
          <w:rFonts w:hAnsi="宋体"/>
          <w:snapToGrid w:val="0"/>
          <w:color w:val="auto"/>
          <w:spacing w:val="-6"/>
          <w:kern w:val="21"/>
          <w:szCs w:val="21"/>
        </w:rPr>
        <w:instrText xml:space="preserve"> = 7 \* GB3 \* MERGEFORMAT </w:instrText>
      </w:r>
      <w:r>
        <w:rPr>
          <w:rFonts w:hAnsi="宋体"/>
          <w:snapToGrid w:val="0"/>
          <w:color w:val="auto"/>
          <w:spacing w:val="-6"/>
          <w:kern w:val="21"/>
          <w:szCs w:val="21"/>
        </w:rPr>
        <w:fldChar w:fldCharType="separate"/>
      </w:r>
      <w:r>
        <w:rPr>
          <w:rFonts w:hint="eastAsia" w:hAnsi="宋体"/>
          <w:color w:val="auto"/>
          <w:szCs w:val="21"/>
        </w:rPr>
        <w:t>⑦</w:t>
      </w:r>
      <w:r>
        <w:rPr>
          <w:rFonts w:hAnsi="宋体"/>
          <w:snapToGrid w:val="0"/>
          <w:color w:val="auto"/>
          <w:spacing w:val="-6"/>
          <w:kern w:val="21"/>
          <w:szCs w:val="21"/>
        </w:rPr>
        <w:fldChar w:fldCharType="end"/>
      </w:r>
      <w:r>
        <w:rPr>
          <w:rFonts w:hAnsi="宋体"/>
          <w:snapToGrid w:val="0"/>
          <w:color w:val="auto"/>
          <w:spacing w:val="-6"/>
          <w:kern w:val="21"/>
          <w:szCs w:val="21"/>
        </w:rPr>
        <w:t>=</w:t>
      </w:r>
      <w:r>
        <w:rPr>
          <w:rFonts w:hAnsi="宋体"/>
          <w:snapToGrid w:val="0"/>
          <w:color w:val="auto"/>
          <w:spacing w:val="-16"/>
          <w:kern w:val="21"/>
          <w:szCs w:val="21"/>
        </w:rPr>
        <w:fldChar w:fldCharType="begin"/>
      </w:r>
      <w:r>
        <w:rPr>
          <w:rFonts w:hAnsi="宋体"/>
          <w:snapToGrid w:val="0"/>
          <w:color w:val="auto"/>
          <w:spacing w:val="-16"/>
          <w:kern w:val="21"/>
          <w:szCs w:val="21"/>
        </w:rPr>
        <w:instrText xml:space="preserve"> = 6 \* GB3 \* MERGEFORMAT </w:instrText>
      </w:r>
      <w:r>
        <w:rPr>
          <w:rFonts w:hAnsi="宋体"/>
          <w:snapToGrid w:val="0"/>
          <w:color w:val="auto"/>
          <w:spacing w:val="-16"/>
          <w:kern w:val="21"/>
          <w:szCs w:val="21"/>
        </w:rPr>
        <w:fldChar w:fldCharType="separate"/>
      </w:r>
      <w:r>
        <w:rPr>
          <w:rFonts w:hint="eastAsia" w:hAnsi="宋体"/>
          <w:color w:val="auto"/>
          <w:szCs w:val="21"/>
        </w:rPr>
        <w:t>⑥</w:t>
      </w:r>
      <w:r>
        <w:rPr>
          <w:rFonts w:hAnsi="宋体"/>
          <w:snapToGrid w:val="0"/>
          <w:color w:val="auto"/>
          <w:spacing w:val="-16"/>
          <w:kern w:val="21"/>
          <w:szCs w:val="21"/>
        </w:rPr>
        <w:fldChar w:fldCharType="end"/>
      </w:r>
      <w:r>
        <w:rPr>
          <w:rFonts w:hAnsi="宋体"/>
          <w:snapToGrid w:val="0"/>
          <w:color w:val="auto"/>
          <w:spacing w:val="-16"/>
          <w:kern w:val="21"/>
          <w:szCs w:val="21"/>
        </w:rPr>
        <w:t>-</w:t>
      </w:r>
      <w:r>
        <w:rPr>
          <w:rFonts w:hAnsi="宋体"/>
          <w:snapToGrid w:val="0"/>
          <w:color w:val="auto"/>
          <w:spacing w:val="-6"/>
          <w:kern w:val="21"/>
          <w:szCs w:val="21"/>
        </w:rPr>
        <w:fldChar w:fldCharType="begin"/>
      </w:r>
      <w:r>
        <w:rPr>
          <w:rFonts w:hAnsi="宋体"/>
          <w:snapToGrid w:val="0"/>
          <w:color w:val="auto"/>
          <w:spacing w:val="-6"/>
          <w:kern w:val="21"/>
          <w:szCs w:val="21"/>
        </w:rPr>
        <w:instrText xml:space="preserve"> = 1 \* GB3 \* MERGEFORMAT </w:instrText>
      </w:r>
      <w:r>
        <w:rPr>
          <w:rFonts w:hAnsi="宋体"/>
          <w:snapToGrid w:val="0"/>
          <w:color w:val="auto"/>
          <w:spacing w:val="-6"/>
          <w:kern w:val="21"/>
          <w:szCs w:val="21"/>
        </w:rPr>
        <w:fldChar w:fldCharType="separate"/>
      </w:r>
      <w:r>
        <w:rPr>
          <w:rFonts w:hint="eastAsia" w:hAnsi="宋体"/>
          <w:color w:val="auto"/>
          <w:szCs w:val="21"/>
        </w:rPr>
        <w:t>①</w:t>
      </w:r>
      <w:r>
        <w:rPr>
          <w:rFonts w:hAnsi="宋体"/>
          <w:snapToGrid w:val="0"/>
          <w:color w:val="auto"/>
          <w:spacing w:val="-6"/>
          <w:kern w:val="21"/>
          <w:szCs w:val="21"/>
        </w:rPr>
        <w:fldChar w:fldCharType="end"/>
      </w:r>
    </w:p>
    <w:p>
      <w:pPr>
        <w:pStyle w:val="2"/>
      </w:pPr>
    </w:p>
    <w:p/>
    <w:p>
      <w:pPr>
        <w:pStyle w:val="2"/>
      </w:pPr>
    </w:p>
    <w:p/>
    <w:p>
      <w:pPr>
        <w:pStyle w:val="2"/>
      </w:pPr>
    </w:p>
    <w:p/>
    <w:p>
      <w:pPr>
        <w:pStyle w:val="2"/>
      </w:pPr>
    </w:p>
    <w:p/>
    <w:p>
      <w:pPr>
        <w:pStyle w:val="2"/>
      </w:pPr>
    </w:p>
    <w:p>
      <w:pPr>
        <w:rPr>
          <w:rFonts w:ascii="仿宋_GB2312" w:hAnsi="仿宋_GB2312" w:eastAsia="仿宋_GB2312" w:cs="仿宋_GB2312"/>
          <w:color w:val="auto"/>
          <w:sz w:val="36"/>
          <w:szCs w:val="36"/>
        </w:rPr>
      </w:pPr>
    </w:p>
    <w:p>
      <w:pPr>
        <w:rPr>
          <w:rFonts w:ascii="仿宋_GB2312" w:hAnsi="仿宋_GB2312" w:eastAsia="仿宋_GB2312" w:cs="仿宋_GB2312"/>
          <w:color w:val="auto"/>
          <w:sz w:val="36"/>
          <w:szCs w:val="36"/>
        </w:rPr>
      </w:pPr>
    </w:p>
    <w:p>
      <w:pPr>
        <w:tabs>
          <w:tab w:val="left" w:pos="3262"/>
        </w:tabs>
        <w:rPr>
          <w:rFonts w:hint="eastAsia" w:ascii="仿宋_GB2312" w:hAnsi="仿宋_GB2312" w:eastAsia="仿宋_GB2312" w:cs="仿宋_GB2312"/>
          <w:color w:val="auto"/>
          <w:sz w:val="36"/>
          <w:szCs w:val="36"/>
          <w:lang w:eastAsia="zh-CN"/>
        </w:rPr>
      </w:pPr>
      <w:r>
        <w:rPr>
          <w:rFonts w:hint="eastAsia" w:ascii="仿宋_GB2312" w:hAnsi="仿宋_GB2312" w:eastAsia="仿宋_GB2312" w:cs="仿宋_GB2312"/>
          <w:color w:val="auto"/>
          <w:sz w:val="36"/>
          <w:szCs w:val="36"/>
          <w:lang w:eastAsia="zh-CN"/>
        </w:rPr>
        <w:tab/>
      </w:r>
    </w:p>
    <w:p>
      <w:pPr>
        <w:ind w:firstLine="0" w:firstLineChars="0"/>
        <w:rPr>
          <w:rFonts w:hint="eastAsia" w:ascii="仿宋_GB2312" w:hAnsi="仿宋_GB2312" w:eastAsia="仿宋_GB2312" w:cs="仿宋_GB2312"/>
          <w:color w:val="auto"/>
          <w:sz w:val="36"/>
          <w:szCs w:val="36"/>
        </w:rPr>
      </w:pPr>
    </w:p>
    <w:p>
      <w:pPr>
        <w:adjustRightInd/>
        <w:spacing w:before="120" w:after="160" w:line="259" w:lineRule="auto"/>
        <w:ind w:firstLine="0" w:firstLineChars="0"/>
        <w:jc w:val="center"/>
        <w:rPr>
          <w:rFonts w:hint="eastAsia" w:ascii="方正小标宋_GBK" w:eastAsia="方正小标宋_GBK"/>
          <w:bCs/>
          <w:color w:val="auto"/>
          <w:sz w:val="72"/>
          <w:szCs w:val="72"/>
        </w:rPr>
      </w:pPr>
      <w:bookmarkStart w:id="84" w:name="_Toc29514"/>
      <w:bookmarkStart w:id="85" w:name="_Toc32690"/>
      <w:bookmarkStart w:id="86" w:name="_Toc22560"/>
      <w:bookmarkStart w:id="87" w:name="_Toc22109"/>
      <w:bookmarkStart w:id="88" w:name="_Toc15276"/>
      <w:bookmarkStart w:id="89" w:name="_Toc27392"/>
      <w:bookmarkStart w:id="90" w:name="_Toc8039"/>
      <w:bookmarkStart w:id="91" w:name="_Toc30012"/>
      <w:bookmarkStart w:id="92" w:name="_Toc10494"/>
      <w:r>
        <w:rPr>
          <w:rFonts w:hint="eastAsia" w:ascii="方正小标宋_GBK" w:eastAsia="方正小标宋_GBK"/>
          <w:bCs/>
          <w:color w:val="auto"/>
          <w:sz w:val="72"/>
          <w:szCs w:val="72"/>
        </w:rPr>
        <w:t>建设项目环境影响报告表</w:t>
      </w:r>
      <w:bookmarkEnd w:id="84"/>
      <w:bookmarkEnd w:id="85"/>
      <w:bookmarkEnd w:id="86"/>
      <w:bookmarkEnd w:id="87"/>
      <w:bookmarkEnd w:id="88"/>
      <w:bookmarkEnd w:id="89"/>
      <w:bookmarkEnd w:id="90"/>
      <w:bookmarkEnd w:id="91"/>
      <w:bookmarkEnd w:id="92"/>
    </w:p>
    <w:p>
      <w:pPr>
        <w:spacing w:before="192" w:beforeLines="80" w:line="240" w:lineRule="auto"/>
        <w:ind w:firstLine="0" w:firstLineChars="0"/>
        <w:jc w:val="center"/>
        <w:rPr>
          <w:rFonts w:hint="eastAsia" w:ascii="楷体_GB2312" w:eastAsia="楷体_GB2312"/>
          <w:bCs/>
          <w:color w:val="auto"/>
          <w:sz w:val="48"/>
          <w:szCs w:val="48"/>
        </w:rPr>
      </w:pPr>
      <w:r>
        <w:rPr>
          <w:rFonts w:hint="eastAsia" w:ascii="楷体_GB2312" w:eastAsia="楷体_GB2312"/>
          <w:bCs/>
          <w:color w:val="auto"/>
          <w:sz w:val="48"/>
          <w:szCs w:val="48"/>
        </w:rPr>
        <w:t>（污染影响类）</w:t>
      </w:r>
    </w:p>
    <w:p>
      <w:pPr>
        <w:spacing w:before="192" w:beforeLines="80" w:line="240" w:lineRule="auto"/>
        <w:ind w:firstLine="0" w:firstLineChars="0"/>
        <w:jc w:val="center"/>
        <w:rPr>
          <w:rFonts w:hint="eastAsia"/>
          <w:color w:val="auto"/>
        </w:rPr>
      </w:pPr>
      <w:r>
        <w:rPr>
          <w:rFonts w:hint="eastAsia" w:ascii="楷体_GB2312" w:eastAsia="楷体_GB2312"/>
          <w:bCs/>
          <w:color w:val="auto"/>
          <w:sz w:val="48"/>
          <w:szCs w:val="48"/>
        </w:rPr>
        <w:t>（送审稿）</w:t>
      </w:r>
    </w:p>
    <w:p>
      <w:pPr>
        <w:spacing w:line="288" w:lineRule="auto"/>
        <w:ind w:firstLine="880"/>
        <w:jc w:val="center"/>
        <w:rPr>
          <w:rFonts w:ascii="华文仿宋" w:hAnsi="华文仿宋" w:eastAsia="华文仿宋" w:cs="华文仿宋"/>
          <w:color w:val="auto"/>
          <w:kern w:val="44"/>
          <w:sz w:val="44"/>
          <w:szCs w:val="44"/>
        </w:rPr>
      </w:pPr>
    </w:p>
    <w:p>
      <w:pPr>
        <w:ind w:firstLine="1040"/>
        <w:jc w:val="center"/>
        <w:rPr>
          <w:rFonts w:eastAsia="仿宋"/>
          <w:color w:val="auto"/>
          <w:sz w:val="52"/>
          <w:szCs w:val="52"/>
        </w:rPr>
      </w:pPr>
    </w:p>
    <w:p>
      <w:pPr>
        <w:ind w:firstLine="0" w:firstLineChars="0"/>
        <w:rPr>
          <w:rFonts w:eastAsia="仿宋"/>
          <w:color w:val="auto"/>
          <w:sz w:val="44"/>
          <w:szCs w:val="44"/>
        </w:rPr>
      </w:pPr>
    </w:p>
    <w:p>
      <w:pPr>
        <w:ind w:firstLine="880"/>
        <w:rPr>
          <w:rFonts w:eastAsia="仿宋"/>
          <w:color w:val="auto"/>
          <w:sz w:val="44"/>
          <w:szCs w:val="44"/>
        </w:rPr>
      </w:pPr>
    </w:p>
    <w:p>
      <w:pPr>
        <w:ind w:firstLine="480"/>
        <w:rPr>
          <w:color w:val="auto"/>
        </w:rPr>
      </w:pPr>
    </w:p>
    <w:p>
      <w:pPr>
        <w:ind w:firstLine="880"/>
        <w:rPr>
          <w:rFonts w:eastAsia="仿宋"/>
          <w:color w:val="auto"/>
          <w:sz w:val="44"/>
          <w:szCs w:val="44"/>
        </w:rPr>
      </w:pPr>
    </w:p>
    <w:p>
      <w:pPr>
        <w:spacing w:line="288" w:lineRule="auto"/>
        <w:rPr>
          <w:rFonts w:hint="eastAsia" w:ascii="仿宋_GB2312" w:eastAsia="仿宋_GB2312"/>
          <w:color w:val="auto"/>
          <w:sz w:val="36"/>
          <w:szCs w:val="36"/>
          <w:u w:val="single"/>
        </w:rPr>
      </w:pPr>
      <w:r>
        <w:rPr>
          <w:rFonts w:hint="eastAsia" w:ascii="仿宋_GB2312" w:eastAsia="仿宋_GB2312"/>
          <w:color w:val="auto"/>
          <w:sz w:val="36"/>
          <w:szCs w:val="36"/>
        </w:rPr>
        <w:t>项目名称：</w:t>
      </w:r>
      <w:r>
        <w:rPr>
          <w:rFonts w:ascii="仿宋_GB2312" w:eastAsia="仿宋_GB2312"/>
          <w:color w:val="auto"/>
          <w:sz w:val="36"/>
          <w:szCs w:val="36"/>
          <w:u w:val="single"/>
        </w:rPr>
        <w:t xml:space="preserve">    </w:t>
      </w:r>
      <w:r>
        <w:rPr>
          <w:rFonts w:hint="eastAsia" w:ascii="仿宋_GB2312" w:eastAsia="仿宋_GB2312"/>
          <w:color w:val="auto"/>
          <w:sz w:val="36"/>
          <w:szCs w:val="36"/>
          <w:u w:val="single"/>
          <w:lang w:eastAsia="zh-CN"/>
        </w:rPr>
        <w:t>乐山市市中区派美动物医院</w:t>
      </w:r>
      <w:r>
        <w:rPr>
          <w:rFonts w:hint="eastAsia" w:ascii="仿宋_GB2312" w:eastAsia="仿宋_GB2312"/>
          <w:color w:val="auto"/>
          <w:sz w:val="36"/>
          <w:szCs w:val="36"/>
          <w:u w:val="single"/>
        </w:rPr>
        <w:t xml:space="preserve">    </w:t>
      </w:r>
    </w:p>
    <w:p>
      <w:pPr>
        <w:spacing w:line="288" w:lineRule="auto"/>
        <w:rPr>
          <w:rFonts w:ascii="仿宋_GB2312" w:eastAsia="仿宋_GB2312"/>
          <w:color w:val="auto"/>
          <w:sz w:val="36"/>
          <w:szCs w:val="36"/>
          <w:u w:val="single"/>
        </w:rPr>
      </w:pPr>
      <w:r>
        <w:rPr>
          <w:rFonts w:hint="eastAsia" w:ascii="仿宋_GB2312" w:eastAsia="仿宋_GB2312"/>
          <w:color w:val="auto"/>
          <w:sz w:val="36"/>
          <w:szCs w:val="36"/>
        </w:rPr>
        <w:t>建设单位（盖章）：</w:t>
      </w:r>
      <w:r>
        <w:rPr>
          <w:rFonts w:hint="eastAsia" w:ascii="仿宋_GB2312" w:eastAsia="仿宋_GB2312"/>
          <w:color w:val="auto"/>
          <w:sz w:val="36"/>
          <w:szCs w:val="36"/>
          <w:u w:val="single"/>
        </w:rPr>
        <w:t>乐山市市中区派美动物医院</w:t>
      </w:r>
    </w:p>
    <w:p>
      <w:pPr>
        <w:spacing w:line="288" w:lineRule="auto"/>
        <w:rPr>
          <w:rFonts w:hint="eastAsia" w:ascii="仿宋_GB2312" w:eastAsia="仿宋_GB2312"/>
          <w:color w:val="auto"/>
          <w:sz w:val="36"/>
          <w:szCs w:val="36"/>
          <w:u w:val="single"/>
          <w:lang w:val="en-US" w:eastAsia="zh-CN"/>
        </w:rPr>
      </w:pPr>
      <w:r>
        <w:rPr>
          <w:rFonts w:hint="eastAsia" w:ascii="仿宋_GB2312" w:eastAsia="仿宋_GB2312"/>
          <w:color w:val="auto"/>
          <w:sz w:val="36"/>
          <w:szCs w:val="36"/>
        </w:rPr>
        <w:t>编制日期：</w:t>
      </w:r>
      <w:r>
        <w:rPr>
          <w:rFonts w:hint="eastAsia" w:ascii="仿宋_GB2312" w:eastAsia="仿宋_GB2312"/>
          <w:color w:val="auto"/>
          <w:sz w:val="36"/>
          <w:szCs w:val="36"/>
          <w:u w:val="single"/>
        </w:rPr>
        <w:t xml:space="preserve"> </w:t>
      </w:r>
      <w:r>
        <w:rPr>
          <w:rFonts w:ascii="仿宋_GB2312" w:eastAsia="仿宋_GB2312"/>
          <w:color w:val="auto"/>
          <w:sz w:val="36"/>
          <w:szCs w:val="36"/>
          <w:u w:val="single"/>
        </w:rPr>
        <w:t xml:space="preserve">  </w:t>
      </w:r>
      <w:r>
        <w:rPr>
          <w:rFonts w:hint="eastAsia" w:ascii="仿宋_GB2312" w:eastAsia="仿宋_GB2312"/>
          <w:color w:val="auto"/>
          <w:sz w:val="36"/>
          <w:szCs w:val="36"/>
          <w:u w:val="single"/>
        </w:rPr>
        <w:t xml:space="preserve">2022年6月         </w:t>
      </w:r>
      <w:r>
        <w:rPr>
          <w:rFonts w:ascii="仿宋_GB2312" w:eastAsia="仿宋_GB2312"/>
          <w:color w:val="auto"/>
          <w:sz w:val="36"/>
          <w:szCs w:val="36"/>
          <w:u w:val="single"/>
        </w:rPr>
        <w:t xml:space="preserve">         </w:t>
      </w:r>
      <w:r>
        <w:rPr>
          <w:rFonts w:hint="eastAsia" w:ascii="仿宋_GB2312" w:eastAsia="仿宋_GB2312"/>
          <w:color w:val="auto"/>
          <w:sz w:val="36"/>
          <w:szCs w:val="36"/>
          <w:u w:val="single"/>
          <w:lang w:val="en-US" w:eastAsia="zh-CN"/>
        </w:rPr>
        <w:t xml:space="preserve"> </w:t>
      </w:r>
    </w:p>
    <w:p>
      <w:pPr>
        <w:spacing w:line="288" w:lineRule="auto"/>
        <w:rPr>
          <w:rFonts w:ascii="仿宋_GB2312" w:eastAsia="仿宋_GB2312"/>
          <w:color w:val="auto"/>
          <w:sz w:val="36"/>
          <w:szCs w:val="36"/>
          <w:u w:val="single"/>
        </w:rPr>
      </w:pPr>
    </w:p>
    <w:p>
      <w:pPr>
        <w:spacing w:line="288" w:lineRule="auto"/>
        <w:rPr>
          <w:rFonts w:ascii="仿宋_GB2312" w:eastAsia="仿宋_GB2312"/>
          <w:color w:val="auto"/>
          <w:sz w:val="36"/>
          <w:szCs w:val="36"/>
        </w:rPr>
      </w:pPr>
    </w:p>
    <w:p>
      <w:pPr>
        <w:spacing w:line="288" w:lineRule="auto"/>
        <w:rPr>
          <w:rFonts w:ascii="仿宋_GB2312" w:eastAsia="仿宋_GB2312"/>
          <w:color w:val="auto"/>
          <w:sz w:val="36"/>
          <w:szCs w:val="36"/>
        </w:rPr>
      </w:pPr>
    </w:p>
    <w:p>
      <w:pPr>
        <w:spacing w:line="288" w:lineRule="auto"/>
        <w:rPr>
          <w:rFonts w:hint="eastAsia" w:ascii="仿宋_GB2312" w:eastAsia="仿宋_GB2312"/>
          <w:color w:val="auto"/>
          <w:sz w:val="36"/>
          <w:szCs w:val="36"/>
        </w:rPr>
      </w:pPr>
    </w:p>
    <w:p>
      <w:pPr>
        <w:tabs>
          <w:tab w:val="left" w:pos="5979"/>
        </w:tabs>
        <w:spacing w:line="288" w:lineRule="auto"/>
        <w:rPr>
          <w:rFonts w:hint="eastAsia" w:ascii="仿宋_GB2312" w:eastAsia="仿宋_GB2312"/>
          <w:color w:val="auto"/>
          <w:sz w:val="36"/>
          <w:szCs w:val="36"/>
        </w:rPr>
      </w:pPr>
      <w:r>
        <w:rPr>
          <w:rFonts w:hint="eastAsia" w:ascii="仿宋_GB2312" w:eastAsia="仿宋_GB2312"/>
          <w:color w:val="auto"/>
          <w:sz w:val="36"/>
          <w:szCs w:val="36"/>
        </w:rPr>
        <w:tab/>
      </w:r>
    </w:p>
    <w:p>
      <w:pPr>
        <w:spacing w:line="288" w:lineRule="auto"/>
        <w:ind w:firstLine="0" w:firstLineChars="0"/>
        <w:jc w:val="center"/>
        <w:rPr>
          <w:rFonts w:hint="eastAsia" w:ascii="楷体_GB2312" w:eastAsia="楷体_GB2312"/>
          <w:color w:val="auto"/>
          <w:sz w:val="36"/>
          <w:szCs w:val="36"/>
        </w:rPr>
        <w:sectPr>
          <w:headerReference r:id="rId32" w:type="first"/>
          <w:footerReference r:id="rId35" w:type="first"/>
          <w:headerReference r:id="rId30" w:type="default"/>
          <w:footerReference r:id="rId33" w:type="default"/>
          <w:headerReference r:id="rId31" w:type="even"/>
          <w:footerReference r:id="rId34" w:type="even"/>
          <w:pgSz w:w="11906" w:h="16838"/>
          <w:pgMar w:top="1701" w:right="1531" w:bottom="1701" w:left="1531" w:header="851" w:footer="1077" w:gutter="0"/>
          <w:pgNumType w:start="3"/>
          <w:cols w:space="720" w:num="1"/>
          <w:docGrid w:linePitch="312" w:charSpace="0"/>
        </w:sectPr>
      </w:pPr>
      <w:r>
        <w:rPr>
          <w:rFonts w:hint="eastAsia" w:ascii="楷体_GB2312" w:eastAsia="楷体_GB2312"/>
          <w:color w:val="auto"/>
          <w:sz w:val="36"/>
          <w:szCs w:val="36"/>
        </w:rPr>
        <w:t>中华人民共和国生态环境部制</w:t>
      </w:r>
    </w:p>
    <w:p>
      <w:pPr>
        <w:spacing w:line="240" w:lineRule="auto"/>
        <w:ind w:firstLine="0" w:firstLineChars="0"/>
        <w:jc w:val="center"/>
        <w:rPr>
          <w:color w:val="auto"/>
          <w:sz w:val="30"/>
          <w:szCs w:val="30"/>
        </w:rPr>
      </w:pPr>
      <w:r>
        <w:rPr>
          <w:rFonts w:ascii="宋体" w:hAnsi="宋体"/>
          <w:color w:val="auto"/>
          <w:sz w:val="30"/>
          <w:szCs w:val="30"/>
        </w:rPr>
        <w:t>目录</w:t>
      </w:r>
    </w:p>
    <w:p>
      <w:pPr>
        <w:pStyle w:val="25"/>
        <w:tabs>
          <w:tab w:val="right" w:leader="dot" w:pos="8844"/>
        </w:tabs>
        <w:rPr>
          <w:color w:val="auto"/>
        </w:rPr>
      </w:pPr>
      <w:r>
        <w:rPr>
          <w:rFonts w:hint="eastAsia" w:cs="宋体"/>
          <w:color w:val="auto"/>
          <w:szCs w:val="30"/>
        </w:rPr>
        <w:fldChar w:fldCharType="begin"/>
      </w:r>
      <w:r>
        <w:rPr>
          <w:rFonts w:hint="eastAsia" w:cs="宋体"/>
          <w:color w:val="auto"/>
          <w:szCs w:val="30"/>
        </w:rPr>
        <w:instrText xml:space="preserve">TOC \o "1-2" \h \u </w:instrText>
      </w:r>
      <w:r>
        <w:rPr>
          <w:rFonts w:hint="eastAsia" w:cs="宋体"/>
          <w:color w:val="auto"/>
          <w:szCs w:val="30"/>
        </w:rPr>
        <w:fldChar w:fldCharType="separate"/>
      </w:r>
      <w:r>
        <w:rPr>
          <w:rFonts w:hint="eastAsia" w:cs="宋体"/>
          <w:color w:val="auto"/>
          <w:szCs w:val="30"/>
        </w:rPr>
        <w:fldChar w:fldCharType="begin"/>
      </w:r>
      <w:r>
        <w:rPr>
          <w:rFonts w:hint="eastAsia" w:cs="宋体"/>
          <w:color w:val="auto"/>
          <w:szCs w:val="30"/>
        </w:rPr>
        <w:instrText xml:space="preserve"> HYPERLINK \l _Toc17818 </w:instrText>
      </w:r>
      <w:r>
        <w:rPr>
          <w:rFonts w:hint="eastAsia" w:cs="宋体"/>
          <w:color w:val="auto"/>
          <w:szCs w:val="30"/>
        </w:rPr>
        <w:fldChar w:fldCharType="separate"/>
      </w:r>
      <w:r>
        <w:rPr>
          <w:rFonts w:hint="eastAsia"/>
          <w:color w:val="auto"/>
        </w:rPr>
        <w:t>一、建设项目基本情况</w:t>
      </w:r>
      <w:r>
        <w:rPr>
          <w:color w:val="auto"/>
        </w:rPr>
        <w:tab/>
      </w:r>
      <w:r>
        <w:rPr>
          <w:color w:val="auto"/>
        </w:rPr>
        <w:fldChar w:fldCharType="begin"/>
      </w:r>
      <w:r>
        <w:rPr>
          <w:color w:val="auto"/>
        </w:rPr>
        <w:instrText xml:space="preserve"> PAGEREF _Toc17818 \h </w:instrText>
      </w:r>
      <w:r>
        <w:rPr>
          <w:color w:val="auto"/>
        </w:rPr>
        <w:fldChar w:fldCharType="separate"/>
      </w:r>
      <w:r>
        <w:rPr>
          <w:color w:val="auto"/>
        </w:rPr>
        <w:t>1</w:t>
      </w:r>
      <w:r>
        <w:rPr>
          <w:color w:val="auto"/>
        </w:rPr>
        <w:fldChar w:fldCharType="end"/>
      </w:r>
      <w:r>
        <w:rPr>
          <w:rFonts w:hint="eastAsia" w:cs="宋体"/>
          <w:color w:val="auto"/>
          <w:szCs w:val="30"/>
        </w:rPr>
        <w:fldChar w:fldCharType="end"/>
      </w:r>
    </w:p>
    <w:p>
      <w:pPr>
        <w:pStyle w:val="25"/>
        <w:tabs>
          <w:tab w:val="right" w:leader="dot" w:pos="8844"/>
        </w:tabs>
        <w:rPr>
          <w:color w:val="auto"/>
        </w:rPr>
      </w:pPr>
      <w:r>
        <w:rPr>
          <w:rFonts w:hint="eastAsia" w:cs="宋体"/>
          <w:color w:val="auto"/>
          <w:szCs w:val="30"/>
        </w:rPr>
        <w:fldChar w:fldCharType="begin"/>
      </w:r>
      <w:r>
        <w:rPr>
          <w:rFonts w:hint="eastAsia" w:cs="宋体"/>
          <w:color w:val="auto"/>
          <w:szCs w:val="30"/>
        </w:rPr>
        <w:instrText xml:space="preserve"> HYPERLINK \l _Toc5706 </w:instrText>
      </w:r>
      <w:r>
        <w:rPr>
          <w:rFonts w:hint="eastAsia" w:cs="宋体"/>
          <w:color w:val="auto"/>
          <w:szCs w:val="30"/>
        </w:rPr>
        <w:fldChar w:fldCharType="separate"/>
      </w:r>
      <w:r>
        <w:rPr>
          <w:rFonts w:hint="eastAsia"/>
          <w:color w:val="auto"/>
        </w:rPr>
        <w:t>二、建设项目工程分析</w:t>
      </w:r>
      <w:r>
        <w:rPr>
          <w:color w:val="auto"/>
        </w:rPr>
        <w:tab/>
      </w:r>
      <w:r>
        <w:rPr>
          <w:color w:val="auto"/>
        </w:rPr>
        <w:fldChar w:fldCharType="begin"/>
      </w:r>
      <w:r>
        <w:rPr>
          <w:color w:val="auto"/>
        </w:rPr>
        <w:instrText xml:space="preserve"> PAGEREF _Toc5706 \h </w:instrText>
      </w:r>
      <w:r>
        <w:rPr>
          <w:color w:val="auto"/>
        </w:rPr>
        <w:fldChar w:fldCharType="separate"/>
      </w:r>
      <w:r>
        <w:rPr>
          <w:color w:val="auto"/>
        </w:rPr>
        <w:t>12</w:t>
      </w:r>
      <w:r>
        <w:rPr>
          <w:color w:val="auto"/>
        </w:rPr>
        <w:fldChar w:fldCharType="end"/>
      </w:r>
      <w:r>
        <w:rPr>
          <w:rFonts w:hint="eastAsia" w:cs="宋体"/>
          <w:color w:val="auto"/>
          <w:szCs w:val="30"/>
        </w:rPr>
        <w:fldChar w:fldCharType="end"/>
      </w:r>
    </w:p>
    <w:p>
      <w:pPr>
        <w:pStyle w:val="25"/>
        <w:tabs>
          <w:tab w:val="right" w:leader="dot" w:pos="8844"/>
        </w:tabs>
        <w:rPr>
          <w:color w:val="auto"/>
        </w:rPr>
      </w:pPr>
      <w:r>
        <w:rPr>
          <w:rFonts w:hint="eastAsia" w:cs="宋体"/>
          <w:color w:val="auto"/>
          <w:szCs w:val="30"/>
        </w:rPr>
        <w:fldChar w:fldCharType="begin"/>
      </w:r>
      <w:r>
        <w:rPr>
          <w:rFonts w:hint="eastAsia" w:cs="宋体"/>
          <w:color w:val="auto"/>
          <w:szCs w:val="30"/>
        </w:rPr>
        <w:instrText xml:space="preserve"> HYPERLINK \l _Toc7025 </w:instrText>
      </w:r>
      <w:r>
        <w:rPr>
          <w:rFonts w:hint="eastAsia" w:cs="宋体"/>
          <w:color w:val="auto"/>
          <w:szCs w:val="30"/>
        </w:rPr>
        <w:fldChar w:fldCharType="separate"/>
      </w:r>
      <w:r>
        <w:rPr>
          <w:rFonts w:hint="eastAsia"/>
          <w:color w:val="auto"/>
        </w:rPr>
        <w:t>三、区域环境质量现状、环境保护目标及评价标准</w:t>
      </w:r>
      <w:r>
        <w:rPr>
          <w:color w:val="auto"/>
        </w:rPr>
        <w:tab/>
      </w:r>
      <w:r>
        <w:rPr>
          <w:color w:val="auto"/>
        </w:rPr>
        <w:fldChar w:fldCharType="begin"/>
      </w:r>
      <w:r>
        <w:rPr>
          <w:color w:val="auto"/>
        </w:rPr>
        <w:instrText xml:space="preserve"> PAGEREF _Toc7025 \h </w:instrText>
      </w:r>
      <w:r>
        <w:rPr>
          <w:color w:val="auto"/>
        </w:rPr>
        <w:fldChar w:fldCharType="separate"/>
      </w:r>
      <w:r>
        <w:rPr>
          <w:color w:val="auto"/>
        </w:rPr>
        <w:t>23</w:t>
      </w:r>
      <w:r>
        <w:rPr>
          <w:color w:val="auto"/>
        </w:rPr>
        <w:fldChar w:fldCharType="end"/>
      </w:r>
      <w:r>
        <w:rPr>
          <w:rFonts w:hint="eastAsia" w:cs="宋体"/>
          <w:color w:val="auto"/>
          <w:szCs w:val="30"/>
        </w:rPr>
        <w:fldChar w:fldCharType="end"/>
      </w:r>
    </w:p>
    <w:p>
      <w:pPr>
        <w:pStyle w:val="25"/>
        <w:tabs>
          <w:tab w:val="right" w:leader="dot" w:pos="8844"/>
        </w:tabs>
        <w:rPr>
          <w:color w:val="auto"/>
        </w:rPr>
      </w:pPr>
      <w:r>
        <w:rPr>
          <w:rFonts w:hint="eastAsia" w:cs="宋体"/>
          <w:color w:val="auto"/>
          <w:szCs w:val="30"/>
        </w:rPr>
        <w:fldChar w:fldCharType="begin"/>
      </w:r>
      <w:r>
        <w:rPr>
          <w:rFonts w:hint="eastAsia" w:cs="宋体"/>
          <w:color w:val="auto"/>
          <w:szCs w:val="30"/>
        </w:rPr>
        <w:instrText xml:space="preserve"> HYPERLINK \l _Toc32332 </w:instrText>
      </w:r>
      <w:r>
        <w:rPr>
          <w:rFonts w:hint="eastAsia" w:cs="宋体"/>
          <w:color w:val="auto"/>
          <w:szCs w:val="30"/>
        </w:rPr>
        <w:fldChar w:fldCharType="separate"/>
      </w:r>
      <w:r>
        <w:rPr>
          <w:rFonts w:hint="eastAsia"/>
          <w:color w:val="auto"/>
        </w:rPr>
        <w:t>四、主要环境影响和保护措施</w:t>
      </w:r>
      <w:r>
        <w:rPr>
          <w:color w:val="auto"/>
        </w:rPr>
        <w:tab/>
      </w:r>
      <w:r>
        <w:rPr>
          <w:color w:val="auto"/>
        </w:rPr>
        <w:fldChar w:fldCharType="begin"/>
      </w:r>
      <w:r>
        <w:rPr>
          <w:color w:val="auto"/>
        </w:rPr>
        <w:instrText xml:space="preserve"> PAGEREF _Toc32332 \h </w:instrText>
      </w:r>
      <w:r>
        <w:rPr>
          <w:color w:val="auto"/>
        </w:rPr>
        <w:fldChar w:fldCharType="separate"/>
      </w:r>
      <w:r>
        <w:rPr>
          <w:color w:val="auto"/>
        </w:rPr>
        <w:t>29</w:t>
      </w:r>
      <w:r>
        <w:rPr>
          <w:color w:val="auto"/>
        </w:rPr>
        <w:fldChar w:fldCharType="end"/>
      </w:r>
      <w:r>
        <w:rPr>
          <w:rFonts w:hint="eastAsia" w:cs="宋体"/>
          <w:color w:val="auto"/>
          <w:szCs w:val="30"/>
        </w:rPr>
        <w:fldChar w:fldCharType="end"/>
      </w:r>
    </w:p>
    <w:p>
      <w:pPr>
        <w:pStyle w:val="25"/>
        <w:tabs>
          <w:tab w:val="right" w:leader="dot" w:pos="8844"/>
        </w:tabs>
        <w:rPr>
          <w:color w:val="auto"/>
        </w:rPr>
      </w:pPr>
      <w:r>
        <w:rPr>
          <w:rFonts w:hint="eastAsia" w:cs="宋体"/>
          <w:color w:val="auto"/>
          <w:szCs w:val="30"/>
        </w:rPr>
        <w:fldChar w:fldCharType="begin"/>
      </w:r>
      <w:r>
        <w:rPr>
          <w:rFonts w:hint="eastAsia" w:cs="宋体"/>
          <w:color w:val="auto"/>
          <w:szCs w:val="30"/>
        </w:rPr>
        <w:instrText xml:space="preserve"> HYPERLINK \l _Toc14072 </w:instrText>
      </w:r>
      <w:r>
        <w:rPr>
          <w:rFonts w:hint="eastAsia" w:cs="宋体"/>
          <w:color w:val="auto"/>
          <w:szCs w:val="30"/>
        </w:rPr>
        <w:fldChar w:fldCharType="separate"/>
      </w:r>
      <w:r>
        <w:rPr>
          <w:rFonts w:hint="eastAsia"/>
          <w:color w:val="auto"/>
        </w:rPr>
        <w:t>五、环境保护措施监督检查清单</w:t>
      </w:r>
      <w:r>
        <w:rPr>
          <w:color w:val="auto"/>
        </w:rPr>
        <w:tab/>
      </w:r>
      <w:r>
        <w:rPr>
          <w:color w:val="auto"/>
        </w:rPr>
        <w:fldChar w:fldCharType="begin"/>
      </w:r>
      <w:r>
        <w:rPr>
          <w:color w:val="auto"/>
        </w:rPr>
        <w:instrText xml:space="preserve"> PAGEREF _Toc14072 \h </w:instrText>
      </w:r>
      <w:r>
        <w:rPr>
          <w:color w:val="auto"/>
        </w:rPr>
        <w:fldChar w:fldCharType="separate"/>
      </w:r>
      <w:r>
        <w:rPr>
          <w:color w:val="auto"/>
        </w:rPr>
        <w:t>52</w:t>
      </w:r>
      <w:r>
        <w:rPr>
          <w:color w:val="auto"/>
        </w:rPr>
        <w:fldChar w:fldCharType="end"/>
      </w:r>
      <w:r>
        <w:rPr>
          <w:rFonts w:hint="eastAsia" w:cs="宋体"/>
          <w:color w:val="auto"/>
          <w:szCs w:val="30"/>
        </w:rPr>
        <w:fldChar w:fldCharType="end"/>
      </w:r>
    </w:p>
    <w:p>
      <w:pPr>
        <w:pStyle w:val="25"/>
        <w:tabs>
          <w:tab w:val="right" w:leader="dot" w:pos="8844"/>
        </w:tabs>
        <w:rPr>
          <w:color w:val="auto"/>
        </w:rPr>
      </w:pPr>
      <w:r>
        <w:rPr>
          <w:rFonts w:hint="eastAsia" w:cs="宋体"/>
          <w:color w:val="auto"/>
          <w:szCs w:val="30"/>
        </w:rPr>
        <w:fldChar w:fldCharType="begin"/>
      </w:r>
      <w:r>
        <w:rPr>
          <w:rFonts w:hint="eastAsia" w:cs="宋体"/>
          <w:color w:val="auto"/>
          <w:szCs w:val="30"/>
        </w:rPr>
        <w:instrText xml:space="preserve"> HYPERLINK \l _Toc167 </w:instrText>
      </w:r>
      <w:r>
        <w:rPr>
          <w:rFonts w:hint="eastAsia" w:cs="宋体"/>
          <w:color w:val="auto"/>
          <w:szCs w:val="30"/>
        </w:rPr>
        <w:fldChar w:fldCharType="separate"/>
      </w:r>
      <w:r>
        <w:rPr>
          <w:rFonts w:hint="eastAsia"/>
          <w:snapToGrid w:val="0"/>
          <w:color w:val="auto"/>
          <w:szCs w:val="30"/>
        </w:rPr>
        <w:t>六、结论</w:t>
      </w:r>
      <w:r>
        <w:rPr>
          <w:color w:val="auto"/>
        </w:rPr>
        <w:tab/>
      </w:r>
      <w:r>
        <w:rPr>
          <w:color w:val="auto"/>
        </w:rPr>
        <w:fldChar w:fldCharType="begin"/>
      </w:r>
      <w:r>
        <w:rPr>
          <w:color w:val="auto"/>
        </w:rPr>
        <w:instrText xml:space="preserve"> PAGEREF _Toc167 \h </w:instrText>
      </w:r>
      <w:r>
        <w:rPr>
          <w:color w:val="auto"/>
        </w:rPr>
        <w:fldChar w:fldCharType="separate"/>
      </w:r>
      <w:r>
        <w:rPr>
          <w:color w:val="auto"/>
        </w:rPr>
        <w:t>54</w:t>
      </w:r>
      <w:r>
        <w:rPr>
          <w:color w:val="auto"/>
        </w:rPr>
        <w:fldChar w:fldCharType="end"/>
      </w:r>
      <w:r>
        <w:rPr>
          <w:rFonts w:hint="eastAsia" w:cs="宋体"/>
          <w:color w:val="auto"/>
          <w:szCs w:val="30"/>
        </w:rPr>
        <w:fldChar w:fldCharType="end"/>
      </w:r>
    </w:p>
    <w:p>
      <w:pPr>
        <w:pStyle w:val="25"/>
        <w:tabs>
          <w:tab w:val="right" w:leader="dot" w:pos="8844"/>
        </w:tabs>
        <w:rPr>
          <w:color w:val="auto"/>
        </w:rPr>
      </w:pPr>
      <w:r>
        <w:rPr>
          <w:rFonts w:hint="eastAsia" w:cs="宋体"/>
          <w:color w:val="auto"/>
          <w:szCs w:val="30"/>
        </w:rPr>
        <w:fldChar w:fldCharType="begin"/>
      </w:r>
      <w:r>
        <w:rPr>
          <w:rFonts w:hint="eastAsia" w:cs="宋体"/>
          <w:color w:val="auto"/>
          <w:szCs w:val="30"/>
        </w:rPr>
        <w:instrText xml:space="preserve"> HYPERLINK \l _Toc16947 </w:instrText>
      </w:r>
      <w:r>
        <w:rPr>
          <w:rFonts w:hint="eastAsia" w:cs="宋体"/>
          <w:color w:val="auto"/>
          <w:szCs w:val="30"/>
        </w:rPr>
        <w:fldChar w:fldCharType="separate"/>
      </w:r>
      <w:r>
        <w:rPr>
          <w:rFonts w:hint="eastAsia"/>
          <w:snapToGrid w:val="0"/>
          <w:color w:val="auto"/>
          <w:szCs w:val="32"/>
        </w:rPr>
        <w:t>附表</w:t>
      </w:r>
      <w:r>
        <w:rPr>
          <w:color w:val="auto"/>
        </w:rPr>
        <w:tab/>
      </w:r>
      <w:r>
        <w:rPr>
          <w:color w:val="auto"/>
        </w:rPr>
        <w:fldChar w:fldCharType="begin"/>
      </w:r>
      <w:r>
        <w:rPr>
          <w:color w:val="auto"/>
        </w:rPr>
        <w:instrText xml:space="preserve"> PAGEREF _Toc16947 \h </w:instrText>
      </w:r>
      <w:r>
        <w:rPr>
          <w:color w:val="auto"/>
        </w:rPr>
        <w:fldChar w:fldCharType="separate"/>
      </w:r>
      <w:r>
        <w:rPr>
          <w:color w:val="auto"/>
        </w:rPr>
        <w:t>55</w:t>
      </w:r>
      <w:r>
        <w:rPr>
          <w:color w:val="auto"/>
        </w:rPr>
        <w:fldChar w:fldCharType="end"/>
      </w:r>
      <w:r>
        <w:rPr>
          <w:rFonts w:hint="eastAsia" w:cs="宋体"/>
          <w:color w:val="auto"/>
          <w:szCs w:val="30"/>
        </w:rPr>
        <w:fldChar w:fldCharType="end"/>
      </w:r>
    </w:p>
    <w:p>
      <w:pPr>
        <w:ind w:firstLine="480"/>
        <w:rPr>
          <w:color w:val="auto"/>
        </w:rPr>
      </w:pPr>
    </w:p>
    <w:p>
      <w:pPr>
        <w:pStyle w:val="17"/>
        <w:ind w:left="1680" w:right="1680" w:firstLine="480"/>
        <w:rPr>
          <w:color w:val="auto"/>
        </w:rPr>
      </w:pPr>
    </w:p>
    <w:p>
      <w:pPr>
        <w:pStyle w:val="17"/>
        <w:ind w:left="1680" w:right="1680" w:firstLine="480"/>
        <w:rPr>
          <w:rFonts w:hint="eastAsia"/>
          <w:color w:val="auto"/>
        </w:rPr>
      </w:pPr>
    </w:p>
    <w:p>
      <w:pPr>
        <w:ind w:firstLine="600"/>
        <w:rPr>
          <w:rFonts w:hint="eastAsia"/>
          <w:color w:val="auto"/>
        </w:rPr>
        <w:sectPr>
          <w:headerReference r:id="rId36" w:type="default"/>
          <w:pgSz w:w="11906" w:h="16838"/>
          <w:pgMar w:top="1701" w:right="1531" w:bottom="1701" w:left="1531" w:header="851" w:footer="1077" w:gutter="0"/>
          <w:pgNumType w:start="3"/>
          <w:cols w:space="720" w:num="1"/>
          <w:docGrid w:linePitch="312" w:charSpace="0"/>
        </w:sectPr>
      </w:pPr>
      <w:r>
        <w:rPr>
          <w:rFonts w:hint="eastAsia" w:cs="宋体"/>
          <w:color w:val="auto"/>
          <w:sz w:val="30"/>
          <w:szCs w:val="30"/>
        </w:rPr>
        <w:fldChar w:fldCharType="end"/>
      </w:r>
    </w:p>
    <w:p>
      <w:pPr>
        <w:pStyle w:val="104"/>
        <w:ind w:firstLine="482"/>
        <w:rPr>
          <w:rFonts w:hint="eastAsia"/>
          <w:b/>
          <w:bCs/>
          <w:color w:val="auto"/>
        </w:rPr>
      </w:pPr>
      <w:r>
        <w:rPr>
          <w:rFonts w:hint="eastAsia"/>
          <w:b/>
          <w:bCs/>
          <w:color w:val="auto"/>
        </w:rPr>
        <w:t>附图：</w:t>
      </w:r>
    </w:p>
    <w:p>
      <w:pPr>
        <w:pStyle w:val="104"/>
        <w:numPr>
          <w:ilvl w:val="0"/>
          <w:numId w:val="5"/>
        </w:numPr>
        <w:ind w:firstLine="480"/>
        <w:rPr>
          <w:rFonts w:hint="eastAsia"/>
          <w:color w:val="auto"/>
        </w:rPr>
      </w:pPr>
      <w:r>
        <w:rPr>
          <w:rFonts w:hint="eastAsia"/>
          <w:color w:val="auto"/>
        </w:rPr>
        <w:t>项目地理位置图</w:t>
      </w:r>
    </w:p>
    <w:p>
      <w:pPr>
        <w:pStyle w:val="104"/>
        <w:numPr>
          <w:ilvl w:val="0"/>
          <w:numId w:val="5"/>
        </w:numPr>
        <w:ind w:firstLine="480"/>
        <w:rPr>
          <w:color w:val="auto"/>
        </w:rPr>
      </w:pPr>
      <w:r>
        <w:rPr>
          <w:rFonts w:hint="eastAsia"/>
          <w:color w:val="auto"/>
        </w:rPr>
        <w:t>乐山市城市总体规划图</w:t>
      </w:r>
    </w:p>
    <w:p>
      <w:pPr>
        <w:pStyle w:val="104"/>
        <w:numPr>
          <w:ilvl w:val="0"/>
          <w:numId w:val="5"/>
        </w:numPr>
        <w:ind w:firstLine="480"/>
        <w:rPr>
          <w:color w:val="auto"/>
        </w:rPr>
      </w:pPr>
      <w:r>
        <w:rPr>
          <w:rFonts w:hint="eastAsia"/>
          <w:color w:val="auto"/>
        </w:rPr>
        <w:t>项目外环境关系示意图</w:t>
      </w:r>
    </w:p>
    <w:p>
      <w:pPr>
        <w:pStyle w:val="104"/>
        <w:ind w:firstLine="480"/>
        <w:rPr>
          <w:rFonts w:hint="eastAsia"/>
          <w:color w:val="auto"/>
        </w:rPr>
      </w:pPr>
      <w:r>
        <w:rPr>
          <w:rFonts w:hint="eastAsia"/>
          <w:color w:val="auto"/>
        </w:rPr>
        <w:t>4、项目平面布置示意图</w:t>
      </w:r>
    </w:p>
    <w:p>
      <w:pPr>
        <w:pStyle w:val="104"/>
        <w:ind w:firstLine="480"/>
        <w:rPr>
          <w:rFonts w:hint="eastAsia"/>
          <w:color w:val="auto"/>
        </w:rPr>
      </w:pPr>
      <w:r>
        <w:rPr>
          <w:rFonts w:hint="eastAsia"/>
          <w:color w:val="auto"/>
        </w:rPr>
        <w:t>5、项目与所在区域环境管控单元的位置关系图</w:t>
      </w:r>
    </w:p>
    <w:p>
      <w:pPr>
        <w:pStyle w:val="104"/>
        <w:ind w:firstLine="480"/>
        <w:rPr>
          <w:rFonts w:hint="eastAsia"/>
          <w:color w:val="auto"/>
        </w:rPr>
      </w:pPr>
      <w:r>
        <w:rPr>
          <w:rFonts w:hint="eastAsia"/>
          <w:color w:val="auto"/>
        </w:rPr>
        <w:t>6、本项目所在生态保护红线位置示意图</w:t>
      </w:r>
    </w:p>
    <w:p>
      <w:pPr>
        <w:widowControl/>
        <w:ind w:firstLine="480"/>
        <w:jc w:val="left"/>
        <w:rPr>
          <w:color w:val="auto"/>
        </w:rPr>
      </w:pPr>
      <w:r>
        <w:rPr>
          <w:rFonts w:hint="eastAsia"/>
          <w:color w:val="auto"/>
        </w:rPr>
        <w:t>7、项目</w:t>
      </w:r>
      <w:r>
        <w:rPr>
          <w:rFonts w:hint="eastAsia" w:ascii="宋体" w:hAnsi="宋体" w:cs="宋体"/>
          <w:color w:val="auto"/>
          <w:kern w:val="0"/>
          <w:lang w:bidi="ar"/>
        </w:rPr>
        <w:t>峨眉山-乐山风景区乐山大佛片区规划位置关系示意图</w:t>
      </w:r>
    </w:p>
    <w:p>
      <w:pPr>
        <w:pStyle w:val="104"/>
        <w:ind w:firstLine="480"/>
        <w:rPr>
          <w:rFonts w:hint="eastAsia"/>
          <w:color w:val="auto"/>
        </w:rPr>
      </w:pPr>
      <w:r>
        <w:rPr>
          <w:rFonts w:hint="eastAsia"/>
          <w:color w:val="auto"/>
        </w:rPr>
        <w:t>8、</w:t>
      </w:r>
      <w:r>
        <w:rPr>
          <w:color w:val="auto"/>
        </w:rPr>
        <w:t>区域污水</w:t>
      </w:r>
      <w:r>
        <w:rPr>
          <w:rFonts w:hint="eastAsia"/>
          <w:color w:val="auto"/>
        </w:rPr>
        <w:t>管网</w:t>
      </w:r>
      <w:r>
        <w:rPr>
          <w:color w:val="auto"/>
        </w:rPr>
        <w:t>分布图</w:t>
      </w:r>
    </w:p>
    <w:p>
      <w:pPr>
        <w:pStyle w:val="104"/>
        <w:ind w:firstLine="480"/>
        <w:rPr>
          <w:rFonts w:hint="eastAsia"/>
          <w:color w:val="auto"/>
        </w:rPr>
      </w:pPr>
      <w:r>
        <w:rPr>
          <w:rFonts w:hint="eastAsia"/>
          <w:color w:val="auto"/>
        </w:rPr>
        <w:t>9、现场照片</w:t>
      </w:r>
    </w:p>
    <w:p>
      <w:pPr>
        <w:pStyle w:val="104"/>
        <w:ind w:firstLine="482"/>
        <w:rPr>
          <w:rFonts w:hint="eastAsia"/>
          <w:b/>
          <w:bCs/>
          <w:color w:val="auto"/>
        </w:rPr>
      </w:pPr>
      <w:r>
        <w:rPr>
          <w:rFonts w:hint="eastAsia"/>
          <w:b/>
          <w:bCs/>
          <w:color w:val="auto"/>
        </w:rPr>
        <w:t>附件：</w:t>
      </w:r>
    </w:p>
    <w:p>
      <w:pPr>
        <w:pStyle w:val="104"/>
        <w:numPr>
          <w:ilvl w:val="0"/>
          <w:numId w:val="6"/>
        </w:numPr>
        <w:ind w:firstLine="480"/>
        <w:rPr>
          <w:rFonts w:hint="eastAsia"/>
          <w:color w:val="auto"/>
        </w:rPr>
      </w:pPr>
      <w:r>
        <w:rPr>
          <w:rFonts w:hint="eastAsia"/>
          <w:color w:val="auto"/>
        </w:rPr>
        <w:t>项目委托书</w:t>
      </w:r>
    </w:p>
    <w:p>
      <w:pPr>
        <w:pStyle w:val="104"/>
        <w:numPr>
          <w:ilvl w:val="0"/>
          <w:numId w:val="6"/>
        </w:numPr>
        <w:ind w:firstLine="480"/>
        <w:rPr>
          <w:color w:val="auto"/>
        </w:rPr>
      </w:pPr>
      <w:r>
        <w:rPr>
          <w:rFonts w:hint="eastAsia"/>
          <w:color w:val="auto"/>
        </w:rPr>
        <w:t>动物诊疗许可证</w:t>
      </w:r>
    </w:p>
    <w:p>
      <w:pPr>
        <w:pStyle w:val="104"/>
        <w:numPr>
          <w:ilvl w:val="0"/>
          <w:numId w:val="6"/>
        </w:numPr>
        <w:ind w:firstLine="480"/>
        <w:rPr>
          <w:color w:val="auto"/>
        </w:rPr>
      </w:pPr>
      <w:r>
        <w:rPr>
          <w:rFonts w:hint="eastAsia"/>
          <w:color w:val="auto"/>
        </w:rPr>
        <w:t>行政处罚事先告知书</w:t>
      </w:r>
    </w:p>
    <w:p>
      <w:pPr>
        <w:pStyle w:val="104"/>
        <w:numPr>
          <w:ilvl w:val="0"/>
          <w:numId w:val="6"/>
        </w:numPr>
        <w:ind w:firstLine="480"/>
        <w:rPr>
          <w:color w:val="auto"/>
        </w:rPr>
      </w:pPr>
      <w:r>
        <w:rPr>
          <w:rFonts w:hint="eastAsia"/>
          <w:color w:val="auto"/>
        </w:rPr>
        <w:t>行政处罚决定书</w:t>
      </w:r>
    </w:p>
    <w:p>
      <w:pPr>
        <w:pStyle w:val="104"/>
        <w:numPr>
          <w:ilvl w:val="0"/>
          <w:numId w:val="6"/>
        </w:numPr>
        <w:ind w:firstLine="480"/>
        <w:rPr>
          <w:color w:val="auto"/>
        </w:rPr>
      </w:pPr>
      <w:r>
        <w:rPr>
          <w:rFonts w:hint="eastAsia"/>
          <w:color w:val="auto"/>
        </w:rPr>
        <w:t>缴纳罚款回执单</w:t>
      </w:r>
    </w:p>
    <w:p>
      <w:pPr>
        <w:pStyle w:val="104"/>
        <w:numPr>
          <w:ilvl w:val="0"/>
          <w:numId w:val="6"/>
        </w:numPr>
        <w:ind w:firstLine="480"/>
        <w:rPr>
          <w:color w:val="auto"/>
        </w:rPr>
      </w:pPr>
      <w:r>
        <w:rPr>
          <w:rFonts w:hint="eastAsia"/>
          <w:color w:val="auto"/>
        </w:rPr>
        <w:t>房屋租赁协议</w:t>
      </w:r>
    </w:p>
    <w:p>
      <w:pPr>
        <w:pStyle w:val="104"/>
        <w:numPr>
          <w:ilvl w:val="0"/>
          <w:numId w:val="6"/>
        </w:numPr>
        <w:ind w:firstLine="480"/>
        <w:rPr>
          <w:color w:val="auto"/>
        </w:rPr>
      </w:pPr>
      <w:r>
        <w:rPr>
          <w:rFonts w:hint="eastAsia"/>
          <w:color w:val="auto"/>
        </w:rPr>
        <w:t>房产证</w:t>
      </w:r>
    </w:p>
    <w:p>
      <w:pPr>
        <w:pStyle w:val="104"/>
        <w:numPr>
          <w:ilvl w:val="0"/>
          <w:numId w:val="6"/>
        </w:numPr>
        <w:ind w:firstLine="480"/>
        <w:rPr>
          <w:color w:val="auto"/>
        </w:rPr>
      </w:pPr>
      <w:r>
        <w:rPr>
          <w:rFonts w:hint="eastAsia"/>
          <w:color w:val="auto"/>
        </w:rPr>
        <w:t>兽医资格证</w:t>
      </w:r>
    </w:p>
    <w:p>
      <w:pPr>
        <w:pStyle w:val="104"/>
        <w:numPr>
          <w:ilvl w:val="0"/>
          <w:numId w:val="6"/>
        </w:numPr>
        <w:ind w:firstLine="480"/>
        <w:rPr>
          <w:color w:val="auto"/>
        </w:rPr>
      </w:pPr>
      <w:r>
        <w:rPr>
          <w:rFonts w:hint="eastAsia"/>
          <w:color w:val="auto"/>
        </w:rPr>
        <w:t>乐山市市中区派美动物医院用Ⅲ类射线装置应用项目环境影响登记表</w:t>
      </w:r>
    </w:p>
    <w:p>
      <w:pPr>
        <w:pStyle w:val="104"/>
        <w:numPr>
          <w:ilvl w:val="0"/>
          <w:numId w:val="6"/>
        </w:numPr>
        <w:ind w:firstLine="480"/>
        <w:rPr>
          <w:color w:val="auto"/>
        </w:rPr>
      </w:pPr>
      <w:r>
        <w:rPr>
          <w:rFonts w:hint="eastAsia"/>
          <w:color w:val="auto"/>
        </w:rPr>
        <w:t>清蓝（环）检220014乐山市市中区派美动物医院“乐山市市中区派美动物医院”建设项目声环境质量现状监测</w:t>
      </w:r>
    </w:p>
    <w:p>
      <w:pPr>
        <w:pStyle w:val="104"/>
        <w:numPr>
          <w:ilvl w:val="0"/>
          <w:numId w:val="6"/>
        </w:numPr>
        <w:ind w:firstLine="480"/>
        <w:rPr>
          <w:color w:val="auto"/>
        </w:rPr>
      </w:pPr>
      <w:r>
        <w:rPr>
          <w:rFonts w:hint="eastAsia"/>
          <w:color w:val="auto"/>
        </w:rPr>
        <w:t>营业执照</w:t>
      </w:r>
    </w:p>
    <w:p>
      <w:pPr>
        <w:pStyle w:val="104"/>
        <w:numPr>
          <w:ilvl w:val="0"/>
          <w:numId w:val="6"/>
        </w:numPr>
        <w:ind w:firstLine="480"/>
        <w:rPr>
          <w:color w:val="auto"/>
        </w:rPr>
      </w:pPr>
      <w:r>
        <w:rPr>
          <w:rFonts w:hint="eastAsia"/>
          <w:color w:val="auto"/>
        </w:rPr>
        <w:t>法人身份证</w:t>
      </w:r>
    </w:p>
    <w:p>
      <w:pPr>
        <w:pStyle w:val="104"/>
        <w:ind w:firstLine="480"/>
        <w:rPr>
          <w:color w:val="auto"/>
        </w:rPr>
      </w:pPr>
      <w:r>
        <w:rPr>
          <w:rFonts w:hint="eastAsia"/>
          <w:color w:val="auto"/>
        </w:rPr>
        <w:t>13、无害化处置协议</w:t>
      </w:r>
    </w:p>
    <w:p>
      <w:pPr>
        <w:pStyle w:val="2"/>
        <w:ind w:left="960" w:hanging="480"/>
        <w:rPr>
          <w:rFonts w:hint="eastAsia"/>
          <w:color w:val="auto"/>
        </w:rPr>
      </w:pPr>
    </w:p>
    <w:p>
      <w:pPr>
        <w:pStyle w:val="2"/>
        <w:ind w:left="960" w:hanging="480"/>
        <w:rPr>
          <w:color w:val="auto"/>
        </w:rPr>
        <w:sectPr>
          <w:pgSz w:w="11906" w:h="16838"/>
          <w:pgMar w:top="1701" w:right="1531" w:bottom="1701" w:left="1531" w:header="851" w:footer="1077" w:gutter="0"/>
          <w:pgNumType w:start="3"/>
          <w:cols w:space="720" w:num="1"/>
          <w:docGrid w:linePitch="312" w:charSpace="0"/>
        </w:sectPr>
      </w:pPr>
    </w:p>
    <w:p>
      <w:pPr>
        <w:pStyle w:val="3"/>
        <w:rPr>
          <w:rFonts w:hint="eastAsia"/>
          <w:color w:val="auto"/>
        </w:rPr>
      </w:pPr>
      <w:bookmarkStart w:id="93" w:name="_Toc25379"/>
      <w:bookmarkStart w:id="94" w:name="_Toc20042"/>
      <w:bookmarkStart w:id="95" w:name="_Toc32315"/>
      <w:bookmarkStart w:id="96" w:name="_Toc17818"/>
      <w:r>
        <w:rPr>
          <w:rFonts w:hint="eastAsia"/>
          <w:color w:val="auto"/>
        </w:rPr>
        <w:t>一、建设项目基本情况</w:t>
      </w:r>
      <w:bookmarkEnd w:id="93"/>
      <w:bookmarkEnd w:id="94"/>
      <w:bookmarkEnd w:id="95"/>
      <w:bookmarkEnd w:id="96"/>
    </w:p>
    <w:tbl>
      <w:tblPr>
        <w:tblStyle w:val="3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0" w:type="dxa"/>
          <w:bottom w:w="0" w:type="dxa"/>
          <w:right w:w="0" w:type="dxa"/>
        </w:tblCellMar>
      </w:tblPr>
      <w:tblGrid>
        <w:gridCol w:w="433"/>
        <w:gridCol w:w="1281"/>
        <w:gridCol w:w="2338"/>
        <w:gridCol w:w="1900"/>
        <w:gridCol w:w="2918"/>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714" w:type="dxa"/>
            <w:gridSpan w:val="2"/>
            <w:noWrap w:val="0"/>
            <w:tcMar>
              <w:top w:w="16" w:type="dxa"/>
              <w:left w:w="16" w:type="dxa"/>
              <w:right w:w="16" w:type="dxa"/>
            </w:tcMar>
            <w:vAlign w:val="center"/>
          </w:tcPr>
          <w:p>
            <w:pPr>
              <w:ind w:firstLine="0" w:firstLineChars="0"/>
              <w:jc w:val="center"/>
              <w:rPr>
                <w:rFonts w:ascii="宋体" w:hAnsi="宋体" w:cs="宋体"/>
                <w:color w:val="auto"/>
              </w:rPr>
            </w:pPr>
            <w:r>
              <w:rPr>
                <w:rFonts w:hint="eastAsia" w:ascii="宋体" w:hAnsi="宋体" w:cs="宋体"/>
                <w:color w:val="auto"/>
              </w:rPr>
              <w:t>建设项目名称</w:t>
            </w:r>
          </w:p>
        </w:tc>
        <w:tc>
          <w:tcPr>
            <w:tcW w:w="7156" w:type="dxa"/>
            <w:gridSpan w:val="3"/>
            <w:noWrap w:val="0"/>
            <w:vAlign w:val="center"/>
          </w:tcPr>
          <w:p>
            <w:pPr>
              <w:ind w:firstLine="480"/>
              <w:jc w:val="center"/>
              <w:rPr>
                <w:rFonts w:hint="eastAsia" w:ascii="宋体" w:hAnsi="宋体" w:eastAsia="宋体" w:cs="宋体"/>
                <w:color w:val="auto"/>
                <w:lang w:eastAsia="zh-CN"/>
              </w:rPr>
            </w:pPr>
            <w:r>
              <w:rPr>
                <w:rFonts w:hint="eastAsia" w:ascii="宋体" w:hAnsi="宋体" w:cs="宋体"/>
                <w:color w:val="auto"/>
                <w:lang w:eastAsia="zh-CN"/>
              </w:rPr>
              <w:t>乐山市市中区派美动物医院</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714" w:type="dxa"/>
            <w:gridSpan w:val="2"/>
            <w:noWrap w:val="0"/>
            <w:tcMar>
              <w:top w:w="16" w:type="dxa"/>
              <w:left w:w="16" w:type="dxa"/>
              <w:right w:w="16" w:type="dxa"/>
            </w:tcMar>
            <w:vAlign w:val="center"/>
          </w:tcPr>
          <w:p>
            <w:pPr>
              <w:ind w:firstLine="0" w:firstLineChars="0"/>
              <w:jc w:val="center"/>
              <w:rPr>
                <w:rFonts w:ascii="宋体" w:hAnsi="宋体" w:cs="宋体"/>
                <w:color w:val="auto"/>
              </w:rPr>
            </w:pPr>
            <w:r>
              <w:rPr>
                <w:rFonts w:hint="eastAsia" w:ascii="宋体" w:hAnsi="宋体" w:cs="宋体"/>
                <w:color w:val="auto"/>
              </w:rPr>
              <w:t>项目代码</w:t>
            </w:r>
          </w:p>
        </w:tc>
        <w:tc>
          <w:tcPr>
            <w:tcW w:w="7156" w:type="dxa"/>
            <w:gridSpan w:val="3"/>
            <w:noWrap w:val="0"/>
            <w:vAlign w:val="center"/>
          </w:tcPr>
          <w:p>
            <w:pPr>
              <w:ind w:firstLine="480"/>
              <w:jc w:val="center"/>
              <w:rPr>
                <w:rFonts w:hint="eastAsia" w:ascii="宋体" w:hAnsi="宋体" w:cs="宋体"/>
                <w:color w:val="auto"/>
              </w:rPr>
            </w:pPr>
            <w:r>
              <w:rPr>
                <w:rFonts w:hint="eastAsia" w:ascii="宋体" w:hAnsi="宋体" w:cs="宋体"/>
                <w:color w:val="auto"/>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714" w:type="dxa"/>
            <w:gridSpan w:val="2"/>
            <w:noWrap w:val="0"/>
            <w:tcMar>
              <w:top w:w="16" w:type="dxa"/>
              <w:left w:w="16" w:type="dxa"/>
              <w:right w:w="16" w:type="dxa"/>
            </w:tcMar>
            <w:vAlign w:val="center"/>
          </w:tcPr>
          <w:p>
            <w:pPr>
              <w:ind w:firstLine="0" w:firstLineChars="0"/>
              <w:jc w:val="center"/>
              <w:rPr>
                <w:rFonts w:hint="eastAsia" w:ascii="宋体" w:hAnsi="宋体" w:cs="宋体"/>
                <w:color w:val="auto"/>
              </w:rPr>
            </w:pPr>
            <w:r>
              <w:rPr>
                <w:rFonts w:hint="eastAsia" w:ascii="宋体" w:hAnsi="宋体" w:cs="宋体"/>
                <w:color w:val="auto"/>
              </w:rPr>
              <w:t>建设单位联系人</w:t>
            </w:r>
          </w:p>
        </w:tc>
        <w:tc>
          <w:tcPr>
            <w:tcW w:w="2338" w:type="dxa"/>
            <w:noWrap w:val="0"/>
            <w:vAlign w:val="center"/>
          </w:tcPr>
          <w:p>
            <w:pPr>
              <w:ind w:firstLine="480"/>
              <w:jc w:val="center"/>
              <w:rPr>
                <w:rFonts w:hint="eastAsia" w:ascii="宋体" w:hAnsi="宋体" w:cs="宋体"/>
                <w:color w:val="auto"/>
              </w:rPr>
            </w:pPr>
            <w:r>
              <w:rPr>
                <w:rFonts w:hint="eastAsia" w:ascii="宋体" w:hAnsi="宋体" w:cs="宋体"/>
                <w:color w:val="auto"/>
              </w:rPr>
              <w:t>黄琳</w:t>
            </w:r>
          </w:p>
        </w:tc>
        <w:tc>
          <w:tcPr>
            <w:tcW w:w="1900" w:type="dxa"/>
            <w:noWrap w:val="0"/>
            <w:vAlign w:val="center"/>
          </w:tcPr>
          <w:p>
            <w:pPr>
              <w:ind w:firstLine="480"/>
              <w:jc w:val="center"/>
              <w:rPr>
                <w:rFonts w:ascii="宋体" w:hAnsi="宋体" w:cs="宋体"/>
                <w:color w:val="auto"/>
              </w:rPr>
            </w:pPr>
            <w:r>
              <w:rPr>
                <w:rFonts w:hint="eastAsia" w:ascii="宋体" w:hAnsi="宋体" w:cs="宋体"/>
                <w:color w:val="auto"/>
              </w:rPr>
              <w:t>联系方式</w:t>
            </w:r>
          </w:p>
        </w:tc>
        <w:tc>
          <w:tcPr>
            <w:tcW w:w="2918" w:type="dxa"/>
            <w:noWrap w:val="0"/>
            <w:vAlign w:val="center"/>
          </w:tcPr>
          <w:p>
            <w:pPr>
              <w:ind w:firstLine="480"/>
              <w:jc w:val="center"/>
              <w:rPr>
                <w:rFonts w:ascii="宋体" w:hAnsi="宋体" w:cs="宋体"/>
                <w:color w:val="auto"/>
              </w:rPr>
            </w:pPr>
            <w:r>
              <w:rPr>
                <w:rFonts w:hint="eastAsia" w:ascii="宋体" w:hAnsi="宋体" w:cs="宋体"/>
                <w:color w:val="auto"/>
              </w:rPr>
              <w:t>18284363516</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714" w:type="dxa"/>
            <w:gridSpan w:val="2"/>
            <w:noWrap w:val="0"/>
            <w:tcMar>
              <w:top w:w="16" w:type="dxa"/>
              <w:left w:w="16" w:type="dxa"/>
              <w:right w:w="16" w:type="dxa"/>
            </w:tcMar>
            <w:vAlign w:val="center"/>
          </w:tcPr>
          <w:p>
            <w:pPr>
              <w:ind w:firstLine="0" w:firstLineChars="0"/>
              <w:jc w:val="center"/>
              <w:rPr>
                <w:rFonts w:ascii="宋体" w:hAnsi="宋体" w:cs="宋体"/>
                <w:color w:val="auto"/>
              </w:rPr>
            </w:pPr>
            <w:r>
              <w:rPr>
                <w:rFonts w:hint="eastAsia" w:ascii="宋体" w:hAnsi="宋体" w:cs="宋体"/>
                <w:color w:val="auto"/>
              </w:rPr>
              <w:t>建设地点</w:t>
            </w:r>
          </w:p>
        </w:tc>
        <w:tc>
          <w:tcPr>
            <w:tcW w:w="7156" w:type="dxa"/>
            <w:gridSpan w:val="3"/>
            <w:noWrap w:val="0"/>
            <w:vAlign w:val="center"/>
          </w:tcPr>
          <w:p>
            <w:pPr>
              <w:ind w:firstLine="480"/>
              <w:jc w:val="center"/>
              <w:rPr>
                <w:rFonts w:ascii="宋体" w:hAnsi="宋体" w:cs="宋体"/>
                <w:color w:val="auto"/>
              </w:rPr>
            </w:pPr>
            <w:r>
              <w:rPr>
                <w:rFonts w:hint="eastAsia" w:ascii="宋体" w:hAnsi="宋体" w:cs="宋体"/>
                <w:color w:val="auto"/>
              </w:rPr>
              <w:t>四川省乐山市市中区肖坝路796号</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714" w:type="dxa"/>
            <w:gridSpan w:val="2"/>
            <w:noWrap w:val="0"/>
            <w:tcMar>
              <w:top w:w="16" w:type="dxa"/>
              <w:left w:w="16" w:type="dxa"/>
              <w:right w:w="16" w:type="dxa"/>
            </w:tcMar>
            <w:vAlign w:val="center"/>
          </w:tcPr>
          <w:p>
            <w:pPr>
              <w:ind w:firstLine="0" w:firstLineChars="0"/>
              <w:jc w:val="center"/>
              <w:rPr>
                <w:rFonts w:ascii="宋体" w:hAnsi="宋体" w:cs="宋体"/>
                <w:color w:val="auto"/>
              </w:rPr>
            </w:pPr>
            <w:r>
              <w:rPr>
                <w:rFonts w:hint="eastAsia" w:ascii="宋体" w:hAnsi="宋体" w:cs="宋体"/>
                <w:color w:val="auto"/>
              </w:rPr>
              <w:t>地理坐标</w:t>
            </w:r>
          </w:p>
        </w:tc>
        <w:tc>
          <w:tcPr>
            <w:tcW w:w="7156" w:type="dxa"/>
            <w:gridSpan w:val="3"/>
            <w:noWrap w:val="0"/>
            <w:vAlign w:val="center"/>
          </w:tcPr>
          <w:p>
            <w:pPr>
              <w:ind w:firstLine="480"/>
              <w:jc w:val="center"/>
              <w:rPr>
                <w:rFonts w:hint="eastAsia" w:ascii="宋体" w:hAnsi="宋体" w:cs="宋体"/>
                <w:color w:val="auto"/>
              </w:rPr>
            </w:pPr>
            <w:r>
              <w:rPr>
                <w:rFonts w:hint="eastAsia" w:ascii="宋体" w:hAnsi="宋体" w:cs="宋体"/>
                <w:color w:val="auto"/>
              </w:rPr>
              <w:t>（103度43分42.896秒，29度33分33.505秒）</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561" w:hRule="atLeast"/>
          <w:jc w:val="center"/>
        </w:trPr>
        <w:tc>
          <w:tcPr>
            <w:tcW w:w="1714" w:type="dxa"/>
            <w:gridSpan w:val="2"/>
            <w:noWrap w:val="0"/>
            <w:tcMar>
              <w:top w:w="16" w:type="dxa"/>
              <w:left w:w="16" w:type="dxa"/>
              <w:right w:w="16" w:type="dxa"/>
            </w:tcMar>
            <w:vAlign w:val="center"/>
          </w:tcPr>
          <w:p>
            <w:pPr>
              <w:ind w:firstLine="0" w:firstLineChars="0"/>
              <w:jc w:val="center"/>
              <w:rPr>
                <w:rFonts w:hint="eastAsia" w:ascii="宋体" w:hAnsi="宋体" w:cs="宋体"/>
                <w:color w:val="auto"/>
              </w:rPr>
            </w:pPr>
            <w:r>
              <w:rPr>
                <w:rFonts w:hint="eastAsia" w:ascii="宋体" w:hAnsi="宋体" w:cs="宋体"/>
                <w:color w:val="auto"/>
              </w:rPr>
              <w:t>国民经济</w:t>
            </w:r>
          </w:p>
          <w:p>
            <w:pPr>
              <w:ind w:firstLine="0" w:firstLineChars="0"/>
              <w:jc w:val="center"/>
              <w:rPr>
                <w:rFonts w:ascii="宋体" w:hAnsi="宋体" w:cs="宋体"/>
                <w:color w:val="auto"/>
              </w:rPr>
            </w:pPr>
            <w:r>
              <w:rPr>
                <w:rFonts w:hint="eastAsia" w:ascii="宋体" w:hAnsi="宋体" w:cs="宋体"/>
                <w:color w:val="auto"/>
              </w:rPr>
              <w:t>行业类别</w:t>
            </w:r>
          </w:p>
        </w:tc>
        <w:tc>
          <w:tcPr>
            <w:tcW w:w="2338" w:type="dxa"/>
            <w:noWrap w:val="0"/>
            <w:vAlign w:val="center"/>
          </w:tcPr>
          <w:p>
            <w:pPr>
              <w:ind w:firstLine="0" w:firstLineChars="0"/>
              <w:jc w:val="center"/>
              <w:rPr>
                <w:rFonts w:ascii="宋体" w:hAnsi="宋体" w:cs="宋体"/>
                <w:color w:val="auto"/>
              </w:rPr>
            </w:pPr>
            <w:r>
              <w:rPr>
                <w:rFonts w:hint="eastAsia" w:ascii="宋体" w:hAnsi="宋体" w:cs="宋体"/>
                <w:color w:val="auto"/>
              </w:rPr>
              <w:t>P8222宠物医院服务</w:t>
            </w:r>
          </w:p>
        </w:tc>
        <w:tc>
          <w:tcPr>
            <w:tcW w:w="1900" w:type="dxa"/>
            <w:noWrap w:val="0"/>
            <w:vAlign w:val="center"/>
          </w:tcPr>
          <w:p>
            <w:pPr>
              <w:ind w:firstLine="0" w:firstLineChars="0"/>
              <w:jc w:val="center"/>
              <w:rPr>
                <w:rFonts w:ascii="宋体" w:hAnsi="宋体" w:cs="宋体"/>
                <w:color w:val="auto"/>
              </w:rPr>
            </w:pPr>
            <w:r>
              <w:rPr>
                <w:rFonts w:hint="eastAsia" w:ascii="宋体" w:hAnsi="宋体" w:cs="宋体"/>
                <w:color w:val="auto"/>
              </w:rPr>
              <w:t>建设项目</w:t>
            </w:r>
          </w:p>
          <w:p>
            <w:pPr>
              <w:ind w:firstLine="0" w:firstLineChars="0"/>
              <w:jc w:val="center"/>
              <w:rPr>
                <w:rFonts w:ascii="宋体" w:hAnsi="宋体" w:cs="宋体"/>
                <w:color w:val="auto"/>
              </w:rPr>
            </w:pPr>
            <w:r>
              <w:rPr>
                <w:rFonts w:hint="eastAsia" w:ascii="宋体" w:hAnsi="宋体" w:cs="宋体"/>
                <w:color w:val="auto"/>
              </w:rPr>
              <w:t>行业类别</w:t>
            </w:r>
          </w:p>
        </w:tc>
        <w:tc>
          <w:tcPr>
            <w:tcW w:w="2918" w:type="dxa"/>
            <w:noWrap w:val="0"/>
            <w:vAlign w:val="center"/>
          </w:tcPr>
          <w:p>
            <w:pPr>
              <w:ind w:firstLine="0" w:firstLineChars="0"/>
              <w:rPr>
                <w:rFonts w:ascii="宋体" w:hAnsi="宋体" w:cs="宋体"/>
                <w:color w:val="auto"/>
              </w:rPr>
            </w:pPr>
            <w:r>
              <w:rPr>
                <w:rFonts w:hint="eastAsia" w:ascii="宋体" w:hAnsi="宋体" w:cs="宋体"/>
                <w:color w:val="auto"/>
              </w:rPr>
              <w:t>五十、社会事业与服务业123动物医院</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1219" w:hRule="atLeast"/>
          <w:jc w:val="center"/>
        </w:trPr>
        <w:tc>
          <w:tcPr>
            <w:tcW w:w="1714" w:type="dxa"/>
            <w:gridSpan w:val="2"/>
            <w:noWrap w:val="0"/>
            <w:tcMar>
              <w:top w:w="16" w:type="dxa"/>
              <w:left w:w="16" w:type="dxa"/>
              <w:right w:w="16" w:type="dxa"/>
            </w:tcMar>
            <w:vAlign w:val="center"/>
          </w:tcPr>
          <w:p>
            <w:pPr>
              <w:ind w:firstLine="0" w:firstLineChars="0"/>
              <w:jc w:val="center"/>
              <w:rPr>
                <w:rFonts w:ascii="宋体" w:hAnsi="宋体" w:cs="宋体"/>
                <w:color w:val="auto"/>
              </w:rPr>
            </w:pPr>
            <w:r>
              <w:rPr>
                <w:rFonts w:hint="eastAsia" w:ascii="宋体" w:hAnsi="宋体" w:cs="宋体"/>
                <w:color w:val="auto"/>
              </w:rPr>
              <w:t>建设性质</w:t>
            </w:r>
          </w:p>
        </w:tc>
        <w:tc>
          <w:tcPr>
            <w:tcW w:w="2338" w:type="dxa"/>
            <w:noWrap w:val="0"/>
            <w:vAlign w:val="center"/>
          </w:tcPr>
          <w:p>
            <w:pPr>
              <w:ind w:firstLine="0" w:firstLineChars="0"/>
              <w:jc w:val="left"/>
              <w:rPr>
                <w:rFonts w:ascii="宋体" w:hAnsi="宋体" w:cs="宋体"/>
                <w:color w:val="auto"/>
              </w:rPr>
            </w:pPr>
            <w:r>
              <w:rPr>
                <w:rFonts w:hint="eastAsia" w:ascii="宋体" w:hAnsi="宋体" w:cs="宋体"/>
                <w:color w:val="auto"/>
              </w:rPr>
              <w:sym w:font="Wingdings 2" w:char="0052"/>
            </w:r>
            <w:r>
              <w:rPr>
                <w:rFonts w:hint="eastAsia" w:ascii="宋体" w:hAnsi="宋体" w:cs="宋体"/>
                <w:color w:val="auto"/>
              </w:rPr>
              <w:t>新建（迁建）</w:t>
            </w:r>
          </w:p>
          <w:p>
            <w:pPr>
              <w:ind w:firstLine="0" w:firstLineChars="0"/>
              <w:jc w:val="left"/>
              <w:rPr>
                <w:rFonts w:hint="eastAsia" w:ascii="宋体" w:hAnsi="宋体" w:cs="宋体"/>
                <w:color w:val="auto"/>
              </w:rPr>
            </w:pPr>
            <w:r>
              <w:rPr>
                <w:rFonts w:hint="eastAsia" w:ascii="宋体" w:hAnsi="宋体" w:cs="宋体"/>
                <w:color w:val="auto"/>
              </w:rPr>
              <w:t>□改建</w:t>
            </w:r>
          </w:p>
          <w:p>
            <w:pPr>
              <w:ind w:firstLine="0" w:firstLineChars="0"/>
              <w:jc w:val="left"/>
              <w:rPr>
                <w:rFonts w:hint="eastAsia" w:ascii="宋体" w:hAnsi="宋体" w:cs="宋体"/>
                <w:color w:val="auto"/>
              </w:rPr>
            </w:pPr>
            <w:r>
              <w:rPr>
                <w:rFonts w:hint="eastAsia" w:ascii="宋体" w:hAnsi="宋体" w:cs="宋体"/>
                <w:color w:val="auto"/>
              </w:rPr>
              <w:t>□扩建</w:t>
            </w:r>
          </w:p>
          <w:p>
            <w:pPr>
              <w:ind w:firstLine="0" w:firstLineChars="0"/>
              <w:jc w:val="left"/>
              <w:rPr>
                <w:rFonts w:ascii="宋体" w:hAnsi="宋体" w:cs="宋体"/>
                <w:color w:val="auto"/>
              </w:rPr>
            </w:pPr>
            <w:r>
              <w:rPr>
                <w:rFonts w:hint="eastAsia" w:ascii="宋体" w:hAnsi="宋体" w:cs="宋体"/>
                <w:color w:val="auto"/>
              </w:rPr>
              <w:t>□技术改造</w:t>
            </w:r>
          </w:p>
        </w:tc>
        <w:tc>
          <w:tcPr>
            <w:tcW w:w="1900" w:type="dxa"/>
            <w:noWrap w:val="0"/>
            <w:vAlign w:val="center"/>
          </w:tcPr>
          <w:p>
            <w:pPr>
              <w:ind w:firstLine="0" w:firstLineChars="0"/>
              <w:jc w:val="center"/>
              <w:rPr>
                <w:rFonts w:hint="eastAsia" w:ascii="宋体" w:hAnsi="宋体" w:cs="宋体"/>
                <w:color w:val="auto"/>
              </w:rPr>
            </w:pPr>
            <w:r>
              <w:rPr>
                <w:rFonts w:hint="eastAsia" w:ascii="宋体" w:hAnsi="宋体" w:cs="宋体"/>
                <w:color w:val="auto"/>
              </w:rPr>
              <w:t>建设项目</w:t>
            </w:r>
          </w:p>
          <w:p>
            <w:pPr>
              <w:ind w:firstLine="0" w:firstLineChars="0"/>
              <w:jc w:val="center"/>
              <w:rPr>
                <w:rFonts w:ascii="宋体" w:hAnsi="宋体" w:cs="宋体"/>
                <w:color w:val="auto"/>
              </w:rPr>
            </w:pPr>
            <w:r>
              <w:rPr>
                <w:rFonts w:hint="eastAsia" w:ascii="宋体" w:hAnsi="宋体" w:cs="宋体"/>
                <w:color w:val="auto"/>
              </w:rPr>
              <w:t>申报情形</w:t>
            </w:r>
          </w:p>
        </w:tc>
        <w:tc>
          <w:tcPr>
            <w:tcW w:w="2918" w:type="dxa"/>
            <w:noWrap w:val="0"/>
            <w:vAlign w:val="center"/>
          </w:tcPr>
          <w:p>
            <w:pPr>
              <w:ind w:firstLine="0" w:firstLineChars="0"/>
              <w:jc w:val="left"/>
              <w:rPr>
                <w:rFonts w:ascii="宋体" w:hAnsi="宋体" w:cs="宋体"/>
                <w:color w:val="auto"/>
              </w:rPr>
            </w:pPr>
            <w:r>
              <w:rPr>
                <w:rFonts w:hint="eastAsia" w:ascii="宋体" w:hAnsi="宋体" w:cs="宋体"/>
                <w:color w:val="auto"/>
              </w:rPr>
              <w:sym w:font="Wingdings 2" w:char="0052"/>
            </w:r>
            <w:r>
              <w:rPr>
                <w:rFonts w:hint="eastAsia" w:ascii="宋体" w:hAnsi="宋体" w:cs="宋体"/>
                <w:color w:val="auto"/>
              </w:rPr>
              <w:t>首次申报项目</w:t>
            </w:r>
            <w:r>
              <w:rPr>
                <w:rFonts w:ascii="宋体" w:hAnsi="宋体" w:cs="宋体"/>
                <w:color w:val="auto"/>
              </w:rPr>
              <w:t xml:space="preserve">             </w:t>
            </w:r>
          </w:p>
          <w:p>
            <w:pPr>
              <w:ind w:firstLine="0" w:firstLineChars="0"/>
              <w:jc w:val="left"/>
              <w:rPr>
                <w:rFonts w:ascii="宋体" w:hAnsi="宋体" w:cs="宋体"/>
                <w:color w:val="auto"/>
              </w:rPr>
            </w:pPr>
            <w:r>
              <w:rPr>
                <w:rFonts w:hint="eastAsia" w:ascii="宋体" w:hAnsi="宋体" w:cs="宋体"/>
                <w:color w:val="auto"/>
              </w:rPr>
              <w:t>□不予批准后再次申报项目</w:t>
            </w:r>
          </w:p>
          <w:p>
            <w:pPr>
              <w:ind w:firstLine="0" w:firstLineChars="0"/>
              <w:jc w:val="left"/>
              <w:rPr>
                <w:rFonts w:ascii="宋体" w:hAnsi="宋体" w:cs="宋体"/>
                <w:color w:val="auto"/>
              </w:rPr>
            </w:pPr>
            <w:r>
              <w:rPr>
                <w:rFonts w:hint="eastAsia" w:ascii="宋体" w:hAnsi="宋体" w:cs="宋体"/>
                <w:color w:val="auto"/>
              </w:rPr>
              <w:sym w:font="Wingdings 2" w:char="00A3"/>
            </w:r>
            <w:r>
              <w:rPr>
                <w:rFonts w:hint="eastAsia" w:ascii="宋体" w:hAnsi="宋体" w:cs="宋体"/>
                <w:color w:val="auto"/>
              </w:rPr>
              <w:t>超五年重新审核项目</w:t>
            </w:r>
            <w:r>
              <w:rPr>
                <w:rFonts w:ascii="宋体" w:hAnsi="宋体" w:cs="宋体"/>
                <w:color w:val="auto"/>
              </w:rPr>
              <w:t xml:space="preserve">     </w:t>
            </w:r>
          </w:p>
          <w:p>
            <w:pPr>
              <w:ind w:firstLine="0" w:firstLineChars="0"/>
              <w:jc w:val="left"/>
              <w:rPr>
                <w:rFonts w:ascii="宋体" w:hAnsi="宋体" w:cs="宋体"/>
                <w:color w:val="auto"/>
              </w:rPr>
            </w:pPr>
            <w:r>
              <w:rPr>
                <w:rFonts w:hint="eastAsia" w:ascii="宋体" w:hAnsi="宋体" w:cs="宋体"/>
                <w:color w:val="auto"/>
              </w:rPr>
              <w:t>□重大变动重新报批项</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851" w:hRule="atLeast"/>
          <w:jc w:val="center"/>
        </w:trPr>
        <w:tc>
          <w:tcPr>
            <w:tcW w:w="1714" w:type="dxa"/>
            <w:gridSpan w:val="2"/>
            <w:noWrap w:val="0"/>
            <w:tcMar>
              <w:top w:w="16" w:type="dxa"/>
              <w:left w:w="16" w:type="dxa"/>
              <w:right w:w="16" w:type="dxa"/>
            </w:tcMar>
            <w:vAlign w:val="center"/>
          </w:tcPr>
          <w:p>
            <w:pPr>
              <w:ind w:firstLine="0" w:firstLineChars="0"/>
              <w:jc w:val="center"/>
              <w:rPr>
                <w:rFonts w:hint="eastAsia" w:ascii="宋体" w:hAnsi="宋体" w:cs="宋体"/>
                <w:color w:val="auto"/>
              </w:rPr>
            </w:pPr>
            <w:r>
              <w:rPr>
                <w:rFonts w:hint="eastAsia" w:ascii="宋体" w:hAnsi="宋体" w:cs="宋体"/>
                <w:color w:val="auto"/>
              </w:rPr>
              <w:t>项目审批（核准</w:t>
            </w:r>
            <w:r>
              <w:rPr>
                <w:rFonts w:ascii="宋体" w:hAnsi="宋体" w:cs="宋体"/>
                <w:color w:val="auto"/>
              </w:rPr>
              <w:t>/</w:t>
            </w:r>
          </w:p>
          <w:p>
            <w:pPr>
              <w:ind w:firstLine="0" w:firstLineChars="0"/>
              <w:jc w:val="center"/>
              <w:rPr>
                <w:rFonts w:ascii="宋体" w:hAnsi="宋体" w:cs="宋体"/>
                <w:color w:val="auto"/>
              </w:rPr>
            </w:pPr>
            <w:r>
              <w:rPr>
                <w:rFonts w:hint="eastAsia" w:ascii="宋体" w:hAnsi="宋体" w:cs="宋体"/>
                <w:color w:val="auto"/>
              </w:rPr>
              <w:t>备案）部门（选填）</w:t>
            </w:r>
          </w:p>
        </w:tc>
        <w:tc>
          <w:tcPr>
            <w:tcW w:w="2338" w:type="dxa"/>
            <w:noWrap w:val="0"/>
            <w:vAlign w:val="center"/>
          </w:tcPr>
          <w:p>
            <w:pPr>
              <w:ind w:firstLine="0" w:firstLineChars="0"/>
              <w:jc w:val="center"/>
              <w:rPr>
                <w:rFonts w:hint="eastAsia" w:ascii="宋体" w:hAnsi="宋体" w:cs="宋体"/>
                <w:color w:val="auto"/>
              </w:rPr>
            </w:pPr>
            <w:r>
              <w:rPr>
                <w:rFonts w:hint="eastAsia" w:ascii="宋体" w:hAnsi="宋体" w:cs="宋体"/>
                <w:color w:val="auto"/>
              </w:rPr>
              <w:t>无</w:t>
            </w:r>
          </w:p>
        </w:tc>
        <w:tc>
          <w:tcPr>
            <w:tcW w:w="1900" w:type="dxa"/>
            <w:noWrap w:val="0"/>
            <w:vAlign w:val="center"/>
          </w:tcPr>
          <w:p>
            <w:pPr>
              <w:ind w:firstLine="0" w:firstLineChars="0"/>
              <w:jc w:val="center"/>
              <w:rPr>
                <w:rFonts w:hint="eastAsia" w:ascii="宋体" w:hAnsi="宋体" w:cs="宋体"/>
                <w:color w:val="auto"/>
              </w:rPr>
            </w:pPr>
            <w:r>
              <w:rPr>
                <w:rFonts w:hint="eastAsia" w:ascii="宋体" w:hAnsi="宋体" w:cs="宋体"/>
                <w:color w:val="auto"/>
              </w:rPr>
              <w:t>项目审批（核准</w:t>
            </w:r>
            <w:r>
              <w:rPr>
                <w:rFonts w:ascii="宋体" w:hAnsi="宋体" w:cs="宋体"/>
                <w:color w:val="auto"/>
              </w:rPr>
              <w:t>/</w:t>
            </w:r>
          </w:p>
          <w:p>
            <w:pPr>
              <w:ind w:firstLine="0" w:firstLineChars="0"/>
              <w:jc w:val="center"/>
              <w:rPr>
                <w:rFonts w:hint="eastAsia" w:ascii="宋体" w:hAnsi="宋体" w:cs="宋体"/>
                <w:color w:val="auto"/>
              </w:rPr>
            </w:pPr>
            <w:r>
              <w:rPr>
                <w:rFonts w:hint="eastAsia" w:ascii="宋体" w:hAnsi="宋体" w:cs="宋体"/>
                <w:color w:val="auto"/>
              </w:rPr>
              <w:t>备案）文号（选填）</w:t>
            </w:r>
          </w:p>
        </w:tc>
        <w:tc>
          <w:tcPr>
            <w:tcW w:w="2918" w:type="dxa"/>
            <w:noWrap w:val="0"/>
            <w:vAlign w:val="center"/>
          </w:tcPr>
          <w:p>
            <w:pPr>
              <w:ind w:firstLine="0" w:firstLineChars="0"/>
              <w:jc w:val="center"/>
              <w:rPr>
                <w:rFonts w:hint="eastAsia" w:ascii="宋体" w:hAnsi="宋体" w:cs="宋体"/>
                <w:color w:val="auto"/>
              </w:rPr>
            </w:pPr>
            <w:r>
              <w:rPr>
                <w:rFonts w:hint="eastAsia" w:ascii="宋体" w:hAnsi="宋体" w:cs="宋体"/>
                <w:color w:val="auto"/>
              </w:rPr>
              <w:t>无</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714" w:type="dxa"/>
            <w:gridSpan w:val="2"/>
            <w:noWrap w:val="0"/>
            <w:tcMar>
              <w:top w:w="16" w:type="dxa"/>
              <w:left w:w="16" w:type="dxa"/>
              <w:right w:w="16" w:type="dxa"/>
            </w:tcMar>
            <w:vAlign w:val="center"/>
          </w:tcPr>
          <w:p>
            <w:pPr>
              <w:ind w:firstLine="0" w:firstLineChars="0"/>
              <w:jc w:val="center"/>
              <w:rPr>
                <w:rFonts w:ascii="宋体" w:hAnsi="宋体" w:cs="宋体"/>
                <w:color w:val="auto"/>
              </w:rPr>
            </w:pPr>
            <w:r>
              <w:rPr>
                <w:rFonts w:hint="eastAsia" w:ascii="宋体" w:hAnsi="宋体" w:cs="宋体"/>
                <w:color w:val="auto"/>
              </w:rPr>
              <w:t>总投资（万元）</w:t>
            </w:r>
          </w:p>
        </w:tc>
        <w:tc>
          <w:tcPr>
            <w:tcW w:w="2338" w:type="dxa"/>
            <w:noWrap w:val="0"/>
            <w:vAlign w:val="center"/>
          </w:tcPr>
          <w:p>
            <w:pPr>
              <w:ind w:firstLine="0" w:firstLineChars="0"/>
              <w:jc w:val="center"/>
              <w:rPr>
                <w:rFonts w:ascii="宋体" w:hAnsi="宋体" w:cs="宋体"/>
                <w:color w:val="auto"/>
              </w:rPr>
            </w:pPr>
            <w:r>
              <w:rPr>
                <w:rFonts w:hint="eastAsia" w:ascii="宋体" w:hAnsi="宋体" w:cs="宋体"/>
                <w:color w:val="auto"/>
              </w:rPr>
              <w:t>15</w:t>
            </w:r>
          </w:p>
        </w:tc>
        <w:tc>
          <w:tcPr>
            <w:tcW w:w="1900" w:type="dxa"/>
            <w:noWrap w:val="0"/>
            <w:tcMar>
              <w:top w:w="16" w:type="dxa"/>
              <w:left w:w="16" w:type="dxa"/>
              <w:right w:w="16" w:type="dxa"/>
            </w:tcMar>
            <w:vAlign w:val="center"/>
          </w:tcPr>
          <w:p>
            <w:pPr>
              <w:ind w:firstLine="0" w:firstLineChars="0"/>
              <w:jc w:val="center"/>
              <w:rPr>
                <w:rFonts w:ascii="宋体" w:hAnsi="宋体" w:cs="宋体"/>
                <w:color w:val="auto"/>
              </w:rPr>
            </w:pPr>
            <w:r>
              <w:rPr>
                <w:rFonts w:hint="eastAsia" w:ascii="宋体" w:hAnsi="宋体" w:cs="宋体"/>
                <w:color w:val="auto"/>
              </w:rPr>
              <w:t>环保投资（万元）</w:t>
            </w:r>
          </w:p>
        </w:tc>
        <w:tc>
          <w:tcPr>
            <w:tcW w:w="2918" w:type="dxa"/>
            <w:noWrap w:val="0"/>
            <w:vAlign w:val="center"/>
          </w:tcPr>
          <w:p>
            <w:pPr>
              <w:ind w:firstLine="0" w:firstLineChars="0"/>
              <w:jc w:val="center"/>
              <w:rPr>
                <w:rFonts w:hint="eastAsia" w:ascii="宋体" w:hAnsi="宋体" w:cs="宋体"/>
                <w:color w:val="auto"/>
              </w:rPr>
            </w:pPr>
            <w:r>
              <w:rPr>
                <w:rFonts w:hint="eastAsia" w:ascii="宋体" w:hAnsi="宋体" w:cs="宋体"/>
                <w:color w:val="auto"/>
              </w:rPr>
              <w:t>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714" w:type="dxa"/>
            <w:gridSpan w:val="2"/>
            <w:noWrap w:val="0"/>
            <w:tcMar>
              <w:top w:w="16" w:type="dxa"/>
              <w:left w:w="16" w:type="dxa"/>
              <w:right w:w="16" w:type="dxa"/>
            </w:tcMar>
            <w:vAlign w:val="center"/>
          </w:tcPr>
          <w:p>
            <w:pPr>
              <w:ind w:firstLine="0" w:firstLineChars="0"/>
              <w:jc w:val="center"/>
              <w:rPr>
                <w:rFonts w:ascii="宋体" w:hAnsi="宋体" w:cs="宋体"/>
                <w:color w:val="auto"/>
              </w:rPr>
            </w:pPr>
            <w:r>
              <w:rPr>
                <w:rFonts w:hint="eastAsia" w:ascii="宋体" w:hAnsi="宋体" w:cs="宋体"/>
                <w:color w:val="auto"/>
              </w:rPr>
              <w:t>环保投资占比（</w:t>
            </w:r>
            <w:r>
              <w:rPr>
                <w:rFonts w:ascii="宋体" w:hAnsi="宋体" w:cs="宋体"/>
                <w:color w:val="auto"/>
              </w:rPr>
              <w:t>%</w:t>
            </w:r>
            <w:r>
              <w:rPr>
                <w:rFonts w:hint="eastAsia" w:ascii="宋体" w:hAnsi="宋体" w:cs="宋体"/>
                <w:color w:val="auto"/>
              </w:rPr>
              <w:t>）</w:t>
            </w:r>
          </w:p>
        </w:tc>
        <w:tc>
          <w:tcPr>
            <w:tcW w:w="2338" w:type="dxa"/>
            <w:noWrap w:val="0"/>
            <w:vAlign w:val="center"/>
          </w:tcPr>
          <w:p>
            <w:pPr>
              <w:ind w:firstLine="480"/>
              <w:jc w:val="center"/>
              <w:rPr>
                <w:rFonts w:ascii="宋体" w:hAnsi="宋体" w:cs="宋体"/>
                <w:color w:val="auto"/>
              </w:rPr>
            </w:pPr>
            <w:r>
              <w:rPr>
                <w:rFonts w:hint="eastAsia" w:ascii="宋体" w:hAnsi="宋体" w:cs="宋体"/>
                <w:color w:val="auto"/>
              </w:rPr>
              <w:t>13.3</w:t>
            </w:r>
          </w:p>
        </w:tc>
        <w:tc>
          <w:tcPr>
            <w:tcW w:w="1900" w:type="dxa"/>
            <w:noWrap w:val="0"/>
            <w:tcMar>
              <w:top w:w="16" w:type="dxa"/>
              <w:left w:w="16" w:type="dxa"/>
              <w:right w:w="16" w:type="dxa"/>
            </w:tcMar>
            <w:vAlign w:val="center"/>
          </w:tcPr>
          <w:p>
            <w:pPr>
              <w:ind w:firstLine="480"/>
              <w:rPr>
                <w:rFonts w:ascii="宋体" w:hAnsi="宋体" w:cs="宋体"/>
                <w:color w:val="auto"/>
              </w:rPr>
            </w:pPr>
            <w:r>
              <w:rPr>
                <w:rFonts w:hint="eastAsia" w:ascii="宋体" w:hAnsi="宋体" w:cs="宋体"/>
                <w:color w:val="auto"/>
              </w:rPr>
              <w:t>施工工期</w:t>
            </w:r>
          </w:p>
        </w:tc>
        <w:tc>
          <w:tcPr>
            <w:tcW w:w="2918" w:type="dxa"/>
            <w:noWrap w:val="0"/>
            <w:vAlign w:val="center"/>
          </w:tcPr>
          <w:p>
            <w:pPr>
              <w:ind w:firstLine="480"/>
              <w:jc w:val="center"/>
              <w:rPr>
                <w:rFonts w:hint="eastAsia" w:ascii="宋体" w:hAnsi="宋体" w:cs="宋体"/>
                <w:color w:val="auto"/>
              </w:rPr>
            </w:pPr>
            <w:r>
              <w:rPr>
                <w:rFonts w:hint="eastAsia" w:ascii="宋体" w:hAnsi="宋体" w:cs="宋体"/>
                <w:color w:val="auto"/>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rHeight w:val="497" w:hRule="atLeast"/>
          <w:jc w:val="center"/>
        </w:trPr>
        <w:tc>
          <w:tcPr>
            <w:tcW w:w="1714" w:type="dxa"/>
            <w:gridSpan w:val="2"/>
            <w:noWrap w:val="0"/>
            <w:tcMar>
              <w:top w:w="16" w:type="dxa"/>
              <w:left w:w="16" w:type="dxa"/>
              <w:right w:w="16" w:type="dxa"/>
            </w:tcMar>
            <w:vAlign w:val="center"/>
          </w:tcPr>
          <w:p>
            <w:pPr>
              <w:ind w:firstLine="0" w:firstLineChars="0"/>
              <w:jc w:val="center"/>
              <w:rPr>
                <w:rFonts w:hint="eastAsia" w:ascii="宋体" w:hAnsi="宋体" w:cs="宋体"/>
                <w:color w:val="auto"/>
              </w:rPr>
            </w:pPr>
            <w:r>
              <w:rPr>
                <w:rFonts w:hint="eastAsia" w:ascii="宋体" w:hAnsi="宋体" w:cs="宋体"/>
                <w:color w:val="auto"/>
              </w:rPr>
              <w:t>是否开工建设</w:t>
            </w:r>
          </w:p>
        </w:tc>
        <w:tc>
          <w:tcPr>
            <w:tcW w:w="2338" w:type="dxa"/>
            <w:noWrap w:val="0"/>
            <w:vAlign w:val="center"/>
          </w:tcPr>
          <w:p>
            <w:pPr>
              <w:ind w:firstLine="0" w:firstLineChars="0"/>
              <w:jc w:val="left"/>
              <w:rPr>
                <w:rFonts w:ascii="宋体" w:hAnsi="宋体" w:cs="宋体"/>
                <w:color w:val="auto"/>
              </w:rPr>
            </w:pPr>
            <w:r>
              <w:rPr>
                <w:rFonts w:hint="eastAsia" w:ascii="宋体" w:hAnsi="宋体" w:cs="宋体"/>
                <w:color w:val="auto"/>
              </w:rPr>
              <w:sym w:font="Wingdings 2" w:char="00A3"/>
            </w:r>
            <w:r>
              <w:rPr>
                <w:rFonts w:hint="eastAsia" w:ascii="宋体" w:hAnsi="宋体" w:cs="宋体"/>
                <w:color w:val="auto"/>
              </w:rPr>
              <w:t>否</w:t>
            </w:r>
          </w:p>
          <w:p>
            <w:pPr>
              <w:ind w:firstLine="0" w:firstLineChars="0"/>
              <w:jc w:val="left"/>
              <w:rPr>
                <w:rFonts w:ascii="宋体" w:hAnsi="宋体" w:cs="宋体"/>
                <w:color w:val="auto"/>
              </w:rPr>
            </w:pPr>
            <w:r>
              <w:rPr>
                <w:rFonts w:hint="eastAsia" w:ascii="宋体" w:hAnsi="宋体" w:cs="宋体"/>
                <w:color w:val="auto"/>
              </w:rPr>
              <w:sym w:font="Wingdings 2" w:char="0052"/>
            </w:r>
            <w:r>
              <w:rPr>
                <w:rFonts w:hint="eastAsia" w:ascii="宋体" w:hAnsi="宋体" w:cs="宋体"/>
                <w:color w:val="auto"/>
              </w:rPr>
              <w:t>是：</w:t>
            </w:r>
            <w:r>
              <w:rPr>
                <w:rFonts w:hint="eastAsia" w:ascii="宋体" w:hAnsi="宋体" w:cs="宋体"/>
                <w:color w:val="auto"/>
                <w:lang w:eastAsia="zh-CN"/>
              </w:rPr>
              <w:t>乐山市市中区派美动物医院</w:t>
            </w:r>
            <w:r>
              <w:rPr>
                <w:rFonts w:hint="eastAsia" w:ascii="宋体" w:hAnsi="宋体" w:eastAsia="宋体" w:cs="宋体"/>
                <w:color w:val="auto"/>
                <w:kern w:val="2"/>
                <w:sz w:val="24"/>
                <w:szCs w:val="24"/>
                <w:lang w:val="en-US" w:eastAsia="zh-CN" w:bidi="ar-SA"/>
              </w:rPr>
              <w:t>于2019年4月投入运营，本次评价属于补评。项目于2022年3月9日取得乐山市生态环境局出具的责令改正违法决定书（乐中环责改字[2022]7号）</w:t>
            </w:r>
            <w:r>
              <w:rPr>
                <w:rFonts w:hint="eastAsia" w:ascii="宋体" w:hAnsi="宋体" w:eastAsia="宋体" w:cs="宋体"/>
                <w:color w:val="auto"/>
                <w:sz w:val="24"/>
                <w:lang w:val="en-US" w:eastAsia="zh-CN"/>
              </w:rPr>
              <w:t>。</w:t>
            </w:r>
            <w:r>
              <w:rPr>
                <w:rFonts w:hint="eastAsia" w:ascii="宋体" w:hAnsi="宋体" w:cs="宋体"/>
                <w:color w:val="auto"/>
                <w:u w:val="single"/>
              </w:rPr>
              <w:t xml:space="preserve">             </w:t>
            </w:r>
          </w:p>
        </w:tc>
        <w:tc>
          <w:tcPr>
            <w:tcW w:w="1900" w:type="dxa"/>
            <w:noWrap w:val="0"/>
            <w:tcMar>
              <w:top w:w="16" w:type="dxa"/>
              <w:left w:w="16" w:type="dxa"/>
              <w:right w:w="16" w:type="dxa"/>
            </w:tcMar>
            <w:vAlign w:val="center"/>
          </w:tcPr>
          <w:p>
            <w:pPr>
              <w:ind w:firstLine="456"/>
              <w:jc w:val="center"/>
              <w:rPr>
                <w:rFonts w:ascii="宋体" w:hAnsi="宋体" w:cs="宋体"/>
                <w:color w:val="auto"/>
                <w:spacing w:val="-6"/>
              </w:rPr>
            </w:pPr>
            <w:r>
              <w:rPr>
                <w:rFonts w:hint="eastAsia" w:ascii="宋体" w:hAnsi="宋体" w:cs="宋体"/>
                <w:color w:val="auto"/>
                <w:spacing w:val="-6"/>
              </w:rPr>
              <w:t>用地（用海）</w:t>
            </w:r>
          </w:p>
          <w:p>
            <w:pPr>
              <w:ind w:firstLine="456"/>
              <w:jc w:val="center"/>
              <w:rPr>
                <w:rFonts w:hint="eastAsia" w:ascii="宋体" w:hAnsi="宋体" w:cs="宋体"/>
                <w:color w:val="auto"/>
              </w:rPr>
            </w:pPr>
            <w:r>
              <w:rPr>
                <w:rFonts w:hint="eastAsia" w:ascii="宋体" w:hAnsi="宋体" w:cs="宋体"/>
                <w:color w:val="auto"/>
                <w:spacing w:val="-6"/>
              </w:rPr>
              <w:t>面积（㎡）</w:t>
            </w:r>
          </w:p>
        </w:tc>
        <w:tc>
          <w:tcPr>
            <w:tcW w:w="2918" w:type="dxa"/>
            <w:noWrap w:val="0"/>
            <w:vAlign w:val="center"/>
          </w:tcPr>
          <w:p>
            <w:pPr>
              <w:ind w:firstLine="480"/>
              <w:jc w:val="center"/>
              <w:rPr>
                <w:rFonts w:ascii="宋体" w:hAnsi="宋体" w:cs="宋体"/>
                <w:color w:val="auto"/>
              </w:rPr>
            </w:pPr>
            <w:r>
              <w:rPr>
                <w:rFonts w:hint="eastAsia" w:ascii="宋体" w:hAnsi="宋体" w:cs="宋体"/>
                <w:color w:val="auto"/>
              </w:rPr>
              <w:t>129.9</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1714" w:type="dxa"/>
            <w:gridSpan w:val="2"/>
            <w:noWrap w:val="0"/>
            <w:vAlign w:val="center"/>
          </w:tcPr>
          <w:p>
            <w:pPr>
              <w:autoSpaceDE w:val="0"/>
              <w:autoSpaceDN w:val="0"/>
              <w:ind w:firstLine="0" w:firstLineChars="0"/>
              <w:jc w:val="center"/>
              <w:rPr>
                <w:rFonts w:ascii="宋体" w:hAnsi="宋体" w:cs="宋体"/>
                <w:color w:val="auto"/>
                <w:kern w:val="0"/>
              </w:rPr>
            </w:pPr>
            <w:r>
              <w:rPr>
                <w:rFonts w:hint="eastAsia" w:ascii="宋体" w:hAnsi="宋体" w:cs="宋体"/>
                <w:color w:val="auto"/>
                <w:kern w:val="0"/>
              </w:rPr>
              <w:t>专项评价设置情况</w:t>
            </w:r>
          </w:p>
        </w:tc>
        <w:tc>
          <w:tcPr>
            <w:tcW w:w="7156" w:type="dxa"/>
            <w:gridSpan w:val="3"/>
            <w:noWrap w:val="0"/>
            <w:vAlign w:val="center"/>
          </w:tcPr>
          <w:p>
            <w:pPr>
              <w:autoSpaceDE w:val="0"/>
              <w:autoSpaceDN w:val="0"/>
              <w:ind w:firstLine="480"/>
              <w:jc w:val="center"/>
              <w:rPr>
                <w:rFonts w:hint="eastAsia" w:ascii="宋体" w:hAnsi="宋体" w:cs="宋体"/>
                <w:color w:val="auto"/>
                <w:kern w:val="0"/>
              </w:rPr>
            </w:pPr>
            <w:r>
              <w:rPr>
                <w:rFonts w:hint="eastAsia" w:ascii="宋体" w:hAnsi="宋体" w:cs="宋体"/>
                <w:color w:val="auto"/>
                <w:kern w:val="0"/>
              </w:rPr>
              <w:t>无</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61" w:hRule="atLeast"/>
          <w:jc w:val="center"/>
        </w:trPr>
        <w:tc>
          <w:tcPr>
            <w:tcW w:w="1714" w:type="dxa"/>
            <w:gridSpan w:val="2"/>
            <w:noWrap w:val="0"/>
            <w:vAlign w:val="center"/>
          </w:tcPr>
          <w:p>
            <w:pPr>
              <w:autoSpaceDE w:val="0"/>
              <w:autoSpaceDN w:val="0"/>
              <w:ind w:firstLine="0" w:firstLineChars="0"/>
              <w:jc w:val="center"/>
              <w:rPr>
                <w:rFonts w:hint="eastAsia" w:ascii="宋体" w:hAnsi="宋体" w:cs="宋体"/>
                <w:color w:val="auto"/>
                <w:kern w:val="0"/>
              </w:rPr>
            </w:pPr>
            <w:r>
              <w:rPr>
                <w:rFonts w:hint="eastAsia" w:ascii="宋体" w:hAnsi="宋体" w:cs="宋体"/>
                <w:color w:val="auto"/>
              </w:rPr>
              <w:t>规划情况</w:t>
            </w:r>
          </w:p>
        </w:tc>
        <w:tc>
          <w:tcPr>
            <w:tcW w:w="7156" w:type="dxa"/>
            <w:gridSpan w:val="3"/>
            <w:noWrap w:val="0"/>
            <w:vAlign w:val="top"/>
          </w:tcPr>
          <w:p>
            <w:pPr>
              <w:pStyle w:val="104"/>
              <w:adjustRightInd/>
              <w:snapToGrid/>
              <w:spacing w:line="360" w:lineRule="auto"/>
              <w:ind w:firstLine="0" w:firstLineChars="0"/>
              <w:rPr>
                <w:rFonts w:hint="eastAsia"/>
                <w:color w:val="auto"/>
              </w:rPr>
            </w:pPr>
            <w:r>
              <w:rPr>
                <w:rFonts w:hint="eastAsia"/>
                <w:color w:val="auto"/>
              </w:rPr>
              <w:t>规划名称：《乐山城市总体规划（2011-2030）》（2017年版）</w:t>
            </w:r>
          </w:p>
          <w:p>
            <w:pPr>
              <w:pStyle w:val="104"/>
              <w:adjustRightInd/>
              <w:snapToGrid/>
              <w:spacing w:line="360" w:lineRule="auto"/>
              <w:ind w:firstLine="0" w:firstLineChars="0"/>
              <w:rPr>
                <w:rFonts w:hint="eastAsia"/>
                <w:color w:val="auto"/>
              </w:rPr>
            </w:pPr>
            <w:r>
              <w:rPr>
                <w:rFonts w:hint="eastAsia"/>
                <w:color w:val="auto"/>
              </w:rPr>
              <w:t>审批机关：四川省住房和城乡建设厅</w:t>
            </w:r>
          </w:p>
          <w:p>
            <w:pPr>
              <w:autoSpaceDE w:val="0"/>
              <w:autoSpaceDN w:val="0"/>
              <w:ind w:firstLine="0" w:firstLineChars="0"/>
              <w:rPr>
                <w:rFonts w:ascii="宋体" w:hAnsi="宋体" w:cs="宋体"/>
                <w:color w:val="auto"/>
                <w:kern w:val="0"/>
              </w:rPr>
            </w:pPr>
            <w:r>
              <w:rPr>
                <w:rFonts w:hint="eastAsia"/>
                <w:color w:val="auto"/>
              </w:rPr>
              <w:t>审批文号：川建规函[2018]1058号</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1714" w:type="dxa"/>
            <w:gridSpan w:val="2"/>
            <w:noWrap w:val="0"/>
            <w:vAlign w:val="center"/>
          </w:tcPr>
          <w:p>
            <w:pPr>
              <w:ind w:firstLine="0" w:firstLineChars="0"/>
              <w:jc w:val="center"/>
              <w:rPr>
                <w:rFonts w:ascii="宋体" w:hAnsi="宋体" w:cs="宋体"/>
                <w:color w:val="auto"/>
              </w:rPr>
            </w:pPr>
            <w:r>
              <w:rPr>
                <w:rFonts w:hint="eastAsia" w:ascii="宋体" w:hAnsi="宋体" w:cs="宋体"/>
                <w:color w:val="auto"/>
              </w:rPr>
              <w:t>规划环境影响</w:t>
            </w:r>
          </w:p>
          <w:p>
            <w:pPr>
              <w:ind w:firstLine="0" w:firstLineChars="0"/>
              <w:jc w:val="center"/>
              <w:rPr>
                <w:rFonts w:hint="eastAsia" w:ascii="宋体" w:hAnsi="宋体" w:cs="宋体"/>
                <w:color w:val="auto"/>
                <w:kern w:val="0"/>
              </w:rPr>
            </w:pPr>
            <w:r>
              <w:rPr>
                <w:rFonts w:hint="eastAsia" w:ascii="宋体" w:hAnsi="宋体" w:cs="宋体"/>
                <w:color w:val="auto"/>
              </w:rPr>
              <w:t>评价情况</w:t>
            </w:r>
          </w:p>
        </w:tc>
        <w:tc>
          <w:tcPr>
            <w:tcW w:w="7156" w:type="dxa"/>
            <w:gridSpan w:val="3"/>
            <w:noWrap w:val="0"/>
            <w:vAlign w:val="center"/>
          </w:tcPr>
          <w:p>
            <w:pPr>
              <w:autoSpaceDE w:val="0"/>
              <w:autoSpaceDN w:val="0"/>
              <w:ind w:firstLine="480"/>
              <w:jc w:val="center"/>
              <w:rPr>
                <w:rFonts w:hint="eastAsia" w:ascii="宋体" w:hAnsi="宋体" w:cs="宋体"/>
                <w:color w:val="auto"/>
                <w:kern w:val="0"/>
              </w:rPr>
            </w:pPr>
            <w:r>
              <w:rPr>
                <w:rFonts w:hint="eastAsia" w:ascii="宋体" w:hAnsi="宋体" w:cs="宋体"/>
                <w:color w:val="auto"/>
                <w:kern w:val="0"/>
              </w:rPr>
              <w:t>无</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433" w:type="dxa"/>
            <w:noWrap w:val="0"/>
            <w:vAlign w:val="center"/>
          </w:tcPr>
          <w:p>
            <w:pPr>
              <w:autoSpaceDE w:val="0"/>
              <w:autoSpaceDN w:val="0"/>
              <w:ind w:firstLine="0" w:firstLineChars="0"/>
              <w:jc w:val="center"/>
              <w:rPr>
                <w:rFonts w:ascii="宋体" w:hAnsi="宋体" w:cs="宋体"/>
                <w:color w:val="auto"/>
                <w:kern w:val="0"/>
              </w:rPr>
            </w:pPr>
            <w:r>
              <w:rPr>
                <w:rFonts w:hint="eastAsia" w:ascii="宋体" w:hAnsi="宋体" w:cs="宋体"/>
                <w:color w:val="auto"/>
                <w:kern w:val="0"/>
              </w:rPr>
              <w:t>规划及规划环境影响评价符合性分析</w:t>
            </w:r>
          </w:p>
        </w:tc>
        <w:tc>
          <w:tcPr>
            <w:tcW w:w="8437" w:type="dxa"/>
            <w:gridSpan w:val="4"/>
            <w:noWrap w:val="0"/>
            <w:vAlign w:val="top"/>
          </w:tcPr>
          <w:p>
            <w:pPr>
              <w:pStyle w:val="104"/>
              <w:ind w:firstLine="482"/>
              <w:rPr>
                <w:b/>
                <w:bCs/>
                <w:color w:val="auto"/>
              </w:rPr>
            </w:pPr>
            <w:r>
              <w:rPr>
                <w:rFonts w:hint="eastAsia"/>
                <w:b/>
                <w:bCs/>
                <w:color w:val="auto"/>
              </w:rPr>
              <w:t>一</w:t>
            </w:r>
            <w:r>
              <w:rPr>
                <w:b/>
                <w:bCs/>
                <w:color w:val="auto"/>
              </w:rPr>
              <w:t>、</w:t>
            </w:r>
            <w:r>
              <w:rPr>
                <w:rFonts w:hint="eastAsia" w:ascii="宋体" w:hAnsi="宋体" w:cs="宋体"/>
                <w:b/>
                <w:bCs/>
                <w:color w:val="auto"/>
              </w:rPr>
              <w:t>与</w:t>
            </w:r>
            <w:r>
              <w:rPr>
                <w:b/>
                <w:bCs/>
                <w:color w:val="auto"/>
              </w:rPr>
              <w:t>乐山市城市总体发展规划符合性分析</w:t>
            </w:r>
          </w:p>
          <w:p>
            <w:pPr>
              <w:pStyle w:val="104"/>
              <w:ind w:firstLine="480"/>
              <w:rPr>
                <w:color w:val="auto"/>
              </w:rPr>
            </w:pPr>
            <w:r>
              <w:rPr>
                <w:rFonts w:hint="eastAsia"/>
                <w:color w:val="auto"/>
              </w:rPr>
              <w:t>本项目位于四川省乐山市市中区肖坝路796号，占地范围属于中心城区环境，属于城市建成区，根据《乐山市城市总体规划（2011-2030）》（2017年版），</w:t>
            </w:r>
            <w:r>
              <w:rPr>
                <w:rFonts w:hint="eastAsia" w:ascii="宋体" w:hAnsi="宋体" w:cs="宋体"/>
                <w:color w:val="auto"/>
              </w:rPr>
              <w:t>本项目建设地块用地性质为商业用地，</w:t>
            </w:r>
            <w:r>
              <w:rPr>
                <w:rFonts w:hint="eastAsia"/>
                <w:color w:val="auto"/>
              </w:rPr>
              <w:t>项目是租用肖坝路796号满庭芳锦邻小区临街商铺（租赁协议见附件6），用于开展宠物医院服务项目，根据该商铺房权证：乐山市房权证私房字第170112号：该房屋规划用途为商业，该房屋可作为经营场所供本项目使用，项目租用房屋属于商业用房。</w:t>
            </w:r>
          </w:p>
          <w:p>
            <w:pPr>
              <w:ind w:firstLine="480"/>
              <w:rPr>
                <w:rFonts w:hint="eastAsia" w:ascii="宋体" w:hAnsi="宋体" w:cs="宋体"/>
                <w:color w:val="auto"/>
                <w:szCs w:val="20"/>
              </w:rPr>
            </w:pPr>
            <w:r>
              <w:rPr>
                <w:rFonts w:hint="eastAsia"/>
                <w:color w:val="auto"/>
              </w:rPr>
              <w:t>综上，本项目不与城市总体规划相悖，符合当地土地利用规划</w:t>
            </w:r>
            <w:r>
              <w:rPr>
                <w:rFonts w:hint="eastAsia" w:ascii="宋体" w:hAnsi="宋体" w:cs="宋体"/>
                <w:color w:val="auto"/>
                <w:szCs w:val="20"/>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433" w:type="dxa"/>
            <w:noWrap w:val="0"/>
            <w:vAlign w:val="center"/>
          </w:tcPr>
          <w:p>
            <w:pPr>
              <w:autoSpaceDE w:val="0"/>
              <w:autoSpaceDN w:val="0"/>
              <w:ind w:firstLine="0" w:firstLineChars="0"/>
              <w:jc w:val="center"/>
              <w:rPr>
                <w:rFonts w:hint="eastAsia" w:ascii="宋体" w:hAnsi="宋体" w:cs="宋体"/>
                <w:color w:val="auto"/>
                <w:kern w:val="0"/>
              </w:rPr>
            </w:pPr>
            <w:r>
              <w:rPr>
                <w:rFonts w:hint="eastAsia" w:ascii="宋体" w:hAnsi="宋体" w:cs="宋体"/>
                <w:color w:val="auto"/>
                <w:kern w:val="0"/>
              </w:rPr>
              <w:t>其他符合性分析</w:t>
            </w:r>
          </w:p>
        </w:tc>
        <w:tc>
          <w:tcPr>
            <w:tcW w:w="8437" w:type="dxa"/>
            <w:gridSpan w:val="4"/>
            <w:noWrap w:val="0"/>
            <w:vAlign w:val="top"/>
          </w:tcPr>
          <w:p>
            <w:pPr>
              <w:pStyle w:val="6"/>
              <w:ind w:firstLine="482"/>
              <w:rPr>
                <w:rFonts w:hint="eastAsia"/>
                <w:color w:val="auto"/>
              </w:rPr>
            </w:pPr>
            <w:r>
              <w:rPr>
                <w:rFonts w:hint="eastAsia"/>
                <w:color w:val="auto"/>
              </w:rPr>
              <w:t>一、项目产业政策符合性</w:t>
            </w:r>
          </w:p>
          <w:p>
            <w:pPr>
              <w:pStyle w:val="104"/>
              <w:ind w:firstLine="480"/>
              <w:rPr>
                <w:rFonts w:hint="eastAsia"/>
                <w:color w:val="auto"/>
              </w:rPr>
            </w:pPr>
            <w:r>
              <w:rPr>
                <w:rFonts w:hint="eastAsia"/>
                <w:color w:val="auto"/>
              </w:rPr>
              <w:t>根据中华人民共和国国家发展改革委2021年</w:t>
            </w:r>
            <w:r>
              <w:rPr>
                <w:color w:val="auto"/>
              </w:rPr>
              <w:t>第</w:t>
            </w:r>
            <w:r>
              <w:rPr>
                <w:rFonts w:hint="eastAsia"/>
                <w:color w:val="auto"/>
              </w:rPr>
              <w:t>49号</w:t>
            </w:r>
            <w:r>
              <w:rPr>
                <w:color w:val="auto"/>
              </w:rPr>
              <w:t>令</w:t>
            </w:r>
            <w:r>
              <w:rPr>
                <w:rFonts w:hint="eastAsia"/>
                <w:color w:val="auto"/>
              </w:rPr>
              <w:t>《产业结构调整指导目录（2019 年本）》，本项目不属于其中的鼓励类、限制类和淘汰类。同时，本项目设备的规格型号不在《产业结构调整指导目录（2019 年本）》淘汰类生产工艺装备范围内。根据《关于发布实施&lt;促进产业结构调整暂行规定&gt;的决定》（国发〔2005〕40号）中的第十三条，“不属于鼓励类、限制类及淘汰类，且符合国家有关法律、法规和政策规定的为允许类”。本项目符合相关法律法规和政策规定，因此，本项目为允许类。同时，项目已取得乐山市市中区行政审批局颁发的《动物诊疗许可证》（动诊证（2019）第001号），同意该项目的实施。</w:t>
            </w:r>
          </w:p>
          <w:p>
            <w:pPr>
              <w:pStyle w:val="104"/>
              <w:ind w:firstLine="480"/>
              <w:rPr>
                <w:rFonts w:hint="eastAsia"/>
                <w:color w:val="auto"/>
              </w:rPr>
            </w:pPr>
            <w:r>
              <w:rPr>
                <w:rFonts w:hint="eastAsia"/>
                <w:color w:val="auto"/>
              </w:rPr>
              <w:t>因此，本项目的建设符合现行产业政策的要求。</w:t>
            </w:r>
          </w:p>
          <w:p>
            <w:pPr>
              <w:pStyle w:val="6"/>
              <w:ind w:firstLine="482"/>
              <w:rPr>
                <w:rFonts w:hint="eastAsia"/>
                <w:color w:val="auto"/>
              </w:rPr>
            </w:pPr>
            <w:r>
              <w:rPr>
                <w:rFonts w:hint="eastAsia"/>
                <w:color w:val="auto"/>
              </w:rPr>
              <w:t>二、与“三线一单”符合性分析</w:t>
            </w:r>
          </w:p>
          <w:p>
            <w:pPr>
              <w:pStyle w:val="6"/>
              <w:ind w:firstLine="482"/>
              <w:rPr>
                <w:rFonts w:hint="eastAsia"/>
                <w:color w:val="auto"/>
              </w:rPr>
            </w:pPr>
            <w:r>
              <w:rPr>
                <w:rFonts w:hint="eastAsia"/>
                <w:color w:val="auto"/>
              </w:rPr>
              <w:t>1、项目与区域生态保护红线的符合性分析</w:t>
            </w:r>
          </w:p>
          <w:p>
            <w:pPr>
              <w:pStyle w:val="104"/>
              <w:ind w:firstLine="480"/>
              <w:rPr>
                <w:rFonts w:hint="eastAsia"/>
                <w:color w:val="auto"/>
              </w:rPr>
            </w:pPr>
            <w:r>
              <w:rPr>
                <w:rFonts w:hint="eastAsia"/>
                <w:color w:val="auto"/>
              </w:rPr>
              <w:t>四川省人民政府《关于印发四川省生态保护红线方案的通知》（川府发〔2018〕24号）中指出：“四川省生态保护红线总面积14.80万平方公里，占全省幅员面积的30.45%，主要分布于川西高山高原、川西南山地和盆周山地，分布格局为“四轴九核”。“四轴”指大巴山、金沙江下游干热河谷、川东南山地以及盆中丘陵区，呈带状分布；“九核”指若尔盖湿地（黄河源）、雅砻江源、大渡河源以及大雪山、沙鲁里山、岷山、邛崃山、凉山—相岭、锦屏山，以水系、山系为骨架集中成片分布。</w:t>
            </w:r>
          </w:p>
          <w:p>
            <w:pPr>
              <w:pStyle w:val="104"/>
              <w:ind w:firstLine="480"/>
              <w:rPr>
                <w:color w:val="auto"/>
              </w:rPr>
            </w:pPr>
            <w:r>
              <w:rPr>
                <w:rFonts w:hint="eastAsia"/>
                <w:color w:val="auto"/>
              </w:rPr>
              <w:t>根据该《通知》：乐山市涉及“盆中城市饮用水源-水土保持生态保护红线”；乐山市沙湾区、乐山市金口河区、沐川县、峨边彝族自治县、马边彝族自治县、峨眉山市等涉及“凉山—相岭生物多样性维护—水土保持生态保护红线”。项目位于四川省乐山市市中区肖坝路796号，</w:t>
            </w:r>
            <w:r>
              <w:rPr>
                <w:color w:val="auto"/>
              </w:rPr>
              <w:t>根据《四川省环境保护厅关于发布生态保护红线市县级行政区汇总表和登记表的函》（川环函[2018]1201号），</w:t>
            </w:r>
            <w:r>
              <w:rPr>
                <w:rFonts w:hint="eastAsia"/>
                <w:color w:val="auto"/>
              </w:rPr>
              <w:t>乐山市市中区</w:t>
            </w:r>
            <w:r>
              <w:rPr>
                <w:color w:val="auto"/>
              </w:rPr>
              <w:t>生态保护红线划定如下：</w:t>
            </w:r>
          </w:p>
          <w:p>
            <w:pPr>
              <w:pStyle w:val="117"/>
              <w:rPr>
                <w:color w:val="auto"/>
              </w:rPr>
            </w:pPr>
            <w:r>
              <w:rPr>
                <w:color w:val="auto"/>
              </w:rPr>
              <w:t>表1-</w:t>
            </w:r>
            <w:r>
              <w:rPr>
                <w:rFonts w:hint="eastAsia"/>
                <w:color w:val="auto"/>
              </w:rPr>
              <w:t xml:space="preserve">1  </w:t>
            </w:r>
            <w:r>
              <w:rPr>
                <w:color w:val="auto"/>
              </w:rPr>
              <w:t xml:space="preserve"> </w:t>
            </w:r>
            <w:r>
              <w:rPr>
                <w:rFonts w:hint="eastAsia"/>
                <w:color w:val="auto"/>
              </w:rPr>
              <w:t>乐山市市中区</w:t>
            </w:r>
            <w:r>
              <w:rPr>
                <w:color w:val="auto"/>
              </w:rPr>
              <w:t>生态保护红线</w:t>
            </w:r>
          </w:p>
          <w:tbl>
            <w:tblPr>
              <w:tblStyle w:val="3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7"/>
              <w:gridCol w:w="1452"/>
              <w:gridCol w:w="812"/>
              <w:gridCol w:w="1088"/>
              <w:gridCol w:w="1419"/>
              <w:gridCol w:w="812"/>
              <w:gridCol w:w="17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7" w:type="dxa"/>
                  <w:noWrap w:val="0"/>
                  <w:vAlign w:val="center"/>
                </w:tcPr>
                <w:p>
                  <w:pPr>
                    <w:pStyle w:val="69"/>
                    <w:rPr>
                      <w:color w:val="auto"/>
                    </w:rPr>
                  </w:pPr>
                  <w:r>
                    <w:rPr>
                      <w:color w:val="auto"/>
                    </w:rPr>
                    <w:t>县级行政区名称</w:t>
                  </w:r>
                </w:p>
              </w:tc>
              <w:tc>
                <w:tcPr>
                  <w:tcW w:w="1452" w:type="dxa"/>
                  <w:noWrap w:val="0"/>
                  <w:vAlign w:val="center"/>
                </w:tcPr>
                <w:p>
                  <w:pPr>
                    <w:pStyle w:val="69"/>
                    <w:rPr>
                      <w:color w:val="auto"/>
                    </w:rPr>
                  </w:pPr>
                  <w:r>
                    <w:rPr>
                      <w:color w:val="auto"/>
                    </w:rPr>
                    <w:t>生态保护红线面积（km2）</w:t>
                  </w:r>
                </w:p>
              </w:tc>
              <w:tc>
                <w:tcPr>
                  <w:tcW w:w="812" w:type="dxa"/>
                  <w:noWrap w:val="0"/>
                  <w:vAlign w:val="center"/>
                </w:tcPr>
                <w:p>
                  <w:pPr>
                    <w:pStyle w:val="69"/>
                    <w:rPr>
                      <w:color w:val="auto"/>
                    </w:rPr>
                  </w:pPr>
                  <w:r>
                    <w:rPr>
                      <w:color w:val="auto"/>
                    </w:rPr>
                    <w:t>主导生态系统功能</w:t>
                  </w:r>
                </w:p>
              </w:tc>
              <w:tc>
                <w:tcPr>
                  <w:tcW w:w="1088" w:type="dxa"/>
                  <w:noWrap w:val="0"/>
                  <w:vAlign w:val="center"/>
                </w:tcPr>
                <w:p>
                  <w:pPr>
                    <w:pStyle w:val="69"/>
                    <w:rPr>
                      <w:color w:val="auto"/>
                    </w:rPr>
                  </w:pPr>
                  <w:r>
                    <w:rPr>
                      <w:color w:val="auto"/>
                    </w:rPr>
                    <w:t>类型</w:t>
                  </w:r>
                </w:p>
              </w:tc>
              <w:tc>
                <w:tcPr>
                  <w:tcW w:w="1419" w:type="dxa"/>
                  <w:noWrap w:val="0"/>
                  <w:vAlign w:val="center"/>
                </w:tcPr>
                <w:p>
                  <w:pPr>
                    <w:pStyle w:val="69"/>
                    <w:rPr>
                      <w:color w:val="auto"/>
                    </w:rPr>
                  </w:pPr>
                  <w:r>
                    <w:rPr>
                      <w:color w:val="auto"/>
                    </w:rPr>
                    <w:t>名称</w:t>
                  </w:r>
                </w:p>
              </w:tc>
              <w:tc>
                <w:tcPr>
                  <w:tcW w:w="812" w:type="dxa"/>
                  <w:noWrap w:val="0"/>
                  <w:vAlign w:val="center"/>
                </w:tcPr>
                <w:p>
                  <w:pPr>
                    <w:pStyle w:val="69"/>
                    <w:rPr>
                      <w:color w:val="auto"/>
                    </w:rPr>
                  </w:pPr>
                  <w:r>
                    <w:rPr>
                      <w:color w:val="auto"/>
                    </w:rPr>
                    <w:t>生态系统特征</w:t>
                  </w:r>
                </w:p>
              </w:tc>
              <w:tc>
                <w:tcPr>
                  <w:tcW w:w="1741" w:type="dxa"/>
                  <w:noWrap w:val="0"/>
                  <w:vAlign w:val="center"/>
                </w:tcPr>
                <w:p>
                  <w:pPr>
                    <w:pStyle w:val="69"/>
                    <w:rPr>
                      <w:color w:val="auto"/>
                    </w:rPr>
                  </w:pPr>
                  <w:r>
                    <w:rPr>
                      <w:color w:val="auto"/>
                    </w:rPr>
                    <w:t>代表物种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7" w:type="dxa"/>
                  <w:noWrap w:val="0"/>
                  <w:vAlign w:val="center"/>
                </w:tcPr>
                <w:p>
                  <w:pPr>
                    <w:pStyle w:val="69"/>
                    <w:rPr>
                      <w:rFonts w:hint="eastAsia"/>
                      <w:color w:val="auto"/>
                    </w:rPr>
                  </w:pPr>
                  <w:r>
                    <w:rPr>
                      <w:rFonts w:hint="eastAsia"/>
                      <w:color w:val="auto"/>
                    </w:rPr>
                    <w:t>市中区</w:t>
                  </w:r>
                </w:p>
              </w:tc>
              <w:tc>
                <w:tcPr>
                  <w:tcW w:w="1452" w:type="dxa"/>
                  <w:noWrap w:val="0"/>
                  <w:vAlign w:val="center"/>
                </w:tcPr>
                <w:p>
                  <w:pPr>
                    <w:pStyle w:val="69"/>
                    <w:rPr>
                      <w:color w:val="auto"/>
                    </w:rPr>
                  </w:pPr>
                  <w:r>
                    <w:rPr>
                      <w:rFonts w:hint="eastAsia"/>
                      <w:color w:val="auto"/>
                    </w:rPr>
                    <w:t>2.09</w:t>
                  </w:r>
                </w:p>
              </w:tc>
              <w:tc>
                <w:tcPr>
                  <w:tcW w:w="812" w:type="dxa"/>
                  <w:noWrap w:val="0"/>
                  <w:vAlign w:val="center"/>
                </w:tcPr>
                <w:p>
                  <w:pPr>
                    <w:pStyle w:val="69"/>
                    <w:rPr>
                      <w:color w:val="auto"/>
                    </w:rPr>
                  </w:pPr>
                  <w:r>
                    <w:rPr>
                      <w:color w:val="auto"/>
                    </w:rPr>
                    <w:t>水土保持</w:t>
                  </w:r>
                </w:p>
              </w:tc>
              <w:tc>
                <w:tcPr>
                  <w:tcW w:w="1088" w:type="dxa"/>
                  <w:noWrap w:val="0"/>
                  <w:vAlign w:val="center"/>
                </w:tcPr>
                <w:p>
                  <w:pPr>
                    <w:pStyle w:val="69"/>
                    <w:rPr>
                      <w:color w:val="auto"/>
                    </w:rPr>
                  </w:pPr>
                  <w:r>
                    <w:rPr>
                      <w:color w:val="auto"/>
                    </w:rPr>
                    <w:t>生物多样性维护生态保护红线</w:t>
                  </w:r>
                </w:p>
              </w:tc>
              <w:tc>
                <w:tcPr>
                  <w:tcW w:w="1419" w:type="dxa"/>
                  <w:noWrap w:val="0"/>
                  <w:vAlign w:val="center"/>
                </w:tcPr>
                <w:p>
                  <w:pPr>
                    <w:pStyle w:val="69"/>
                    <w:rPr>
                      <w:color w:val="auto"/>
                    </w:rPr>
                  </w:pPr>
                  <w:r>
                    <w:rPr>
                      <w:rFonts w:hint="eastAsia"/>
                      <w:color w:val="auto"/>
                    </w:rPr>
                    <w:t>盆中城市饮用水源—水土保持生态保护红线</w:t>
                  </w:r>
                </w:p>
              </w:tc>
              <w:tc>
                <w:tcPr>
                  <w:tcW w:w="812" w:type="dxa"/>
                  <w:noWrap w:val="0"/>
                  <w:vAlign w:val="center"/>
                </w:tcPr>
                <w:p>
                  <w:pPr>
                    <w:pStyle w:val="69"/>
                    <w:rPr>
                      <w:color w:val="auto"/>
                    </w:rPr>
                  </w:pPr>
                  <w:r>
                    <w:rPr>
                      <w:rFonts w:hint="eastAsia"/>
                      <w:color w:val="auto"/>
                    </w:rPr>
                    <w:t>亚热带常绿阔叶林</w:t>
                  </w:r>
                </w:p>
              </w:tc>
              <w:tc>
                <w:tcPr>
                  <w:tcW w:w="1741" w:type="dxa"/>
                  <w:noWrap w:val="0"/>
                  <w:vAlign w:val="center"/>
                </w:tcPr>
                <w:p>
                  <w:pPr>
                    <w:pStyle w:val="69"/>
                    <w:rPr>
                      <w:color w:val="auto"/>
                    </w:rPr>
                  </w:pPr>
                  <w:r>
                    <w:rPr>
                      <w:rFonts w:hint="eastAsia"/>
                      <w:color w:val="auto"/>
                    </w:rPr>
                    <w:t>次生马尾松、桫椤、古柏、杉木、林麝、红腹锦鸡</w:t>
                  </w:r>
                </w:p>
              </w:tc>
            </w:tr>
          </w:tbl>
          <w:p>
            <w:pPr>
              <w:pStyle w:val="104"/>
              <w:ind w:firstLine="480"/>
              <w:rPr>
                <w:color w:val="auto"/>
              </w:rPr>
            </w:pPr>
            <w:r>
              <w:rPr>
                <w:rFonts w:hint="eastAsia"/>
                <w:color w:val="auto"/>
              </w:rPr>
              <w:t>由</w:t>
            </w:r>
            <w:r>
              <w:rPr>
                <w:color w:val="auto"/>
              </w:rPr>
              <w:t>《四川省环境保护厅关于发布生态保护红线市县级行政区汇总表和登记表的函》（川环函[2018]1201号）</w:t>
            </w:r>
            <w:r>
              <w:rPr>
                <w:rFonts w:hint="eastAsia"/>
                <w:color w:val="auto"/>
              </w:rPr>
              <w:t>和乐山市生态保护红线图（见附图）可知，项目所在区域不在生态红线范围内。</w:t>
            </w:r>
          </w:p>
          <w:p>
            <w:pPr>
              <w:pStyle w:val="6"/>
              <w:ind w:firstLine="482"/>
              <w:rPr>
                <w:rFonts w:hint="eastAsia"/>
                <w:color w:val="auto"/>
              </w:rPr>
            </w:pPr>
            <w:r>
              <w:rPr>
                <w:rFonts w:hint="eastAsia"/>
                <w:color w:val="auto"/>
                <w:lang w:val="en-US" w:eastAsia="zh-CN"/>
              </w:rPr>
              <w:t>2</w:t>
            </w:r>
            <w:r>
              <w:rPr>
                <w:rFonts w:hint="eastAsia"/>
                <w:color w:val="auto"/>
              </w:rPr>
              <w:t>、环境管控单元和生态环境准入清单的符合性分析</w:t>
            </w:r>
          </w:p>
          <w:p>
            <w:pPr>
              <w:pStyle w:val="104"/>
              <w:ind w:firstLine="480"/>
              <w:rPr>
                <w:rFonts w:hint="eastAsia"/>
                <w:color w:val="auto"/>
              </w:rPr>
            </w:pPr>
            <w:r>
              <w:rPr>
                <w:rFonts w:hint="eastAsia"/>
                <w:color w:val="auto"/>
              </w:rPr>
              <w:t>根据乐山市人民政府《关于落实生态保护红线、环境质量底线、资源利用上线制定生态环境准入清单实施生态环境分区管控的通知》（乐府发〔2021〕7号）要求，将全市行政区域从生态环境保护角度划分为优先保护、重点管控和一般管控三类环境管控单元。</w:t>
            </w:r>
          </w:p>
          <w:p>
            <w:pPr>
              <w:pStyle w:val="104"/>
              <w:ind w:firstLine="480"/>
              <w:rPr>
                <w:rFonts w:hint="eastAsia"/>
                <w:color w:val="auto"/>
              </w:rPr>
            </w:pPr>
            <w:r>
              <w:rPr>
                <w:rFonts w:hint="eastAsia"/>
                <w:color w:val="auto"/>
              </w:rPr>
              <w:t>项目位于乐山市市中区环境综合管控单元城镇重点管控单元（管控单元名称：市中区中心城区，管控单元编号：ZH51110220001），项目与管控单元相对位置如下图所示：</w:t>
            </w:r>
          </w:p>
          <w:p>
            <w:pPr>
              <w:pStyle w:val="69"/>
              <w:rPr>
                <w:color w:val="auto"/>
              </w:rPr>
            </w:pPr>
            <w:r>
              <w:rPr>
                <w:color w:val="auto"/>
              </w:rPr>
              <w:drawing>
                <wp:inline distT="0" distB="0" distL="114300" distR="114300">
                  <wp:extent cx="5127625" cy="3575685"/>
                  <wp:effectExtent l="0" t="0" r="15875" b="5715"/>
                  <wp:docPr id="2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6"/>
                          <pic:cNvPicPr>
                            <a:picLocks noChangeAspect="1"/>
                          </pic:cNvPicPr>
                        </pic:nvPicPr>
                        <pic:blipFill>
                          <a:blip r:embed="rId100"/>
                          <a:stretch>
                            <a:fillRect/>
                          </a:stretch>
                        </pic:blipFill>
                        <pic:spPr>
                          <a:xfrm>
                            <a:off x="0" y="0"/>
                            <a:ext cx="5127625" cy="3575685"/>
                          </a:xfrm>
                          <a:prstGeom prst="rect">
                            <a:avLst/>
                          </a:prstGeom>
                          <a:noFill/>
                          <a:ln>
                            <a:noFill/>
                          </a:ln>
                        </pic:spPr>
                      </pic:pic>
                    </a:graphicData>
                  </a:graphic>
                </wp:inline>
              </w:drawing>
            </w:r>
          </w:p>
          <w:p>
            <w:pPr>
              <w:pStyle w:val="117"/>
              <w:rPr>
                <w:color w:val="auto"/>
              </w:rPr>
            </w:pPr>
            <w:r>
              <w:rPr>
                <w:rFonts w:hint="eastAsia"/>
                <w:color w:val="auto"/>
              </w:rPr>
              <w:t>图1-1 项目与环境管控单元位置关系图</w:t>
            </w:r>
          </w:p>
          <w:p>
            <w:pPr>
              <w:pStyle w:val="104"/>
              <w:ind w:firstLine="480"/>
              <w:rPr>
                <w:rFonts w:hint="eastAsia"/>
                <w:color w:val="auto"/>
              </w:rPr>
            </w:pPr>
            <w:r>
              <w:rPr>
                <w:rFonts w:hint="eastAsia"/>
                <w:color w:val="auto"/>
              </w:rPr>
              <w:t>项目涉及到环境管控单元5个，涉及到管控单元见下表：</w:t>
            </w:r>
          </w:p>
          <w:p>
            <w:pPr>
              <w:pStyle w:val="102"/>
              <w:rPr>
                <w:rFonts w:hint="eastAsia"/>
                <w:color w:val="auto"/>
              </w:rPr>
            </w:pPr>
            <w:r>
              <w:rPr>
                <w:rFonts w:hint="eastAsia"/>
                <w:color w:val="auto"/>
              </w:rPr>
              <w:t>表1-2  项目涉及环境管控单元一览表</w:t>
            </w:r>
          </w:p>
          <w:tbl>
            <w:tblPr>
              <w:tblStyle w:val="3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15"/>
              <w:gridCol w:w="1363"/>
              <w:gridCol w:w="1081"/>
              <w:gridCol w:w="1051"/>
              <w:gridCol w:w="1112"/>
              <w:gridCol w:w="18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75" w:hRule="atLeast"/>
                <w:tblHeader/>
              </w:trPr>
              <w:tc>
                <w:tcPr>
                  <w:tcW w:w="1043" w:type="pct"/>
                  <w:noWrap w:val="0"/>
                  <w:vAlign w:val="center"/>
                </w:tcPr>
                <w:p>
                  <w:pPr>
                    <w:pStyle w:val="118"/>
                    <w:rPr>
                      <w:color w:val="auto"/>
                    </w:rPr>
                  </w:pPr>
                  <w:r>
                    <w:rPr>
                      <w:rFonts w:hint="eastAsia"/>
                      <w:color w:val="auto"/>
                    </w:rPr>
                    <w:t>环境管控单元编码</w:t>
                  </w:r>
                </w:p>
              </w:tc>
              <w:tc>
                <w:tcPr>
                  <w:tcW w:w="830" w:type="pct"/>
                  <w:noWrap w:val="0"/>
                  <w:vAlign w:val="center"/>
                </w:tcPr>
                <w:p>
                  <w:pPr>
                    <w:pStyle w:val="118"/>
                    <w:rPr>
                      <w:color w:val="auto"/>
                    </w:rPr>
                  </w:pPr>
                  <w:r>
                    <w:rPr>
                      <w:rFonts w:hint="eastAsia"/>
                      <w:color w:val="auto"/>
                    </w:rPr>
                    <w:t>管控单元名称</w:t>
                  </w:r>
                </w:p>
              </w:tc>
              <w:tc>
                <w:tcPr>
                  <w:tcW w:w="658" w:type="pct"/>
                  <w:noWrap w:val="0"/>
                  <w:vAlign w:val="center"/>
                </w:tcPr>
                <w:p>
                  <w:pPr>
                    <w:pStyle w:val="118"/>
                    <w:rPr>
                      <w:color w:val="auto"/>
                    </w:rPr>
                  </w:pPr>
                  <w:r>
                    <w:rPr>
                      <w:rFonts w:hint="eastAsia"/>
                      <w:color w:val="auto"/>
                    </w:rPr>
                    <w:t>所属市（州）</w:t>
                  </w:r>
                </w:p>
              </w:tc>
              <w:tc>
                <w:tcPr>
                  <w:tcW w:w="640" w:type="pct"/>
                  <w:noWrap w:val="0"/>
                  <w:vAlign w:val="center"/>
                </w:tcPr>
                <w:p>
                  <w:pPr>
                    <w:pStyle w:val="118"/>
                    <w:rPr>
                      <w:color w:val="auto"/>
                    </w:rPr>
                  </w:pPr>
                  <w:r>
                    <w:rPr>
                      <w:rFonts w:hint="eastAsia"/>
                      <w:color w:val="auto"/>
                    </w:rPr>
                    <w:t>所属区县</w:t>
                  </w:r>
                </w:p>
              </w:tc>
              <w:tc>
                <w:tcPr>
                  <w:tcW w:w="677" w:type="pct"/>
                  <w:noWrap w:val="0"/>
                  <w:vAlign w:val="center"/>
                </w:tcPr>
                <w:p>
                  <w:pPr>
                    <w:pStyle w:val="118"/>
                    <w:rPr>
                      <w:color w:val="auto"/>
                    </w:rPr>
                  </w:pPr>
                  <w:r>
                    <w:rPr>
                      <w:rFonts w:hint="eastAsia"/>
                      <w:color w:val="auto"/>
                    </w:rPr>
                    <w:t>准入清单类型</w:t>
                  </w:r>
                </w:p>
              </w:tc>
              <w:tc>
                <w:tcPr>
                  <w:tcW w:w="1149" w:type="pct"/>
                  <w:noWrap w:val="0"/>
                  <w:vAlign w:val="center"/>
                </w:tcPr>
                <w:p>
                  <w:pPr>
                    <w:pStyle w:val="118"/>
                    <w:rPr>
                      <w:color w:val="auto"/>
                    </w:rPr>
                  </w:pPr>
                  <w:r>
                    <w:rPr>
                      <w:rFonts w:hint="eastAsia"/>
                      <w:color w:val="auto"/>
                    </w:rPr>
                    <w:t>管控类型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12" w:hRule="atLeast"/>
                <w:tblHeader/>
              </w:trPr>
              <w:tc>
                <w:tcPr>
                  <w:tcW w:w="1043" w:type="pct"/>
                  <w:noWrap w:val="0"/>
                  <w:vAlign w:val="center"/>
                </w:tcPr>
                <w:p>
                  <w:pPr>
                    <w:pStyle w:val="118"/>
                    <w:rPr>
                      <w:color w:val="auto"/>
                    </w:rPr>
                  </w:pPr>
                  <w:r>
                    <w:rPr>
                      <w:rFonts w:hint="eastAsia"/>
                      <w:color w:val="auto"/>
                    </w:rPr>
                    <w:t>ZH51110220001</w:t>
                  </w:r>
                </w:p>
              </w:tc>
              <w:tc>
                <w:tcPr>
                  <w:tcW w:w="830" w:type="pct"/>
                  <w:noWrap w:val="0"/>
                  <w:vAlign w:val="center"/>
                </w:tcPr>
                <w:p>
                  <w:pPr>
                    <w:pStyle w:val="118"/>
                    <w:rPr>
                      <w:color w:val="auto"/>
                    </w:rPr>
                  </w:pPr>
                  <w:r>
                    <w:rPr>
                      <w:rFonts w:hint="eastAsia"/>
                      <w:color w:val="auto"/>
                    </w:rPr>
                    <w:t>市中区中心城区</w:t>
                  </w:r>
                </w:p>
              </w:tc>
              <w:tc>
                <w:tcPr>
                  <w:tcW w:w="658" w:type="pct"/>
                  <w:noWrap w:val="0"/>
                  <w:vAlign w:val="center"/>
                </w:tcPr>
                <w:p>
                  <w:pPr>
                    <w:pStyle w:val="118"/>
                    <w:rPr>
                      <w:color w:val="auto"/>
                    </w:rPr>
                  </w:pPr>
                  <w:r>
                    <w:rPr>
                      <w:rFonts w:hint="eastAsia"/>
                      <w:color w:val="auto"/>
                    </w:rPr>
                    <w:t>乐山市</w:t>
                  </w:r>
                </w:p>
              </w:tc>
              <w:tc>
                <w:tcPr>
                  <w:tcW w:w="640" w:type="pct"/>
                  <w:noWrap w:val="0"/>
                  <w:vAlign w:val="center"/>
                </w:tcPr>
                <w:p>
                  <w:pPr>
                    <w:pStyle w:val="118"/>
                    <w:rPr>
                      <w:color w:val="auto"/>
                    </w:rPr>
                  </w:pPr>
                  <w:r>
                    <w:rPr>
                      <w:rFonts w:hint="eastAsia"/>
                      <w:color w:val="auto"/>
                    </w:rPr>
                    <w:t>市中区</w:t>
                  </w:r>
                </w:p>
              </w:tc>
              <w:tc>
                <w:tcPr>
                  <w:tcW w:w="677" w:type="pct"/>
                  <w:noWrap w:val="0"/>
                  <w:vAlign w:val="center"/>
                </w:tcPr>
                <w:p>
                  <w:pPr>
                    <w:pStyle w:val="118"/>
                    <w:rPr>
                      <w:color w:val="auto"/>
                    </w:rPr>
                  </w:pPr>
                  <w:r>
                    <w:rPr>
                      <w:rFonts w:hint="eastAsia"/>
                      <w:color w:val="auto"/>
                    </w:rPr>
                    <w:t>环境管控单元</w:t>
                  </w:r>
                </w:p>
              </w:tc>
              <w:tc>
                <w:tcPr>
                  <w:tcW w:w="1149" w:type="pct"/>
                  <w:noWrap w:val="0"/>
                  <w:vAlign w:val="center"/>
                </w:tcPr>
                <w:p>
                  <w:pPr>
                    <w:pStyle w:val="118"/>
                    <w:rPr>
                      <w:color w:val="auto"/>
                    </w:rPr>
                  </w:pPr>
                  <w:r>
                    <w:rPr>
                      <w:rFonts w:hint="eastAsia"/>
                      <w:color w:val="auto"/>
                    </w:rPr>
                    <w:t>环境综合管控单元城镇重点管控单元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12" w:hRule="atLeast"/>
                <w:tblHeader/>
              </w:trPr>
              <w:tc>
                <w:tcPr>
                  <w:tcW w:w="1043" w:type="pct"/>
                  <w:noWrap w:val="0"/>
                  <w:vAlign w:val="center"/>
                </w:tcPr>
                <w:p>
                  <w:pPr>
                    <w:pStyle w:val="118"/>
                    <w:rPr>
                      <w:color w:val="auto"/>
                    </w:rPr>
                  </w:pPr>
                  <w:r>
                    <w:rPr>
                      <w:rFonts w:hint="eastAsia"/>
                      <w:color w:val="auto"/>
                    </w:rPr>
                    <w:t>YS5111022220013</w:t>
                  </w:r>
                </w:p>
              </w:tc>
              <w:tc>
                <w:tcPr>
                  <w:tcW w:w="830" w:type="pct"/>
                  <w:noWrap w:val="0"/>
                  <w:vAlign w:val="center"/>
                </w:tcPr>
                <w:p>
                  <w:pPr>
                    <w:pStyle w:val="118"/>
                    <w:rPr>
                      <w:color w:val="auto"/>
                    </w:rPr>
                  </w:pPr>
                  <w:r>
                    <w:rPr>
                      <w:rFonts w:hint="eastAsia"/>
                      <w:color w:val="auto"/>
                    </w:rPr>
                    <w:t>岷江市中区青衣坝控制单元</w:t>
                  </w:r>
                </w:p>
              </w:tc>
              <w:tc>
                <w:tcPr>
                  <w:tcW w:w="658" w:type="pct"/>
                  <w:noWrap w:val="0"/>
                  <w:vAlign w:val="center"/>
                </w:tcPr>
                <w:p>
                  <w:pPr>
                    <w:pStyle w:val="118"/>
                    <w:rPr>
                      <w:color w:val="auto"/>
                    </w:rPr>
                  </w:pPr>
                  <w:r>
                    <w:rPr>
                      <w:rFonts w:hint="eastAsia"/>
                      <w:color w:val="auto"/>
                    </w:rPr>
                    <w:t>乐山市</w:t>
                  </w:r>
                </w:p>
              </w:tc>
              <w:tc>
                <w:tcPr>
                  <w:tcW w:w="640" w:type="pct"/>
                  <w:noWrap w:val="0"/>
                  <w:vAlign w:val="center"/>
                </w:tcPr>
                <w:p>
                  <w:pPr>
                    <w:pStyle w:val="118"/>
                    <w:rPr>
                      <w:color w:val="auto"/>
                    </w:rPr>
                  </w:pPr>
                  <w:r>
                    <w:rPr>
                      <w:rFonts w:hint="eastAsia"/>
                      <w:color w:val="auto"/>
                    </w:rPr>
                    <w:t>市中区</w:t>
                  </w:r>
                </w:p>
              </w:tc>
              <w:tc>
                <w:tcPr>
                  <w:tcW w:w="677" w:type="pct"/>
                  <w:noWrap w:val="0"/>
                  <w:vAlign w:val="center"/>
                </w:tcPr>
                <w:p>
                  <w:pPr>
                    <w:pStyle w:val="118"/>
                    <w:rPr>
                      <w:color w:val="auto"/>
                    </w:rPr>
                  </w:pPr>
                  <w:r>
                    <w:rPr>
                      <w:rFonts w:hint="eastAsia"/>
                      <w:color w:val="auto"/>
                    </w:rPr>
                    <w:t>水环境管控分区</w:t>
                  </w:r>
                </w:p>
              </w:tc>
              <w:tc>
                <w:tcPr>
                  <w:tcW w:w="1149" w:type="pct"/>
                  <w:noWrap w:val="0"/>
                  <w:vAlign w:val="center"/>
                </w:tcPr>
                <w:p>
                  <w:pPr>
                    <w:pStyle w:val="118"/>
                    <w:rPr>
                      <w:color w:val="auto"/>
                    </w:rPr>
                  </w:pPr>
                  <w:r>
                    <w:rPr>
                      <w:rFonts w:hint="eastAsia"/>
                      <w:color w:val="auto"/>
                    </w:rPr>
                    <w:t>水环境城镇生活污染重点管控区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12" w:hRule="atLeast"/>
                <w:tblHeader/>
              </w:trPr>
              <w:tc>
                <w:tcPr>
                  <w:tcW w:w="1043" w:type="pct"/>
                  <w:noWrap w:val="0"/>
                  <w:vAlign w:val="center"/>
                </w:tcPr>
                <w:p>
                  <w:pPr>
                    <w:pStyle w:val="118"/>
                    <w:rPr>
                      <w:color w:val="auto"/>
                    </w:rPr>
                  </w:pPr>
                  <w:r>
                    <w:rPr>
                      <w:rFonts w:hint="eastAsia"/>
                      <w:color w:val="auto"/>
                    </w:rPr>
                    <w:t>YS5111022340001</w:t>
                  </w:r>
                </w:p>
              </w:tc>
              <w:tc>
                <w:tcPr>
                  <w:tcW w:w="830" w:type="pct"/>
                  <w:noWrap w:val="0"/>
                  <w:vAlign w:val="center"/>
                </w:tcPr>
                <w:p>
                  <w:pPr>
                    <w:pStyle w:val="118"/>
                    <w:rPr>
                      <w:color w:val="auto"/>
                    </w:rPr>
                  </w:pPr>
                  <w:r>
                    <w:rPr>
                      <w:rFonts w:hint="eastAsia"/>
                      <w:color w:val="auto"/>
                    </w:rPr>
                    <w:t>乐山市市中区大气环境受体敏感重点管控区</w:t>
                  </w:r>
                </w:p>
              </w:tc>
              <w:tc>
                <w:tcPr>
                  <w:tcW w:w="658" w:type="pct"/>
                  <w:noWrap w:val="0"/>
                  <w:vAlign w:val="center"/>
                </w:tcPr>
                <w:p>
                  <w:pPr>
                    <w:pStyle w:val="118"/>
                    <w:rPr>
                      <w:color w:val="auto"/>
                    </w:rPr>
                  </w:pPr>
                  <w:r>
                    <w:rPr>
                      <w:rFonts w:hint="eastAsia"/>
                      <w:color w:val="auto"/>
                    </w:rPr>
                    <w:t>乐山市</w:t>
                  </w:r>
                </w:p>
              </w:tc>
              <w:tc>
                <w:tcPr>
                  <w:tcW w:w="640" w:type="pct"/>
                  <w:noWrap w:val="0"/>
                  <w:vAlign w:val="center"/>
                </w:tcPr>
                <w:p>
                  <w:pPr>
                    <w:pStyle w:val="118"/>
                    <w:rPr>
                      <w:color w:val="auto"/>
                    </w:rPr>
                  </w:pPr>
                  <w:r>
                    <w:rPr>
                      <w:rFonts w:hint="eastAsia"/>
                      <w:color w:val="auto"/>
                    </w:rPr>
                    <w:t>市中区</w:t>
                  </w:r>
                </w:p>
              </w:tc>
              <w:tc>
                <w:tcPr>
                  <w:tcW w:w="677" w:type="pct"/>
                  <w:noWrap w:val="0"/>
                  <w:vAlign w:val="center"/>
                </w:tcPr>
                <w:p>
                  <w:pPr>
                    <w:pStyle w:val="118"/>
                    <w:rPr>
                      <w:color w:val="auto"/>
                    </w:rPr>
                  </w:pPr>
                  <w:r>
                    <w:rPr>
                      <w:rFonts w:hint="eastAsia"/>
                      <w:color w:val="auto"/>
                    </w:rPr>
                    <w:t>大气环境管控分区</w:t>
                  </w:r>
                </w:p>
              </w:tc>
              <w:tc>
                <w:tcPr>
                  <w:tcW w:w="1149" w:type="pct"/>
                  <w:noWrap w:val="0"/>
                  <w:vAlign w:val="center"/>
                </w:tcPr>
                <w:p>
                  <w:pPr>
                    <w:pStyle w:val="118"/>
                    <w:rPr>
                      <w:color w:val="auto"/>
                    </w:rPr>
                  </w:pPr>
                  <w:r>
                    <w:rPr>
                      <w:rFonts w:hint="eastAsia"/>
                      <w:color w:val="auto"/>
                    </w:rPr>
                    <w:t>大气环境受体敏感重点管控区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12" w:hRule="atLeast"/>
                <w:tblHeader/>
              </w:trPr>
              <w:tc>
                <w:tcPr>
                  <w:tcW w:w="1043" w:type="pct"/>
                  <w:noWrap w:val="0"/>
                  <w:vAlign w:val="center"/>
                </w:tcPr>
                <w:p>
                  <w:pPr>
                    <w:pStyle w:val="118"/>
                    <w:rPr>
                      <w:color w:val="auto"/>
                    </w:rPr>
                  </w:pPr>
                  <w:r>
                    <w:rPr>
                      <w:rFonts w:hint="eastAsia"/>
                      <w:color w:val="auto"/>
                    </w:rPr>
                    <w:t>YS5111022540006</w:t>
                  </w:r>
                </w:p>
              </w:tc>
              <w:tc>
                <w:tcPr>
                  <w:tcW w:w="830" w:type="pct"/>
                  <w:noWrap w:val="0"/>
                  <w:vAlign w:val="center"/>
                </w:tcPr>
                <w:p>
                  <w:pPr>
                    <w:pStyle w:val="118"/>
                    <w:rPr>
                      <w:color w:val="auto"/>
                    </w:rPr>
                  </w:pPr>
                  <w:r>
                    <w:rPr>
                      <w:rFonts w:hint="eastAsia"/>
                      <w:color w:val="auto"/>
                    </w:rPr>
                    <w:t>市中区禁燃区</w:t>
                  </w:r>
                </w:p>
              </w:tc>
              <w:tc>
                <w:tcPr>
                  <w:tcW w:w="658" w:type="pct"/>
                  <w:noWrap w:val="0"/>
                  <w:vAlign w:val="center"/>
                </w:tcPr>
                <w:p>
                  <w:pPr>
                    <w:pStyle w:val="118"/>
                    <w:rPr>
                      <w:color w:val="auto"/>
                    </w:rPr>
                  </w:pPr>
                  <w:r>
                    <w:rPr>
                      <w:rFonts w:hint="eastAsia"/>
                      <w:color w:val="auto"/>
                    </w:rPr>
                    <w:t>乐山市</w:t>
                  </w:r>
                </w:p>
              </w:tc>
              <w:tc>
                <w:tcPr>
                  <w:tcW w:w="640" w:type="pct"/>
                  <w:noWrap w:val="0"/>
                  <w:vAlign w:val="center"/>
                </w:tcPr>
                <w:p>
                  <w:pPr>
                    <w:pStyle w:val="118"/>
                    <w:rPr>
                      <w:color w:val="auto"/>
                    </w:rPr>
                  </w:pPr>
                  <w:r>
                    <w:rPr>
                      <w:rFonts w:hint="eastAsia"/>
                      <w:color w:val="auto"/>
                    </w:rPr>
                    <w:t>市中区</w:t>
                  </w:r>
                </w:p>
              </w:tc>
              <w:tc>
                <w:tcPr>
                  <w:tcW w:w="677" w:type="pct"/>
                  <w:noWrap w:val="0"/>
                  <w:vAlign w:val="center"/>
                </w:tcPr>
                <w:p>
                  <w:pPr>
                    <w:pStyle w:val="118"/>
                    <w:rPr>
                      <w:color w:val="auto"/>
                    </w:rPr>
                  </w:pPr>
                  <w:r>
                    <w:rPr>
                      <w:rFonts w:hint="eastAsia"/>
                      <w:color w:val="auto"/>
                    </w:rPr>
                    <w:t>自然资源管控分区</w:t>
                  </w:r>
                </w:p>
              </w:tc>
              <w:tc>
                <w:tcPr>
                  <w:tcW w:w="1149" w:type="pct"/>
                  <w:noWrap w:val="0"/>
                  <w:vAlign w:val="center"/>
                </w:tcPr>
                <w:p>
                  <w:pPr>
                    <w:pStyle w:val="118"/>
                    <w:rPr>
                      <w:color w:val="auto"/>
                    </w:rPr>
                  </w:pPr>
                  <w:r>
                    <w:rPr>
                      <w:rFonts w:hint="eastAsia"/>
                      <w:color w:val="auto"/>
                    </w:rPr>
                    <w:t>高污染燃料禁燃区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12" w:hRule="atLeast"/>
                <w:tblHeader/>
              </w:trPr>
              <w:tc>
                <w:tcPr>
                  <w:tcW w:w="1043" w:type="pct"/>
                  <w:noWrap w:val="0"/>
                  <w:vAlign w:val="center"/>
                </w:tcPr>
                <w:p>
                  <w:pPr>
                    <w:pStyle w:val="118"/>
                    <w:rPr>
                      <w:color w:val="auto"/>
                    </w:rPr>
                  </w:pPr>
                  <w:r>
                    <w:rPr>
                      <w:rFonts w:hint="eastAsia"/>
                      <w:color w:val="auto"/>
                    </w:rPr>
                    <w:t>YS5111022550001</w:t>
                  </w:r>
                </w:p>
              </w:tc>
              <w:tc>
                <w:tcPr>
                  <w:tcW w:w="830" w:type="pct"/>
                  <w:noWrap w:val="0"/>
                  <w:vAlign w:val="center"/>
                </w:tcPr>
                <w:p>
                  <w:pPr>
                    <w:pStyle w:val="118"/>
                    <w:rPr>
                      <w:color w:val="auto"/>
                    </w:rPr>
                  </w:pPr>
                  <w:r>
                    <w:rPr>
                      <w:rFonts w:hint="eastAsia"/>
                      <w:color w:val="auto"/>
                    </w:rPr>
                    <w:t>市中区自然资源重点管控区</w:t>
                  </w:r>
                </w:p>
              </w:tc>
              <w:tc>
                <w:tcPr>
                  <w:tcW w:w="658" w:type="pct"/>
                  <w:noWrap w:val="0"/>
                  <w:vAlign w:val="center"/>
                </w:tcPr>
                <w:p>
                  <w:pPr>
                    <w:pStyle w:val="118"/>
                    <w:rPr>
                      <w:color w:val="auto"/>
                    </w:rPr>
                  </w:pPr>
                  <w:r>
                    <w:rPr>
                      <w:rFonts w:hint="eastAsia"/>
                      <w:color w:val="auto"/>
                    </w:rPr>
                    <w:t>乐山市</w:t>
                  </w:r>
                </w:p>
              </w:tc>
              <w:tc>
                <w:tcPr>
                  <w:tcW w:w="640" w:type="pct"/>
                  <w:noWrap w:val="0"/>
                  <w:vAlign w:val="center"/>
                </w:tcPr>
                <w:p>
                  <w:pPr>
                    <w:pStyle w:val="118"/>
                    <w:rPr>
                      <w:color w:val="auto"/>
                    </w:rPr>
                  </w:pPr>
                  <w:r>
                    <w:rPr>
                      <w:rFonts w:hint="eastAsia"/>
                      <w:color w:val="auto"/>
                    </w:rPr>
                    <w:t>市中区</w:t>
                  </w:r>
                </w:p>
              </w:tc>
              <w:tc>
                <w:tcPr>
                  <w:tcW w:w="677" w:type="pct"/>
                  <w:noWrap w:val="0"/>
                  <w:vAlign w:val="center"/>
                </w:tcPr>
                <w:p>
                  <w:pPr>
                    <w:pStyle w:val="118"/>
                    <w:rPr>
                      <w:color w:val="auto"/>
                    </w:rPr>
                  </w:pPr>
                  <w:r>
                    <w:rPr>
                      <w:rFonts w:hint="eastAsia"/>
                      <w:color w:val="auto"/>
                    </w:rPr>
                    <w:t>自然资源管控分区</w:t>
                  </w:r>
                </w:p>
              </w:tc>
              <w:tc>
                <w:tcPr>
                  <w:tcW w:w="1149" w:type="pct"/>
                  <w:noWrap w:val="0"/>
                  <w:vAlign w:val="center"/>
                </w:tcPr>
                <w:p>
                  <w:pPr>
                    <w:pStyle w:val="118"/>
                    <w:rPr>
                      <w:color w:val="auto"/>
                    </w:rPr>
                  </w:pPr>
                  <w:r>
                    <w:rPr>
                      <w:rFonts w:hint="eastAsia"/>
                      <w:color w:val="auto"/>
                    </w:rPr>
                    <w:t>自然资源重点管控区</w:t>
                  </w:r>
                </w:p>
              </w:tc>
            </w:tr>
          </w:tbl>
          <w:p>
            <w:pPr>
              <w:pStyle w:val="5"/>
              <w:ind w:firstLine="482"/>
              <w:rPr>
                <w:color w:val="auto"/>
              </w:rPr>
            </w:pPr>
            <w:r>
              <w:rPr>
                <w:rFonts w:hint="eastAsia"/>
                <w:color w:val="auto"/>
                <w:lang w:val="en-US" w:eastAsia="zh-CN"/>
              </w:rPr>
              <w:t>3</w:t>
            </w:r>
            <w:r>
              <w:rPr>
                <w:color w:val="auto"/>
              </w:rPr>
              <w:t>、与《乐山市人民政府关于落实生态保护红线、环境质量底线、资源利用上线制定生态环境准入清单实施生态环境分区管控的通知》（乐府发〔2021〕7号）符合性分析</w:t>
            </w:r>
          </w:p>
          <w:p>
            <w:pPr>
              <w:pStyle w:val="104"/>
              <w:ind w:firstLine="480"/>
              <w:rPr>
                <w:rFonts w:hint="eastAsia"/>
                <w:color w:val="auto"/>
              </w:rPr>
            </w:pPr>
            <w:r>
              <w:rPr>
                <w:rFonts w:hint="eastAsia"/>
                <w:color w:val="auto"/>
              </w:rPr>
              <w:t>根据乐山市人民政府发布的《关于落实生态保护红线、环境质量底线、资源利用上线制定生态环境准入清单实施生态环境分区管控的通知》（乐府发〔2021〕7号），将全市行政区域从生态环境保护角度划分为优先保护、重点管控和一般管控三类环境管控单元。</w:t>
            </w:r>
          </w:p>
          <w:p>
            <w:pPr>
              <w:pStyle w:val="104"/>
              <w:numPr>
                <w:ilvl w:val="0"/>
                <w:numId w:val="8"/>
              </w:numPr>
              <w:ind w:firstLineChars="0"/>
              <w:rPr>
                <w:rFonts w:hint="eastAsia"/>
                <w:color w:val="auto"/>
              </w:rPr>
            </w:pPr>
            <w:r>
              <w:rPr>
                <w:rFonts w:hint="eastAsia"/>
                <w:color w:val="auto"/>
              </w:rPr>
              <w:t>优先保护单元：</w:t>
            </w:r>
          </w:p>
          <w:p>
            <w:pPr>
              <w:pStyle w:val="104"/>
              <w:ind w:firstLine="480"/>
              <w:rPr>
                <w:rFonts w:hint="eastAsia"/>
                <w:color w:val="auto"/>
              </w:rPr>
            </w:pPr>
            <w:r>
              <w:rPr>
                <w:rFonts w:hint="eastAsia"/>
                <w:color w:val="auto"/>
              </w:rPr>
              <w:t xml:space="preserve">以生态环境保护为主的区域，全市划分优先保护单元26个，主要包括生态保护红线、自然保护地、饮用水水源保护区等，应以生态环境保护优先为原则，严格执行相关法律、法规要求，严守生态环境质量底线，确保生态环境功能不降低。 </w:t>
            </w:r>
          </w:p>
          <w:p>
            <w:pPr>
              <w:pStyle w:val="104"/>
              <w:numPr>
                <w:ilvl w:val="0"/>
                <w:numId w:val="8"/>
              </w:numPr>
              <w:ind w:firstLineChars="0"/>
              <w:rPr>
                <w:rFonts w:hint="eastAsia"/>
                <w:color w:val="auto"/>
              </w:rPr>
            </w:pPr>
            <w:r>
              <w:rPr>
                <w:rFonts w:hint="eastAsia"/>
                <w:color w:val="auto"/>
              </w:rPr>
              <w:t>重点管控单元：</w:t>
            </w:r>
          </w:p>
          <w:p>
            <w:pPr>
              <w:pStyle w:val="104"/>
              <w:ind w:firstLine="480"/>
              <w:rPr>
                <w:rFonts w:hint="eastAsia"/>
                <w:color w:val="auto"/>
              </w:rPr>
            </w:pPr>
            <w:r>
              <w:rPr>
                <w:rFonts w:hint="eastAsia"/>
                <w:color w:val="auto"/>
              </w:rPr>
              <w:t xml:space="preserve">涉及水、大气、土壤、自然资源等资源环境要素重点管控的区域，全市划分重点管控单元 33 个，主要包括人口密集的城镇规划区和产业集聚的工业园区（工业集聚区）等，应不断提升资源利用效率，有针对性地加强污染物排放控制和环境风险防控，解决生态环境质量不达标、生态环境风险突出等问题，制定差别化的生态环境准入要求。对环境质量不达标区域，提出污染物削减比例要求；对环境质量达标区域，提出允许排放量建议指标。 </w:t>
            </w:r>
          </w:p>
          <w:p>
            <w:pPr>
              <w:pStyle w:val="104"/>
              <w:numPr>
                <w:ilvl w:val="0"/>
                <w:numId w:val="8"/>
              </w:numPr>
              <w:ind w:firstLineChars="0"/>
              <w:rPr>
                <w:rFonts w:hint="eastAsia"/>
                <w:color w:val="auto"/>
              </w:rPr>
            </w:pPr>
            <w:r>
              <w:rPr>
                <w:rFonts w:hint="eastAsia"/>
                <w:color w:val="auto"/>
              </w:rPr>
              <w:t>一般管控单元：</w:t>
            </w:r>
          </w:p>
          <w:p>
            <w:pPr>
              <w:pStyle w:val="104"/>
              <w:ind w:firstLine="480"/>
              <w:rPr>
                <w:rFonts w:hint="eastAsia"/>
                <w:color w:val="auto"/>
              </w:rPr>
            </w:pPr>
            <w:r>
              <w:rPr>
                <w:rFonts w:hint="eastAsia"/>
                <w:color w:val="auto"/>
              </w:rPr>
              <w:t>除优先保护单元和重点管控单元之外的其他区域，全市共划分一般管控单元6个。执行区域生态环境保护的基本要求，重点加强农业、生活等领域污染治理。</w:t>
            </w:r>
          </w:p>
          <w:p>
            <w:pPr>
              <w:pStyle w:val="104"/>
              <w:ind w:firstLine="480"/>
              <w:rPr>
                <w:rFonts w:hint="eastAsia"/>
                <w:color w:val="auto"/>
              </w:rPr>
            </w:pPr>
            <w:r>
              <w:rPr>
                <w:rFonts w:hint="eastAsia"/>
                <w:color w:val="auto"/>
              </w:rPr>
              <w:t>本项目位于四川省乐山市市中区肖坝路796号，根据乐山市环境管控单元图，本项目所在地属于重点管控单元中的城镇重点管控单元，项目与全市环境管控单元生态环境管控要求和与乐山市普适性清单重点管控单元的符合性分析见下表：</w:t>
            </w:r>
          </w:p>
          <w:p>
            <w:pPr>
              <w:pStyle w:val="117"/>
              <w:rPr>
                <w:color w:val="auto"/>
              </w:rPr>
            </w:pPr>
            <w:r>
              <w:rPr>
                <w:rFonts w:hint="eastAsia"/>
                <w:color w:val="auto"/>
              </w:rPr>
              <w:t>表1-3 项目与乐山市重点管控单元生态环境管控要求符合性分析表</w:t>
            </w:r>
          </w:p>
          <w:tbl>
            <w:tblPr>
              <w:tblStyle w:val="38"/>
              <w:tblW w:w="4993" w:type="pct"/>
              <w:jc w:val="center"/>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fixed"/>
              <w:tblCellMar>
                <w:top w:w="0" w:type="dxa"/>
                <w:left w:w="0" w:type="dxa"/>
                <w:bottom w:w="0" w:type="dxa"/>
                <w:right w:w="0" w:type="dxa"/>
              </w:tblCellMar>
            </w:tblPr>
            <w:tblGrid>
              <w:gridCol w:w="987"/>
              <w:gridCol w:w="3243"/>
              <w:gridCol w:w="3243"/>
              <w:gridCol w:w="721"/>
            </w:tblGrid>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295" w:hRule="atLeast"/>
                <w:jc w:val="center"/>
              </w:trPr>
              <w:tc>
                <w:tcPr>
                  <w:tcW w:w="602" w:type="pct"/>
                  <w:tcBorders>
                    <w:top w:val="outset" w:color="auto" w:sz="6" w:space="0"/>
                    <w:left w:val="outset" w:color="auto" w:sz="6" w:space="0"/>
                    <w:bottom w:val="outset" w:color="auto" w:sz="6" w:space="0"/>
                    <w:right w:val="outset" w:color="auto" w:sz="6" w:space="0"/>
                  </w:tcBorders>
                  <w:noWrap w:val="0"/>
                  <w:tcMar>
                    <w:top w:w="0" w:type="dxa"/>
                    <w:left w:w="105" w:type="dxa"/>
                    <w:bottom w:w="0" w:type="dxa"/>
                    <w:right w:w="105" w:type="dxa"/>
                  </w:tcMar>
                  <w:vAlign w:val="center"/>
                </w:tcPr>
                <w:p>
                  <w:pPr>
                    <w:pStyle w:val="170"/>
                    <w:rPr>
                      <w:rFonts w:hint="eastAsia"/>
                      <w:b/>
                      <w:bCs/>
                      <w:color w:val="auto"/>
                    </w:rPr>
                  </w:pPr>
                </w:p>
                <w:p>
                  <w:pPr>
                    <w:pStyle w:val="170"/>
                    <w:rPr>
                      <w:b/>
                      <w:bCs/>
                      <w:color w:val="auto"/>
                    </w:rPr>
                  </w:pPr>
                  <w:r>
                    <w:rPr>
                      <w:rFonts w:hint="eastAsia"/>
                      <w:b/>
                      <w:bCs/>
                      <w:color w:val="auto"/>
                    </w:rPr>
                    <w:t>环境管控单元类型</w:t>
                  </w:r>
                </w:p>
              </w:tc>
              <w:tc>
                <w:tcPr>
                  <w:tcW w:w="1978" w:type="pct"/>
                  <w:tcBorders>
                    <w:top w:val="outset" w:color="auto" w:sz="6" w:space="0"/>
                    <w:left w:val="single" w:color="auto" w:sz="0" w:space="0"/>
                    <w:bottom w:val="outset" w:color="auto" w:sz="6" w:space="0"/>
                    <w:right w:val="outset" w:color="auto" w:sz="6" w:space="0"/>
                  </w:tcBorders>
                  <w:noWrap w:val="0"/>
                  <w:tcMar>
                    <w:top w:w="0" w:type="dxa"/>
                    <w:left w:w="105" w:type="dxa"/>
                    <w:bottom w:w="0" w:type="dxa"/>
                    <w:right w:w="105" w:type="dxa"/>
                  </w:tcMar>
                  <w:vAlign w:val="center"/>
                </w:tcPr>
                <w:p>
                  <w:pPr>
                    <w:pStyle w:val="170"/>
                    <w:rPr>
                      <w:b/>
                      <w:bCs/>
                      <w:color w:val="auto"/>
                    </w:rPr>
                  </w:pPr>
                </w:p>
                <w:p>
                  <w:pPr>
                    <w:pStyle w:val="170"/>
                    <w:rPr>
                      <w:b/>
                      <w:bCs/>
                      <w:color w:val="auto"/>
                    </w:rPr>
                  </w:pPr>
                  <w:r>
                    <w:rPr>
                      <w:rFonts w:hint="eastAsia"/>
                      <w:b/>
                      <w:bCs/>
                      <w:color w:val="auto"/>
                    </w:rPr>
                    <w:t>生态环境管控要求</w:t>
                  </w:r>
                </w:p>
              </w:tc>
              <w:tc>
                <w:tcPr>
                  <w:tcW w:w="1978" w:type="pct"/>
                  <w:tcBorders>
                    <w:top w:val="outset" w:color="auto" w:sz="6" w:space="0"/>
                    <w:left w:val="single" w:color="auto" w:sz="0" w:space="0"/>
                    <w:bottom w:val="outset" w:color="auto" w:sz="6" w:space="0"/>
                    <w:right w:val="outset" w:color="auto" w:sz="6" w:space="0"/>
                  </w:tcBorders>
                  <w:noWrap w:val="0"/>
                  <w:tcMar>
                    <w:top w:w="0" w:type="dxa"/>
                    <w:left w:w="105" w:type="dxa"/>
                    <w:bottom w:w="0" w:type="dxa"/>
                    <w:right w:w="105" w:type="dxa"/>
                  </w:tcMar>
                  <w:vAlign w:val="center"/>
                </w:tcPr>
                <w:p>
                  <w:pPr>
                    <w:pStyle w:val="170"/>
                    <w:rPr>
                      <w:rFonts w:hint="eastAsia"/>
                      <w:b/>
                      <w:bCs/>
                      <w:color w:val="auto"/>
                    </w:rPr>
                  </w:pPr>
                  <w:r>
                    <w:rPr>
                      <w:rFonts w:hint="eastAsia"/>
                      <w:b/>
                      <w:bCs/>
                      <w:color w:val="auto"/>
                    </w:rPr>
                    <w:t>符合性分析</w:t>
                  </w:r>
                </w:p>
              </w:tc>
              <w:tc>
                <w:tcPr>
                  <w:tcW w:w="440" w:type="pct"/>
                  <w:tcBorders>
                    <w:top w:val="outset" w:color="auto" w:sz="6" w:space="0"/>
                    <w:left w:val="single" w:color="auto" w:sz="0" w:space="0"/>
                    <w:bottom w:val="outset" w:color="auto" w:sz="6" w:space="0"/>
                    <w:right w:val="outset" w:color="auto" w:sz="6" w:space="0"/>
                  </w:tcBorders>
                  <w:noWrap w:val="0"/>
                  <w:tcMar>
                    <w:top w:w="0" w:type="dxa"/>
                    <w:left w:w="105" w:type="dxa"/>
                    <w:bottom w:w="0" w:type="dxa"/>
                    <w:right w:w="105" w:type="dxa"/>
                  </w:tcMar>
                  <w:vAlign w:val="center"/>
                </w:tcPr>
                <w:p>
                  <w:pPr>
                    <w:pStyle w:val="170"/>
                    <w:rPr>
                      <w:rFonts w:hint="eastAsia"/>
                      <w:b/>
                      <w:bCs/>
                      <w:color w:val="auto"/>
                    </w:rPr>
                  </w:pPr>
                  <w:r>
                    <w:rPr>
                      <w:rFonts w:hint="eastAsia"/>
                      <w:b/>
                      <w:bCs/>
                      <w:color w:val="auto"/>
                    </w:rPr>
                    <w:t>是否符合</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rPr>
                <w:trHeight w:val="2490" w:hRule="atLeast"/>
                <w:jc w:val="center"/>
              </w:trPr>
              <w:tc>
                <w:tcPr>
                  <w:tcW w:w="602" w:type="pct"/>
                  <w:tcBorders>
                    <w:top w:val="single" w:color="auto" w:sz="0" w:space="0"/>
                    <w:left w:val="outset" w:color="auto" w:sz="6" w:space="0"/>
                    <w:bottom w:val="outset" w:color="auto" w:sz="6" w:space="0"/>
                    <w:right w:val="outset" w:color="auto" w:sz="6" w:space="0"/>
                  </w:tcBorders>
                  <w:noWrap w:val="0"/>
                  <w:tcMar>
                    <w:top w:w="0" w:type="dxa"/>
                    <w:left w:w="105" w:type="dxa"/>
                    <w:bottom w:w="0" w:type="dxa"/>
                    <w:right w:w="105" w:type="dxa"/>
                  </w:tcMar>
                  <w:vAlign w:val="center"/>
                </w:tcPr>
                <w:p>
                  <w:pPr>
                    <w:pStyle w:val="170"/>
                    <w:rPr>
                      <w:color w:val="auto"/>
                    </w:rPr>
                  </w:pPr>
                  <w:r>
                    <w:rPr>
                      <w:rFonts w:hint="eastAsia"/>
                      <w:color w:val="auto"/>
                    </w:rPr>
                    <w:t>重点管控单元</w:t>
                  </w:r>
                </w:p>
              </w:tc>
              <w:tc>
                <w:tcPr>
                  <w:tcW w:w="1978" w:type="pct"/>
                  <w:tcBorders>
                    <w:top w:val="single" w:color="auto" w:sz="0" w:space="0"/>
                    <w:left w:val="single" w:color="auto" w:sz="0" w:space="0"/>
                    <w:bottom w:val="outset" w:color="auto" w:sz="6" w:space="0"/>
                    <w:right w:val="outset" w:color="auto" w:sz="6" w:space="0"/>
                  </w:tcBorders>
                  <w:noWrap w:val="0"/>
                  <w:tcMar>
                    <w:top w:w="0" w:type="dxa"/>
                    <w:left w:w="105" w:type="dxa"/>
                    <w:bottom w:w="0" w:type="dxa"/>
                    <w:right w:w="105" w:type="dxa"/>
                  </w:tcMar>
                  <w:vAlign w:val="center"/>
                </w:tcPr>
                <w:p>
                  <w:pPr>
                    <w:pStyle w:val="170"/>
                    <w:rPr>
                      <w:color w:val="auto"/>
                    </w:rPr>
                  </w:pPr>
                  <w:r>
                    <w:rPr>
                      <w:rFonts w:hint="eastAsia"/>
                      <w:color w:val="auto"/>
                    </w:rPr>
                    <w:t>重点管控单元中，应针对性地加强污染物排放控制和环境风险防控，解决生态环境质量不达标、生态环境风险突出等问题，制定差别化的生态环境准入要求。对环境质量不达标区域，提出污染物削减比例要求；对环境质量达标区域，提出允许排放量建议指标。</w:t>
                  </w:r>
                </w:p>
              </w:tc>
              <w:tc>
                <w:tcPr>
                  <w:tcW w:w="1978" w:type="pct"/>
                  <w:tcBorders>
                    <w:top w:val="single" w:color="auto" w:sz="0" w:space="0"/>
                    <w:left w:val="single" w:color="auto" w:sz="0" w:space="0"/>
                    <w:bottom w:val="outset" w:color="auto" w:sz="6" w:space="0"/>
                    <w:right w:val="outset" w:color="auto" w:sz="6" w:space="0"/>
                  </w:tcBorders>
                  <w:noWrap w:val="0"/>
                  <w:tcMar>
                    <w:top w:w="0" w:type="dxa"/>
                    <w:left w:w="105" w:type="dxa"/>
                    <w:bottom w:w="0" w:type="dxa"/>
                    <w:right w:w="105" w:type="dxa"/>
                  </w:tcMar>
                  <w:vAlign w:val="center"/>
                </w:tcPr>
                <w:p>
                  <w:pPr>
                    <w:pStyle w:val="170"/>
                    <w:rPr>
                      <w:rFonts w:hint="eastAsia"/>
                      <w:color w:val="auto"/>
                    </w:rPr>
                  </w:pPr>
                  <w:r>
                    <w:rPr>
                      <w:rFonts w:hint="eastAsia"/>
                      <w:color w:val="auto"/>
                    </w:rPr>
                    <w:t>本项目为宠物医院服务项目，根据《乐山市2020年环境质量公报》，项目所在区域大气环境质量为达标区域，项目受纳水体所在的河段水环境质量满足《地表水环境质量标准》，同时项目运营期产生的污染物均能得到有效处理，对大气环境影响较小</w:t>
                  </w:r>
                </w:p>
              </w:tc>
              <w:tc>
                <w:tcPr>
                  <w:tcW w:w="440" w:type="pct"/>
                  <w:tcBorders>
                    <w:top w:val="single" w:color="auto" w:sz="0" w:space="0"/>
                    <w:left w:val="single" w:color="auto" w:sz="0" w:space="0"/>
                    <w:bottom w:val="outset" w:color="auto" w:sz="6" w:space="0"/>
                    <w:right w:val="outset" w:color="auto" w:sz="6" w:space="0"/>
                  </w:tcBorders>
                  <w:noWrap w:val="0"/>
                  <w:tcMar>
                    <w:top w:w="0" w:type="dxa"/>
                    <w:left w:w="105" w:type="dxa"/>
                    <w:bottom w:w="0" w:type="dxa"/>
                    <w:right w:w="105" w:type="dxa"/>
                  </w:tcMar>
                  <w:vAlign w:val="center"/>
                </w:tcPr>
                <w:p>
                  <w:pPr>
                    <w:pStyle w:val="170"/>
                    <w:rPr>
                      <w:rFonts w:hint="eastAsia"/>
                      <w:color w:val="auto"/>
                    </w:rPr>
                  </w:pPr>
                  <w:r>
                    <w:rPr>
                      <w:rFonts w:hint="eastAsia"/>
                      <w:color w:val="auto"/>
                    </w:rPr>
                    <w:t>符合</w:t>
                  </w:r>
                </w:p>
              </w:tc>
            </w:tr>
          </w:tbl>
          <w:p>
            <w:pPr>
              <w:pStyle w:val="117"/>
              <w:rPr>
                <w:rFonts w:hint="eastAsia"/>
                <w:color w:val="auto"/>
              </w:rPr>
            </w:pPr>
            <w:r>
              <w:rPr>
                <w:rFonts w:hint="eastAsia"/>
                <w:color w:val="auto"/>
              </w:rPr>
              <w:t>表1-4 项目与全市及市中区总体生态环境管控要求符合性分析</w:t>
            </w:r>
          </w:p>
          <w:tbl>
            <w:tblPr>
              <w:tblStyle w:val="38"/>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9"/>
              <w:gridCol w:w="4091"/>
              <w:gridCol w:w="2734"/>
              <w:gridCol w:w="7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9" w:type="pct"/>
                  <w:noWrap w:val="0"/>
                  <w:vAlign w:val="center"/>
                </w:tcPr>
                <w:p>
                  <w:pPr>
                    <w:pStyle w:val="170"/>
                    <w:rPr>
                      <w:b/>
                      <w:bCs/>
                      <w:color w:val="auto"/>
                    </w:rPr>
                  </w:pPr>
                  <w:r>
                    <w:rPr>
                      <w:rFonts w:hint="eastAsia"/>
                      <w:b/>
                      <w:bCs/>
                      <w:color w:val="auto"/>
                    </w:rPr>
                    <w:t>行政区划</w:t>
                  </w:r>
                </w:p>
              </w:tc>
              <w:tc>
                <w:tcPr>
                  <w:tcW w:w="2492" w:type="pct"/>
                  <w:noWrap w:val="0"/>
                  <w:vAlign w:val="center"/>
                </w:tcPr>
                <w:p>
                  <w:pPr>
                    <w:pStyle w:val="170"/>
                    <w:rPr>
                      <w:b/>
                      <w:bCs/>
                      <w:color w:val="auto"/>
                    </w:rPr>
                  </w:pPr>
                  <w:r>
                    <w:rPr>
                      <w:rFonts w:hint="eastAsia"/>
                      <w:b/>
                      <w:bCs/>
                      <w:color w:val="auto"/>
                    </w:rPr>
                    <w:t>生态环境管控要求</w:t>
                  </w:r>
                </w:p>
              </w:tc>
              <w:tc>
                <w:tcPr>
                  <w:tcW w:w="1666" w:type="pct"/>
                  <w:noWrap w:val="0"/>
                  <w:vAlign w:val="center"/>
                </w:tcPr>
                <w:p>
                  <w:pPr>
                    <w:pStyle w:val="170"/>
                    <w:rPr>
                      <w:b/>
                      <w:bCs/>
                      <w:color w:val="auto"/>
                    </w:rPr>
                  </w:pPr>
                  <w:r>
                    <w:rPr>
                      <w:rFonts w:hint="eastAsia"/>
                      <w:b/>
                      <w:bCs/>
                      <w:color w:val="auto"/>
                    </w:rPr>
                    <w:t>符合性分析</w:t>
                  </w:r>
                </w:p>
              </w:tc>
              <w:tc>
                <w:tcPr>
                  <w:tcW w:w="452" w:type="pct"/>
                  <w:noWrap w:val="0"/>
                  <w:vAlign w:val="center"/>
                </w:tcPr>
                <w:p>
                  <w:pPr>
                    <w:pStyle w:val="170"/>
                    <w:rPr>
                      <w:b/>
                      <w:bCs/>
                      <w:color w:val="auto"/>
                    </w:rPr>
                  </w:pPr>
                  <w:r>
                    <w:rPr>
                      <w:rFonts w:hint="eastAsia"/>
                      <w:b/>
                      <w:bCs/>
                      <w:color w:val="auto"/>
                    </w:rPr>
                    <w:t>是否符合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389" w:type="pct"/>
                  <w:vMerge w:val="restart"/>
                  <w:noWrap w:val="0"/>
                  <w:vAlign w:val="center"/>
                </w:tcPr>
                <w:p>
                  <w:pPr>
                    <w:pStyle w:val="170"/>
                    <w:rPr>
                      <w:color w:val="auto"/>
                    </w:rPr>
                  </w:pPr>
                  <w:r>
                    <w:rPr>
                      <w:rFonts w:hint="eastAsia"/>
                      <w:color w:val="auto"/>
                    </w:rPr>
                    <w:t>乐山市</w:t>
                  </w:r>
                </w:p>
              </w:tc>
              <w:tc>
                <w:tcPr>
                  <w:tcW w:w="2492" w:type="pct"/>
                  <w:noWrap w:val="0"/>
                  <w:vAlign w:val="center"/>
                </w:tcPr>
                <w:p>
                  <w:pPr>
                    <w:pStyle w:val="170"/>
                    <w:jc w:val="left"/>
                    <w:rPr>
                      <w:color w:val="auto"/>
                    </w:rPr>
                  </w:pPr>
                  <w:r>
                    <w:rPr>
                      <w:rFonts w:hint="eastAsia"/>
                      <w:color w:val="auto"/>
                    </w:rPr>
                    <w:t>对化工、钢铁、水泥、陶瓷、造纸、铁合金、砖瓦等重点产业提出严格资源环境绩效水平要求</w:t>
                  </w:r>
                </w:p>
              </w:tc>
              <w:tc>
                <w:tcPr>
                  <w:tcW w:w="1666" w:type="pct"/>
                  <w:vMerge w:val="restart"/>
                  <w:noWrap w:val="0"/>
                  <w:vAlign w:val="center"/>
                </w:tcPr>
                <w:p>
                  <w:pPr>
                    <w:pStyle w:val="170"/>
                    <w:rPr>
                      <w:rFonts w:hint="eastAsia"/>
                      <w:color w:val="auto"/>
                    </w:rPr>
                  </w:pPr>
                </w:p>
                <w:p>
                  <w:pPr>
                    <w:pStyle w:val="170"/>
                    <w:rPr>
                      <w:rFonts w:hint="eastAsia"/>
                      <w:color w:val="auto"/>
                    </w:rPr>
                  </w:pPr>
                </w:p>
                <w:p>
                  <w:pPr>
                    <w:pStyle w:val="170"/>
                    <w:rPr>
                      <w:rFonts w:hint="eastAsia"/>
                      <w:color w:val="auto"/>
                    </w:rPr>
                  </w:pPr>
                  <w:r>
                    <w:rPr>
                      <w:rFonts w:hint="eastAsia"/>
                      <w:color w:val="auto"/>
                    </w:rPr>
                    <w:t>本项目为宠物医院服务项目，项目不属于化工、钢铁、水泥、陶瓷、造纸、铁合金、砖瓦等重点产业</w:t>
                  </w:r>
                </w:p>
                <w:p>
                  <w:pPr>
                    <w:pStyle w:val="170"/>
                    <w:rPr>
                      <w:rFonts w:hint="eastAsia"/>
                      <w:color w:val="auto"/>
                    </w:rPr>
                  </w:pPr>
                  <w:r>
                    <w:rPr>
                      <w:rFonts w:hint="eastAsia"/>
                      <w:color w:val="auto"/>
                    </w:rPr>
                    <w:t>，不属于高排放、高能耗项目；项目符合区域产业准入清单要求</w:t>
                  </w:r>
                </w:p>
              </w:tc>
              <w:tc>
                <w:tcPr>
                  <w:tcW w:w="452" w:type="pct"/>
                  <w:vMerge w:val="restart"/>
                  <w:noWrap w:val="0"/>
                  <w:vAlign w:val="center"/>
                </w:tcPr>
                <w:p>
                  <w:pPr>
                    <w:pStyle w:val="170"/>
                    <w:rPr>
                      <w:rFonts w:hint="eastAsia"/>
                      <w:color w:val="auto"/>
                    </w:rPr>
                  </w:pPr>
                </w:p>
                <w:p>
                  <w:pPr>
                    <w:pStyle w:val="170"/>
                    <w:rPr>
                      <w:rFonts w:hint="eastAsia"/>
                      <w:color w:val="auto"/>
                    </w:rPr>
                  </w:pPr>
                </w:p>
                <w:p>
                  <w:pPr>
                    <w:pStyle w:val="17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6" w:hRule="atLeast"/>
              </w:trPr>
              <w:tc>
                <w:tcPr>
                  <w:tcW w:w="389" w:type="pct"/>
                  <w:vMerge w:val="continue"/>
                  <w:noWrap w:val="0"/>
                  <w:vAlign w:val="center"/>
                </w:tcPr>
                <w:p>
                  <w:pPr>
                    <w:pStyle w:val="170"/>
                    <w:rPr>
                      <w:rFonts w:hint="eastAsia"/>
                      <w:color w:val="auto"/>
                    </w:rPr>
                  </w:pPr>
                </w:p>
              </w:tc>
              <w:tc>
                <w:tcPr>
                  <w:tcW w:w="2492" w:type="pct"/>
                  <w:noWrap w:val="0"/>
                  <w:vAlign w:val="center"/>
                </w:tcPr>
                <w:p>
                  <w:pPr>
                    <w:pStyle w:val="170"/>
                    <w:jc w:val="left"/>
                    <w:rPr>
                      <w:rFonts w:hint="eastAsia"/>
                      <w:color w:val="auto"/>
                    </w:rPr>
                  </w:pPr>
                  <w:r>
                    <w:rPr>
                      <w:rFonts w:hint="eastAsia"/>
                      <w:color w:val="auto"/>
                    </w:rPr>
                    <w:t>禁止在长江干支流岸线一公里范围内新建、扩建化工园区和化工项目；鼓励现有化工企业逐步搬入合规园区</w:t>
                  </w:r>
                </w:p>
              </w:tc>
              <w:tc>
                <w:tcPr>
                  <w:tcW w:w="1666" w:type="pct"/>
                  <w:vMerge w:val="continue"/>
                  <w:noWrap w:val="0"/>
                  <w:vAlign w:val="center"/>
                </w:tcPr>
                <w:p>
                  <w:pPr>
                    <w:pStyle w:val="170"/>
                    <w:rPr>
                      <w:rFonts w:hint="eastAsia"/>
                      <w:color w:val="auto"/>
                    </w:rPr>
                  </w:pPr>
                </w:p>
              </w:tc>
              <w:tc>
                <w:tcPr>
                  <w:tcW w:w="452" w:type="pct"/>
                  <w:vMerge w:val="continue"/>
                  <w:noWrap w:val="0"/>
                  <w:vAlign w:val="center"/>
                </w:tcPr>
                <w:p>
                  <w:pPr>
                    <w:pStyle w:val="170"/>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4" w:hRule="atLeast"/>
              </w:trPr>
              <w:tc>
                <w:tcPr>
                  <w:tcW w:w="389" w:type="pct"/>
                  <w:vMerge w:val="continue"/>
                  <w:noWrap w:val="0"/>
                  <w:vAlign w:val="center"/>
                </w:tcPr>
                <w:p>
                  <w:pPr>
                    <w:pStyle w:val="170"/>
                    <w:rPr>
                      <w:rFonts w:hint="eastAsia"/>
                      <w:color w:val="auto"/>
                    </w:rPr>
                  </w:pPr>
                </w:p>
              </w:tc>
              <w:tc>
                <w:tcPr>
                  <w:tcW w:w="2492" w:type="pct"/>
                  <w:noWrap w:val="0"/>
                  <w:vAlign w:val="center"/>
                </w:tcPr>
                <w:p>
                  <w:pPr>
                    <w:pStyle w:val="170"/>
                    <w:jc w:val="left"/>
                    <w:rPr>
                      <w:rFonts w:hint="eastAsia"/>
                      <w:color w:val="auto"/>
                    </w:rPr>
                  </w:pPr>
                  <w:r>
                    <w:rPr>
                      <w:rFonts w:hint="eastAsia"/>
                      <w:color w:val="auto"/>
                    </w:rPr>
                    <w:t>按照“一总部五基地”工业总体布局，推进城区以及布局不合理的高排放、高能耗企业“退城入园”，引导企业在搬迁改造中压减低端、低效、负效产能</w:t>
                  </w:r>
                </w:p>
              </w:tc>
              <w:tc>
                <w:tcPr>
                  <w:tcW w:w="1666" w:type="pct"/>
                  <w:vMerge w:val="continue"/>
                  <w:noWrap w:val="0"/>
                  <w:vAlign w:val="center"/>
                </w:tcPr>
                <w:p>
                  <w:pPr>
                    <w:pStyle w:val="170"/>
                    <w:rPr>
                      <w:rFonts w:hint="eastAsia"/>
                      <w:color w:val="auto"/>
                    </w:rPr>
                  </w:pPr>
                </w:p>
              </w:tc>
              <w:tc>
                <w:tcPr>
                  <w:tcW w:w="452" w:type="pct"/>
                  <w:vMerge w:val="continue"/>
                  <w:noWrap w:val="0"/>
                  <w:vAlign w:val="center"/>
                </w:tcPr>
                <w:p>
                  <w:pPr>
                    <w:pStyle w:val="170"/>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trPr>
              <w:tc>
                <w:tcPr>
                  <w:tcW w:w="389" w:type="pct"/>
                  <w:vMerge w:val="continue"/>
                  <w:noWrap w:val="0"/>
                  <w:vAlign w:val="center"/>
                </w:tcPr>
                <w:p>
                  <w:pPr>
                    <w:pStyle w:val="170"/>
                    <w:rPr>
                      <w:rFonts w:hint="eastAsia"/>
                      <w:color w:val="auto"/>
                    </w:rPr>
                  </w:pPr>
                </w:p>
              </w:tc>
              <w:tc>
                <w:tcPr>
                  <w:tcW w:w="2492" w:type="pct"/>
                  <w:noWrap w:val="0"/>
                  <w:vAlign w:val="center"/>
                </w:tcPr>
                <w:p>
                  <w:pPr>
                    <w:pStyle w:val="170"/>
                    <w:jc w:val="left"/>
                    <w:rPr>
                      <w:rFonts w:hint="eastAsia"/>
                      <w:color w:val="auto"/>
                    </w:rPr>
                  </w:pPr>
                  <w:r>
                    <w:rPr>
                      <w:rFonts w:hint="eastAsia"/>
                      <w:color w:val="auto"/>
                    </w:rPr>
                    <w:t>严格控制高排放、高能耗项目准入；严格执行能源消费总量和强度双控制度；严格执行煤炭消费总量控制要求</w:t>
                  </w:r>
                </w:p>
              </w:tc>
              <w:tc>
                <w:tcPr>
                  <w:tcW w:w="1666" w:type="pct"/>
                  <w:vMerge w:val="continue"/>
                  <w:noWrap w:val="0"/>
                  <w:vAlign w:val="center"/>
                </w:tcPr>
                <w:p>
                  <w:pPr>
                    <w:pStyle w:val="170"/>
                    <w:rPr>
                      <w:rFonts w:hint="eastAsia"/>
                      <w:color w:val="auto"/>
                    </w:rPr>
                  </w:pPr>
                </w:p>
              </w:tc>
              <w:tc>
                <w:tcPr>
                  <w:tcW w:w="452" w:type="pct"/>
                  <w:vMerge w:val="continue"/>
                  <w:noWrap w:val="0"/>
                  <w:vAlign w:val="center"/>
                </w:tcPr>
                <w:p>
                  <w:pPr>
                    <w:pStyle w:val="170"/>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7" w:hRule="atLeast"/>
              </w:trPr>
              <w:tc>
                <w:tcPr>
                  <w:tcW w:w="389" w:type="pct"/>
                  <w:vMerge w:val="continue"/>
                  <w:noWrap w:val="0"/>
                  <w:vAlign w:val="center"/>
                </w:tcPr>
                <w:p>
                  <w:pPr>
                    <w:pStyle w:val="170"/>
                    <w:rPr>
                      <w:rFonts w:hint="eastAsia"/>
                      <w:color w:val="auto"/>
                    </w:rPr>
                  </w:pPr>
                </w:p>
              </w:tc>
              <w:tc>
                <w:tcPr>
                  <w:tcW w:w="2492" w:type="pct"/>
                  <w:noWrap w:val="0"/>
                  <w:vAlign w:val="center"/>
                </w:tcPr>
                <w:p>
                  <w:pPr>
                    <w:pStyle w:val="170"/>
                    <w:jc w:val="left"/>
                    <w:rPr>
                      <w:rFonts w:hint="eastAsia"/>
                      <w:color w:val="auto"/>
                    </w:rPr>
                  </w:pPr>
                  <w:r>
                    <w:rPr>
                      <w:rFonts w:hint="eastAsia"/>
                      <w:color w:val="auto"/>
                    </w:rPr>
                    <w:t>引进项目应符合园区规划环评和区域产业准入清单要求</w:t>
                  </w:r>
                </w:p>
              </w:tc>
              <w:tc>
                <w:tcPr>
                  <w:tcW w:w="1666" w:type="pct"/>
                  <w:vMerge w:val="continue"/>
                  <w:noWrap w:val="0"/>
                  <w:vAlign w:val="center"/>
                </w:tcPr>
                <w:p>
                  <w:pPr>
                    <w:pStyle w:val="170"/>
                    <w:rPr>
                      <w:rFonts w:hint="eastAsia"/>
                      <w:color w:val="auto"/>
                    </w:rPr>
                  </w:pPr>
                </w:p>
              </w:tc>
              <w:tc>
                <w:tcPr>
                  <w:tcW w:w="452" w:type="pct"/>
                  <w:vMerge w:val="continue"/>
                  <w:noWrap w:val="0"/>
                  <w:vAlign w:val="center"/>
                </w:tcPr>
                <w:p>
                  <w:pPr>
                    <w:pStyle w:val="170"/>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 w:hRule="atLeast"/>
              </w:trPr>
              <w:tc>
                <w:tcPr>
                  <w:tcW w:w="389" w:type="pct"/>
                  <w:vMerge w:val="restart"/>
                  <w:noWrap w:val="0"/>
                  <w:vAlign w:val="center"/>
                </w:tcPr>
                <w:p>
                  <w:pPr>
                    <w:pStyle w:val="170"/>
                    <w:rPr>
                      <w:color w:val="auto"/>
                    </w:rPr>
                  </w:pPr>
                  <w:r>
                    <w:rPr>
                      <w:rFonts w:hint="eastAsia"/>
                      <w:color w:val="auto"/>
                    </w:rPr>
                    <w:t>市中区</w:t>
                  </w:r>
                </w:p>
              </w:tc>
              <w:tc>
                <w:tcPr>
                  <w:tcW w:w="2492" w:type="pct"/>
                  <w:noWrap w:val="0"/>
                  <w:vAlign w:val="center"/>
                </w:tcPr>
                <w:p>
                  <w:pPr>
                    <w:pStyle w:val="170"/>
                    <w:rPr>
                      <w:color w:val="auto"/>
                    </w:rPr>
                  </w:pPr>
                  <w:r>
                    <w:rPr>
                      <w:rFonts w:hint="eastAsia"/>
                      <w:color w:val="auto"/>
                    </w:rPr>
                    <w:t>优化调整产业结构，严格生态环境准入要求；</w:t>
                  </w:r>
                </w:p>
              </w:tc>
              <w:tc>
                <w:tcPr>
                  <w:tcW w:w="1666" w:type="pct"/>
                  <w:vMerge w:val="restart"/>
                  <w:noWrap w:val="0"/>
                  <w:vAlign w:val="center"/>
                </w:tcPr>
                <w:p>
                  <w:pPr>
                    <w:pStyle w:val="170"/>
                    <w:rPr>
                      <w:rFonts w:hint="eastAsia"/>
                      <w:color w:val="auto"/>
                    </w:rPr>
                  </w:pPr>
                  <w:r>
                    <w:rPr>
                      <w:rFonts w:hint="eastAsia"/>
                      <w:color w:val="auto"/>
                    </w:rPr>
                    <w:t>本项目为宠物医院服务项目，不属于涉危涉化企业，符合生态环境准入要求，本项目废水经医院废水处理设备处理后进入市政污水管网，排入末端乐山市第一污水处理厂处理，本项目不涉及挥发性有机物的排放</w:t>
                  </w:r>
                </w:p>
              </w:tc>
              <w:tc>
                <w:tcPr>
                  <w:tcW w:w="452" w:type="pct"/>
                  <w:vMerge w:val="restart"/>
                  <w:noWrap w:val="0"/>
                  <w:vAlign w:val="center"/>
                </w:tcPr>
                <w:p>
                  <w:pPr>
                    <w:pStyle w:val="17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trPr>
              <w:tc>
                <w:tcPr>
                  <w:tcW w:w="389" w:type="pct"/>
                  <w:vMerge w:val="continue"/>
                  <w:noWrap w:val="0"/>
                  <w:vAlign w:val="center"/>
                </w:tcPr>
                <w:p>
                  <w:pPr>
                    <w:pStyle w:val="170"/>
                    <w:rPr>
                      <w:rFonts w:hint="eastAsia"/>
                      <w:color w:val="auto"/>
                    </w:rPr>
                  </w:pPr>
                </w:p>
              </w:tc>
              <w:tc>
                <w:tcPr>
                  <w:tcW w:w="2492" w:type="pct"/>
                  <w:noWrap w:val="0"/>
                  <w:vAlign w:val="center"/>
                </w:tcPr>
                <w:p>
                  <w:pPr>
                    <w:pStyle w:val="170"/>
                    <w:rPr>
                      <w:rFonts w:hint="eastAsia"/>
                      <w:color w:val="auto"/>
                    </w:rPr>
                  </w:pPr>
                  <w:r>
                    <w:rPr>
                      <w:rFonts w:hint="eastAsia"/>
                      <w:color w:val="auto"/>
                    </w:rPr>
                    <w:t>推动城市建成区内企业“退城入园”，严格控制园外企业无序扩张</w:t>
                  </w:r>
                </w:p>
              </w:tc>
              <w:tc>
                <w:tcPr>
                  <w:tcW w:w="1666" w:type="pct"/>
                  <w:vMerge w:val="continue"/>
                  <w:noWrap w:val="0"/>
                  <w:vAlign w:val="center"/>
                </w:tcPr>
                <w:p>
                  <w:pPr>
                    <w:pStyle w:val="170"/>
                    <w:rPr>
                      <w:color w:val="auto"/>
                    </w:rPr>
                  </w:pPr>
                </w:p>
              </w:tc>
              <w:tc>
                <w:tcPr>
                  <w:tcW w:w="452" w:type="pct"/>
                  <w:vMerge w:val="continue"/>
                  <w:noWrap w:val="0"/>
                  <w:vAlign w:val="center"/>
                </w:tcPr>
                <w:p>
                  <w:pPr>
                    <w:pStyle w:val="170"/>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9" w:hRule="atLeast"/>
              </w:trPr>
              <w:tc>
                <w:tcPr>
                  <w:tcW w:w="389" w:type="pct"/>
                  <w:vMerge w:val="continue"/>
                  <w:noWrap w:val="0"/>
                  <w:vAlign w:val="center"/>
                </w:tcPr>
                <w:p>
                  <w:pPr>
                    <w:pStyle w:val="170"/>
                    <w:rPr>
                      <w:rFonts w:hint="eastAsia"/>
                      <w:color w:val="auto"/>
                    </w:rPr>
                  </w:pPr>
                </w:p>
              </w:tc>
              <w:tc>
                <w:tcPr>
                  <w:tcW w:w="2492" w:type="pct"/>
                  <w:noWrap w:val="0"/>
                  <w:vAlign w:val="center"/>
                </w:tcPr>
                <w:p>
                  <w:pPr>
                    <w:pStyle w:val="170"/>
                    <w:rPr>
                      <w:rFonts w:hint="eastAsia"/>
                      <w:color w:val="auto"/>
                    </w:rPr>
                  </w:pPr>
                  <w:r>
                    <w:rPr>
                      <w:rFonts w:hint="eastAsia"/>
                      <w:color w:val="auto"/>
                    </w:rPr>
                    <w:t>加强泥溪河、茫溪河等小流域污染治理，严控泥溪河、茫溪河流域涉水排放项目及水产养殖规模；加强农业面源污染治理，严格控制化肥农药使用量，积极推广畜禽清洁养殖和畜禽粪污无害化、资源化利用技术；</w:t>
                  </w:r>
                </w:p>
              </w:tc>
              <w:tc>
                <w:tcPr>
                  <w:tcW w:w="1666" w:type="pct"/>
                  <w:vMerge w:val="continue"/>
                  <w:noWrap w:val="0"/>
                  <w:vAlign w:val="center"/>
                </w:tcPr>
                <w:p>
                  <w:pPr>
                    <w:pStyle w:val="170"/>
                    <w:rPr>
                      <w:color w:val="auto"/>
                    </w:rPr>
                  </w:pPr>
                </w:p>
              </w:tc>
              <w:tc>
                <w:tcPr>
                  <w:tcW w:w="452" w:type="pct"/>
                  <w:vMerge w:val="continue"/>
                  <w:noWrap w:val="0"/>
                  <w:vAlign w:val="center"/>
                </w:tcPr>
                <w:p>
                  <w:pPr>
                    <w:pStyle w:val="170"/>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6" w:hRule="atLeast"/>
              </w:trPr>
              <w:tc>
                <w:tcPr>
                  <w:tcW w:w="389" w:type="pct"/>
                  <w:vMerge w:val="continue"/>
                  <w:noWrap w:val="0"/>
                  <w:vAlign w:val="center"/>
                </w:tcPr>
                <w:p>
                  <w:pPr>
                    <w:pStyle w:val="170"/>
                    <w:rPr>
                      <w:rFonts w:hint="eastAsia"/>
                      <w:color w:val="auto"/>
                    </w:rPr>
                  </w:pPr>
                </w:p>
              </w:tc>
              <w:tc>
                <w:tcPr>
                  <w:tcW w:w="2492" w:type="pct"/>
                  <w:noWrap w:val="0"/>
                  <w:vAlign w:val="center"/>
                </w:tcPr>
                <w:p>
                  <w:pPr>
                    <w:pStyle w:val="170"/>
                    <w:rPr>
                      <w:rFonts w:hint="eastAsia"/>
                      <w:color w:val="auto"/>
                    </w:rPr>
                  </w:pPr>
                  <w:r>
                    <w:rPr>
                      <w:rFonts w:hint="eastAsia"/>
                      <w:color w:val="auto"/>
                    </w:rPr>
                    <w:t>加强区域大气污染治理，推进涉挥发性有机物排放项目、砖瓦企业深度治理改造；执行大气污染物特别排放限值</w:t>
                  </w:r>
                </w:p>
              </w:tc>
              <w:tc>
                <w:tcPr>
                  <w:tcW w:w="1666" w:type="pct"/>
                  <w:vMerge w:val="continue"/>
                  <w:noWrap w:val="0"/>
                  <w:vAlign w:val="center"/>
                </w:tcPr>
                <w:p>
                  <w:pPr>
                    <w:pStyle w:val="170"/>
                    <w:rPr>
                      <w:color w:val="auto"/>
                    </w:rPr>
                  </w:pPr>
                </w:p>
              </w:tc>
              <w:tc>
                <w:tcPr>
                  <w:tcW w:w="452" w:type="pct"/>
                  <w:vMerge w:val="continue"/>
                  <w:noWrap w:val="0"/>
                  <w:vAlign w:val="center"/>
                </w:tcPr>
                <w:p>
                  <w:pPr>
                    <w:pStyle w:val="170"/>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389" w:type="pct"/>
                  <w:vMerge w:val="continue"/>
                  <w:noWrap w:val="0"/>
                  <w:vAlign w:val="center"/>
                </w:tcPr>
                <w:p>
                  <w:pPr>
                    <w:pStyle w:val="170"/>
                    <w:rPr>
                      <w:rFonts w:hint="eastAsia"/>
                      <w:color w:val="auto"/>
                    </w:rPr>
                  </w:pPr>
                </w:p>
              </w:tc>
              <w:tc>
                <w:tcPr>
                  <w:tcW w:w="2492" w:type="pct"/>
                  <w:noWrap w:val="0"/>
                  <w:vAlign w:val="center"/>
                </w:tcPr>
                <w:p>
                  <w:pPr>
                    <w:pStyle w:val="170"/>
                    <w:rPr>
                      <w:rFonts w:hint="eastAsia"/>
                      <w:color w:val="auto"/>
                    </w:rPr>
                  </w:pPr>
                  <w:r>
                    <w:rPr>
                      <w:rFonts w:hint="eastAsia"/>
                      <w:color w:val="auto"/>
                    </w:rPr>
                    <w:t>加强涉危涉化企业管控，严控环境风险</w:t>
                  </w:r>
                </w:p>
              </w:tc>
              <w:tc>
                <w:tcPr>
                  <w:tcW w:w="1666" w:type="pct"/>
                  <w:vMerge w:val="continue"/>
                  <w:noWrap w:val="0"/>
                  <w:vAlign w:val="center"/>
                </w:tcPr>
                <w:p>
                  <w:pPr>
                    <w:pStyle w:val="170"/>
                    <w:rPr>
                      <w:color w:val="auto"/>
                    </w:rPr>
                  </w:pPr>
                </w:p>
              </w:tc>
              <w:tc>
                <w:tcPr>
                  <w:tcW w:w="452" w:type="pct"/>
                  <w:vMerge w:val="continue"/>
                  <w:noWrap w:val="0"/>
                  <w:vAlign w:val="center"/>
                </w:tcPr>
                <w:p>
                  <w:pPr>
                    <w:pStyle w:val="170"/>
                    <w:rPr>
                      <w:rFonts w:hint="eastAsia"/>
                      <w:color w:val="auto"/>
                    </w:rPr>
                  </w:pPr>
                </w:p>
              </w:tc>
            </w:tr>
          </w:tbl>
          <w:p>
            <w:pPr>
              <w:pStyle w:val="104"/>
              <w:ind w:firstLine="480"/>
              <w:rPr>
                <w:rFonts w:hint="eastAsia"/>
                <w:color w:val="auto"/>
              </w:rPr>
            </w:pPr>
            <w:r>
              <w:rPr>
                <w:rFonts w:hint="eastAsia"/>
                <w:color w:val="auto"/>
              </w:rPr>
              <w:t>综上，项目符合乐山市环境管控单元中重点管控单元生态环境管控要求，符合乐山</w:t>
            </w:r>
            <w:r>
              <w:rPr>
                <w:rFonts w:hint="eastAsia"/>
                <w:bCs/>
                <w:color w:val="auto"/>
              </w:rPr>
              <w:t>市及市中区总体生态环境管控要求。</w:t>
            </w:r>
          </w:p>
          <w:p>
            <w:pPr>
              <w:pStyle w:val="6"/>
              <w:ind w:firstLine="482"/>
              <w:rPr>
                <w:color w:val="auto"/>
              </w:rPr>
            </w:pPr>
            <w:r>
              <w:rPr>
                <w:rFonts w:hint="eastAsia"/>
                <w:color w:val="auto"/>
                <w:lang w:val="en-US" w:eastAsia="zh-CN"/>
              </w:rPr>
              <w:t>4</w:t>
            </w:r>
            <w:r>
              <w:rPr>
                <w:color w:val="auto"/>
              </w:rPr>
              <w:t>、与《关于落实生态保护红线、环境质量底线、资源利用上线制定生态环境准入清单实施生态环境分区管控的通知》（川府发〔2020〕9号）符合性分析</w:t>
            </w:r>
          </w:p>
          <w:p>
            <w:pPr>
              <w:pStyle w:val="104"/>
              <w:ind w:firstLine="480"/>
              <w:rPr>
                <w:rFonts w:hint="eastAsia"/>
                <w:color w:val="auto"/>
                <w:lang w:val="en-US" w:eastAsia="zh-CN"/>
              </w:rPr>
            </w:pPr>
            <w:r>
              <w:rPr>
                <w:rFonts w:hint="eastAsia"/>
                <w:color w:val="auto"/>
              </w:rPr>
              <w:t>本项目选址于四川省乐山市市中区春华路中段656号，位于乐山市城区，</w:t>
            </w:r>
            <w:r>
              <w:rPr>
                <w:color w:val="auto"/>
              </w:rPr>
              <w:t>结合</w:t>
            </w:r>
            <w:r>
              <w:rPr>
                <w:rFonts w:hint="eastAsia"/>
                <w:color w:val="auto"/>
              </w:rPr>
              <w:t>“</w:t>
            </w:r>
            <w:r>
              <w:rPr>
                <w:color w:val="auto"/>
              </w:rPr>
              <w:t>三线一单</w:t>
            </w:r>
            <w:r>
              <w:rPr>
                <w:rFonts w:hint="eastAsia"/>
                <w:color w:val="auto"/>
              </w:rPr>
              <w:t>”</w:t>
            </w:r>
            <w:r>
              <w:rPr>
                <w:color w:val="auto"/>
              </w:rPr>
              <w:t>空间分区情况，项目所在的环境管控单元基本情况见下表。</w:t>
            </w:r>
            <w:r>
              <w:rPr>
                <w:rFonts w:hint="eastAsia"/>
                <w:color w:val="auto"/>
              </w:rPr>
              <w:t>项目与《关于落实生态保护红线、环境质量底线、资源利用上线制定生态环境准入清单实施生态环境分区管控的通知》（川府发〔</w:t>
            </w:r>
            <w:r>
              <w:rPr>
                <w:color w:val="auto"/>
              </w:rPr>
              <w:t>2020</w:t>
            </w:r>
            <w:r>
              <w:rPr>
                <w:rFonts w:hint="eastAsia"/>
                <w:color w:val="auto"/>
              </w:rPr>
              <w:t>〕</w:t>
            </w:r>
            <w:r>
              <w:rPr>
                <w:color w:val="auto"/>
              </w:rPr>
              <w:t>9</w:t>
            </w:r>
            <w:r>
              <w:rPr>
                <w:rFonts w:hint="eastAsia"/>
                <w:color w:val="auto"/>
              </w:rPr>
              <w:t>号）符合性分析</w:t>
            </w:r>
            <w:r>
              <w:rPr>
                <w:rFonts w:hint="eastAsia"/>
                <w:color w:val="auto"/>
                <w:lang w:eastAsia="zh-CN"/>
              </w:rPr>
              <w:t>见表</w:t>
            </w:r>
            <w:r>
              <w:rPr>
                <w:rFonts w:hint="eastAsia"/>
                <w:color w:val="auto"/>
                <w:lang w:val="en-US" w:eastAsia="zh-CN"/>
              </w:rPr>
              <w:t>1-5：</w:t>
            </w:r>
          </w:p>
          <w:p>
            <w:pPr>
              <w:pStyle w:val="104"/>
              <w:ind w:firstLine="480"/>
              <w:rPr>
                <w:rFonts w:hint="eastAsia"/>
                <w:color w:val="auto"/>
                <w:lang w:val="en-US" w:eastAsia="zh-CN"/>
              </w:rPr>
            </w:pPr>
          </w:p>
        </w:tc>
      </w:tr>
    </w:tbl>
    <w:p>
      <w:pPr>
        <w:pStyle w:val="102"/>
        <w:jc w:val="both"/>
        <w:rPr>
          <w:rFonts w:hint="eastAsia"/>
          <w:color w:val="auto"/>
        </w:rPr>
        <w:sectPr>
          <w:headerReference r:id="rId37" w:type="default"/>
          <w:footerReference r:id="rId38" w:type="default"/>
          <w:pgSz w:w="11906" w:h="16838"/>
          <w:pgMar w:top="1701" w:right="1531" w:bottom="1701" w:left="1531" w:header="851" w:footer="1077" w:gutter="0"/>
          <w:pgNumType w:fmt="decimal" w:start="1"/>
          <w:cols w:space="720" w:num="1"/>
          <w:docGrid w:linePitch="312" w:charSpace="0"/>
        </w:sectPr>
      </w:pPr>
    </w:p>
    <w:p>
      <w:pPr>
        <w:pStyle w:val="117"/>
        <w:rPr>
          <w:color w:val="auto"/>
        </w:rPr>
      </w:pPr>
      <w:r>
        <w:rPr>
          <w:color w:val="auto"/>
        </w:rPr>
        <w:t>表1-</w:t>
      </w:r>
      <w:r>
        <w:rPr>
          <w:rFonts w:hint="eastAsia"/>
          <w:color w:val="auto"/>
        </w:rPr>
        <w:t xml:space="preserve">5 </w:t>
      </w:r>
      <w:r>
        <w:rPr>
          <w:color w:val="auto"/>
        </w:rPr>
        <w:t>项目环境管控单元基本情况一览表</w:t>
      </w:r>
    </w:p>
    <w:tbl>
      <w:tblPr>
        <w:tblStyle w:val="38"/>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4"/>
        <w:gridCol w:w="792"/>
        <w:gridCol w:w="1160"/>
        <w:gridCol w:w="1411"/>
        <w:gridCol w:w="4960"/>
        <w:gridCol w:w="3191"/>
        <w:gridCol w:w="12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9" w:type="pct"/>
            <w:noWrap w:val="0"/>
            <w:vAlign w:val="center"/>
          </w:tcPr>
          <w:p>
            <w:pPr>
              <w:pStyle w:val="170"/>
              <w:rPr>
                <w:b/>
                <w:bCs/>
                <w:color w:val="auto"/>
              </w:rPr>
            </w:pPr>
            <w:r>
              <w:rPr>
                <w:b/>
                <w:bCs/>
                <w:color w:val="auto"/>
              </w:rPr>
              <w:t>序号</w:t>
            </w:r>
          </w:p>
        </w:tc>
        <w:tc>
          <w:tcPr>
            <w:tcW w:w="3049" w:type="pct"/>
            <w:gridSpan w:val="4"/>
            <w:noWrap w:val="0"/>
            <w:vAlign w:val="center"/>
          </w:tcPr>
          <w:p>
            <w:pPr>
              <w:pStyle w:val="170"/>
              <w:rPr>
                <w:b/>
                <w:bCs/>
                <w:color w:val="auto"/>
              </w:rPr>
            </w:pPr>
            <w:r>
              <w:rPr>
                <w:rFonts w:hint="eastAsia"/>
                <w:b/>
                <w:bCs/>
                <w:color w:val="auto"/>
              </w:rPr>
              <w:t>“</w:t>
            </w:r>
            <w:r>
              <w:rPr>
                <w:b/>
                <w:bCs/>
                <w:color w:val="auto"/>
              </w:rPr>
              <w:t>三线一单</w:t>
            </w:r>
            <w:r>
              <w:rPr>
                <w:rFonts w:hint="eastAsia"/>
                <w:b/>
                <w:bCs/>
                <w:color w:val="auto"/>
              </w:rPr>
              <w:t>”</w:t>
            </w:r>
            <w:r>
              <w:rPr>
                <w:b/>
                <w:bCs/>
                <w:color w:val="auto"/>
              </w:rPr>
              <w:t>环境管控要求</w:t>
            </w:r>
          </w:p>
        </w:tc>
        <w:tc>
          <w:tcPr>
            <w:tcW w:w="1169" w:type="pct"/>
            <w:noWrap w:val="0"/>
            <w:vAlign w:val="center"/>
          </w:tcPr>
          <w:p>
            <w:pPr>
              <w:pStyle w:val="170"/>
              <w:rPr>
                <w:b/>
                <w:bCs/>
                <w:color w:val="auto"/>
              </w:rPr>
            </w:pPr>
            <w:r>
              <w:rPr>
                <w:b/>
                <w:bCs/>
                <w:color w:val="auto"/>
              </w:rPr>
              <w:t>项目环境管控单元基本情况</w:t>
            </w:r>
          </w:p>
        </w:tc>
        <w:tc>
          <w:tcPr>
            <w:tcW w:w="472" w:type="pct"/>
            <w:noWrap w:val="0"/>
            <w:vAlign w:val="center"/>
          </w:tcPr>
          <w:p>
            <w:pPr>
              <w:pStyle w:val="170"/>
              <w:rPr>
                <w:b/>
                <w:bCs/>
                <w:color w:val="auto"/>
              </w:rPr>
            </w:pPr>
            <w:r>
              <w:rPr>
                <w:b/>
                <w:bCs/>
                <w:color w:val="auto"/>
              </w:rPr>
              <w:t>符合性分析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3" w:hRule="atLeast"/>
        </w:trPr>
        <w:tc>
          <w:tcPr>
            <w:tcW w:w="309" w:type="pct"/>
            <w:vMerge w:val="restart"/>
            <w:noWrap w:val="0"/>
            <w:vAlign w:val="center"/>
          </w:tcPr>
          <w:p>
            <w:pPr>
              <w:pStyle w:val="170"/>
              <w:rPr>
                <w:color w:val="auto"/>
              </w:rPr>
            </w:pPr>
          </w:p>
          <w:p>
            <w:pPr>
              <w:pStyle w:val="170"/>
              <w:rPr>
                <w:color w:val="auto"/>
              </w:rPr>
            </w:pPr>
          </w:p>
          <w:p>
            <w:pPr>
              <w:pStyle w:val="170"/>
              <w:rPr>
                <w:color w:val="auto"/>
              </w:rPr>
            </w:pPr>
          </w:p>
          <w:p>
            <w:pPr>
              <w:pStyle w:val="170"/>
              <w:rPr>
                <w:color w:val="auto"/>
              </w:rPr>
            </w:pPr>
          </w:p>
          <w:p>
            <w:pPr>
              <w:pStyle w:val="170"/>
              <w:rPr>
                <w:color w:val="auto"/>
              </w:rPr>
            </w:pPr>
          </w:p>
          <w:p>
            <w:pPr>
              <w:pStyle w:val="170"/>
              <w:rPr>
                <w:color w:val="auto"/>
              </w:rPr>
            </w:pPr>
          </w:p>
          <w:p>
            <w:pPr>
              <w:pStyle w:val="170"/>
              <w:rPr>
                <w:color w:val="auto"/>
              </w:rPr>
            </w:pPr>
          </w:p>
          <w:p>
            <w:pPr>
              <w:pStyle w:val="170"/>
              <w:rPr>
                <w:color w:val="auto"/>
              </w:rPr>
            </w:pPr>
          </w:p>
          <w:p>
            <w:pPr>
              <w:pStyle w:val="170"/>
              <w:rPr>
                <w:color w:val="auto"/>
              </w:rPr>
            </w:pPr>
            <w:r>
              <w:rPr>
                <w:color w:val="auto"/>
              </w:rPr>
              <w:t>1</w:t>
            </w:r>
          </w:p>
        </w:tc>
        <w:tc>
          <w:tcPr>
            <w:tcW w:w="290" w:type="pct"/>
            <w:vMerge w:val="restart"/>
            <w:noWrap w:val="0"/>
            <w:vAlign w:val="center"/>
          </w:tcPr>
          <w:p>
            <w:pPr>
              <w:pStyle w:val="170"/>
              <w:rPr>
                <w:b/>
                <w:bCs/>
                <w:color w:val="auto"/>
              </w:rPr>
            </w:pPr>
          </w:p>
          <w:p>
            <w:pPr>
              <w:pStyle w:val="170"/>
              <w:rPr>
                <w:b/>
                <w:bCs/>
                <w:color w:val="auto"/>
              </w:rPr>
            </w:pPr>
          </w:p>
          <w:p>
            <w:pPr>
              <w:pStyle w:val="170"/>
              <w:rPr>
                <w:b/>
                <w:bCs/>
                <w:color w:val="auto"/>
              </w:rPr>
            </w:pPr>
          </w:p>
          <w:p>
            <w:pPr>
              <w:pStyle w:val="170"/>
              <w:rPr>
                <w:b/>
                <w:bCs/>
                <w:color w:val="auto"/>
              </w:rPr>
            </w:pPr>
          </w:p>
          <w:p>
            <w:pPr>
              <w:pStyle w:val="170"/>
              <w:rPr>
                <w:b/>
                <w:bCs/>
                <w:color w:val="auto"/>
              </w:rPr>
            </w:pPr>
          </w:p>
          <w:p>
            <w:pPr>
              <w:pStyle w:val="170"/>
              <w:rPr>
                <w:b/>
                <w:bCs/>
                <w:color w:val="auto"/>
              </w:rPr>
            </w:pPr>
          </w:p>
          <w:p>
            <w:pPr>
              <w:pStyle w:val="170"/>
              <w:rPr>
                <w:b/>
                <w:bCs/>
                <w:color w:val="auto"/>
              </w:rPr>
            </w:pPr>
          </w:p>
          <w:p>
            <w:pPr>
              <w:pStyle w:val="170"/>
              <w:rPr>
                <w:b/>
                <w:bCs/>
                <w:color w:val="auto"/>
              </w:rPr>
            </w:pPr>
          </w:p>
          <w:p>
            <w:pPr>
              <w:pStyle w:val="170"/>
              <w:rPr>
                <w:b/>
                <w:bCs/>
                <w:color w:val="auto"/>
              </w:rPr>
            </w:pPr>
          </w:p>
          <w:p>
            <w:pPr>
              <w:pStyle w:val="170"/>
              <w:rPr>
                <w:b/>
                <w:bCs/>
                <w:color w:val="auto"/>
              </w:rPr>
            </w:pPr>
          </w:p>
          <w:p>
            <w:pPr>
              <w:pStyle w:val="170"/>
              <w:rPr>
                <w:b/>
                <w:bCs/>
                <w:color w:val="auto"/>
              </w:rPr>
            </w:pPr>
          </w:p>
          <w:p>
            <w:pPr>
              <w:pStyle w:val="170"/>
              <w:rPr>
                <w:b/>
                <w:bCs/>
                <w:color w:val="auto"/>
              </w:rPr>
            </w:pPr>
          </w:p>
          <w:p>
            <w:pPr>
              <w:pStyle w:val="170"/>
              <w:rPr>
                <w:b/>
                <w:bCs/>
                <w:color w:val="auto"/>
              </w:rPr>
            </w:pPr>
            <w:r>
              <w:rPr>
                <w:b/>
                <w:bCs/>
                <w:color w:val="auto"/>
              </w:rPr>
              <w:t>普适性清单管控要求</w:t>
            </w:r>
          </w:p>
        </w:tc>
        <w:tc>
          <w:tcPr>
            <w:tcW w:w="425" w:type="pct"/>
            <w:vMerge w:val="restart"/>
            <w:noWrap w:val="0"/>
            <w:vAlign w:val="center"/>
          </w:tcPr>
          <w:p>
            <w:pPr>
              <w:pStyle w:val="170"/>
              <w:rPr>
                <w:color w:val="auto"/>
              </w:rPr>
            </w:pPr>
            <w:r>
              <w:rPr>
                <w:color w:val="auto"/>
              </w:rPr>
              <w:t>空间布局约束</w:t>
            </w:r>
          </w:p>
        </w:tc>
        <w:tc>
          <w:tcPr>
            <w:tcW w:w="516" w:type="pct"/>
            <w:noWrap w:val="0"/>
            <w:vAlign w:val="center"/>
          </w:tcPr>
          <w:p>
            <w:pPr>
              <w:pStyle w:val="170"/>
              <w:rPr>
                <w:color w:val="auto"/>
              </w:rPr>
            </w:pPr>
            <w:r>
              <w:rPr>
                <w:color w:val="auto"/>
              </w:rPr>
              <w:t>禁止开发建设活动的要求</w:t>
            </w:r>
          </w:p>
        </w:tc>
        <w:tc>
          <w:tcPr>
            <w:tcW w:w="1817" w:type="pct"/>
            <w:noWrap w:val="0"/>
            <w:vAlign w:val="center"/>
          </w:tcPr>
          <w:p>
            <w:pPr>
              <w:pStyle w:val="170"/>
              <w:rPr>
                <w:color w:val="auto"/>
              </w:rPr>
            </w:pPr>
            <w:r>
              <w:rPr>
                <w:color w:val="auto"/>
              </w:rPr>
              <w:t>（1）原则上禁止新建生产性企业，经论证与周边环境相容的涉及民生的工业企业除外（2）禁止在长江干支流岸线1公里范围内新建、扩建化工园区和化工项目</w:t>
            </w:r>
            <w:r>
              <w:rPr>
                <w:rFonts w:hint="eastAsia"/>
                <w:color w:val="auto"/>
              </w:rPr>
              <w:t>；</w:t>
            </w:r>
            <w:r>
              <w:rPr>
                <w:color w:val="auto"/>
              </w:rPr>
              <w:t> 禁止在长江重要支流岸线一公里范围内新建、改建、扩建尾矿库（以提升安全、生态环境保护水平为目的的改建除外）（3）禁止在居民区、学校、医疗和养老机构等周边新建有色金属冶炼、焦化、化工、铅蓄电池制造等行业企业</w:t>
            </w:r>
            <w:r>
              <w:rPr>
                <w:rFonts w:hint="eastAsia"/>
                <w:color w:val="auto"/>
              </w:rPr>
              <w:t>；</w:t>
            </w:r>
            <w:r>
              <w:rPr>
                <w:color w:val="auto"/>
              </w:rPr>
              <w:t>严禁在人口聚集区新建涉及重金属排放的项目（4）禁止在长江流域禁止采砂区和禁止采砂期从事采砂活动;</w:t>
            </w:r>
          </w:p>
        </w:tc>
        <w:tc>
          <w:tcPr>
            <w:tcW w:w="1169" w:type="pct"/>
            <w:noWrap w:val="0"/>
            <w:vAlign w:val="center"/>
          </w:tcPr>
          <w:p>
            <w:pPr>
              <w:pStyle w:val="170"/>
              <w:rPr>
                <w:rFonts w:hint="eastAsia"/>
                <w:color w:val="auto"/>
              </w:rPr>
            </w:pPr>
            <w:r>
              <w:rPr>
                <w:rFonts w:hint="eastAsia"/>
                <w:color w:val="auto"/>
              </w:rPr>
              <w:t>本项目为宠物医院服务项目，不属于生产性企业，不属于冶炼、焦化、化工、铅蓄电池制造行业，项目不涉及重金属排放，不属于禁止开发建设活动</w:t>
            </w:r>
          </w:p>
        </w:tc>
        <w:tc>
          <w:tcPr>
            <w:tcW w:w="472" w:type="pct"/>
            <w:noWrap w:val="0"/>
            <w:vAlign w:val="center"/>
          </w:tcPr>
          <w:p>
            <w:pPr>
              <w:pStyle w:val="170"/>
              <w:rPr>
                <w:rFonts w:hint="eastAsia"/>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continue"/>
            <w:noWrap w:val="0"/>
            <w:vAlign w:val="center"/>
          </w:tcPr>
          <w:p>
            <w:pPr>
              <w:pStyle w:val="170"/>
              <w:rPr>
                <w:color w:val="auto"/>
              </w:rPr>
            </w:pPr>
          </w:p>
        </w:tc>
        <w:tc>
          <w:tcPr>
            <w:tcW w:w="516" w:type="pct"/>
            <w:noWrap w:val="0"/>
            <w:vAlign w:val="center"/>
          </w:tcPr>
          <w:p>
            <w:pPr>
              <w:pStyle w:val="170"/>
              <w:rPr>
                <w:color w:val="auto"/>
              </w:rPr>
            </w:pPr>
            <w:r>
              <w:rPr>
                <w:color w:val="auto"/>
              </w:rPr>
              <w:t>限制开发建设活动的要求</w:t>
            </w:r>
          </w:p>
        </w:tc>
        <w:tc>
          <w:tcPr>
            <w:tcW w:w="1817" w:type="pct"/>
            <w:noWrap w:val="0"/>
            <w:vAlign w:val="center"/>
          </w:tcPr>
          <w:p>
            <w:pPr>
              <w:pStyle w:val="170"/>
              <w:rPr>
                <w:color w:val="auto"/>
              </w:rPr>
            </w:pPr>
            <w:r>
              <w:rPr>
                <w:color w:val="auto"/>
              </w:rPr>
              <w:t>（1）现有工业企业（涉及民生的除外）限制发展，允许以提升安全、生态环境保护水平为目的的改建，引导企业搬入产业对口园区（2）严格控制在城镇空间范围内新布设工业园区</w:t>
            </w:r>
            <w:r>
              <w:rPr>
                <w:rFonts w:hint="eastAsia"/>
                <w:color w:val="auto"/>
              </w:rPr>
              <w:t>；</w:t>
            </w:r>
            <w:r>
              <w:rPr>
                <w:color w:val="auto"/>
              </w:rPr>
              <w:t> 若新布局工业园区，应符合乐山市国土空间规划，并结合区域环境特点、三线成果、园区产业类别，充分论证选址的环境合理性（3）长江流域河道采砂应当依法取得国务院水行政主管部门有关流域管理机构或者县级以上地方人民政府水行政主管部门的许可</w:t>
            </w:r>
            <w:r>
              <w:rPr>
                <w:rFonts w:hint="eastAsia"/>
                <w:color w:val="auto"/>
              </w:rPr>
              <w:t>；</w:t>
            </w:r>
            <w:r>
              <w:rPr>
                <w:color w:val="auto"/>
              </w:rPr>
              <w:t>严格控制采砂区域、采砂总量和采砂区域内的采砂船舶数量;</w:t>
            </w:r>
          </w:p>
        </w:tc>
        <w:tc>
          <w:tcPr>
            <w:tcW w:w="1169" w:type="pct"/>
            <w:noWrap w:val="0"/>
            <w:vAlign w:val="center"/>
          </w:tcPr>
          <w:p>
            <w:pPr>
              <w:pStyle w:val="170"/>
              <w:rPr>
                <w:rFonts w:hint="eastAsia"/>
                <w:color w:val="auto"/>
              </w:rPr>
            </w:pPr>
            <w:r>
              <w:rPr>
                <w:rFonts w:hint="eastAsia"/>
                <w:color w:val="auto"/>
              </w:rPr>
              <w:t>本项目为宠物医院建设项目，属于民生有需求类项目，项目为未批先建，但根据对项目现场调查，项目已采取了部分环保措施</w:t>
            </w:r>
          </w:p>
        </w:tc>
        <w:tc>
          <w:tcPr>
            <w:tcW w:w="472" w:type="pct"/>
            <w:noWrap w:val="0"/>
            <w:vAlign w:val="center"/>
          </w:tcPr>
          <w:p>
            <w:pPr>
              <w:pStyle w:val="170"/>
              <w:rPr>
                <w:rFonts w:hint="eastAsia"/>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3"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continue"/>
            <w:noWrap w:val="0"/>
            <w:vAlign w:val="center"/>
          </w:tcPr>
          <w:p>
            <w:pPr>
              <w:pStyle w:val="170"/>
              <w:rPr>
                <w:color w:val="auto"/>
              </w:rPr>
            </w:pPr>
          </w:p>
        </w:tc>
        <w:tc>
          <w:tcPr>
            <w:tcW w:w="516" w:type="pct"/>
            <w:noWrap w:val="0"/>
            <w:vAlign w:val="center"/>
          </w:tcPr>
          <w:p>
            <w:pPr>
              <w:pStyle w:val="170"/>
              <w:rPr>
                <w:color w:val="auto"/>
              </w:rPr>
            </w:pPr>
            <w:r>
              <w:rPr>
                <w:color w:val="auto"/>
              </w:rPr>
              <w:t>不符合空间布局要求活动的退出要求</w:t>
            </w:r>
          </w:p>
        </w:tc>
        <w:tc>
          <w:tcPr>
            <w:tcW w:w="1817" w:type="pct"/>
            <w:noWrap w:val="0"/>
            <w:vAlign w:val="center"/>
          </w:tcPr>
          <w:p>
            <w:pPr>
              <w:pStyle w:val="170"/>
              <w:rPr>
                <w:color w:val="auto"/>
              </w:rPr>
            </w:pPr>
            <w:r>
              <w:rPr>
                <w:color w:val="auto"/>
              </w:rPr>
              <w:t> （1）长江主要支流重点管控岸线：按照长江干线非法码头治理标准和生态保护红线管控等要求，持续开展长江主要支流非法码头整治（2）加快城市建成区重污染企业搬迁改造或关闭退出，推动实施一批重污染企业搬迁工程</w:t>
            </w:r>
            <w:r>
              <w:rPr>
                <w:rFonts w:hint="eastAsia"/>
                <w:color w:val="auto"/>
              </w:rPr>
              <w:t>；</w:t>
            </w:r>
            <w:r>
              <w:rPr>
                <w:color w:val="auto"/>
              </w:rPr>
              <w:t> 大气污染防治重点区域城市钢铁企业要切实采取彻底关停、转型发展、就地改造、域外搬迁等方式转型升级（3）长江干流及主要支流岸线延伸至陆域200米范围内基本消除畜禽养殖场（小区）</w:t>
            </w:r>
          </w:p>
        </w:tc>
        <w:tc>
          <w:tcPr>
            <w:tcW w:w="1169" w:type="pct"/>
            <w:noWrap w:val="0"/>
            <w:vAlign w:val="center"/>
          </w:tcPr>
          <w:p>
            <w:pPr>
              <w:pStyle w:val="170"/>
              <w:rPr>
                <w:rFonts w:hint="eastAsia"/>
                <w:color w:val="auto"/>
              </w:rPr>
            </w:pPr>
            <w:r>
              <w:rPr>
                <w:rFonts w:hint="eastAsia"/>
                <w:color w:val="auto"/>
              </w:rPr>
              <w:t>本项目为宠物医院建设项目，位于中心城区，不属于不符合空间布局要求的项目</w:t>
            </w:r>
          </w:p>
        </w:tc>
        <w:tc>
          <w:tcPr>
            <w:tcW w:w="472" w:type="pct"/>
            <w:noWrap w:val="0"/>
            <w:vAlign w:val="center"/>
          </w:tcPr>
          <w:p>
            <w:pPr>
              <w:pStyle w:val="170"/>
              <w:rPr>
                <w:rFonts w:hint="eastAsia"/>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8"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continue"/>
            <w:noWrap w:val="0"/>
            <w:vAlign w:val="center"/>
          </w:tcPr>
          <w:p>
            <w:pPr>
              <w:pStyle w:val="170"/>
              <w:rPr>
                <w:color w:val="auto"/>
              </w:rPr>
            </w:pPr>
          </w:p>
        </w:tc>
        <w:tc>
          <w:tcPr>
            <w:tcW w:w="516" w:type="pct"/>
            <w:noWrap w:val="0"/>
            <w:vAlign w:val="center"/>
          </w:tcPr>
          <w:p>
            <w:pPr>
              <w:pStyle w:val="170"/>
              <w:rPr>
                <w:color w:val="auto"/>
              </w:rPr>
            </w:pPr>
            <w:r>
              <w:rPr>
                <w:color w:val="auto"/>
              </w:rPr>
              <w:t>其他空间布局约束要求</w:t>
            </w:r>
          </w:p>
        </w:tc>
        <w:tc>
          <w:tcPr>
            <w:tcW w:w="1817" w:type="pct"/>
            <w:noWrap w:val="0"/>
            <w:vAlign w:val="center"/>
          </w:tcPr>
          <w:p>
            <w:pPr>
              <w:pStyle w:val="170"/>
              <w:rPr>
                <w:color w:val="auto"/>
              </w:rPr>
            </w:pPr>
            <w:r>
              <w:rPr>
                <w:color w:val="auto"/>
              </w:rPr>
              <w:t>（1）长江干流及主要支流重点管控岸线：加强滨水岸线管控，以生态保护为主基调，加快推进生态修复工作进程（2）加大交通运输结构优化调整力度，推动</w:t>
            </w:r>
            <w:r>
              <w:rPr>
                <w:rFonts w:hint="eastAsia"/>
                <w:color w:val="auto"/>
              </w:rPr>
              <w:t>“</w:t>
            </w:r>
            <w:r>
              <w:rPr>
                <w:color w:val="auto"/>
              </w:rPr>
              <w:t>公转铁</w:t>
            </w:r>
            <w:r>
              <w:rPr>
                <w:rFonts w:hint="eastAsia"/>
                <w:color w:val="auto"/>
              </w:rPr>
              <w:t>”“</w:t>
            </w:r>
            <w:r>
              <w:rPr>
                <w:color w:val="auto"/>
              </w:rPr>
              <w:t>公转水</w:t>
            </w:r>
            <w:r>
              <w:rPr>
                <w:rFonts w:hint="eastAsia"/>
                <w:color w:val="auto"/>
              </w:rPr>
              <w:t>”</w:t>
            </w:r>
            <w:r>
              <w:rPr>
                <w:color w:val="auto"/>
              </w:rPr>
              <w:t>和多式联运，推广节能和新能源车辆</w:t>
            </w:r>
          </w:p>
        </w:tc>
        <w:tc>
          <w:tcPr>
            <w:tcW w:w="1169" w:type="pct"/>
            <w:noWrap w:val="0"/>
            <w:vAlign w:val="center"/>
          </w:tcPr>
          <w:p>
            <w:pPr>
              <w:pStyle w:val="170"/>
              <w:rPr>
                <w:rFonts w:hint="eastAsia"/>
                <w:color w:val="auto"/>
              </w:rPr>
            </w:pPr>
            <w:r>
              <w:rPr>
                <w:rFonts w:hint="eastAsia"/>
                <w:color w:val="auto"/>
              </w:rPr>
              <w:t>本项目位于中心城区，项目运行不涉及大型交通运输</w:t>
            </w:r>
          </w:p>
        </w:tc>
        <w:tc>
          <w:tcPr>
            <w:tcW w:w="472" w:type="pct"/>
            <w:noWrap w:val="0"/>
            <w:vAlign w:val="center"/>
          </w:tcPr>
          <w:p>
            <w:pPr>
              <w:pStyle w:val="170"/>
              <w:rPr>
                <w:rFonts w:hint="eastAsia"/>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7"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restart"/>
            <w:noWrap w:val="0"/>
            <w:vAlign w:val="center"/>
          </w:tcPr>
          <w:p>
            <w:pPr>
              <w:pStyle w:val="170"/>
              <w:rPr>
                <w:color w:val="auto"/>
              </w:rPr>
            </w:pPr>
            <w:r>
              <w:rPr>
                <w:color w:val="auto"/>
              </w:rPr>
              <w:t>污染物排放管控</w:t>
            </w:r>
          </w:p>
        </w:tc>
        <w:tc>
          <w:tcPr>
            <w:tcW w:w="516" w:type="pct"/>
            <w:noWrap w:val="0"/>
            <w:vAlign w:val="center"/>
          </w:tcPr>
          <w:p>
            <w:pPr>
              <w:pStyle w:val="170"/>
              <w:rPr>
                <w:color w:val="auto"/>
              </w:rPr>
            </w:pPr>
            <w:r>
              <w:rPr>
                <w:color w:val="auto"/>
              </w:rPr>
              <w:t>允许排放量要求</w:t>
            </w:r>
          </w:p>
        </w:tc>
        <w:tc>
          <w:tcPr>
            <w:tcW w:w="1817" w:type="pct"/>
            <w:noWrap w:val="0"/>
            <w:vAlign w:val="center"/>
          </w:tcPr>
          <w:p>
            <w:pPr>
              <w:pStyle w:val="170"/>
              <w:rPr>
                <w:color w:val="auto"/>
              </w:rPr>
            </w:pPr>
            <w:r>
              <w:rPr>
                <w:color w:val="auto"/>
              </w:rPr>
              <w:t> （1）上一年度水环境质量未完成目标的，新建排放水污染的建设项目按照总量管控要求进行倍量削减替代（2）对新建排放二氧化硫、氮氧化物、工业烟粉尘和挥发性有机物的项目实施现役源2倍削减替代（3）岷江干流及其支流执行总磷排放减量置换（4）水质超标的水功能区，应当实施更严格的污染物排放总量削减要求</w:t>
            </w:r>
          </w:p>
        </w:tc>
        <w:tc>
          <w:tcPr>
            <w:tcW w:w="1169" w:type="pct"/>
            <w:noWrap w:val="0"/>
            <w:vAlign w:val="center"/>
          </w:tcPr>
          <w:p>
            <w:pPr>
              <w:pStyle w:val="170"/>
              <w:rPr>
                <w:color w:val="auto"/>
              </w:rPr>
            </w:pPr>
            <w:r>
              <w:rPr>
                <w:rFonts w:hint="eastAsia"/>
                <w:color w:val="auto"/>
              </w:rPr>
              <w:t>本项目为宠物医院建设项目</w:t>
            </w:r>
          </w:p>
        </w:tc>
        <w:tc>
          <w:tcPr>
            <w:tcW w:w="472" w:type="pct"/>
            <w:noWrap w:val="0"/>
            <w:vAlign w:val="center"/>
          </w:tcPr>
          <w:p>
            <w:pPr>
              <w:pStyle w:val="17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8"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continue"/>
            <w:noWrap w:val="0"/>
            <w:vAlign w:val="center"/>
          </w:tcPr>
          <w:p>
            <w:pPr>
              <w:pStyle w:val="170"/>
              <w:rPr>
                <w:color w:val="auto"/>
              </w:rPr>
            </w:pPr>
          </w:p>
        </w:tc>
        <w:tc>
          <w:tcPr>
            <w:tcW w:w="516" w:type="pct"/>
            <w:noWrap w:val="0"/>
            <w:vAlign w:val="center"/>
          </w:tcPr>
          <w:p>
            <w:pPr>
              <w:pStyle w:val="170"/>
              <w:rPr>
                <w:color w:val="auto"/>
              </w:rPr>
            </w:pPr>
            <w:r>
              <w:rPr>
                <w:color w:val="auto"/>
              </w:rPr>
              <w:t>现有源提标升级改造</w:t>
            </w:r>
          </w:p>
        </w:tc>
        <w:tc>
          <w:tcPr>
            <w:tcW w:w="1817" w:type="pct"/>
            <w:noWrap w:val="0"/>
            <w:vAlign w:val="center"/>
          </w:tcPr>
          <w:p>
            <w:pPr>
              <w:pStyle w:val="170"/>
              <w:rPr>
                <w:color w:val="auto"/>
              </w:rPr>
            </w:pPr>
            <w:r>
              <w:rPr>
                <w:color w:val="auto"/>
              </w:rPr>
              <w:t> （1）现有及新建处理规模大于1000吨日的城镇生活污水处理厂执行《四川省岷江、沱江流域水污染物排放标准》（DB51 2311-2016）（2）市中区、五通桥区、沙湾区、犍为县、井研县、峨眉山市、夹江县属大气污染重点区域，执行大气污染物排放特别限值和特别管控要求  （3）全市燃煤锅炉稳定达到超低排放限值要求，烟粉尘低于10毫克立方米，二氧化硫低于35毫克立方米，氮氧化物低于50毫克立方米 </w:t>
            </w:r>
          </w:p>
        </w:tc>
        <w:tc>
          <w:tcPr>
            <w:tcW w:w="1169" w:type="pct"/>
            <w:noWrap w:val="0"/>
            <w:vAlign w:val="center"/>
          </w:tcPr>
          <w:p>
            <w:pPr>
              <w:pStyle w:val="170"/>
              <w:rPr>
                <w:color w:val="auto"/>
              </w:rPr>
            </w:pPr>
            <w:r>
              <w:rPr>
                <w:rFonts w:hint="eastAsia"/>
                <w:color w:val="auto"/>
              </w:rPr>
              <w:t>本项目为宠物医院建设项目</w:t>
            </w:r>
          </w:p>
        </w:tc>
        <w:tc>
          <w:tcPr>
            <w:tcW w:w="472" w:type="pct"/>
            <w:noWrap w:val="0"/>
            <w:vAlign w:val="center"/>
          </w:tcPr>
          <w:p>
            <w:pPr>
              <w:pStyle w:val="17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0"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continue"/>
            <w:noWrap w:val="0"/>
            <w:vAlign w:val="center"/>
          </w:tcPr>
          <w:p>
            <w:pPr>
              <w:pStyle w:val="170"/>
              <w:rPr>
                <w:color w:val="auto"/>
              </w:rPr>
            </w:pPr>
          </w:p>
        </w:tc>
        <w:tc>
          <w:tcPr>
            <w:tcW w:w="516" w:type="pct"/>
            <w:noWrap w:val="0"/>
            <w:vAlign w:val="center"/>
          </w:tcPr>
          <w:p>
            <w:pPr>
              <w:pStyle w:val="170"/>
              <w:rPr>
                <w:color w:val="auto"/>
              </w:rPr>
            </w:pPr>
            <w:r>
              <w:rPr>
                <w:color w:val="auto"/>
              </w:rPr>
              <w:t>其他污染物排放管控要求</w:t>
            </w:r>
          </w:p>
        </w:tc>
        <w:tc>
          <w:tcPr>
            <w:tcW w:w="1817" w:type="pct"/>
            <w:noWrap w:val="0"/>
            <w:vAlign w:val="center"/>
          </w:tcPr>
          <w:p>
            <w:pPr>
              <w:pStyle w:val="170"/>
              <w:rPr>
                <w:rFonts w:hint="eastAsia" w:eastAsia="宋体"/>
                <w:color w:val="auto"/>
                <w:lang w:eastAsia="zh-CN"/>
              </w:rPr>
            </w:pPr>
            <w:r>
              <w:rPr>
                <w:color w:val="auto"/>
              </w:rPr>
              <w:t> （1）到2030年，城市污水处理率达到100%（2）加快城市污水处理厂提标改造，推进人工湿地等深度处理设施配套建设，进一步降低人口密集区污染入河负荷（3）严格执行《关于实施第六阶段机动车排放标准的通告》、《四川省机动车和非道路移动机械排气污染防治办法》</w:t>
            </w:r>
            <w:r>
              <w:rPr>
                <w:rFonts w:hint="eastAsia"/>
                <w:color w:val="auto"/>
              </w:rPr>
              <w:t>；</w:t>
            </w:r>
            <w:r>
              <w:rPr>
                <w:color w:val="auto"/>
              </w:rPr>
              <w:t> 加快淘汰老旧车辆</w:t>
            </w:r>
            <w:r>
              <w:rPr>
                <w:rFonts w:hint="eastAsia"/>
                <w:color w:val="auto"/>
              </w:rPr>
              <w:t>；</w:t>
            </w:r>
            <w:r>
              <w:rPr>
                <w:color w:val="auto"/>
              </w:rPr>
              <w:t>严禁排放不达标车辆跨区域转移，鼓励、引导老旧车等高排放车辆提前报废更新</w:t>
            </w:r>
            <w:r>
              <w:rPr>
                <w:rFonts w:hint="eastAsia"/>
                <w:color w:val="auto"/>
              </w:rPr>
              <w:t>；</w:t>
            </w:r>
            <w:r>
              <w:rPr>
                <w:color w:val="auto"/>
              </w:rPr>
              <w:t>开展非道路移动机械污染整治</w:t>
            </w:r>
            <w:r>
              <w:rPr>
                <w:rFonts w:hint="eastAsia"/>
                <w:color w:val="auto"/>
              </w:rPr>
              <w:t>；</w:t>
            </w:r>
            <w:r>
              <w:rPr>
                <w:color w:val="auto"/>
              </w:rPr>
              <w:t>推进不达标工程机械清洁化改造和淘汰 （4）深化扬尘污染治理</w:t>
            </w:r>
            <w:r>
              <w:rPr>
                <w:rFonts w:hint="eastAsia"/>
                <w:color w:val="auto"/>
              </w:rPr>
              <w:t>；</w:t>
            </w:r>
            <w:r>
              <w:rPr>
                <w:color w:val="auto"/>
              </w:rPr>
              <w:t>建筑施工工地全部做到工地周边围挡、物料堆放覆盖、土方开挖湿法作业、路面硬化、出入车辆清洗、渣土车辆密闭运输</w:t>
            </w:r>
            <w:r>
              <w:rPr>
                <w:rFonts w:hint="eastAsia"/>
                <w:color w:val="auto"/>
              </w:rPr>
              <w:t>“</w:t>
            </w:r>
            <w:r>
              <w:rPr>
                <w:color w:val="auto"/>
              </w:rPr>
              <w:t>六个百分之百</w:t>
            </w:r>
            <w:r>
              <w:rPr>
                <w:rFonts w:hint="eastAsia"/>
                <w:color w:val="auto"/>
              </w:rPr>
              <w:t>”；</w:t>
            </w:r>
          </w:p>
          <w:p>
            <w:pPr>
              <w:pStyle w:val="170"/>
              <w:rPr>
                <w:color w:val="auto"/>
              </w:rPr>
            </w:pPr>
            <w:r>
              <w:rPr>
                <w:color w:val="auto"/>
              </w:rPr>
              <w:t>施工场地全部安装高空作业雾炮和围挡喷淋装置、在线监测和视频监控设备，监测数据与市、县主管部门联网</w:t>
            </w:r>
            <w:r>
              <w:rPr>
                <w:rFonts w:hint="eastAsia"/>
                <w:color w:val="auto"/>
              </w:rPr>
              <w:t>；</w:t>
            </w:r>
            <w:r>
              <w:rPr>
                <w:color w:val="auto"/>
              </w:rPr>
              <w:t> 严格堆场规范化全封闭管理（5）强化挥发性有机物整治</w:t>
            </w:r>
            <w:r>
              <w:rPr>
                <w:rFonts w:hint="eastAsia"/>
                <w:color w:val="auto"/>
              </w:rPr>
              <w:t>；</w:t>
            </w:r>
            <w:r>
              <w:rPr>
                <w:color w:val="auto"/>
              </w:rPr>
              <w:t>全面淘汰开启式干洗机</w:t>
            </w:r>
            <w:r>
              <w:rPr>
                <w:rFonts w:hint="eastAsia"/>
                <w:color w:val="auto"/>
              </w:rPr>
              <w:t>；</w:t>
            </w:r>
            <w:r>
              <w:rPr>
                <w:color w:val="auto"/>
              </w:rPr>
              <w:t>推广使用符合环保要求的建筑涂料、油墨、木器涂料、胶黏剂等产品</w:t>
            </w:r>
            <w:r>
              <w:rPr>
                <w:rFonts w:hint="eastAsia"/>
                <w:color w:val="auto"/>
              </w:rPr>
              <w:t>；</w:t>
            </w:r>
            <w:r>
              <w:rPr>
                <w:color w:val="auto"/>
              </w:rPr>
              <w:t>全面推广汽修行业使用低挥发性涂料，采用高效涂装工艺，完善有机废气收集和处理系统，取缔露天和敞开式汽修喷涂作业</w:t>
            </w:r>
            <w:r>
              <w:rPr>
                <w:rFonts w:hint="eastAsia"/>
                <w:color w:val="auto"/>
              </w:rPr>
              <w:t>；</w:t>
            </w:r>
            <w:r>
              <w:rPr>
                <w:color w:val="auto"/>
              </w:rPr>
              <w:t> 全面推进储油库、油罐车、加油站油气回收改造，回收率提高到80%以上</w:t>
            </w:r>
            <w:r>
              <w:rPr>
                <w:rFonts w:hint="eastAsia"/>
                <w:color w:val="auto"/>
              </w:rPr>
              <w:t>；</w:t>
            </w:r>
            <w:r>
              <w:rPr>
                <w:color w:val="auto"/>
              </w:rPr>
              <w:t>开展餐饮、食堂、露天烧烤专项整治（6）到2023年底，市级城市污泥无害化处置率达92%、县级城市达85%</w:t>
            </w:r>
            <w:r>
              <w:rPr>
                <w:rFonts w:hint="eastAsia"/>
                <w:color w:val="auto"/>
              </w:rPr>
              <w:t>；</w:t>
            </w:r>
            <w:r>
              <w:rPr>
                <w:color w:val="auto"/>
              </w:rPr>
              <w:t>到2030年，城市生活垃圾无害化处置率达100%，工业固体废弃物综合利用率达100%，危废处理率100%</w:t>
            </w:r>
          </w:p>
        </w:tc>
        <w:tc>
          <w:tcPr>
            <w:tcW w:w="1169" w:type="pct"/>
            <w:noWrap w:val="0"/>
            <w:vAlign w:val="center"/>
          </w:tcPr>
          <w:p>
            <w:pPr>
              <w:pStyle w:val="170"/>
              <w:rPr>
                <w:rFonts w:hint="eastAsia"/>
                <w:color w:val="auto"/>
              </w:rPr>
            </w:pPr>
            <w:r>
              <w:rPr>
                <w:rFonts w:hint="eastAsia"/>
                <w:color w:val="auto"/>
              </w:rPr>
              <w:t>本项目为宠物医院建设项目，为租用临街商铺进行建设，项目已建成运营多年，运营过程中产生的固体废弃物均得到合理的处置，废水经污水处理设备处理后进入市政污水管网</w:t>
            </w:r>
          </w:p>
        </w:tc>
        <w:tc>
          <w:tcPr>
            <w:tcW w:w="472" w:type="pct"/>
            <w:noWrap w:val="0"/>
            <w:vAlign w:val="center"/>
          </w:tcPr>
          <w:p>
            <w:pPr>
              <w:pStyle w:val="170"/>
              <w:rPr>
                <w:rFonts w:hint="eastAsia"/>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restart"/>
            <w:noWrap w:val="0"/>
            <w:vAlign w:val="center"/>
          </w:tcPr>
          <w:p>
            <w:pPr>
              <w:pStyle w:val="170"/>
              <w:rPr>
                <w:color w:val="auto"/>
              </w:rPr>
            </w:pPr>
            <w:r>
              <w:rPr>
                <w:color w:val="auto"/>
              </w:rPr>
              <w:t>环境风险防控</w:t>
            </w:r>
          </w:p>
        </w:tc>
        <w:tc>
          <w:tcPr>
            <w:tcW w:w="517" w:type="pct"/>
            <w:noWrap w:val="0"/>
            <w:vAlign w:val="center"/>
          </w:tcPr>
          <w:p>
            <w:pPr>
              <w:pStyle w:val="170"/>
              <w:rPr>
                <w:color w:val="auto"/>
              </w:rPr>
            </w:pPr>
            <w:r>
              <w:rPr>
                <w:color w:val="auto"/>
              </w:rPr>
              <w:t>联防联控要求</w:t>
            </w:r>
          </w:p>
        </w:tc>
        <w:tc>
          <w:tcPr>
            <w:tcW w:w="1816" w:type="pct"/>
            <w:noWrap w:val="0"/>
            <w:vAlign w:val="center"/>
          </w:tcPr>
          <w:p>
            <w:pPr>
              <w:pStyle w:val="170"/>
              <w:rPr>
                <w:rFonts w:hint="eastAsia"/>
                <w:color w:val="auto"/>
              </w:rPr>
            </w:pPr>
            <w:r>
              <w:rPr>
                <w:rFonts w:hint="eastAsia"/>
                <w:color w:val="auto"/>
              </w:rPr>
              <w:t>/</w:t>
            </w:r>
          </w:p>
        </w:tc>
        <w:tc>
          <w:tcPr>
            <w:tcW w:w="1169" w:type="pct"/>
            <w:noWrap w:val="0"/>
            <w:vAlign w:val="center"/>
          </w:tcPr>
          <w:p>
            <w:pPr>
              <w:pStyle w:val="170"/>
              <w:rPr>
                <w:rFonts w:hint="eastAsia"/>
                <w:color w:val="auto"/>
              </w:rPr>
            </w:pPr>
            <w:r>
              <w:rPr>
                <w:rFonts w:hint="eastAsia"/>
                <w:color w:val="auto"/>
              </w:rPr>
              <w:t>/</w:t>
            </w:r>
          </w:p>
        </w:tc>
        <w:tc>
          <w:tcPr>
            <w:tcW w:w="472" w:type="pct"/>
            <w:noWrap w:val="0"/>
            <w:vAlign w:val="center"/>
          </w:tcPr>
          <w:p>
            <w:pPr>
              <w:pStyle w:val="170"/>
              <w:rPr>
                <w:rFonts w:hint="eastAsia"/>
                <w:color w:val="auto"/>
              </w:rPr>
            </w:pPr>
            <w:r>
              <w:rPr>
                <w:rFonts w:hint="eastAsia"/>
                <w:color w:val="aut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6"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continue"/>
            <w:noWrap w:val="0"/>
            <w:vAlign w:val="center"/>
          </w:tcPr>
          <w:p>
            <w:pPr>
              <w:pStyle w:val="170"/>
              <w:rPr>
                <w:color w:val="auto"/>
              </w:rPr>
            </w:pPr>
          </w:p>
        </w:tc>
        <w:tc>
          <w:tcPr>
            <w:tcW w:w="517" w:type="pct"/>
            <w:noWrap w:val="0"/>
            <w:vAlign w:val="center"/>
          </w:tcPr>
          <w:p>
            <w:pPr>
              <w:pStyle w:val="170"/>
              <w:rPr>
                <w:color w:val="auto"/>
              </w:rPr>
            </w:pPr>
            <w:r>
              <w:rPr>
                <w:color w:val="auto"/>
              </w:rPr>
              <w:t>其他环境风险防控要求</w:t>
            </w:r>
          </w:p>
        </w:tc>
        <w:tc>
          <w:tcPr>
            <w:tcW w:w="1816" w:type="pct"/>
            <w:noWrap w:val="0"/>
            <w:vAlign w:val="center"/>
          </w:tcPr>
          <w:p>
            <w:pPr>
              <w:pStyle w:val="170"/>
              <w:rPr>
                <w:color w:val="auto"/>
              </w:rPr>
            </w:pPr>
            <w:r>
              <w:rPr>
                <w:color w:val="auto"/>
              </w:rPr>
              <w:t>（1）现有涉及五类重金属的企业，严控污染物排放，限时整治或搬迁 （2）对拟收回土地使用权的有色金属矿采选、有色金属冶炼、石油加工、化工、焦化、电镀、制革、天然（页岩）气开采、铅蓄电池、汽车制造、农药、危废处置、电子拆解等行业企业用地，以及用途拟变更为居住和商业、学校、医疗、养老机构等公共设施的上述企业用地，应按相关要求进行土壤环境状况调查评估，符合相应规划用地土壤环境质量要求的地块，方可进入用地程序</w:t>
            </w:r>
          </w:p>
        </w:tc>
        <w:tc>
          <w:tcPr>
            <w:tcW w:w="1169" w:type="pct"/>
            <w:noWrap w:val="0"/>
            <w:vAlign w:val="center"/>
          </w:tcPr>
          <w:p>
            <w:pPr>
              <w:pStyle w:val="170"/>
              <w:rPr>
                <w:color w:val="auto"/>
              </w:rPr>
            </w:pPr>
            <w:r>
              <w:rPr>
                <w:rFonts w:hint="eastAsia"/>
                <w:color w:val="auto"/>
              </w:rPr>
              <w:t>本项目为宠物医院建设项目，已建成运营多年，运营过程中不涉及重金属排放，项目用地为租用市中区城区临街商铺进行建设</w:t>
            </w:r>
          </w:p>
        </w:tc>
        <w:tc>
          <w:tcPr>
            <w:tcW w:w="472" w:type="pct"/>
            <w:noWrap w:val="0"/>
            <w:vAlign w:val="center"/>
          </w:tcPr>
          <w:p>
            <w:pPr>
              <w:pStyle w:val="170"/>
              <w:rPr>
                <w:rFonts w:hint="eastAsia"/>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5"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restart"/>
            <w:noWrap w:val="0"/>
            <w:vAlign w:val="center"/>
          </w:tcPr>
          <w:p>
            <w:pPr>
              <w:pStyle w:val="170"/>
              <w:rPr>
                <w:color w:val="auto"/>
              </w:rPr>
            </w:pPr>
            <w:r>
              <w:rPr>
                <w:color w:val="auto"/>
              </w:rPr>
              <w:t>资源开发利用效率</w:t>
            </w:r>
          </w:p>
        </w:tc>
        <w:tc>
          <w:tcPr>
            <w:tcW w:w="516" w:type="pct"/>
            <w:noWrap w:val="0"/>
            <w:vAlign w:val="center"/>
          </w:tcPr>
          <w:p>
            <w:pPr>
              <w:pStyle w:val="170"/>
              <w:rPr>
                <w:color w:val="auto"/>
              </w:rPr>
            </w:pPr>
            <w:r>
              <w:rPr>
                <w:color w:val="auto"/>
              </w:rPr>
              <w:t>水资源利用总量要求</w:t>
            </w:r>
          </w:p>
        </w:tc>
        <w:tc>
          <w:tcPr>
            <w:tcW w:w="1817" w:type="pct"/>
            <w:noWrap w:val="0"/>
            <w:vAlign w:val="center"/>
          </w:tcPr>
          <w:p>
            <w:pPr>
              <w:pStyle w:val="170"/>
              <w:rPr>
                <w:color w:val="auto"/>
              </w:rPr>
            </w:pPr>
            <w:r>
              <w:rPr>
                <w:color w:val="auto"/>
              </w:rPr>
              <w:t>（1）城镇园林绿化、河湖景观、环境卫生、消防等市政用水应当优先使用再生水、雨水等非常规水源</w:t>
            </w:r>
            <w:r>
              <w:rPr>
                <w:rFonts w:hint="eastAsia"/>
                <w:color w:val="auto"/>
              </w:rPr>
              <w:t>；</w:t>
            </w:r>
            <w:r>
              <w:rPr>
                <w:color w:val="auto"/>
              </w:rPr>
              <w:t>鼓励园林绿化采用喷灌、微灌等高效节水灌溉方式</w:t>
            </w:r>
            <w:r>
              <w:rPr>
                <w:rFonts w:hint="eastAsia"/>
                <w:color w:val="auto"/>
              </w:rPr>
              <w:t>；</w:t>
            </w:r>
            <w:r>
              <w:rPr>
                <w:color w:val="auto"/>
              </w:rPr>
              <w:t>洗浴、洗车、游泳场馆等场所应当采用低耗水、循环用水等节水技术、设备和设施</w:t>
            </w:r>
            <w:r>
              <w:rPr>
                <w:rFonts w:hint="eastAsia"/>
                <w:color w:val="auto"/>
              </w:rPr>
              <w:t>；</w:t>
            </w:r>
            <w:r>
              <w:rPr>
                <w:color w:val="auto"/>
              </w:rPr>
              <w:t>餐饮、娱乐、宾馆等服务型企业应当优先采用节水型器具和设备，逐步淘汰耗水量高的用水器具和设备（2）鼓励生活污水再生利用设施建设、鼓励经处理符合使用条件的生活污水用于城市杂用、工业生产、景观用水、河道补水等方面，提高生活污水再生利用效率</w:t>
            </w:r>
          </w:p>
        </w:tc>
        <w:tc>
          <w:tcPr>
            <w:tcW w:w="1169" w:type="pct"/>
            <w:noWrap w:val="0"/>
            <w:vAlign w:val="center"/>
          </w:tcPr>
          <w:p>
            <w:pPr>
              <w:pStyle w:val="170"/>
              <w:rPr>
                <w:color w:val="auto"/>
              </w:rPr>
            </w:pPr>
            <w:r>
              <w:rPr>
                <w:rFonts w:hint="eastAsia"/>
                <w:color w:val="auto"/>
              </w:rPr>
              <w:t>本项目为宠物医院建设项目，用水环节主要为职工生活用水、宠物医疗用水和地面清洁用水，综合年用水量较小</w:t>
            </w:r>
          </w:p>
        </w:tc>
        <w:tc>
          <w:tcPr>
            <w:tcW w:w="472" w:type="pct"/>
            <w:noWrap w:val="0"/>
            <w:vAlign w:val="center"/>
          </w:tcPr>
          <w:p>
            <w:pPr>
              <w:pStyle w:val="17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continue"/>
            <w:noWrap w:val="0"/>
            <w:vAlign w:val="center"/>
          </w:tcPr>
          <w:p>
            <w:pPr>
              <w:pStyle w:val="170"/>
              <w:rPr>
                <w:color w:val="auto"/>
              </w:rPr>
            </w:pPr>
          </w:p>
        </w:tc>
        <w:tc>
          <w:tcPr>
            <w:tcW w:w="516" w:type="pct"/>
            <w:noWrap w:val="0"/>
            <w:vAlign w:val="center"/>
          </w:tcPr>
          <w:p>
            <w:pPr>
              <w:pStyle w:val="170"/>
              <w:rPr>
                <w:color w:val="auto"/>
              </w:rPr>
            </w:pPr>
            <w:r>
              <w:rPr>
                <w:color w:val="auto"/>
              </w:rPr>
              <w:t>地下水开采要求</w:t>
            </w:r>
          </w:p>
        </w:tc>
        <w:tc>
          <w:tcPr>
            <w:tcW w:w="1817" w:type="pct"/>
            <w:noWrap w:val="0"/>
            <w:vAlign w:val="center"/>
          </w:tcPr>
          <w:p>
            <w:pPr>
              <w:pStyle w:val="170"/>
              <w:rPr>
                <w:rFonts w:hint="eastAsia"/>
                <w:color w:val="auto"/>
              </w:rPr>
            </w:pPr>
            <w:r>
              <w:rPr>
                <w:rFonts w:hint="eastAsia"/>
                <w:color w:val="auto"/>
              </w:rPr>
              <w:t>/</w:t>
            </w:r>
          </w:p>
        </w:tc>
        <w:tc>
          <w:tcPr>
            <w:tcW w:w="1169" w:type="pct"/>
            <w:noWrap w:val="0"/>
            <w:vAlign w:val="center"/>
          </w:tcPr>
          <w:p>
            <w:pPr>
              <w:pStyle w:val="170"/>
              <w:rPr>
                <w:rFonts w:hint="eastAsia"/>
                <w:color w:val="auto"/>
              </w:rPr>
            </w:pPr>
            <w:r>
              <w:rPr>
                <w:rFonts w:hint="eastAsia"/>
                <w:color w:val="auto"/>
              </w:rPr>
              <w:t>/</w:t>
            </w:r>
          </w:p>
        </w:tc>
        <w:tc>
          <w:tcPr>
            <w:tcW w:w="472" w:type="pct"/>
            <w:noWrap w:val="0"/>
            <w:vAlign w:val="center"/>
          </w:tcPr>
          <w:p>
            <w:pPr>
              <w:pStyle w:val="170"/>
              <w:rPr>
                <w:rFonts w:hint="eastAsia"/>
                <w:color w:val="auto"/>
              </w:rPr>
            </w:pPr>
            <w:r>
              <w:rPr>
                <w:rFonts w:hint="eastAsia"/>
                <w:color w:val="aut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continue"/>
            <w:noWrap w:val="0"/>
            <w:vAlign w:val="center"/>
          </w:tcPr>
          <w:p>
            <w:pPr>
              <w:pStyle w:val="170"/>
              <w:rPr>
                <w:color w:val="auto"/>
              </w:rPr>
            </w:pPr>
          </w:p>
        </w:tc>
        <w:tc>
          <w:tcPr>
            <w:tcW w:w="516" w:type="pct"/>
            <w:noWrap w:val="0"/>
            <w:vAlign w:val="center"/>
          </w:tcPr>
          <w:p>
            <w:pPr>
              <w:pStyle w:val="170"/>
              <w:rPr>
                <w:color w:val="auto"/>
              </w:rPr>
            </w:pPr>
            <w:r>
              <w:rPr>
                <w:color w:val="auto"/>
              </w:rPr>
              <w:t>能源利用总量及效率要求</w:t>
            </w:r>
          </w:p>
        </w:tc>
        <w:tc>
          <w:tcPr>
            <w:tcW w:w="1817" w:type="pct"/>
            <w:noWrap w:val="0"/>
            <w:vAlign w:val="center"/>
          </w:tcPr>
          <w:p>
            <w:pPr>
              <w:pStyle w:val="170"/>
              <w:rPr>
                <w:color w:val="auto"/>
              </w:rPr>
            </w:pPr>
            <w:r>
              <w:rPr>
                <w:color w:val="auto"/>
              </w:rPr>
              <w:t>（1）依据大气污染治理和环境改善的目标，强化区域能源结构优化调整，科学合理地进行分阶段、分区域禁煤（2）实施煤炭消费总量控制：严格控制煤炭消费总量</w:t>
            </w:r>
            <w:r>
              <w:rPr>
                <w:rFonts w:hint="eastAsia"/>
                <w:color w:val="auto"/>
              </w:rPr>
              <w:t>；</w:t>
            </w:r>
            <w:r>
              <w:rPr>
                <w:color w:val="auto"/>
              </w:rPr>
              <w:t>   严格控制新建、改建、扩建耗煤项目，新增耗煤项目实行当年煤炭消耗减量倍量替代</w:t>
            </w:r>
          </w:p>
        </w:tc>
        <w:tc>
          <w:tcPr>
            <w:tcW w:w="1169" w:type="pct"/>
            <w:noWrap w:val="0"/>
            <w:vAlign w:val="center"/>
          </w:tcPr>
          <w:p>
            <w:pPr>
              <w:pStyle w:val="170"/>
              <w:rPr>
                <w:rFonts w:hint="eastAsia"/>
                <w:color w:val="auto"/>
              </w:rPr>
            </w:pPr>
            <w:r>
              <w:rPr>
                <w:rFonts w:hint="eastAsia"/>
                <w:color w:val="auto"/>
              </w:rPr>
              <w:t>不涉及</w:t>
            </w:r>
          </w:p>
        </w:tc>
        <w:tc>
          <w:tcPr>
            <w:tcW w:w="472" w:type="pct"/>
            <w:noWrap w:val="0"/>
            <w:vAlign w:val="center"/>
          </w:tcPr>
          <w:p>
            <w:pPr>
              <w:pStyle w:val="17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1"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continue"/>
            <w:noWrap w:val="0"/>
            <w:vAlign w:val="center"/>
          </w:tcPr>
          <w:p>
            <w:pPr>
              <w:pStyle w:val="170"/>
              <w:rPr>
                <w:color w:val="auto"/>
              </w:rPr>
            </w:pPr>
          </w:p>
        </w:tc>
        <w:tc>
          <w:tcPr>
            <w:tcW w:w="516" w:type="pct"/>
            <w:noWrap w:val="0"/>
            <w:vAlign w:val="center"/>
          </w:tcPr>
          <w:p>
            <w:pPr>
              <w:pStyle w:val="170"/>
              <w:rPr>
                <w:color w:val="auto"/>
              </w:rPr>
            </w:pPr>
            <w:r>
              <w:rPr>
                <w:color w:val="auto"/>
              </w:rPr>
              <w:t>禁燃区要求</w:t>
            </w:r>
          </w:p>
        </w:tc>
        <w:tc>
          <w:tcPr>
            <w:tcW w:w="1817" w:type="pct"/>
            <w:noWrap w:val="0"/>
            <w:vAlign w:val="center"/>
          </w:tcPr>
          <w:p>
            <w:pPr>
              <w:pStyle w:val="170"/>
              <w:rPr>
                <w:color w:val="auto"/>
              </w:rPr>
            </w:pPr>
            <w:r>
              <w:rPr>
                <w:color w:val="auto"/>
              </w:rPr>
              <w:t>（1）禁燃区禁止审批（核准、备案）、新建、扩建燃用高污染燃料的锅炉、炉窑等各类燃用高污染燃料的设施（2）禁止在高污染燃料禁燃区销售、燃用各类高污染燃料</w:t>
            </w:r>
          </w:p>
        </w:tc>
        <w:tc>
          <w:tcPr>
            <w:tcW w:w="1169" w:type="pct"/>
            <w:noWrap w:val="0"/>
            <w:vAlign w:val="center"/>
          </w:tcPr>
          <w:p>
            <w:pPr>
              <w:pStyle w:val="170"/>
              <w:rPr>
                <w:rFonts w:hint="eastAsia"/>
                <w:color w:val="auto"/>
              </w:rPr>
            </w:pPr>
            <w:r>
              <w:rPr>
                <w:rFonts w:hint="eastAsia"/>
                <w:color w:val="auto"/>
              </w:rPr>
              <w:t>不涉及</w:t>
            </w:r>
          </w:p>
        </w:tc>
        <w:tc>
          <w:tcPr>
            <w:tcW w:w="472" w:type="pct"/>
            <w:noWrap w:val="0"/>
            <w:vAlign w:val="center"/>
          </w:tcPr>
          <w:p>
            <w:pPr>
              <w:pStyle w:val="17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continue"/>
            <w:noWrap w:val="0"/>
            <w:vAlign w:val="center"/>
          </w:tcPr>
          <w:p>
            <w:pPr>
              <w:pStyle w:val="170"/>
              <w:rPr>
                <w:color w:val="auto"/>
              </w:rPr>
            </w:pPr>
          </w:p>
        </w:tc>
        <w:tc>
          <w:tcPr>
            <w:tcW w:w="516" w:type="pct"/>
            <w:noWrap w:val="0"/>
            <w:vAlign w:val="center"/>
          </w:tcPr>
          <w:p>
            <w:pPr>
              <w:pStyle w:val="170"/>
              <w:rPr>
                <w:color w:val="auto"/>
              </w:rPr>
            </w:pPr>
            <w:r>
              <w:rPr>
                <w:color w:val="auto"/>
              </w:rPr>
              <w:t>其他资源利用效率要求</w:t>
            </w:r>
          </w:p>
        </w:tc>
        <w:tc>
          <w:tcPr>
            <w:tcW w:w="1817" w:type="pct"/>
            <w:noWrap w:val="0"/>
            <w:vAlign w:val="center"/>
          </w:tcPr>
          <w:p>
            <w:pPr>
              <w:pStyle w:val="170"/>
              <w:rPr>
                <w:rFonts w:hint="eastAsia"/>
                <w:color w:val="auto"/>
              </w:rPr>
            </w:pPr>
            <w:r>
              <w:rPr>
                <w:rFonts w:hint="eastAsia"/>
                <w:color w:val="auto"/>
              </w:rPr>
              <w:t>/</w:t>
            </w:r>
          </w:p>
        </w:tc>
        <w:tc>
          <w:tcPr>
            <w:tcW w:w="1169" w:type="pct"/>
            <w:noWrap w:val="0"/>
            <w:vAlign w:val="center"/>
          </w:tcPr>
          <w:p>
            <w:pPr>
              <w:pStyle w:val="170"/>
              <w:rPr>
                <w:rFonts w:hint="eastAsia"/>
                <w:color w:val="auto"/>
              </w:rPr>
            </w:pPr>
            <w:r>
              <w:rPr>
                <w:rFonts w:hint="eastAsia"/>
                <w:color w:val="auto"/>
              </w:rPr>
              <w:t>/</w:t>
            </w:r>
          </w:p>
        </w:tc>
        <w:tc>
          <w:tcPr>
            <w:tcW w:w="472" w:type="pct"/>
            <w:noWrap w:val="0"/>
            <w:vAlign w:val="center"/>
          </w:tcPr>
          <w:p>
            <w:pPr>
              <w:pStyle w:val="170"/>
              <w:rPr>
                <w:rFonts w:hint="eastAsia"/>
                <w:color w:val="auto"/>
              </w:rPr>
            </w:pPr>
            <w:r>
              <w:rPr>
                <w:rFonts w:hint="eastAsia"/>
                <w:color w:val="aut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6" w:hRule="atLeast"/>
        </w:trPr>
        <w:tc>
          <w:tcPr>
            <w:tcW w:w="309" w:type="pct"/>
            <w:vMerge w:val="restart"/>
            <w:noWrap w:val="0"/>
            <w:vAlign w:val="center"/>
          </w:tcPr>
          <w:p>
            <w:pPr>
              <w:pStyle w:val="170"/>
              <w:rPr>
                <w:color w:val="auto"/>
              </w:rPr>
            </w:pPr>
            <w:r>
              <w:rPr>
                <w:rFonts w:hint="eastAsia"/>
                <w:color w:val="auto"/>
              </w:rPr>
              <w:t>2</w:t>
            </w:r>
          </w:p>
        </w:tc>
        <w:tc>
          <w:tcPr>
            <w:tcW w:w="290" w:type="pct"/>
            <w:vMerge w:val="restart"/>
            <w:noWrap w:val="0"/>
            <w:vAlign w:val="center"/>
          </w:tcPr>
          <w:p>
            <w:pPr>
              <w:pStyle w:val="170"/>
              <w:rPr>
                <w:b/>
                <w:bCs/>
                <w:color w:val="auto"/>
              </w:rPr>
            </w:pPr>
          </w:p>
          <w:p>
            <w:pPr>
              <w:pStyle w:val="170"/>
              <w:rPr>
                <w:b/>
                <w:bCs/>
                <w:color w:val="auto"/>
              </w:rPr>
            </w:pPr>
          </w:p>
          <w:p>
            <w:pPr>
              <w:pStyle w:val="170"/>
              <w:rPr>
                <w:b/>
                <w:bCs/>
                <w:color w:val="auto"/>
              </w:rPr>
            </w:pPr>
          </w:p>
          <w:p>
            <w:pPr>
              <w:pStyle w:val="170"/>
              <w:rPr>
                <w:b/>
                <w:bCs/>
                <w:color w:val="auto"/>
              </w:rPr>
            </w:pPr>
          </w:p>
          <w:p>
            <w:pPr>
              <w:pStyle w:val="170"/>
              <w:rPr>
                <w:b/>
                <w:bCs/>
                <w:color w:val="auto"/>
              </w:rPr>
            </w:pPr>
          </w:p>
          <w:p>
            <w:pPr>
              <w:pStyle w:val="170"/>
              <w:rPr>
                <w:b/>
                <w:bCs/>
                <w:color w:val="auto"/>
              </w:rPr>
            </w:pPr>
            <w:r>
              <w:rPr>
                <w:b/>
                <w:bCs/>
                <w:color w:val="auto"/>
              </w:rPr>
              <w:t>单元级清单管控要求</w:t>
            </w:r>
          </w:p>
        </w:tc>
        <w:tc>
          <w:tcPr>
            <w:tcW w:w="425" w:type="pct"/>
            <w:vMerge w:val="restart"/>
            <w:noWrap w:val="0"/>
            <w:vAlign w:val="center"/>
          </w:tcPr>
          <w:p>
            <w:pPr>
              <w:pStyle w:val="170"/>
              <w:rPr>
                <w:color w:val="auto"/>
              </w:rPr>
            </w:pPr>
            <w:r>
              <w:rPr>
                <w:color w:val="auto"/>
              </w:rPr>
              <w:t>空间布局约束</w:t>
            </w:r>
          </w:p>
        </w:tc>
        <w:tc>
          <w:tcPr>
            <w:tcW w:w="516" w:type="pct"/>
            <w:noWrap w:val="0"/>
            <w:vAlign w:val="center"/>
          </w:tcPr>
          <w:p>
            <w:pPr>
              <w:pStyle w:val="170"/>
              <w:rPr>
                <w:color w:val="auto"/>
              </w:rPr>
            </w:pPr>
            <w:r>
              <w:rPr>
                <w:color w:val="auto"/>
              </w:rPr>
              <w:t>禁止开发建设活动的要求</w:t>
            </w:r>
          </w:p>
        </w:tc>
        <w:tc>
          <w:tcPr>
            <w:tcW w:w="1817" w:type="pct"/>
            <w:noWrap w:val="0"/>
            <w:vAlign w:val="center"/>
          </w:tcPr>
          <w:p>
            <w:pPr>
              <w:pStyle w:val="170"/>
              <w:numPr>
                <w:ilvl w:val="0"/>
                <w:numId w:val="26"/>
              </w:numPr>
              <w:rPr>
                <w:color w:val="auto"/>
              </w:rPr>
            </w:pPr>
            <w:r>
              <w:rPr>
                <w:color w:val="auto"/>
              </w:rPr>
              <w:t>禁止在城镇用地布局规划确定的公共绿地、生态廊道内进行规模化建设开发，只允许必要的公共性园林式景观点状服务休闲设施建设2、其他执行乐山市城镇重点管控单元普适性总体准入要求</w:t>
            </w:r>
          </w:p>
        </w:tc>
        <w:tc>
          <w:tcPr>
            <w:tcW w:w="1169" w:type="pct"/>
            <w:noWrap w:val="0"/>
            <w:vAlign w:val="center"/>
          </w:tcPr>
          <w:p>
            <w:pPr>
              <w:pStyle w:val="170"/>
              <w:rPr>
                <w:rFonts w:hint="eastAsia"/>
                <w:color w:val="auto"/>
              </w:rPr>
            </w:pPr>
            <w:r>
              <w:rPr>
                <w:rFonts w:hint="eastAsia"/>
                <w:color w:val="auto"/>
              </w:rPr>
              <w:t>本项目租用的是城区临街商铺进行项目的实施</w:t>
            </w:r>
          </w:p>
        </w:tc>
        <w:tc>
          <w:tcPr>
            <w:tcW w:w="472" w:type="pct"/>
            <w:noWrap w:val="0"/>
            <w:vAlign w:val="center"/>
          </w:tcPr>
          <w:p>
            <w:pPr>
              <w:pStyle w:val="17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continue"/>
            <w:noWrap w:val="0"/>
            <w:vAlign w:val="center"/>
          </w:tcPr>
          <w:p>
            <w:pPr>
              <w:pStyle w:val="170"/>
              <w:rPr>
                <w:color w:val="auto"/>
              </w:rPr>
            </w:pPr>
          </w:p>
        </w:tc>
        <w:tc>
          <w:tcPr>
            <w:tcW w:w="516" w:type="pct"/>
            <w:noWrap w:val="0"/>
            <w:vAlign w:val="center"/>
          </w:tcPr>
          <w:p>
            <w:pPr>
              <w:pStyle w:val="170"/>
              <w:rPr>
                <w:color w:val="auto"/>
              </w:rPr>
            </w:pPr>
            <w:r>
              <w:rPr>
                <w:color w:val="auto"/>
              </w:rPr>
              <w:t>限制开发建设活动的要求</w:t>
            </w:r>
          </w:p>
        </w:tc>
        <w:tc>
          <w:tcPr>
            <w:tcW w:w="1817" w:type="pct"/>
            <w:noWrap w:val="0"/>
            <w:vAlign w:val="center"/>
          </w:tcPr>
          <w:p>
            <w:pPr>
              <w:pStyle w:val="170"/>
              <w:rPr>
                <w:color w:val="auto"/>
              </w:rPr>
            </w:pPr>
            <w:r>
              <w:rPr>
                <w:color w:val="auto"/>
              </w:rPr>
              <w:t> 1、西进南拓、中心提升、优化西南、控制东部、完善北部 2、其他执行乐山市城镇重点管控单元普适性总体准入要求</w:t>
            </w:r>
          </w:p>
        </w:tc>
        <w:tc>
          <w:tcPr>
            <w:tcW w:w="1169" w:type="pct"/>
            <w:noWrap w:val="0"/>
            <w:vAlign w:val="center"/>
          </w:tcPr>
          <w:p>
            <w:pPr>
              <w:pStyle w:val="170"/>
              <w:rPr>
                <w:rFonts w:hint="eastAsia"/>
                <w:color w:val="auto"/>
              </w:rPr>
            </w:pPr>
            <w:r>
              <w:rPr>
                <w:rFonts w:hint="eastAsia"/>
                <w:color w:val="auto"/>
              </w:rPr>
              <w:t>不涉及</w:t>
            </w:r>
          </w:p>
        </w:tc>
        <w:tc>
          <w:tcPr>
            <w:tcW w:w="472" w:type="pct"/>
            <w:noWrap w:val="0"/>
            <w:vAlign w:val="center"/>
          </w:tcPr>
          <w:p>
            <w:pPr>
              <w:pStyle w:val="17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continue"/>
            <w:noWrap w:val="0"/>
            <w:vAlign w:val="center"/>
          </w:tcPr>
          <w:p>
            <w:pPr>
              <w:pStyle w:val="170"/>
              <w:rPr>
                <w:color w:val="auto"/>
              </w:rPr>
            </w:pPr>
          </w:p>
        </w:tc>
        <w:tc>
          <w:tcPr>
            <w:tcW w:w="516" w:type="pct"/>
            <w:noWrap w:val="0"/>
            <w:vAlign w:val="center"/>
          </w:tcPr>
          <w:p>
            <w:pPr>
              <w:pStyle w:val="170"/>
              <w:rPr>
                <w:color w:val="auto"/>
              </w:rPr>
            </w:pPr>
            <w:r>
              <w:rPr>
                <w:color w:val="auto"/>
              </w:rPr>
              <w:t>不符合空间布局要求活动的退出要求</w:t>
            </w:r>
          </w:p>
        </w:tc>
        <w:tc>
          <w:tcPr>
            <w:tcW w:w="1817" w:type="pct"/>
            <w:noWrap w:val="0"/>
            <w:vAlign w:val="center"/>
          </w:tcPr>
          <w:p>
            <w:pPr>
              <w:pStyle w:val="170"/>
              <w:rPr>
                <w:color w:val="auto"/>
              </w:rPr>
            </w:pPr>
            <w:r>
              <w:rPr>
                <w:color w:val="auto"/>
              </w:rPr>
              <w:t>  1、单元内既有合法手续的、且污染物排放和环境风险满足管控要求的企业可继续保留，不得新增污染物排放，并进一步加强监管</w:t>
            </w:r>
            <w:r>
              <w:rPr>
                <w:rFonts w:hint="eastAsia"/>
                <w:color w:val="auto"/>
              </w:rPr>
              <w:t>；</w:t>
            </w:r>
            <w:r>
              <w:rPr>
                <w:color w:val="auto"/>
              </w:rPr>
              <w:t>否则限期进行整改，整改后任不能达到要求的，属地政府责令关停退出2、其他执行乐山市城镇重点管控单元普适性总体准入要求</w:t>
            </w:r>
          </w:p>
        </w:tc>
        <w:tc>
          <w:tcPr>
            <w:tcW w:w="1169" w:type="pct"/>
            <w:noWrap w:val="0"/>
            <w:vAlign w:val="center"/>
          </w:tcPr>
          <w:p>
            <w:pPr>
              <w:pStyle w:val="170"/>
              <w:rPr>
                <w:rFonts w:hint="eastAsia"/>
                <w:color w:val="auto"/>
              </w:rPr>
            </w:pPr>
            <w:r>
              <w:rPr>
                <w:rFonts w:hint="eastAsia"/>
                <w:color w:val="auto"/>
              </w:rPr>
              <w:t>不涉及</w:t>
            </w:r>
          </w:p>
        </w:tc>
        <w:tc>
          <w:tcPr>
            <w:tcW w:w="472" w:type="pct"/>
            <w:noWrap w:val="0"/>
            <w:vAlign w:val="center"/>
          </w:tcPr>
          <w:p>
            <w:pPr>
              <w:pStyle w:val="17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restart"/>
            <w:noWrap w:val="0"/>
            <w:vAlign w:val="center"/>
          </w:tcPr>
          <w:p>
            <w:pPr>
              <w:pStyle w:val="170"/>
              <w:rPr>
                <w:color w:val="auto"/>
              </w:rPr>
            </w:pPr>
            <w:r>
              <w:rPr>
                <w:color w:val="auto"/>
              </w:rPr>
              <w:t>污染物排放管控</w:t>
            </w:r>
          </w:p>
        </w:tc>
        <w:tc>
          <w:tcPr>
            <w:tcW w:w="516" w:type="pct"/>
            <w:noWrap w:val="0"/>
            <w:vAlign w:val="center"/>
          </w:tcPr>
          <w:p>
            <w:pPr>
              <w:pStyle w:val="170"/>
              <w:rPr>
                <w:color w:val="auto"/>
              </w:rPr>
            </w:pPr>
            <w:r>
              <w:rPr>
                <w:color w:val="auto"/>
              </w:rPr>
              <w:t>现有源提标升级改造</w:t>
            </w:r>
          </w:p>
        </w:tc>
        <w:tc>
          <w:tcPr>
            <w:tcW w:w="1817" w:type="pct"/>
            <w:noWrap w:val="0"/>
            <w:vAlign w:val="center"/>
          </w:tcPr>
          <w:p>
            <w:pPr>
              <w:pStyle w:val="170"/>
              <w:rPr>
                <w:color w:val="auto"/>
              </w:rPr>
            </w:pPr>
            <w:r>
              <w:rPr>
                <w:color w:val="auto"/>
              </w:rPr>
              <w:t>  执行乐山市城镇重点管控单元普适性总体准入要求;</w:t>
            </w:r>
          </w:p>
        </w:tc>
        <w:tc>
          <w:tcPr>
            <w:tcW w:w="1169" w:type="pct"/>
            <w:noWrap w:val="0"/>
            <w:vAlign w:val="center"/>
          </w:tcPr>
          <w:p>
            <w:pPr>
              <w:pStyle w:val="170"/>
              <w:rPr>
                <w:rFonts w:hint="eastAsia"/>
                <w:color w:val="auto"/>
              </w:rPr>
            </w:pPr>
            <w:r>
              <w:rPr>
                <w:rFonts w:hint="eastAsia"/>
                <w:color w:val="auto"/>
              </w:rPr>
              <w:t>/</w:t>
            </w:r>
          </w:p>
        </w:tc>
        <w:tc>
          <w:tcPr>
            <w:tcW w:w="472" w:type="pct"/>
            <w:noWrap w:val="0"/>
            <w:vAlign w:val="center"/>
          </w:tcPr>
          <w:p>
            <w:pPr>
              <w:pStyle w:val="17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continue"/>
            <w:noWrap w:val="0"/>
            <w:vAlign w:val="center"/>
          </w:tcPr>
          <w:p>
            <w:pPr>
              <w:pStyle w:val="170"/>
              <w:rPr>
                <w:color w:val="auto"/>
              </w:rPr>
            </w:pPr>
          </w:p>
        </w:tc>
        <w:tc>
          <w:tcPr>
            <w:tcW w:w="516" w:type="pct"/>
            <w:noWrap w:val="0"/>
            <w:vAlign w:val="center"/>
          </w:tcPr>
          <w:p>
            <w:pPr>
              <w:pStyle w:val="170"/>
              <w:rPr>
                <w:color w:val="auto"/>
              </w:rPr>
            </w:pPr>
            <w:r>
              <w:rPr>
                <w:color w:val="auto"/>
              </w:rPr>
              <w:t>新增源等量或倍量替代</w:t>
            </w:r>
          </w:p>
        </w:tc>
        <w:tc>
          <w:tcPr>
            <w:tcW w:w="1817" w:type="pct"/>
            <w:noWrap w:val="0"/>
            <w:vAlign w:val="center"/>
          </w:tcPr>
          <w:p>
            <w:pPr>
              <w:pStyle w:val="170"/>
              <w:rPr>
                <w:color w:val="auto"/>
              </w:rPr>
            </w:pPr>
            <w:r>
              <w:rPr>
                <w:color w:val="auto"/>
              </w:rPr>
              <w:t> 执行乐山市城镇重点管控单元普适性总体准入要求;</w:t>
            </w:r>
          </w:p>
        </w:tc>
        <w:tc>
          <w:tcPr>
            <w:tcW w:w="1169" w:type="pct"/>
            <w:noWrap w:val="0"/>
            <w:vAlign w:val="center"/>
          </w:tcPr>
          <w:p>
            <w:pPr>
              <w:pStyle w:val="170"/>
              <w:rPr>
                <w:rFonts w:hint="eastAsia"/>
                <w:color w:val="auto"/>
              </w:rPr>
            </w:pPr>
            <w:r>
              <w:rPr>
                <w:rFonts w:hint="eastAsia"/>
                <w:color w:val="auto"/>
              </w:rPr>
              <w:t>/</w:t>
            </w:r>
          </w:p>
        </w:tc>
        <w:tc>
          <w:tcPr>
            <w:tcW w:w="472" w:type="pct"/>
            <w:noWrap w:val="0"/>
            <w:vAlign w:val="center"/>
          </w:tcPr>
          <w:p>
            <w:pPr>
              <w:pStyle w:val="17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continue"/>
            <w:noWrap w:val="0"/>
            <w:vAlign w:val="center"/>
          </w:tcPr>
          <w:p>
            <w:pPr>
              <w:pStyle w:val="170"/>
              <w:rPr>
                <w:color w:val="auto"/>
              </w:rPr>
            </w:pPr>
          </w:p>
        </w:tc>
        <w:tc>
          <w:tcPr>
            <w:tcW w:w="516" w:type="pct"/>
            <w:noWrap w:val="0"/>
            <w:vAlign w:val="center"/>
          </w:tcPr>
          <w:p>
            <w:pPr>
              <w:pStyle w:val="170"/>
              <w:rPr>
                <w:color w:val="auto"/>
              </w:rPr>
            </w:pPr>
            <w:r>
              <w:rPr>
                <w:color w:val="auto"/>
              </w:rPr>
              <w:t>污染物排放绩效水平准入要求</w:t>
            </w:r>
          </w:p>
        </w:tc>
        <w:tc>
          <w:tcPr>
            <w:tcW w:w="1817" w:type="pct"/>
            <w:noWrap w:val="0"/>
            <w:vAlign w:val="center"/>
          </w:tcPr>
          <w:p>
            <w:pPr>
              <w:pStyle w:val="170"/>
              <w:rPr>
                <w:color w:val="auto"/>
              </w:rPr>
            </w:pPr>
            <w:r>
              <w:rPr>
                <w:color w:val="auto"/>
              </w:rPr>
              <w:t> 执行乐山市城镇重点管控单元普适性总体准入要求;</w:t>
            </w:r>
          </w:p>
        </w:tc>
        <w:tc>
          <w:tcPr>
            <w:tcW w:w="1169" w:type="pct"/>
            <w:noWrap w:val="0"/>
            <w:vAlign w:val="center"/>
          </w:tcPr>
          <w:p>
            <w:pPr>
              <w:pStyle w:val="170"/>
              <w:rPr>
                <w:rFonts w:hint="eastAsia"/>
                <w:color w:val="auto"/>
              </w:rPr>
            </w:pPr>
            <w:r>
              <w:rPr>
                <w:rFonts w:hint="eastAsia"/>
                <w:color w:val="auto"/>
              </w:rPr>
              <w:t>/</w:t>
            </w:r>
          </w:p>
        </w:tc>
        <w:tc>
          <w:tcPr>
            <w:tcW w:w="472" w:type="pct"/>
            <w:noWrap w:val="0"/>
            <w:vAlign w:val="center"/>
          </w:tcPr>
          <w:p>
            <w:pPr>
              <w:pStyle w:val="17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restart"/>
            <w:noWrap w:val="0"/>
            <w:vAlign w:val="center"/>
          </w:tcPr>
          <w:p>
            <w:pPr>
              <w:pStyle w:val="170"/>
              <w:rPr>
                <w:color w:val="auto"/>
              </w:rPr>
            </w:pPr>
            <w:r>
              <w:rPr>
                <w:color w:val="auto"/>
              </w:rPr>
              <w:t>环境风险防控</w:t>
            </w:r>
          </w:p>
        </w:tc>
        <w:tc>
          <w:tcPr>
            <w:tcW w:w="516" w:type="pct"/>
            <w:noWrap w:val="0"/>
            <w:vAlign w:val="center"/>
          </w:tcPr>
          <w:p>
            <w:pPr>
              <w:pStyle w:val="170"/>
              <w:rPr>
                <w:color w:val="auto"/>
              </w:rPr>
            </w:pPr>
            <w:r>
              <w:rPr>
                <w:color w:val="auto"/>
              </w:rPr>
              <w:t>企业环境风险防控要求</w:t>
            </w:r>
          </w:p>
        </w:tc>
        <w:tc>
          <w:tcPr>
            <w:tcW w:w="1817" w:type="pct"/>
            <w:noWrap w:val="0"/>
            <w:vAlign w:val="center"/>
          </w:tcPr>
          <w:p>
            <w:pPr>
              <w:pStyle w:val="170"/>
              <w:rPr>
                <w:color w:val="auto"/>
              </w:rPr>
            </w:pPr>
            <w:r>
              <w:rPr>
                <w:color w:val="auto"/>
              </w:rPr>
              <w:t>   1、加强涉危涉化企业管控，严控环境风险2、其他执行乐山市城镇重点管控单元普适性总体准入要求</w:t>
            </w:r>
          </w:p>
        </w:tc>
        <w:tc>
          <w:tcPr>
            <w:tcW w:w="1169" w:type="pct"/>
            <w:noWrap w:val="0"/>
            <w:vAlign w:val="center"/>
          </w:tcPr>
          <w:p>
            <w:pPr>
              <w:pStyle w:val="170"/>
              <w:rPr>
                <w:rFonts w:hint="eastAsia"/>
                <w:color w:val="auto"/>
              </w:rPr>
            </w:pPr>
            <w:r>
              <w:rPr>
                <w:rFonts w:hint="eastAsia"/>
                <w:color w:val="auto"/>
              </w:rPr>
              <w:t>不属于涉危和涉化企业</w:t>
            </w:r>
          </w:p>
        </w:tc>
        <w:tc>
          <w:tcPr>
            <w:tcW w:w="472" w:type="pct"/>
            <w:noWrap w:val="0"/>
            <w:vAlign w:val="center"/>
          </w:tcPr>
          <w:p>
            <w:pPr>
              <w:pStyle w:val="17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8"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continue"/>
            <w:noWrap w:val="0"/>
            <w:vAlign w:val="center"/>
          </w:tcPr>
          <w:p>
            <w:pPr>
              <w:pStyle w:val="170"/>
              <w:rPr>
                <w:color w:val="auto"/>
              </w:rPr>
            </w:pPr>
          </w:p>
        </w:tc>
        <w:tc>
          <w:tcPr>
            <w:tcW w:w="516" w:type="pct"/>
            <w:noWrap w:val="0"/>
            <w:vAlign w:val="center"/>
          </w:tcPr>
          <w:p>
            <w:pPr>
              <w:pStyle w:val="170"/>
              <w:rPr>
                <w:color w:val="auto"/>
              </w:rPr>
            </w:pPr>
            <w:r>
              <w:rPr>
                <w:color w:val="auto"/>
              </w:rPr>
              <w:t>其他环境风险防控要求</w:t>
            </w:r>
          </w:p>
        </w:tc>
        <w:tc>
          <w:tcPr>
            <w:tcW w:w="1817" w:type="pct"/>
            <w:noWrap w:val="0"/>
            <w:vAlign w:val="center"/>
          </w:tcPr>
          <w:p>
            <w:pPr>
              <w:pStyle w:val="105"/>
              <w:spacing w:before="24" w:after="24"/>
              <w:ind w:firstLine="420"/>
              <w:rPr>
                <w:rFonts w:ascii="Helvetica" w:hAnsi="Helvetica" w:eastAsia="Helvetica" w:cs="Helvetica"/>
                <w:color w:val="auto"/>
                <w:szCs w:val="21"/>
                <w:shd w:val="clear" w:color="auto" w:fill="FFFFFF"/>
              </w:rPr>
            </w:pPr>
            <w:r>
              <w:rPr>
                <w:color w:val="auto"/>
              </w:rPr>
              <w:t> 执行乐山市城镇重点管控单元普适性总体准入要求</w:t>
            </w:r>
          </w:p>
        </w:tc>
        <w:tc>
          <w:tcPr>
            <w:tcW w:w="1169" w:type="pct"/>
            <w:noWrap w:val="0"/>
            <w:vAlign w:val="center"/>
          </w:tcPr>
          <w:p>
            <w:pPr>
              <w:pStyle w:val="170"/>
              <w:rPr>
                <w:rFonts w:hint="eastAsia"/>
                <w:color w:val="auto"/>
              </w:rPr>
            </w:pPr>
            <w:r>
              <w:rPr>
                <w:rFonts w:hint="eastAsia"/>
                <w:color w:val="auto"/>
              </w:rPr>
              <w:t>/</w:t>
            </w:r>
          </w:p>
        </w:tc>
        <w:tc>
          <w:tcPr>
            <w:tcW w:w="472" w:type="pct"/>
            <w:noWrap w:val="0"/>
            <w:vAlign w:val="center"/>
          </w:tcPr>
          <w:p>
            <w:pPr>
              <w:pStyle w:val="170"/>
              <w:rPr>
                <w:color w:val="auto"/>
              </w:rPr>
            </w:pPr>
            <w:r>
              <w:rPr>
                <w:rFonts w:hint="eastAsia"/>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restart"/>
            <w:noWrap w:val="0"/>
            <w:vAlign w:val="center"/>
          </w:tcPr>
          <w:p>
            <w:pPr>
              <w:pStyle w:val="170"/>
              <w:rPr>
                <w:color w:val="auto"/>
              </w:rPr>
            </w:pPr>
            <w:r>
              <w:rPr>
                <w:color w:val="auto"/>
              </w:rPr>
              <w:t>资源开发利用效率</w:t>
            </w:r>
          </w:p>
        </w:tc>
        <w:tc>
          <w:tcPr>
            <w:tcW w:w="516" w:type="pct"/>
            <w:noWrap w:val="0"/>
            <w:vAlign w:val="center"/>
          </w:tcPr>
          <w:p>
            <w:pPr>
              <w:pStyle w:val="170"/>
              <w:rPr>
                <w:color w:val="auto"/>
              </w:rPr>
            </w:pPr>
            <w:r>
              <w:rPr>
                <w:color w:val="auto"/>
              </w:rPr>
              <w:t>水资源利用效率要求</w:t>
            </w:r>
          </w:p>
        </w:tc>
        <w:tc>
          <w:tcPr>
            <w:tcW w:w="1817" w:type="pct"/>
            <w:noWrap w:val="0"/>
            <w:vAlign w:val="center"/>
          </w:tcPr>
          <w:p>
            <w:pPr>
              <w:pStyle w:val="170"/>
              <w:rPr>
                <w:color w:val="auto"/>
              </w:rPr>
            </w:pPr>
            <w:r>
              <w:rPr>
                <w:color w:val="auto"/>
              </w:rPr>
              <w:t> 执行乐山市城镇重点管控单元普适性总体准入要求</w:t>
            </w:r>
          </w:p>
        </w:tc>
        <w:tc>
          <w:tcPr>
            <w:tcW w:w="1169" w:type="pct"/>
            <w:noWrap w:val="0"/>
            <w:vAlign w:val="center"/>
          </w:tcPr>
          <w:p>
            <w:pPr>
              <w:pStyle w:val="170"/>
              <w:rPr>
                <w:rFonts w:hint="eastAsia"/>
                <w:color w:val="auto"/>
              </w:rPr>
            </w:pPr>
            <w:r>
              <w:rPr>
                <w:rFonts w:hint="eastAsia"/>
                <w:color w:val="auto"/>
              </w:rPr>
              <w:t>/</w:t>
            </w:r>
          </w:p>
        </w:tc>
        <w:tc>
          <w:tcPr>
            <w:tcW w:w="472" w:type="pct"/>
            <w:noWrap w:val="0"/>
            <w:vAlign w:val="center"/>
          </w:tcPr>
          <w:p>
            <w:pPr>
              <w:pStyle w:val="170"/>
              <w:rPr>
                <w:color w:val="auto"/>
              </w:rPr>
            </w:pPr>
            <w:r>
              <w:rPr>
                <w:color w:val="auto"/>
              </w:rPr>
              <w:t>符合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6" w:hRule="atLeast"/>
        </w:trPr>
        <w:tc>
          <w:tcPr>
            <w:tcW w:w="309" w:type="pct"/>
            <w:vMerge w:val="continue"/>
            <w:noWrap w:val="0"/>
            <w:vAlign w:val="center"/>
          </w:tcPr>
          <w:p>
            <w:pPr>
              <w:pStyle w:val="170"/>
              <w:rPr>
                <w:color w:val="auto"/>
              </w:rPr>
            </w:pPr>
          </w:p>
        </w:tc>
        <w:tc>
          <w:tcPr>
            <w:tcW w:w="290" w:type="pct"/>
            <w:vMerge w:val="continue"/>
            <w:noWrap w:val="0"/>
            <w:vAlign w:val="center"/>
          </w:tcPr>
          <w:p>
            <w:pPr>
              <w:pStyle w:val="170"/>
              <w:rPr>
                <w:b/>
                <w:bCs/>
                <w:color w:val="auto"/>
              </w:rPr>
            </w:pPr>
          </w:p>
        </w:tc>
        <w:tc>
          <w:tcPr>
            <w:tcW w:w="425" w:type="pct"/>
            <w:vMerge w:val="continue"/>
            <w:noWrap w:val="0"/>
            <w:vAlign w:val="center"/>
          </w:tcPr>
          <w:p>
            <w:pPr>
              <w:pStyle w:val="170"/>
              <w:rPr>
                <w:color w:val="auto"/>
              </w:rPr>
            </w:pPr>
          </w:p>
        </w:tc>
        <w:tc>
          <w:tcPr>
            <w:tcW w:w="516" w:type="pct"/>
            <w:noWrap w:val="0"/>
            <w:vAlign w:val="center"/>
          </w:tcPr>
          <w:p>
            <w:pPr>
              <w:pStyle w:val="170"/>
              <w:rPr>
                <w:color w:val="auto"/>
              </w:rPr>
            </w:pPr>
            <w:r>
              <w:rPr>
                <w:color w:val="auto"/>
              </w:rPr>
              <w:t>能源利用效率要求</w:t>
            </w:r>
          </w:p>
        </w:tc>
        <w:tc>
          <w:tcPr>
            <w:tcW w:w="1817" w:type="pct"/>
            <w:noWrap w:val="0"/>
            <w:vAlign w:val="center"/>
          </w:tcPr>
          <w:p>
            <w:pPr>
              <w:pStyle w:val="170"/>
              <w:rPr>
                <w:color w:val="auto"/>
              </w:rPr>
            </w:pPr>
            <w:r>
              <w:rPr>
                <w:color w:val="auto"/>
              </w:rPr>
              <w:t>   1、禁燃区内禁止审批（核准、备案）、新建、扩建燃用高污染燃料的锅炉、炉窑等各类燃用高污染燃料的设施  2、其他执行乐山市城镇重点管控单元普适性总体准入要求</w:t>
            </w:r>
          </w:p>
        </w:tc>
        <w:tc>
          <w:tcPr>
            <w:tcW w:w="1169" w:type="pct"/>
            <w:noWrap w:val="0"/>
            <w:vAlign w:val="center"/>
          </w:tcPr>
          <w:p>
            <w:pPr>
              <w:pStyle w:val="170"/>
              <w:rPr>
                <w:rFonts w:hint="eastAsia"/>
                <w:color w:val="auto"/>
              </w:rPr>
            </w:pPr>
            <w:r>
              <w:rPr>
                <w:rFonts w:hint="eastAsia"/>
                <w:color w:val="auto"/>
              </w:rPr>
              <w:t>不涉及</w:t>
            </w:r>
          </w:p>
        </w:tc>
        <w:tc>
          <w:tcPr>
            <w:tcW w:w="472" w:type="pct"/>
            <w:noWrap w:val="0"/>
            <w:vAlign w:val="center"/>
          </w:tcPr>
          <w:p>
            <w:pPr>
              <w:pStyle w:val="170"/>
              <w:rPr>
                <w:color w:val="auto"/>
              </w:rPr>
            </w:pPr>
            <w:r>
              <w:rPr>
                <w:rFonts w:hint="eastAsia"/>
                <w:color w:val="auto"/>
              </w:rPr>
              <w:t>符合</w:t>
            </w:r>
          </w:p>
        </w:tc>
      </w:tr>
    </w:tbl>
    <w:p>
      <w:pPr>
        <w:pStyle w:val="104"/>
        <w:ind w:firstLine="480"/>
        <w:rPr>
          <w:rFonts w:hint="eastAsia"/>
          <w:color w:val="auto"/>
        </w:rPr>
        <w:sectPr>
          <w:headerReference r:id="rId39" w:type="default"/>
          <w:pgSz w:w="16838" w:h="11906" w:orient="landscape"/>
          <w:pgMar w:top="1531" w:right="1701" w:bottom="1531" w:left="1701" w:header="851" w:footer="1077" w:gutter="0"/>
          <w:pgNumType w:fmt="decimal"/>
          <w:cols w:space="720" w:num="1"/>
          <w:docGrid w:linePitch="312" w:charSpace="0"/>
        </w:sectPr>
      </w:pPr>
    </w:p>
    <w:tbl>
      <w:tblPr>
        <w:tblStyle w:val="3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33" w:hRule="atLeast"/>
        </w:trPr>
        <w:tc>
          <w:tcPr>
            <w:tcW w:w="5000" w:type="pct"/>
            <w:noWrap w:val="0"/>
            <w:vAlign w:val="top"/>
          </w:tcPr>
          <w:p>
            <w:pPr>
              <w:pStyle w:val="104"/>
              <w:ind w:firstLine="480"/>
              <w:rPr>
                <w:color w:val="auto"/>
              </w:rPr>
            </w:pPr>
            <w:r>
              <w:rPr>
                <w:color w:val="auto"/>
              </w:rPr>
              <w:t>本项目位于</w:t>
            </w:r>
            <w:r>
              <w:rPr>
                <w:rFonts w:hint="eastAsia"/>
                <w:color w:val="auto"/>
              </w:rPr>
              <w:t>乐山市市中区</w:t>
            </w:r>
            <w:r>
              <w:rPr>
                <w:color w:val="auto"/>
              </w:rPr>
              <w:t>，</w:t>
            </w:r>
            <w:r>
              <w:rPr>
                <w:rFonts w:hint="eastAsia"/>
                <w:color w:val="auto"/>
              </w:rPr>
              <w:t>所在位置属于城镇重点管控单元，项目</w:t>
            </w:r>
            <w:r>
              <w:rPr>
                <w:color w:val="auto"/>
              </w:rPr>
              <w:t>属于</w:t>
            </w:r>
            <w:r>
              <w:rPr>
                <w:rFonts w:hint="eastAsia"/>
                <w:color w:val="auto"/>
              </w:rPr>
              <w:t>宠物医院服务项目</w:t>
            </w:r>
            <w:r>
              <w:rPr>
                <w:color w:val="auto"/>
              </w:rPr>
              <w:t>。根据《四川省人民政府关于印发四川省生态保护红线方案的通知》（川府发[2018]24 号），项目建设不涉及川府发[2018]24号文件划定的生态红线区城</w:t>
            </w:r>
            <w:r>
              <w:rPr>
                <w:rFonts w:hint="eastAsia"/>
                <w:color w:val="auto"/>
              </w:rPr>
              <w:t>，不属于生产性企业，不属于冶炼、焦化、化工、铅蓄电池制造行业，项目不涉及重金属排放，不属于禁止开发建设活动，</w:t>
            </w:r>
            <w:r>
              <w:rPr>
                <w:b/>
                <w:bCs/>
                <w:color w:val="auto"/>
              </w:rPr>
              <w:t>符合空间布局约束管控要求</w:t>
            </w:r>
            <w:r>
              <w:rPr>
                <w:rFonts w:hint="eastAsia"/>
                <w:b/>
                <w:bCs/>
                <w:color w:val="auto"/>
              </w:rPr>
              <w:t>，</w:t>
            </w:r>
            <w:r>
              <w:rPr>
                <w:b/>
                <w:bCs/>
                <w:color w:val="auto"/>
              </w:rPr>
              <w:t>符合污染物排放管控要求</w:t>
            </w:r>
            <w:r>
              <w:rPr>
                <w:rFonts w:hint="eastAsia"/>
                <w:b/>
                <w:bCs/>
                <w:color w:val="auto"/>
              </w:rPr>
              <w:t>，</w:t>
            </w:r>
            <w:r>
              <w:rPr>
                <w:b/>
                <w:bCs/>
                <w:color w:val="auto"/>
              </w:rPr>
              <w:t>符合环境风险防控要求。</w:t>
            </w:r>
          </w:p>
          <w:p>
            <w:pPr>
              <w:pStyle w:val="104"/>
              <w:ind w:firstLine="480"/>
              <w:rPr>
                <w:rFonts w:hint="eastAsia"/>
                <w:color w:val="auto"/>
              </w:rPr>
            </w:pPr>
            <w:r>
              <w:rPr>
                <w:color w:val="auto"/>
              </w:rPr>
              <w:t>综上，本项目的建设与</w:t>
            </w:r>
            <w:r>
              <w:rPr>
                <w:rFonts w:hint="eastAsia"/>
                <w:color w:val="auto"/>
              </w:rPr>
              <w:t>乐山</w:t>
            </w:r>
            <w:r>
              <w:rPr>
                <w:color w:val="auto"/>
              </w:rPr>
              <w:t>市</w:t>
            </w:r>
            <w:r>
              <w:rPr>
                <w:rFonts w:hint="eastAsia"/>
                <w:color w:val="auto"/>
              </w:rPr>
              <w:t>“</w:t>
            </w:r>
            <w:r>
              <w:rPr>
                <w:color w:val="auto"/>
              </w:rPr>
              <w:t>三线一单</w:t>
            </w:r>
            <w:r>
              <w:rPr>
                <w:rFonts w:hint="eastAsia"/>
                <w:color w:val="auto"/>
              </w:rPr>
              <w:t>”</w:t>
            </w:r>
            <w:r>
              <w:rPr>
                <w:color w:val="auto"/>
              </w:rPr>
              <w:t>相符</w:t>
            </w:r>
            <w:r>
              <w:rPr>
                <w:rFonts w:hint="eastAsia"/>
                <w:color w:val="auto"/>
              </w:rPr>
              <w:t>。</w:t>
            </w:r>
          </w:p>
          <w:p>
            <w:pPr>
              <w:pStyle w:val="104"/>
              <w:rPr>
                <w:rFonts w:hint="eastAsia"/>
                <w:color w:val="auto"/>
                <w:vertAlign w:val="baseline"/>
              </w:rPr>
            </w:pPr>
          </w:p>
        </w:tc>
      </w:tr>
    </w:tbl>
    <w:p>
      <w:pPr>
        <w:pStyle w:val="104"/>
        <w:ind w:firstLine="480"/>
        <w:rPr>
          <w:rFonts w:hint="eastAsia"/>
          <w:color w:val="auto"/>
        </w:rPr>
      </w:pPr>
    </w:p>
    <w:p>
      <w:pPr>
        <w:pStyle w:val="104"/>
        <w:ind w:firstLine="480"/>
        <w:rPr>
          <w:rFonts w:hint="eastAsia"/>
          <w:color w:val="auto"/>
        </w:rPr>
        <w:sectPr>
          <w:headerReference r:id="rId40" w:type="default"/>
          <w:pgSz w:w="11906" w:h="16838"/>
          <w:pgMar w:top="1701" w:right="1531" w:bottom="1701" w:left="1531" w:header="851" w:footer="1077" w:gutter="0"/>
          <w:pgNumType w:fmt="decimal"/>
          <w:cols w:space="720" w:num="1"/>
          <w:docGrid w:linePitch="312" w:charSpace="0"/>
        </w:sectPr>
      </w:pPr>
    </w:p>
    <w:tbl>
      <w:tblPr>
        <w:tblStyle w:val="3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4"/>
        <w:gridCol w:w="77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264" w:type="dxa"/>
            <w:noWrap w:val="0"/>
            <w:vAlign w:val="top"/>
          </w:tcPr>
          <w:p>
            <w:pPr>
              <w:pStyle w:val="170"/>
              <w:rPr>
                <w:color w:val="auto"/>
              </w:rPr>
            </w:pPr>
            <w:bookmarkStart w:id="97" w:name="_Toc13697"/>
            <w:bookmarkStart w:id="98" w:name="_Toc18327"/>
            <w:bookmarkStart w:id="99" w:name="_Toc21566"/>
            <w:bookmarkStart w:id="100" w:name="_Toc5706"/>
          </w:p>
        </w:tc>
        <w:tc>
          <w:tcPr>
            <w:tcW w:w="7796" w:type="dxa"/>
            <w:noWrap w:val="0"/>
            <w:vAlign w:val="top"/>
          </w:tcPr>
          <w:p>
            <w:pPr>
              <w:pStyle w:val="6"/>
              <w:ind w:firstLine="482"/>
              <w:rPr>
                <w:rFonts w:hint="eastAsia"/>
                <w:color w:val="auto"/>
              </w:rPr>
            </w:pPr>
            <w:r>
              <w:rPr>
                <w:rFonts w:hint="eastAsia"/>
                <w:color w:val="auto"/>
              </w:rPr>
              <w:t>三、大佛景区规划的符合性</w:t>
            </w:r>
          </w:p>
          <w:p>
            <w:pPr>
              <w:pStyle w:val="104"/>
              <w:ind w:firstLine="480" w:firstLineChars="0"/>
              <w:rPr>
                <w:rFonts w:hint="eastAsia"/>
                <w:color w:val="auto"/>
              </w:rPr>
            </w:pPr>
            <w:r>
              <w:rPr>
                <w:rFonts w:hint="eastAsia"/>
                <w:color w:val="auto"/>
              </w:rPr>
              <w:t>本项目位于四川省乐山市市中区肖坝路796号，根据《峨眉山-乐山大佛风景名胜区乐山大佛片区总体规划（2018-2035）》第五章第十六条 “功能分区与规划布局，功能分区为核心区、保护区、控制区、外围协调区”，本项目位于风景区保护区边界外，不在保护区范围内（见附图7）。</w:t>
            </w:r>
          </w:p>
          <w:p>
            <w:pPr>
              <w:pStyle w:val="6"/>
              <w:ind w:firstLine="480"/>
              <w:rPr>
                <w:rFonts w:hint="eastAsia"/>
                <w:b w:val="0"/>
                <w:color w:val="auto"/>
              </w:rPr>
            </w:pPr>
            <w:r>
              <w:rPr>
                <w:rFonts w:hint="eastAsia"/>
                <w:b w:val="0"/>
                <w:color w:val="auto"/>
              </w:rPr>
              <w:t>因此，本项目不与大佛景区的规划相悖。</w:t>
            </w:r>
          </w:p>
          <w:p>
            <w:pPr>
              <w:pStyle w:val="6"/>
              <w:ind w:firstLine="482"/>
              <w:rPr>
                <w:rFonts w:hint="eastAsia"/>
                <w:color w:val="auto"/>
              </w:rPr>
            </w:pPr>
            <w:r>
              <w:rPr>
                <w:rFonts w:hint="eastAsia"/>
                <w:color w:val="auto"/>
              </w:rPr>
              <w:t>四、选址</w:t>
            </w:r>
            <w:r>
              <w:rPr>
                <w:rFonts w:hint="eastAsia"/>
                <w:color w:val="auto"/>
                <w:lang w:eastAsia="zh-CN"/>
              </w:rPr>
              <w:t>合理</w:t>
            </w:r>
            <w:r>
              <w:rPr>
                <w:rFonts w:hint="eastAsia"/>
                <w:color w:val="auto"/>
              </w:rPr>
              <w:t>符合性分析</w:t>
            </w:r>
          </w:p>
          <w:p>
            <w:pPr>
              <w:pStyle w:val="104"/>
              <w:ind w:firstLine="480"/>
              <w:rPr>
                <w:rFonts w:hint="eastAsia"/>
                <w:color w:val="auto"/>
              </w:rPr>
            </w:pPr>
            <w:r>
              <w:rPr>
                <w:rFonts w:hint="eastAsia"/>
                <w:color w:val="auto"/>
              </w:rPr>
              <w:t>本项目位于乐山市市中区肖坝路796号，系租用满庭芳锦邻小区临街商铺（租赁协议见附件6），用于开展宠物医院服务项目，根据该商铺房权证：乐山市房权证私房字第170112号：该房屋规划用途为商业，因此该房屋可作为经营场所供本项目使用。因此，本项目的实施符合房屋的使用功能。</w:t>
            </w:r>
          </w:p>
          <w:p>
            <w:pPr>
              <w:pStyle w:val="104"/>
              <w:ind w:firstLine="480"/>
              <w:rPr>
                <w:rFonts w:hint="eastAsia"/>
                <w:color w:val="auto"/>
              </w:rPr>
            </w:pPr>
            <w:r>
              <w:rPr>
                <w:rFonts w:hint="eastAsia"/>
                <w:color w:val="auto"/>
              </w:rPr>
              <w:t>根据《动物诊疗机构管理办法》（农业部令19号），“（二）动物诊疗场所选址距离畜禽养殖场、屠宰加工厂、动物交易所不少于200m”；“（三）动物诊疗场所设有独立的出入口，出入口不得设在居住住宅楼内或者院内，不得与同一建筑物的其他用户共用通道”。本项目选址位于乐山市市中区肖坝路796号，地处城市建成区，周边200m内无畜禽养殖场、屠宰加工厂、动物交易所等。本项目现设有一个出入口，朝向肖坝路，该出入口是本项目专用出入口，项目楼上是二层平台，不与项目所在的商品用房其它商户和居民共用。</w:t>
            </w:r>
          </w:p>
          <w:p>
            <w:pPr>
              <w:pStyle w:val="104"/>
              <w:ind w:firstLine="480"/>
              <w:rPr>
                <w:color w:val="auto"/>
              </w:rPr>
            </w:pPr>
            <w:r>
              <w:rPr>
                <w:rFonts w:hint="eastAsia"/>
                <w:color w:val="auto"/>
              </w:rPr>
              <w:t>项目所在区域水、电、运输道路等基础设施完备，能够满足项目运营；项目周边环境敏感程度较低，不涉及自然保护区</w:t>
            </w:r>
            <w:r>
              <w:rPr>
                <w:color w:val="auto"/>
              </w:rPr>
              <w:t>、风景名胜区、</w:t>
            </w:r>
            <w:r>
              <w:rPr>
                <w:rFonts w:hint="eastAsia"/>
                <w:color w:val="auto"/>
              </w:rPr>
              <w:t>自然</w:t>
            </w:r>
            <w:r>
              <w:rPr>
                <w:color w:val="auto"/>
              </w:rPr>
              <w:t>公园等环境敏感区</w:t>
            </w:r>
            <w:r>
              <w:rPr>
                <w:rFonts w:hint="eastAsia"/>
                <w:color w:val="auto"/>
              </w:rPr>
              <w:t>；项目</w:t>
            </w:r>
            <w:r>
              <w:rPr>
                <w:color w:val="auto"/>
              </w:rPr>
              <w:t>建设地址不在</w:t>
            </w:r>
            <w:r>
              <w:rPr>
                <w:rFonts w:hint="eastAsia"/>
                <w:color w:val="auto"/>
              </w:rPr>
              <w:t>《铁路运输安全保护条例》、《公路安全保护条例》划定</w:t>
            </w:r>
            <w:r>
              <w:rPr>
                <w:color w:val="auto"/>
              </w:rPr>
              <w:t>的保护</w:t>
            </w:r>
            <w:r>
              <w:rPr>
                <w:rFonts w:hint="eastAsia"/>
                <w:color w:val="auto"/>
              </w:rPr>
              <w:t>范围</w:t>
            </w:r>
            <w:r>
              <w:rPr>
                <w:color w:val="auto"/>
              </w:rPr>
              <w:t>、控制范围内。</w:t>
            </w:r>
          </w:p>
          <w:p>
            <w:pPr>
              <w:pStyle w:val="104"/>
              <w:ind w:firstLine="480"/>
              <w:rPr>
                <w:color w:val="auto"/>
              </w:rPr>
            </w:pPr>
            <w:r>
              <w:rPr>
                <w:rFonts w:hint="eastAsia"/>
                <w:color w:val="auto"/>
              </w:rPr>
              <w:t>综上所述，本项目选址合理。</w:t>
            </w:r>
          </w:p>
          <w:p>
            <w:pPr>
              <w:pStyle w:val="6"/>
              <w:ind w:firstLine="482"/>
              <w:rPr>
                <w:color w:val="auto"/>
              </w:rPr>
            </w:pPr>
            <w:r>
              <w:rPr>
                <w:rFonts w:hint="eastAsia"/>
                <w:color w:val="auto"/>
              </w:rPr>
              <w:t>五、</w:t>
            </w:r>
            <w:r>
              <w:rPr>
                <w:color w:val="auto"/>
              </w:rPr>
              <w:t>外环境相容性分析</w:t>
            </w:r>
          </w:p>
          <w:p>
            <w:pPr>
              <w:pStyle w:val="104"/>
              <w:ind w:firstLine="480"/>
              <w:rPr>
                <w:rFonts w:hint="eastAsia"/>
                <w:color w:val="auto"/>
              </w:rPr>
            </w:pPr>
            <w:r>
              <w:rPr>
                <w:rFonts w:hint="eastAsia"/>
                <w:color w:val="auto"/>
              </w:rPr>
              <w:t>本项目位于四川省乐山市市中区肖坝路796号，项目场地交通便利，道路、给排水、光纤等设施已经建设完毕，可为本项目提供完备的配套服务，以项目场地中心为起点，周边500m范围内主要分布了商业、住宅、学校及机构等，临近项目场界四周主要以商业、住宅为主。项目外环境关系图见附图3。</w:t>
            </w:r>
          </w:p>
          <w:p>
            <w:pPr>
              <w:pStyle w:val="104"/>
              <w:ind w:firstLine="480"/>
              <w:rPr>
                <w:rFonts w:hint="eastAsia"/>
                <w:color w:val="auto"/>
              </w:rPr>
            </w:pPr>
            <w:r>
              <w:rPr>
                <w:rFonts w:hint="eastAsia"/>
                <w:color w:val="auto"/>
              </w:rPr>
              <w:t>根据现场踏勘，项目门市与背后的住户不存在直接的上下楼关系，项目二楼楼顶为平台，本项目门面朝向为坐北朝南。</w:t>
            </w:r>
          </w:p>
          <w:p>
            <w:pPr>
              <w:pStyle w:val="104"/>
              <w:ind w:firstLine="482"/>
              <w:rPr>
                <w:rFonts w:hint="eastAsia"/>
                <w:color w:val="auto"/>
              </w:rPr>
            </w:pPr>
            <w:r>
              <w:rPr>
                <w:rFonts w:hint="eastAsia"/>
                <w:b/>
                <w:bCs/>
                <w:color w:val="auto"/>
              </w:rPr>
              <w:t>北面：</w:t>
            </w:r>
            <w:r>
              <w:rPr>
                <w:rFonts w:hint="eastAsia"/>
                <w:color w:val="auto"/>
              </w:rPr>
              <w:t>西北145m处为成都理工大学工程技术学院（约20000人），北侧紧邻满芳庭锦邻小区。</w:t>
            </w:r>
          </w:p>
          <w:p>
            <w:pPr>
              <w:pStyle w:val="104"/>
              <w:ind w:firstLine="482"/>
              <w:rPr>
                <w:rFonts w:hint="eastAsia"/>
                <w:color w:val="auto"/>
              </w:rPr>
            </w:pPr>
            <w:r>
              <w:rPr>
                <w:rFonts w:hint="eastAsia"/>
                <w:b/>
                <w:bCs/>
                <w:color w:val="auto"/>
              </w:rPr>
              <w:t>东面：</w:t>
            </w:r>
            <w:r>
              <w:rPr>
                <w:rFonts w:hint="eastAsia"/>
                <w:color w:val="auto"/>
              </w:rPr>
              <w:t>主要为其他商业用房，东侧50m范围内依次分别为中国工商银行、名胜房产、捌零大叔拌饭，然后是礼士路，然后向东依次是英伦俱乐部、华莱士，50处是花城小区，150m处为嘉州新城满芳庭，200m处为中国石化加油站。</w:t>
            </w:r>
          </w:p>
          <w:p>
            <w:pPr>
              <w:pStyle w:val="104"/>
              <w:ind w:firstLine="482"/>
              <w:rPr>
                <w:rFonts w:hint="eastAsia"/>
                <w:color w:val="auto"/>
              </w:rPr>
            </w:pPr>
            <w:r>
              <w:rPr>
                <w:rFonts w:hint="eastAsia"/>
                <w:b/>
                <w:bCs/>
                <w:color w:val="auto"/>
              </w:rPr>
              <w:t>南侧：</w:t>
            </w:r>
            <w:r>
              <w:rPr>
                <w:rFonts w:hint="eastAsia"/>
                <w:color w:val="auto"/>
              </w:rPr>
              <w:t>南侧20m为肖坝路，南侧100m嘉州新城嘉州水岸小区（约2000人）；东南侧150m为</w:t>
            </w:r>
            <w:r>
              <w:rPr>
                <w:color w:val="auto"/>
              </w:rPr>
              <w:t>西南侧</w:t>
            </w:r>
            <w:r>
              <w:rPr>
                <w:rFonts w:hint="eastAsia"/>
                <w:color w:val="auto"/>
              </w:rPr>
              <w:t>200</w:t>
            </w:r>
            <w:r>
              <w:rPr>
                <w:color w:val="auto"/>
              </w:rPr>
              <w:t>m为</w:t>
            </w:r>
            <w:r>
              <w:rPr>
                <w:rFonts w:hint="eastAsia"/>
                <w:color w:val="auto"/>
              </w:rPr>
              <w:t>乐山外国语小学（约3000人）</w:t>
            </w:r>
            <w:r>
              <w:rPr>
                <w:color w:val="auto"/>
              </w:rPr>
              <w:t>，</w:t>
            </w:r>
            <w:r>
              <w:rPr>
                <w:rFonts w:hint="eastAsia"/>
                <w:color w:val="auto"/>
              </w:rPr>
              <w:t>东南侧150</w:t>
            </w:r>
            <w:r>
              <w:rPr>
                <w:color w:val="auto"/>
              </w:rPr>
              <w:t>m为</w:t>
            </w:r>
            <w:r>
              <w:rPr>
                <w:rFonts w:hint="eastAsia"/>
                <w:color w:val="auto"/>
              </w:rPr>
              <w:t>佛伦堡水岸别墅；东南侧400</w:t>
            </w:r>
            <w:r>
              <w:rPr>
                <w:color w:val="auto"/>
              </w:rPr>
              <w:t>m</w:t>
            </w:r>
            <w:r>
              <w:rPr>
                <w:rFonts w:hint="eastAsia"/>
                <w:color w:val="auto"/>
              </w:rPr>
              <w:t>乐山肖坝旅游车站（约2000人），大渡河位于</w:t>
            </w:r>
            <w:r>
              <w:rPr>
                <w:color w:val="auto"/>
              </w:rPr>
              <w:t>项目</w:t>
            </w:r>
            <w:r>
              <w:rPr>
                <w:rFonts w:hint="eastAsia"/>
                <w:color w:val="auto"/>
              </w:rPr>
              <w:t>南侧400</w:t>
            </w:r>
            <w:r>
              <w:rPr>
                <w:color w:val="auto"/>
              </w:rPr>
              <w:t>m</w:t>
            </w:r>
            <w:r>
              <w:rPr>
                <w:rFonts w:hint="eastAsia"/>
                <w:color w:val="auto"/>
              </w:rPr>
              <w:t>；</w:t>
            </w:r>
          </w:p>
          <w:p>
            <w:pPr>
              <w:pStyle w:val="104"/>
              <w:ind w:firstLine="482"/>
              <w:rPr>
                <w:rFonts w:hint="eastAsia"/>
                <w:color w:val="auto"/>
              </w:rPr>
            </w:pPr>
            <w:r>
              <w:rPr>
                <w:rFonts w:hint="eastAsia"/>
                <w:b/>
                <w:bCs/>
                <w:color w:val="auto"/>
              </w:rPr>
              <w:t>西侧：</w:t>
            </w:r>
            <w:r>
              <w:rPr>
                <w:rFonts w:hint="eastAsia"/>
                <w:color w:val="auto"/>
              </w:rPr>
              <w:t>紧邻项目为中国体育彩票、中国银行及其他商铺，50m处为途虎养车认证店。</w:t>
            </w:r>
          </w:p>
          <w:p>
            <w:pPr>
              <w:pStyle w:val="104"/>
              <w:ind w:firstLine="480"/>
              <w:rPr>
                <w:rFonts w:hint="eastAsia"/>
                <w:color w:val="auto"/>
              </w:rPr>
            </w:pPr>
            <w:r>
              <w:rPr>
                <w:rFonts w:hint="eastAsia"/>
                <w:color w:val="auto"/>
              </w:rPr>
              <w:t>根据以上</w:t>
            </w:r>
            <w:r>
              <w:rPr>
                <w:color w:val="auto"/>
              </w:rPr>
              <w:t>外环境分析可知，项目周边主要是商业用房、居民住宅</w:t>
            </w:r>
            <w:r>
              <w:rPr>
                <w:rFonts w:hint="eastAsia"/>
                <w:color w:val="auto"/>
              </w:rPr>
              <w:t>、学校</w:t>
            </w:r>
            <w:r>
              <w:rPr>
                <w:color w:val="auto"/>
              </w:rPr>
              <w:t>等，无重大污染企业，周围环境质量较好，运营时的能源主要采用电，项目取水、排水方便，</w:t>
            </w:r>
            <w:r>
              <w:rPr>
                <w:rFonts w:hint="eastAsia"/>
                <w:color w:val="auto"/>
              </w:rPr>
              <w:t>能满足项目基本的运行需求，</w:t>
            </w:r>
            <w:r>
              <w:rPr>
                <w:color w:val="auto"/>
              </w:rPr>
              <w:t>选址符合</w:t>
            </w:r>
            <w:r>
              <w:rPr>
                <w:rFonts w:hint="eastAsia"/>
                <w:color w:val="auto"/>
              </w:rPr>
              <w:t>相关</w:t>
            </w:r>
            <w:r>
              <w:rPr>
                <w:color w:val="auto"/>
              </w:rPr>
              <w:t>规定要求，因此</w:t>
            </w:r>
            <w:r>
              <w:rPr>
                <w:rFonts w:hint="eastAsia"/>
                <w:color w:val="auto"/>
              </w:rPr>
              <w:t>周边</w:t>
            </w:r>
            <w:r>
              <w:rPr>
                <w:color w:val="auto"/>
              </w:rPr>
              <w:t>外环境对本项目</w:t>
            </w:r>
            <w:r>
              <w:rPr>
                <w:rFonts w:hint="eastAsia"/>
                <w:color w:val="auto"/>
              </w:rPr>
              <w:t>的</w:t>
            </w:r>
            <w:r>
              <w:rPr>
                <w:color w:val="auto"/>
              </w:rPr>
              <w:t>影响</w:t>
            </w:r>
            <w:r>
              <w:rPr>
                <w:rFonts w:hint="eastAsia"/>
                <w:color w:val="auto"/>
              </w:rPr>
              <w:t>较小。</w:t>
            </w:r>
          </w:p>
          <w:p>
            <w:pPr>
              <w:pStyle w:val="104"/>
              <w:ind w:firstLine="480"/>
              <w:rPr>
                <w:rFonts w:hint="eastAsia"/>
                <w:color w:val="auto"/>
              </w:rPr>
            </w:pPr>
            <w:r>
              <w:rPr>
                <w:rFonts w:hint="eastAsia"/>
                <w:color w:val="auto"/>
              </w:rPr>
              <w:t>本项目外环境关系具体情况如下表：</w:t>
            </w:r>
          </w:p>
          <w:p>
            <w:pPr>
              <w:pStyle w:val="117"/>
              <w:rPr>
                <w:rFonts w:hint="eastAsia"/>
                <w:color w:val="auto"/>
              </w:rPr>
            </w:pPr>
            <w:r>
              <w:rPr>
                <w:rFonts w:hint="eastAsia"/>
                <w:color w:val="auto"/>
              </w:rPr>
              <w:t>表1-5 项目外环境情况一览表</w:t>
            </w:r>
          </w:p>
          <w:tbl>
            <w:tblPr>
              <w:tblStyle w:val="38"/>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9"/>
              <w:gridCol w:w="2788"/>
              <w:gridCol w:w="1589"/>
              <w:gridCol w:w="955"/>
              <w:gridCol w:w="15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trPr>
              <w:tc>
                <w:tcPr>
                  <w:tcW w:w="475" w:type="pct"/>
                  <w:noWrap w:val="0"/>
                  <w:vAlign w:val="center"/>
                </w:tcPr>
                <w:p>
                  <w:pPr>
                    <w:pStyle w:val="170"/>
                    <w:rPr>
                      <w:rFonts w:hint="eastAsia"/>
                      <w:color w:val="auto"/>
                    </w:rPr>
                  </w:pPr>
                  <w:r>
                    <w:rPr>
                      <w:rFonts w:hint="eastAsia"/>
                      <w:color w:val="auto"/>
                    </w:rPr>
                    <w:t>序号</w:t>
                  </w:r>
                </w:p>
              </w:tc>
              <w:tc>
                <w:tcPr>
                  <w:tcW w:w="1842" w:type="pct"/>
                  <w:noWrap w:val="0"/>
                  <w:vAlign w:val="center"/>
                </w:tcPr>
                <w:p>
                  <w:pPr>
                    <w:pStyle w:val="170"/>
                    <w:rPr>
                      <w:rFonts w:hint="eastAsia"/>
                      <w:color w:val="auto"/>
                    </w:rPr>
                  </w:pPr>
                  <w:r>
                    <w:rPr>
                      <w:rFonts w:hint="eastAsia"/>
                      <w:color w:val="auto"/>
                    </w:rPr>
                    <w:t>外环境情况</w:t>
                  </w:r>
                </w:p>
              </w:tc>
              <w:tc>
                <w:tcPr>
                  <w:tcW w:w="1050" w:type="pct"/>
                  <w:noWrap w:val="0"/>
                  <w:vAlign w:val="center"/>
                </w:tcPr>
                <w:p>
                  <w:pPr>
                    <w:pStyle w:val="170"/>
                    <w:rPr>
                      <w:rFonts w:hint="eastAsia"/>
                      <w:color w:val="auto"/>
                    </w:rPr>
                  </w:pPr>
                  <w:r>
                    <w:rPr>
                      <w:rFonts w:hint="eastAsia"/>
                      <w:color w:val="auto"/>
                    </w:rPr>
                    <w:t>类型</w:t>
                  </w:r>
                </w:p>
              </w:tc>
              <w:tc>
                <w:tcPr>
                  <w:tcW w:w="631" w:type="pct"/>
                  <w:noWrap w:val="0"/>
                  <w:vAlign w:val="center"/>
                </w:tcPr>
                <w:p>
                  <w:pPr>
                    <w:pStyle w:val="170"/>
                    <w:rPr>
                      <w:rFonts w:hint="eastAsia"/>
                      <w:color w:val="auto"/>
                    </w:rPr>
                  </w:pPr>
                  <w:r>
                    <w:rPr>
                      <w:rFonts w:hint="eastAsia"/>
                      <w:color w:val="auto"/>
                    </w:rPr>
                    <w:t>方位</w:t>
                  </w:r>
                </w:p>
              </w:tc>
              <w:tc>
                <w:tcPr>
                  <w:tcW w:w="1001" w:type="pct"/>
                  <w:noWrap w:val="0"/>
                  <w:vAlign w:val="center"/>
                </w:tcPr>
                <w:p>
                  <w:pPr>
                    <w:pStyle w:val="170"/>
                    <w:rPr>
                      <w:rFonts w:hint="eastAsia"/>
                      <w:color w:val="auto"/>
                    </w:rPr>
                  </w:pPr>
                  <w:r>
                    <w:rPr>
                      <w:rFonts w:hint="eastAsia"/>
                      <w:color w:val="auto"/>
                    </w:rPr>
                    <w:t>与本项目场界最近距离（m）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5" w:type="pct"/>
                  <w:noWrap w:val="0"/>
                  <w:vAlign w:val="center"/>
                </w:tcPr>
                <w:p>
                  <w:pPr>
                    <w:pStyle w:val="170"/>
                    <w:rPr>
                      <w:rFonts w:hint="eastAsia"/>
                      <w:color w:val="auto"/>
                    </w:rPr>
                  </w:pPr>
                  <w:r>
                    <w:rPr>
                      <w:rFonts w:hint="eastAsia"/>
                      <w:color w:val="auto"/>
                    </w:rPr>
                    <w:t>1</w:t>
                  </w:r>
                </w:p>
              </w:tc>
              <w:tc>
                <w:tcPr>
                  <w:tcW w:w="1842" w:type="pct"/>
                  <w:noWrap w:val="0"/>
                  <w:vAlign w:val="center"/>
                </w:tcPr>
                <w:p>
                  <w:pPr>
                    <w:pStyle w:val="170"/>
                    <w:rPr>
                      <w:rFonts w:hint="eastAsia"/>
                      <w:color w:val="auto"/>
                    </w:rPr>
                  </w:pPr>
                  <w:r>
                    <w:rPr>
                      <w:rFonts w:hint="eastAsia"/>
                      <w:color w:val="auto"/>
                    </w:rPr>
                    <w:t>成都理工大学工程技术学院</w:t>
                  </w:r>
                </w:p>
              </w:tc>
              <w:tc>
                <w:tcPr>
                  <w:tcW w:w="1050" w:type="pct"/>
                  <w:noWrap w:val="0"/>
                  <w:vAlign w:val="center"/>
                </w:tcPr>
                <w:p>
                  <w:pPr>
                    <w:pStyle w:val="170"/>
                    <w:rPr>
                      <w:rFonts w:hint="eastAsia"/>
                      <w:color w:val="auto"/>
                    </w:rPr>
                  </w:pPr>
                  <w:r>
                    <w:rPr>
                      <w:rFonts w:hint="eastAsia"/>
                      <w:color w:val="auto"/>
                    </w:rPr>
                    <w:t>学校</w:t>
                  </w:r>
                </w:p>
              </w:tc>
              <w:tc>
                <w:tcPr>
                  <w:tcW w:w="631" w:type="pct"/>
                  <w:vMerge w:val="restart"/>
                  <w:noWrap w:val="0"/>
                  <w:vAlign w:val="center"/>
                </w:tcPr>
                <w:p>
                  <w:pPr>
                    <w:pStyle w:val="170"/>
                    <w:rPr>
                      <w:rFonts w:hint="eastAsia"/>
                      <w:color w:val="auto"/>
                    </w:rPr>
                  </w:pPr>
                  <w:r>
                    <w:rPr>
                      <w:rFonts w:hint="eastAsia"/>
                      <w:color w:val="auto"/>
                    </w:rPr>
                    <w:t>北侧</w:t>
                  </w:r>
                </w:p>
              </w:tc>
              <w:tc>
                <w:tcPr>
                  <w:tcW w:w="1001" w:type="pct"/>
                  <w:noWrap w:val="0"/>
                  <w:vAlign w:val="center"/>
                </w:tcPr>
                <w:p>
                  <w:pPr>
                    <w:pStyle w:val="170"/>
                    <w:rPr>
                      <w:color w:val="auto"/>
                    </w:rPr>
                  </w:pPr>
                  <w:r>
                    <w:rPr>
                      <w:rFonts w:hint="eastAsia"/>
                      <w:color w:val="auto"/>
                    </w:rPr>
                    <w:t>145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5" w:type="pct"/>
                  <w:noWrap w:val="0"/>
                  <w:vAlign w:val="center"/>
                </w:tcPr>
                <w:p>
                  <w:pPr>
                    <w:pStyle w:val="170"/>
                    <w:rPr>
                      <w:rFonts w:hint="eastAsia"/>
                      <w:color w:val="auto"/>
                    </w:rPr>
                  </w:pPr>
                  <w:r>
                    <w:rPr>
                      <w:rFonts w:hint="eastAsia"/>
                      <w:color w:val="auto"/>
                    </w:rPr>
                    <w:t>2</w:t>
                  </w:r>
                </w:p>
              </w:tc>
              <w:tc>
                <w:tcPr>
                  <w:tcW w:w="1842" w:type="pct"/>
                  <w:noWrap w:val="0"/>
                  <w:vAlign w:val="center"/>
                </w:tcPr>
                <w:p>
                  <w:pPr>
                    <w:pStyle w:val="170"/>
                    <w:rPr>
                      <w:rFonts w:hint="eastAsia"/>
                      <w:color w:val="auto"/>
                    </w:rPr>
                  </w:pPr>
                  <w:r>
                    <w:rPr>
                      <w:rFonts w:hint="eastAsia"/>
                      <w:color w:val="auto"/>
                    </w:rPr>
                    <w:t>满芳庭锦邻小区</w:t>
                  </w:r>
                </w:p>
              </w:tc>
              <w:tc>
                <w:tcPr>
                  <w:tcW w:w="1050" w:type="pct"/>
                  <w:noWrap w:val="0"/>
                  <w:vAlign w:val="center"/>
                </w:tcPr>
                <w:p>
                  <w:pPr>
                    <w:pStyle w:val="170"/>
                    <w:rPr>
                      <w:rFonts w:hint="eastAsia"/>
                      <w:color w:val="auto"/>
                    </w:rPr>
                  </w:pPr>
                  <w:r>
                    <w:rPr>
                      <w:rFonts w:hint="eastAsia"/>
                      <w:color w:val="auto"/>
                    </w:rPr>
                    <w:t>住宅</w:t>
                  </w:r>
                </w:p>
              </w:tc>
              <w:tc>
                <w:tcPr>
                  <w:tcW w:w="631" w:type="pct"/>
                  <w:vMerge w:val="continue"/>
                  <w:noWrap w:val="0"/>
                  <w:vAlign w:val="center"/>
                </w:tcPr>
                <w:p>
                  <w:pPr>
                    <w:pStyle w:val="170"/>
                    <w:rPr>
                      <w:rFonts w:hint="eastAsia"/>
                      <w:color w:val="auto"/>
                    </w:rPr>
                  </w:pPr>
                </w:p>
              </w:tc>
              <w:tc>
                <w:tcPr>
                  <w:tcW w:w="1001" w:type="pct"/>
                  <w:noWrap w:val="0"/>
                  <w:vAlign w:val="center"/>
                </w:tcPr>
                <w:p>
                  <w:pPr>
                    <w:pStyle w:val="170"/>
                    <w:rPr>
                      <w:rFonts w:hint="eastAsia"/>
                      <w:color w:val="auto"/>
                    </w:rPr>
                  </w:pPr>
                  <w:r>
                    <w:rPr>
                      <w:rFonts w:hint="eastAsia"/>
                      <w:color w:val="auto"/>
                    </w:rPr>
                    <w:t>紧邻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170"/>
                    <w:rPr>
                      <w:rFonts w:hint="eastAsia"/>
                      <w:color w:val="auto"/>
                    </w:rPr>
                  </w:pPr>
                  <w:r>
                    <w:rPr>
                      <w:rFonts w:hint="eastAsia"/>
                      <w:color w:val="auto"/>
                    </w:rPr>
                    <w:t>3</w:t>
                  </w:r>
                </w:p>
              </w:tc>
              <w:tc>
                <w:tcPr>
                  <w:tcW w:w="1842" w:type="pct"/>
                  <w:noWrap w:val="0"/>
                  <w:vAlign w:val="center"/>
                </w:tcPr>
                <w:p>
                  <w:pPr>
                    <w:pStyle w:val="170"/>
                    <w:rPr>
                      <w:rFonts w:hint="eastAsia"/>
                      <w:color w:val="auto"/>
                    </w:rPr>
                  </w:pPr>
                  <w:r>
                    <w:rPr>
                      <w:rFonts w:hint="eastAsia"/>
                      <w:color w:val="auto"/>
                    </w:rPr>
                    <w:t>中国工商银行</w:t>
                  </w:r>
                </w:p>
              </w:tc>
              <w:tc>
                <w:tcPr>
                  <w:tcW w:w="1050" w:type="pct"/>
                  <w:noWrap w:val="0"/>
                  <w:vAlign w:val="center"/>
                </w:tcPr>
                <w:p>
                  <w:pPr>
                    <w:pStyle w:val="170"/>
                    <w:rPr>
                      <w:rFonts w:hint="eastAsia"/>
                      <w:color w:val="auto"/>
                    </w:rPr>
                  </w:pPr>
                  <w:r>
                    <w:rPr>
                      <w:rFonts w:hint="eastAsia"/>
                      <w:color w:val="auto"/>
                    </w:rPr>
                    <w:t>银行</w:t>
                  </w:r>
                </w:p>
              </w:tc>
              <w:tc>
                <w:tcPr>
                  <w:tcW w:w="631" w:type="pct"/>
                  <w:vMerge w:val="restart"/>
                  <w:noWrap w:val="0"/>
                  <w:vAlign w:val="center"/>
                </w:tcPr>
                <w:p>
                  <w:pPr>
                    <w:pStyle w:val="170"/>
                    <w:rPr>
                      <w:rFonts w:hint="eastAsia"/>
                      <w:color w:val="auto"/>
                    </w:rPr>
                  </w:pPr>
                  <w:r>
                    <w:rPr>
                      <w:rFonts w:hint="eastAsia"/>
                      <w:color w:val="auto"/>
                    </w:rPr>
                    <w:t>东侧</w:t>
                  </w:r>
                </w:p>
              </w:tc>
              <w:tc>
                <w:tcPr>
                  <w:tcW w:w="1001" w:type="pct"/>
                  <w:noWrap w:val="0"/>
                  <w:vAlign w:val="center"/>
                </w:tcPr>
                <w:p>
                  <w:pPr>
                    <w:pStyle w:val="170"/>
                    <w:rPr>
                      <w:color w:val="auto"/>
                    </w:rPr>
                  </w:pPr>
                  <w:r>
                    <w:rPr>
                      <w:rFonts w:hint="eastAsia"/>
                      <w:color w:val="auto"/>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170"/>
                    <w:rPr>
                      <w:rFonts w:hint="eastAsia"/>
                      <w:color w:val="auto"/>
                    </w:rPr>
                  </w:pPr>
                  <w:r>
                    <w:rPr>
                      <w:rFonts w:hint="eastAsia"/>
                      <w:color w:val="auto"/>
                    </w:rPr>
                    <w:t>4</w:t>
                  </w:r>
                </w:p>
              </w:tc>
              <w:tc>
                <w:tcPr>
                  <w:tcW w:w="1842" w:type="pct"/>
                  <w:noWrap w:val="0"/>
                  <w:vAlign w:val="center"/>
                </w:tcPr>
                <w:p>
                  <w:pPr>
                    <w:pStyle w:val="170"/>
                    <w:rPr>
                      <w:rFonts w:hint="eastAsia"/>
                      <w:color w:val="auto"/>
                    </w:rPr>
                  </w:pPr>
                  <w:r>
                    <w:rPr>
                      <w:rFonts w:hint="eastAsia"/>
                      <w:color w:val="auto"/>
                    </w:rPr>
                    <w:t>名胜房产</w:t>
                  </w:r>
                </w:p>
              </w:tc>
              <w:tc>
                <w:tcPr>
                  <w:tcW w:w="1050" w:type="pct"/>
                  <w:noWrap w:val="0"/>
                  <w:vAlign w:val="center"/>
                </w:tcPr>
                <w:p>
                  <w:pPr>
                    <w:pStyle w:val="170"/>
                    <w:rPr>
                      <w:rFonts w:hint="eastAsia"/>
                      <w:color w:val="auto"/>
                    </w:rPr>
                  </w:pPr>
                  <w:r>
                    <w:rPr>
                      <w:rFonts w:hint="eastAsia"/>
                      <w:color w:val="auto"/>
                    </w:rPr>
                    <w:t>商业</w:t>
                  </w:r>
                </w:p>
              </w:tc>
              <w:tc>
                <w:tcPr>
                  <w:tcW w:w="631" w:type="pct"/>
                  <w:vMerge w:val="continue"/>
                  <w:noWrap w:val="0"/>
                  <w:vAlign w:val="center"/>
                </w:tcPr>
                <w:p>
                  <w:pPr>
                    <w:pStyle w:val="170"/>
                    <w:rPr>
                      <w:rFonts w:hint="eastAsia"/>
                      <w:color w:val="auto"/>
                    </w:rPr>
                  </w:pPr>
                </w:p>
              </w:tc>
              <w:tc>
                <w:tcPr>
                  <w:tcW w:w="1001" w:type="pct"/>
                  <w:noWrap w:val="0"/>
                  <w:vAlign w:val="center"/>
                </w:tcPr>
                <w:p>
                  <w:pPr>
                    <w:pStyle w:val="170"/>
                    <w:rPr>
                      <w:color w:val="auto"/>
                    </w:rPr>
                  </w:pPr>
                  <w:r>
                    <w:rPr>
                      <w:rFonts w:hint="eastAsia"/>
                      <w:color w:val="auto"/>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170"/>
                    <w:rPr>
                      <w:rFonts w:hint="eastAsia"/>
                      <w:color w:val="auto"/>
                    </w:rPr>
                  </w:pPr>
                  <w:r>
                    <w:rPr>
                      <w:rFonts w:hint="eastAsia"/>
                      <w:color w:val="auto"/>
                    </w:rPr>
                    <w:t>5</w:t>
                  </w:r>
                </w:p>
              </w:tc>
              <w:tc>
                <w:tcPr>
                  <w:tcW w:w="1842" w:type="pct"/>
                  <w:noWrap w:val="0"/>
                  <w:vAlign w:val="center"/>
                </w:tcPr>
                <w:p>
                  <w:pPr>
                    <w:pStyle w:val="170"/>
                    <w:rPr>
                      <w:rFonts w:hint="eastAsia"/>
                      <w:color w:val="auto"/>
                    </w:rPr>
                  </w:pPr>
                  <w:r>
                    <w:rPr>
                      <w:rFonts w:hint="eastAsia"/>
                      <w:color w:val="auto"/>
                    </w:rPr>
                    <w:t>捌零大叔拌饭</w:t>
                  </w:r>
                </w:p>
              </w:tc>
              <w:tc>
                <w:tcPr>
                  <w:tcW w:w="1050" w:type="pct"/>
                  <w:noWrap w:val="0"/>
                  <w:vAlign w:val="center"/>
                </w:tcPr>
                <w:p>
                  <w:pPr>
                    <w:pStyle w:val="170"/>
                    <w:rPr>
                      <w:rFonts w:hint="eastAsia"/>
                      <w:color w:val="auto"/>
                    </w:rPr>
                  </w:pPr>
                  <w:r>
                    <w:rPr>
                      <w:rFonts w:hint="eastAsia"/>
                      <w:color w:val="auto"/>
                    </w:rPr>
                    <w:t>商业</w:t>
                  </w:r>
                </w:p>
              </w:tc>
              <w:tc>
                <w:tcPr>
                  <w:tcW w:w="631" w:type="pct"/>
                  <w:vMerge w:val="continue"/>
                  <w:noWrap w:val="0"/>
                  <w:vAlign w:val="center"/>
                </w:tcPr>
                <w:p>
                  <w:pPr>
                    <w:pStyle w:val="170"/>
                    <w:rPr>
                      <w:rFonts w:hint="eastAsia"/>
                      <w:color w:val="auto"/>
                    </w:rPr>
                  </w:pPr>
                </w:p>
              </w:tc>
              <w:tc>
                <w:tcPr>
                  <w:tcW w:w="1001" w:type="pct"/>
                  <w:noWrap w:val="0"/>
                  <w:vAlign w:val="center"/>
                </w:tcPr>
                <w:p>
                  <w:pPr>
                    <w:pStyle w:val="170"/>
                    <w:rPr>
                      <w:color w:val="auto"/>
                    </w:rPr>
                  </w:pPr>
                  <w:r>
                    <w:rPr>
                      <w:rFonts w:hint="eastAsia"/>
                      <w:color w:val="auto"/>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170"/>
                    <w:rPr>
                      <w:rFonts w:hint="eastAsia"/>
                      <w:color w:val="auto"/>
                    </w:rPr>
                  </w:pPr>
                  <w:r>
                    <w:rPr>
                      <w:rFonts w:hint="eastAsia"/>
                      <w:color w:val="auto"/>
                    </w:rPr>
                    <w:t>6</w:t>
                  </w:r>
                </w:p>
              </w:tc>
              <w:tc>
                <w:tcPr>
                  <w:tcW w:w="1842" w:type="pct"/>
                  <w:noWrap w:val="0"/>
                  <w:vAlign w:val="center"/>
                </w:tcPr>
                <w:p>
                  <w:pPr>
                    <w:pStyle w:val="170"/>
                    <w:rPr>
                      <w:rFonts w:hint="eastAsia"/>
                      <w:color w:val="auto"/>
                    </w:rPr>
                  </w:pPr>
                  <w:r>
                    <w:rPr>
                      <w:rFonts w:hint="eastAsia"/>
                      <w:color w:val="auto"/>
                    </w:rPr>
                    <w:t>英伦俱乐部</w:t>
                  </w:r>
                </w:p>
              </w:tc>
              <w:tc>
                <w:tcPr>
                  <w:tcW w:w="1050" w:type="pct"/>
                  <w:noWrap w:val="0"/>
                  <w:vAlign w:val="center"/>
                </w:tcPr>
                <w:p>
                  <w:pPr>
                    <w:pStyle w:val="170"/>
                    <w:rPr>
                      <w:rFonts w:hint="eastAsia"/>
                      <w:color w:val="auto"/>
                    </w:rPr>
                  </w:pPr>
                  <w:r>
                    <w:rPr>
                      <w:rFonts w:hint="eastAsia"/>
                      <w:color w:val="auto"/>
                    </w:rPr>
                    <w:t>商业</w:t>
                  </w:r>
                </w:p>
              </w:tc>
              <w:tc>
                <w:tcPr>
                  <w:tcW w:w="631" w:type="pct"/>
                  <w:vMerge w:val="continue"/>
                  <w:noWrap w:val="0"/>
                  <w:vAlign w:val="center"/>
                </w:tcPr>
                <w:p>
                  <w:pPr>
                    <w:pStyle w:val="170"/>
                    <w:rPr>
                      <w:rFonts w:hint="eastAsia"/>
                      <w:color w:val="auto"/>
                    </w:rPr>
                  </w:pPr>
                </w:p>
              </w:tc>
              <w:tc>
                <w:tcPr>
                  <w:tcW w:w="1001" w:type="pct"/>
                  <w:noWrap w:val="0"/>
                  <w:vAlign w:val="center"/>
                </w:tcPr>
                <w:p>
                  <w:pPr>
                    <w:pStyle w:val="170"/>
                    <w:rPr>
                      <w:color w:val="auto"/>
                    </w:rPr>
                  </w:pPr>
                  <w:r>
                    <w:rPr>
                      <w:rFonts w:hint="eastAsia"/>
                      <w:color w:val="auto"/>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170"/>
                    <w:rPr>
                      <w:rFonts w:hint="eastAsia"/>
                      <w:color w:val="auto"/>
                    </w:rPr>
                  </w:pPr>
                  <w:r>
                    <w:rPr>
                      <w:rFonts w:hint="eastAsia"/>
                      <w:color w:val="auto"/>
                    </w:rPr>
                    <w:t>7</w:t>
                  </w:r>
                </w:p>
              </w:tc>
              <w:tc>
                <w:tcPr>
                  <w:tcW w:w="1842" w:type="pct"/>
                  <w:noWrap w:val="0"/>
                  <w:vAlign w:val="center"/>
                </w:tcPr>
                <w:p>
                  <w:pPr>
                    <w:pStyle w:val="170"/>
                    <w:rPr>
                      <w:rFonts w:hint="eastAsia"/>
                      <w:color w:val="auto"/>
                    </w:rPr>
                  </w:pPr>
                  <w:r>
                    <w:rPr>
                      <w:rFonts w:hint="eastAsia"/>
                      <w:color w:val="auto"/>
                    </w:rPr>
                    <w:t>华莱士</w:t>
                  </w:r>
                </w:p>
              </w:tc>
              <w:tc>
                <w:tcPr>
                  <w:tcW w:w="1050" w:type="pct"/>
                  <w:noWrap w:val="0"/>
                  <w:vAlign w:val="center"/>
                </w:tcPr>
                <w:p>
                  <w:pPr>
                    <w:pStyle w:val="170"/>
                    <w:rPr>
                      <w:rFonts w:hint="eastAsia"/>
                      <w:color w:val="auto"/>
                    </w:rPr>
                  </w:pPr>
                  <w:r>
                    <w:rPr>
                      <w:rFonts w:hint="eastAsia"/>
                      <w:color w:val="auto"/>
                    </w:rPr>
                    <w:t>商业</w:t>
                  </w:r>
                </w:p>
              </w:tc>
              <w:tc>
                <w:tcPr>
                  <w:tcW w:w="631" w:type="pct"/>
                  <w:vMerge w:val="continue"/>
                  <w:noWrap w:val="0"/>
                  <w:vAlign w:val="center"/>
                </w:tcPr>
                <w:p>
                  <w:pPr>
                    <w:pStyle w:val="170"/>
                    <w:rPr>
                      <w:rFonts w:hint="eastAsia"/>
                      <w:color w:val="auto"/>
                    </w:rPr>
                  </w:pPr>
                </w:p>
              </w:tc>
              <w:tc>
                <w:tcPr>
                  <w:tcW w:w="1001" w:type="pct"/>
                  <w:noWrap w:val="0"/>
                  <w:vAlign w:val="center"/>
                </w:tcPr>
                <w:p>
                  <w:pPr>
                    <w:pStyle w:val="170"/>
                    <w:rPr>
                      <w:color w:val="auto"/>
                    </w:rPr>
                  </w:pPr>
                  <w:r>
                    <w:rPr>
                      <w:rFonts w:hint="eastAsia"/>
                      <w:color w:val="auto"/>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170"/>
                    <w:rPr>
                      <w:rFonts w:hint="eastAsia"/>
                      <w:color w:val="auto"/>
                    </w:rPr>
                  </w:pPr>
                  <w:r>
                    <w:rPr>
                      <w:rFonts w:hint="eastAsia"/>
                      <w:color w:val="auto"/>
                    </w:rPr>
                    <w:t>8</w:t>
                  </w:r>
                </w:p>
              </w:tc>
              <w:tc>
                <w:tcPr>
                  <w:tcW w:w="1842" w:type="pct"/>
                  <w:noWrap w:val="0"/>
                  <w:vAlign w:val="center"/>
                </w:tcPr>
                <w:p>
                  <w:pPr>
                    <w:pStyle w:val="170"/>
                    <w:rPr>
                      <w:rFonts w:hint="eastAsia"/>
                      <w:color w:val="auto"/>
                    </w:rPr>
                  </w:pPr>
                  <w:r>
                    <w:rPr>
                      <w:rFonts w:hint="eastAsia"/>
                      <w:color w:val="auto"/>
                    </w:rPr>
                    <w:t>花城小区</w:t>
                  </w:r>
                </w:p>
              </w:tc>
              <w:tc>
                <w:tcPr>
                  <w:tcW w:w="1050" w:type="pct"/>
                  <w:noWrap w:val="0"/>
                  <w:vAlign w:val="center"/>
                </w:tcPr>
                <w:p>
                  <w:pPr>
                    <w:pStyle w:val="170"/>
                    <w:rPr>
                      <w:rFonts w:hint="eastAsia"/>
                      <w:color w:val="auto"/>
                    </w:rPr>
                  </w:pPr>
                  <w:r>
                    <w:rPr>
                      <w:rFonts w:hint="eastAsia"/>
                      <w:color w:val="auto"/>
                    </w:rPr>
                    <w:t>住宅</w:t>
                  </w:r>
                </w:p>
              </w:tc>
              <w:tc>
                <w:tcPr>
                  <w:tcW w:w="631" w:type="pct"/>
                  <w:vMerge w:val="continue"/>
                  <w:noWrap w:val="0"/>
                  <w:vAlign w:val="center"/>
                </w:tcPr>
                <w:p>
                  <w:pPr>
                    <w:pStyle w:val="170"/>
                    <w:rPr>
                      <w:rFonts w:hint="eastAsia"/>
                      <w:color w:val="auto"/>
                    </w:rPr>
                  </w:pPr>
                </w:p>
              </w:tc>
              <w:tc>
                <w:tcPr>
                  <w:tcW w:w="1001" w:type="pct"/>
                  <w:noWrap w:val="0"/>
                  <w:vAlign w:val="center"/>
                </w:tcPr>
                <w:p>
                  <w:pPr>
                    <w:pStyle w:val="170"/>
                    <w:rPr>
                      <w:color w:val="auto"/>
                    </w:rPr>
                  </w:pPr>
                  <w:r>
                    <w:rPr>
                      <w:rFonts w:hint="eastAsia"/>
                      <w:color w:val="auto"/>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170"/>
                    <w:rPr>
                      <w:rFonts w:hint="eastAsia"/>
                      <w:color w:val="auto"/>
                    </w:rPr>
                  </w:pPr>
                  <w:r>
                    <w:rPr>
                      <w:rFonts w:hint="eastAsia"/>
                      <w:color w:val="auto"/>
                    </w:rPr>
                    <w:t>9</w:t>
                  </w:r>
                </w:p>
              </w:tc>
              <w:tc>
                <w:tcPr>
                  <w:tcW w:w="1842" w:type="pct"/>
                  <w:noWrap w:val="0"/>
                  <w:vAlign w:val="center"/>
                </w:tcPr>
                <w:p>
                  <w:pPr>
                    <w:pStyle w:val="170"/>
                    <w:rPr>
                      <w:rFonts w:hint="eastAsia"/>
                      <w:color w:val="auto"/>
                    </w:rPr>
                  </w:pPr>
                  <w:r>
                    <w:rPr>
                      <w:rFonts w:hint="eastAsia"/>
                      <w:color w:val="auto"/>
                    </w:rPr>
                    <w:t>嘉州新城满芳庭</w:t>
                  </w:r>
                </w:p>
              </w:tc>
              <w:tc>
                <w:tcPr>
                  <w:tcW w:w="1050" w:type="pct"/>
                  <w:noWrap w:val="0"/>
                  <w:vAlign w:val="center"/>
                </w:tcPr>
                <w:p>
                  <w:pPr>
                    <w:pStyle w:val="170"/>
                    <w:rPr>
                      <w:rFonts w:hint="eastAsia"/>
                      <w:color w:val="auto"/>
                    </w:rPr>
                  </w:pPr>
                  <w:r>
                    <w:rPr>
                      <w:rFonts w:hint="eastAsia"/>
                      <w:color w:val="auto"/>
                    </w:rPr>
                    <w:t>住宅</w:t>
                  </w:r>
                </w:p>
              </w:tc>
              <w:tc>
                <w:tcPr>
                  <w:tcW w:w="631" w:type="pct"/>
                  <w:vMerge w:val="continue"/>
                  <w:noWrap w:val="0"/>
                  <w:vAlign w:val="center"/>
                </w:tcPr>
                <w:p>
                  <w:pPr>
                    <w:pStyle w:val="170"/>
                    <w:rPr>
                      <w:rFonts w:hint="eastAsia"/>
                      <w:color w:val="auto"/>
                    </w:rPr>
                  </w:pPr>
                </w:p>
              </w:tc>
              <w:tc>
                <w:tcPr>
                  <w:tcW w:w="1001" w:type="pct"/>
                  <w:noWrap w:val="0"/>
                  <w:vAlign w:val="center"/>
                </w:tcPr>
                <w:p>
                  <w:pPr>
                    <w:pStyle w:val="170"/>
                    <w:rPr>
                      <w:color w:val="auto"/>
                    </w:rPr>
                  </w:pPr>
                  <w:r>
                    <w:rPr>
                      <w:rFonts w:hint="eastAsia"/>
                      <w:color w:val="auto"/>
                    </w:rPr>
                    <w:t>150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170"/>
                    <w:rPr>
                      <w:color w:val="auto"/>
                    </w:rPr>
                  </w:pPr>
                  <w:r>
                    <w:rPr>
                      <w:rFonts w:hint="eastAsia"/>
                      <w:color w:val="auto"/>
                    </w:rPr>
                    <w:t>10</w:t>
                  </w:r>
                </w:p>
              </w:tc>
              <w:tc>
                <w:tcPr>
                  <w:tcW w:w="1842" w:type="pct"/>
                  <w:noWrap w:val="0"/>
                  <w:vAlign w:val="center"/>
                </w:tcPr>
                <w:p>
                  <w:pPr>
                    <w:pStyle w:val="170"/>
                    <w:rPr>
                      <w:rFonts w:hint="eastAsia"/>
                      <w:color w:val="auto"/>
                    </w:rPr>
                  </w:pPr>
                  <w:r>
                    <w:rPr>
                      <w:rFonts w:hint="eastAsia"/>
                      <w:color w:val="auto"/>
                    </w:rPr>
                    <w:t>中国石化加油站</w:t>
                  </w:r>
                </w:p>
              </w:tc>
              <w:tc>
                <w:tcPr>
                  <w:tcW w:w="1050" w:type="pct"/>
                  <w:noWrap w:val="0"/>
                  <w:vAlign w:val="center"/>
                </w:tcPr>
                <w:p>
                  <w:pPr>
                    <w:pStyle w:val="170"/>
                    <w:rPr>
                      <w:rFonts w:hint="eastAsia"/>
                      <w:color w:val="auto"/>
                    </w:rPr>
                  </w:pPr>
                  <w:r>
                    <w:rPr>
                      <w:rFonts w:hint="eastAsia"/>
                      <w:color w:val="auto"/>
                    </w:rPr>
                    <w:t>商业</w:t>
                  </w:r>
                </w:p>
              </w:tc>
              <w:tc>
                <w:tcPr>
                  <w:tcW w:w="631" w:type="pct"/>
                  <w:vMerge w:val="continue"/>
                  <w:noWrap w:val="0"/>
                  <w:vAlign w:val="center"/>
                </w:tcPr>
                <w:p>
                  <w:pPr>
                    <w:pStyle w:val="170"/>
                    <w:rPr>
                      <w:rFonts w:hint="eastAsia"/>
                      <w:color w:val="auto"/>
                    </w:rPr>
                  </w:pPr>
                </w:p>
              </w:tc>
              <w:tc>
                <w:tcPr>
                  <w:tcW w:w="1001" w:type="pct"/>
                  <w:noWrap w:val="0"/>
                  <w:vAlign w:val="center"/>
                </w:tcPr>
                <w:p>
                  <w:pPr>
                    <w:pStyle w:val="170"/>
                    <w:rPr>
                      <w:color w:val="auto"/>
                    </w:rPr>
                  </w:pPr>
                  <w:r>
                    <w:rPr>
                      <w:rFonts w:hint="eastAsia"/>
                      <w:color w:val="auto"/>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170"/>
                    <w:rPr>
                      <w:color w:val="auto"/>
                    </w:rPr>
                  </w:pPr>
                  <w:r>
                    <w:rPr>
                      <w:rFonts w:hint="eastAsia"/>
                      <w:color w:val="auto"/>
                    </w:rPr>
                    <w:t>11</w:t>
                  </w:r>
                </w:p>
              </w:tc>
              <w:tc>
                <w:tcPr>
                  <w:tcW w:w="1842" w:type="pct"/>
                  <w:noWrap w:val="0"/>
                  <w:vAlign w:val="center"/>
                </w:tcPr>
                <w:p>
                  <w:pPr>
                    <w:pStyle w:val="170"/>
                    <w:rPr>
                      <w:rFonts w:hint="eastAsia"/>
                      <w:color w:val="auto"/>
                    </w:rPr>
                  </w:pPr>
                  <w:r>
                    <w:rPr>
                      <w:rFonts w:hint="eastAsia"/>
                      <w:color w:val="auto"/>
                    </w:rPr>
                    <w:t>嘉州新城嘉州水岸小区</w:t>
                  </w:r>
                </w:p>
              </w:tc>
              <w:tc>
                <w:tcPr>
                  <w:tcW w:w="1050" w:type="pct"/>
                  <w:noWrap w:val="0"/>
                  <w:vAlign w:val="center"/>
                </w:tcPr>
                <w:p>
                  <w:pPr>
                    <w:pStyle w:val="170"/>
                    <w:rPr>
                      <w:rFonts w:hint="eastAsia"/>
                      <w:color w:val="auto"/>
                    </w:rPr>
                  </w:pPr>
                  <w:r>
                    <w:rPr>
                      <w:rFonts w:hint="eastAsia"/>
                      <w:color w:val="auto"/>
                    </w:rPr>
                    <w:t>住宅</w:t>
                  </w:r>
                </w:p>
              </w:tc>
              <w:tc>
                <w:tcPr>
                  <w:tcW w:w="631" w:type="pct"/>
                  <w:vMerge w:val="restart"/>
                  <w:noWrap w:val="0"/>
                  <w:vAlign w:val="center"/>
                </w:tcPr>
                <w:p>
                  <w:pPr>
                    <w:pStyle w:val="170"/>
                    <w:rPr>
                      <w:rFonts w:hint="eastAsia"/>
                      <w:color w:val="auto"/>
                    </w:rPr>
                  </w:pPr>
                  <w:r>
                    <w:rPr>
                      <w:rFonts w:hint="eastAsia"/>
                      <w:color w:val="auto"/>
                    </w:rPr>
                    <w:t>南侧</w:t>
                  </w:r>
                </w:p>
              </w:tc>
              <w:tc>
                <w:tcPr>
                  <w:tcW w:w="1001" w:type="pct"/>
                  <w:noWrap w:val="0"/>
                  <w:vAlign w:val="center"/>
                </w:tcPr>
                <w:p>
                  <w:pPr>
                    <w:pStyle w:val="170"/>
                    <w:rPr>
                      <w:color w:val="auto"/>
                    </w:rPr>
                  </w:pPr>
                  <w:r>
                    <w:rPr>
                      <w:rFonts w:hint="eastAsia"/>
                      <w:color w:val="auto"/>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170"/>
                    <w:rPr>
                      <w:color w:val="auto"/>
                    </w:rPr>
                  </w:pPr>
                  <w:r>
                    <w:rPr>
                      <w:rFonts w:hint="eastAsia"/>
                      <w:color w:val="auto"/>
                    </w:rPr>
                    <w:t>12</w:t>
                  </w:r>
                </w:p>
              </w:tc>
              <w:tc>
                <w:tcPr>
                  <w:tcW w:w="1842" w:type="pct"/>
                  <w:noWrap w:val="0"/>
                  <w:vAlign w:val="center"/>
                </w:tcPr>
                <w:p>
                  <w:pPr>
                    <w:pStyle w:val="170"/>
                    <w:rPr>
                      <w:rFonts w:hint="eastAsia"/>
                      <w:color w:val="auto"/>
                    </w:rPr>
                  </w:pPr>
                  <w:r>
                    <w:rPr>
                      <w:rFonts w:hint="eastAsia"/>
                      <w:color w:val="auto"/>
                    </w:rPr>
                    <w:t>乐山外国语小学</w:t>
                  </w:r>
                </w:p>
              </w:tc>
              <w:tc>
                <w:tcPr>
                  <w:tcW w:w="1050" w:type="pct"/>
                  <w:noWrap w:val="0"/>
                  <w:vAlign w:val="center"/>
                </w:tcPr>
                <w:p>
                  <w:pPr>
                    <w:pStyle w:val="170"/>
                    <w:rPr>
                      <w:rFonts w:hint="eastAsia"/>
                      <w:color w:val="auto"/>
                    </w:rPr>
                  </w:pPr>
                  <w:r>
                    <w:rPr>
                      <w:rFonts w:hint="eastAsia"/>
                      <w:color w:val="auto"/>
                    </w:rPr>
                    <w:t>学校</w:t>
                  </w:r>
                </w:p>
              </w:tc>
              <w:tc>
                <w:tcPr>
                  <w:tcW w:w="631" w:type="pct"/>
                  <w:vMerge w:val="continue"/>
                  <w:noWrap w:val="0"/>
                  <w:vAlign w:val="center"/>
                </w:tcPr>
                <w:p>
                  <w:pPr>
                    <w:pStyle w:val="170"/>
                    <w:rPr>
                      <w:rFonts w:hint="eastAsia"/>
                      <w:color w:val="auto"/>
                    </w:rPr>
                  </w:pPr>
                </w:p>
              </w:tc>
              <w:tc>
                <w:tcPr>
                  <w:tcW w:w="1001" w:type="pct"/>
                  <w:noWrap w:val="0"/>
                  <w:vAlign w:val="center"/>
                </w:tcPr>
                <w:p>
                  <w:pPr>
                    <w:pStyle w:val="170"/>
                    <w:rPr>
                      <w:color w:val="auto"/>
                    </w:rPr>
                  </w:pPr>
                  <w:r>
                    <w:rPr>
                      <w:rFonts w:hint="eastAsia"/>
                      <w:color w:val="auto"/>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170"/>
                    <w:rPr>
                      <w:color w:val="auto"/>
                    </w:rPr>
                  </w:pPr>
                  <w:r>
                    <w:rPr>
                      <w:rFonts w:hint="eastAsia"/>
                      <w:color w:val="auto"/>
                    </w:rPr>
                    <w:t>13</w:t>
                  </w:r>
                </w:p>
              </w:tc>
              <w:tc>
                <w:tcPr>
                  <w:tcW w:w="1842" w:type="pct"/>
                  <w:noWrap w:val="0"/>
                  <w:vAlign w:val="center"/>
                </w:tcPr>
                <w:p>
                  <w:pPr>
                    <w:pStyle w:val="170"/>
                    <w:rPr>
                      <w:rFonts w:hint="eastAsia"/>
                      <w:color w:val="auto"/>
                    </w:rPr>
                  </w:pPr>
                  <w:r>
                    <w:rPr>
                      <w:rFonts w:hint="eastAsia"/>
                      <w:color w:val="auto"/>
                    </w:rPr>
                    <w:t>佛伦堡水岸别墅</w:t>
                  </w:r>
                </w:p>
              </w:tc>
              <w:tc>
                <w:tcPr>
                  <w:tcW w:w="1050" w:type="pct"/>
                  <w:noWrap w:val="0"/>
                  <w:vAlign w:val="center"/>
                </w:tcPr>
                <w:p>
                  <w:pPr>
                    <w:pStyle w:val="170"/>
                    <w:rPr>
                      <w:rFonts w:hint="eastAsia"/>
                      <w:color w:val="auto"/>
                    </w:rPr>
                  </w:pPr>
                  <w:r>
                    <w:rPr>
                      <w:rFonts w:hint="eastAsia"/>
                      <w:color w:val="auto"/>
                    </w:rPr>
                    <w:t>住宅</w:t>
                  </w:r>
                </w:p>
              </w:tc>
              <w:tc>
                <w:tcPr>
                  <w:tcW w:w="631" w:type="pct"/>
                  <w:vMerge w:val="continue"/>
                  <w:noWrap w:val="0"/>
                  <w:vAlign w:val="center"/>
                </w:tcPr>
                <w:p>
                  <w:pPr>
                    <w:pStyle w:val="170"/>
                    <w:rPr>
                      <w:rFonts w:hint="eastAsia"/>
                      <w:color w:val="auto"/>
                    </w:rPr>
                  </w:pPr>
                </w:p>
              </w:tc>
              <w:tc>
                <w:tcPr>
                  <w:tcW w:w="1001" w:type="pct"/>
                  <w:noWrap w:val="0"/>
                  <w:vAlign w:val="center"/>
                </w:tcPr>
                <w:p>
                  <w:pPr>
                    <w:pStyle w:val="170"/>
                    <w:rPr>
                      <w:color w:val="auto"/>
                    </w:rPr>
                  </w:pPr>
                  <w:r>
                    <w:rPr>
                      <w:rFonts w:hint="eastAsia"/>
                      <w:color w:val="auto"/>
                    </w:rPr>
                    <w:t>150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170"/>
                    <w:rPr>
                      <w:color w:val="auto"/>
                    </w:rPr>
                  </w:pPr>
                  <w:r>
                    <w:rPr>
                      <w:rFonts w:hint="eastAsia"/>
                      <w:color w:val="auto"/>
                    </w:rPr>
                    <w:t>14</w:t>
                  </w:r>
                </w:p>
              </w:tc>
              <w:tc>
                <w:tcPr>
                  <w:tcW w:w="1842" w:type="pct"/>
                  <w:noWrap w:val="0"/>
                  <w:vAlign w:val="center"/>
                </w:tcPr>
                <w:p>
                  <w:pPr>
                    <w:pStyle w:val="170"/>
                    <w:rPr>
                      <w:rFonts w:hint="eastAsia"/>
                      <w:color w:val="auto"/>
                    </w:rPr>
                  </w:pPr>
                  <w:r>
                    <w:rPr>
                      <w:rFonts w:hint="eastAsia"/>
                      <w:color w:val="auto"/>
                    </w:rPr>
                    <w:t>乐山肖坝旅游车站</w:t>
                  </w:r>
                </w:p>
              </w:tc>
              <w:tc>
                <w:tcPr>
                  <w:tcW w:w="1050" w:type="pct"/>
                  <w:noWrap w:val="0"/>
                  <w:vAlign w:val="center"/>
                </w:tcPr>
                <w:p>
                  <w:pPr>
                    <w:pStyle w:val="170"/>
                    <w:rPr>
                      <w:rFonts w:hint="eastAsia"/>
                      <w:color w:val="auto"/>
                    </w:rPr>
                  </w:pPr>
                  <w:r>
                    <w:rPr>
                      <w:rFonts w:hint="eastAsia"/>
                      <w:color w:val="auto"/>
                    </w:rPr>
                    <w:t>车站</w:t>
                  </w:r>
                </w:p>
              </w:tc>
              <w:tc>
                <w:tcPr>
                  <w:tcW w:w="631" w:type="pct"/>
                  <w:vMerge w:val="continue"/>
                  <w:noWrap w:val="0"/>
                  <w:vAlign w:val="center"/>
                </w:tcPr>
                <w:p>
                  <w:pPr>
                    <w:pStyle w:val="170"/>
                    <w:rPr>
                      <w:rFonts w:hint="eastAsia"/>
                      <w:color w:val="auto"/>
                    </w:rPr>
                  </w:pPr>
                </w:p>
              </w:tc>
              <w:tc>
                <w:tcPr>
                  <w:tcW w:w="1001" w:type="pct"/>
                  <w:noWrap w:val="0"/>
                  <w:vAlign w:val="center"/>
                </w:tcPr>
                <w:p>
                  <w:pPr>
                    <w:pStyle w:val="170"/>
                    <w:rPr>
                      <w:color w:val="auto"/>
                    </w:rPr>
                  </w:pPr>
                  <w:r>
                    <w:rPr>
                      <w:rFonts w:hint="eastAsia"/>
                      <w:color w:val="auto"/>
                    </w:rPr>
                    <w:t>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170"/>
                    <w:rPr>
                      <w:color w:val="auto"/>
                    </w:rPr>
                  </w:pPr>
                  <w:r>
                    <w:rPr>
                      <w:rFonts w:hint="eastAsia"/>
                      <w:color w:val="auto"/>
                    </w:rPr>
                    <w:t>15</w:t>
                  </w:r>
                </w:p>
              </w:tc>
              <w:tc>
                <w:tcPr>
                  <w:tcW w:w="1842" w:type="pct"/>
                  <w:noWrap w:val="0"/>
                  <w:vAlign w:val="center"/>
                </w:tcPr>
                <w:p>
                  <w:pPr>
                    <w:pStyle w:val="170"/>
                    <w:rPr>
                      <w:rFonts w:hint="eastAsia"/>
                      <w:color w:val="auto"/>
                    </w:rPr>
                  </w:pPr>
                  <w:r>
                    <w:rPr>
                      <w:rFonts w:hint="eastAsia"/>
                      <w:color w:val="auto"/>
                    </w:rPr>
                    <w:t>中国体育彩票</w:t>
                  </w:r>
                </w:p>
              </w:tc>
              <w:tc>
                <w:tcPr>
                  <w:tcW w:w="1050" w:type="pct"/>
                  <w:noWrap w:val="0"/>
                  <w:vAlign w:val="center"/>
                </w:tcPr>
                <w:p>
                  <w:pPr>
                    <w:pStyle w:val="170"/>
                    <w:rPr>
                      <w:rFonts w:hint="eastAsia"/>
                      <w:color w:val="auto"/>
                    </w:rPr>
                  </w:pPr>
                  <w:r>
                    <w:rPr>
                      <w:rFonts w:hint="eastAsia"/>
                      <w:color w:val="auto"/>
                    </w:rPr>
                    <w:t>住宅</w:t>
                  </w:r>
                </w:p>
              </w:tc>
              <w:tc>
                <w:tcPr>
                  <w:tcW w:w="631" w:type="pct"/>
                  <w:vMerge w:val="restart"/>
                  <w:noWrap w:val="0"/>
                  <w:vAlign w:val="center"/>
                </w:tcPr>
                <w:p>
                  <w:pPr>
                    <w:pStyle w:val="170"/>
                    <w:rPr>
                      <w:rFonts w:hint="eastAsia"/>
                      <w:color w:val="auto"/>
                    </w:rPr>
                  </w:pPr>
                  <w:r>
                    <w:rPr>
                      <w:rFonts w:hint="eastAsia"/>
                      <w:color w:val="auto"/>
                    </w:rPr>
                    <w:t>西侧</w:t>
                  </w:r>
                </w:p>
              </w:tc>
              <w:tc>
                <w:tcPr>
                  <w:tcW w:w="1001" w:type="pct"/>
                  <w:noWrap w:val="0"/>
                  <w:vAlign w:val="center"/>
                </w:tcPr>
                <w:p>
                  <w:pPr>
                    <w:pStyle w:val="170"/>
                    <w:rPr>
                      <w:color w:val="auto"/>
                    </w:rPr>
                  </w:pPr>
                  <w:r>
                    <w:rPr>
                      <w:rFonts w:hint="eastAsia"/>
                      <w:color w:val="auto"/>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 w:hRule="atLeast"/>
              </w:trPr>
              <w:tc>
                <w:tcPr>
                  <w:tcW w:w="475" w:type="pct"/>
                  <w:noWrap w:val="0"/>
                  <w:vAlign w:val="center"/>
                </w:tcPr>
                <w:p>
                  <w:pPr>
                    <w:pStyle w:val="170"/>
                    <w:rPr>
                      <w:color w:val="auto"/>
                    </w:rPr>
                  </w:pPr>
                  <w:r>
                    <w:rPr>
                      <w:rFonts w:hint="eastAsia"/>
                      <w:color w:val="auto"/>
                    </w:rPr>
                    <w:t>16</w:t>
                  </w:r>
                </w:p>
              </w:tc>
              <w:tc>
                <w:tcPr>
                  <w:tcW w:w="1842" w:type="pct"/>
                  <w:noWrap w:val="0"/>
                  <w:vAlign w:val="center"/>
                </w:tcPr>
                <w:p>
                  <w:pPr>
                    <w:pStyle w:val="170"/>
                    <w:rPr>
                      <w:rFonts w:hint="eastAsia"/>
                      <w:color w:val="auto"/>
                    </w:rPr>
                  </w:pPr>
                  <w:r>
                    <w:rPr>
                      <w:rFonts w:hint="eastAsia"/>
                      <w:color w:val="auto"/>
                    </w:rPr>
                    <w:t>中国银行</w:t>
                  </w:r>
                </w:p>
              </w:tc>
              <w:tc>
                <w:tcPr>
                  <w:tcW w:w="1050" w:type="pct"/>
                  <w:noWrap w:val="0"/>
                  <w:vAlign w:val="center"/>
                </w:tcPr>
                <w:p>
                  <w:pPr>
                    <w:pStyle w:val="170"/>
                    <w:rPr>
                      <w:rFonts w:hint="eastAsia"/>
                      <w:color w:val="auto"/>
                    </w:rPr>
                  </w:pPr>
                  <w:r>
                    <w:rPr>
                      <w:rFonts w:hint="eastAsia"/>
                      <w:color w:val="auto"/>
                    </w:rPr>
                    <w:t>住宅</w:t>
                  </w:r>
                </w:p>
              </w:tc>
              <w:tc>
                <w:tcPr>
                  <w:tcW w:w="631" w:type="pct"/>
                  <w:vMerge w:val="continue"/>
                  <w:noWrap w:val="0"/>
                  <w:vAlign w:val="center"/>
                </w:tcPr>
                <w:p>
                  <w:pPr>
                    <w:pStyle w:val="170"/>
                    <w:rPr>
                      <w:rFonts w:hint="eastAsia"/>
                      <w:color w:val="auto"/>
                    </w:rPr>
                  </w:pPr>
                </w:p>
              </w:tc>
              <w:tc>
                <w:tcPr>
                  <w:tcW w:w="1001" w:type="pct"/>
                  <w:noWrap w:val="0"/>
                  <w:vAlign w:val="center"/>
                </w:tcPr>
                <w:p>
                  <w:pPr>
                    <w:pStyle w:val="170"/>
                    <w:rPr>
                      <w:color w:val="auto"/>
                    </w:rPr>
                  </w:pPr>
                  <w:r>
                    <w:rPr>
                      <w:rFonts w:hint="eastAsia"/>
                      <w:color w:val="auto"/>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trPr>
              <w:tc>
                <w:tcPr>
                  <w:tcW w:w="475" w:type="pct"/>
                  <w:noWrap w:val="0"/>
                  <w:vAlign w:val="center"/>
                </w:tcPr>
                <w:p>
                  <w:pPr>
                    <w:pStyle w:val="170"/>
                    <w:rPr>
                      <w:color w:val="auto"/>
                    </w:rPr>
                  </w:pPr>
                  <w:r>
                    <w:rPr>
                      <w:rFonts w:hint="eastAsia"/>
                      <w:color w:val="auto"/>
                    </w:rPr>
                    <w:t>17</w:t>
                  </w:r>
                </w:p>
              </w:tc>
              <w:tc>
                <w:tcPr>
                  <w:tcW w:w="1842" w:type="pct"/>
                  <w:noWrap w:val="0"/>
                  <w:vAlign w:val="center"/>
                </w:tcPr>
                <w:p>
                  <w:pPr>
                    <w:pStyle w:val="170"/>
                    <w:rPr>
                      <w:rFonts w:hint="eastAsia"/>
                      <w:color w:val="auto"/>
                    </w:rPr>
                  </w:pPr>
                  <w:r>
                    <w:rPr>
                      <w:rFonts w:hint="eastAsia"/>
                      <w:color w:val="auto"/>
                    </w:rPr>
                    <w:t>途虎养车认证店</w:t>
                  </w:r>
                </w:p>
              </w:tc>
              <w:tc>
                <w:tcPr>
                  <w:tcW w:w="1050" w:type="pct"/>
                  <w:noWrap w:val="0"/>
                  <w:vAlign w:val="center"/>
                </w:tcPr>
                <w:p>
                  <w:pPr>
                    <w:pStyle w:val="170"/>
                    <w:rPr>
                      <w:rFonts w:hint="eastAsia"/>
                      <w:color w:val="auto"/>
                    </w:rPr>
                  </w:pPr>
                  <w:r>
                    <w:rPr>
                      <w:rFonts w:hint="eastAsia"/>
                      <w:color w:val="auto"/>
                    </w:rPr>
                    <w:t>住宅</w:t>
                  </w:r>
                </w:p>
              </w:tc>
              <w:tc>
                <w:tcPr>
                  <w:tcW w:w="631" w:type="pct"/>
                  <w:vMerge w:val="continue"/>
                  <w:noWrap w:val="0"/>
                  <w:vAlign w:val="center"/>
                </w:tcPr>
                <w:p>
                  <w:pPr>
                    <w:pStyle w:val="170"/>
                    <w:rPr>
                      <w:rFonts w:hint="eastAsia"/>
                      <w:color w:val="auto"/>
                    </w:rPr>
                  </w:pPr>
                </w:p>
              </w:tc>
              <w:tc>
                <w:tcPr>
                  <w:tcW w:w="1001" w:type="pct"/>
                  <w:noWrap w:val="0"/>
                  <w:vAlign w:val="center"/>
                </w:tcPr>
                <w:p>
                  <w:pPr>
                    <w:pStyle w:val="170"/>
                    <w:rPr>
                      <w:color w:val="auto"/>
                    </w:rPr>
                  </w:pPr>
                  <w:r>
                    <w:rPr>
                      <w:rFonts w:hint="eastAsia"/>
                      <w:color w:val="auto"/>
                    </w:rPr>
                    <w:t>50</w:t>
                  </w:r>
                </w:p>
              </w:tc>
            </w:tr>
          </w:tbl>
          <w:p>
            <w:pPr>
              <w:pStyle w:val="104"/>
              <w:ind w:firstLine="480"/>
              <w:rPr>
                <w:rFonts w:hint="eastAsia"/>
                <w:color w:val="auto"/>
              </w:rPr>
            </w:pPr>
            <w:r>
              <w:rPr>
                <w:rFonts w:hint="eastAsia"/>
                <w:color w:val="auto"/>
              </w:rPr>
              <w:t>同时，该项目为宠物医院服务项目，该项目的实施，能够满足周边百姓对宠物医疗的需求。项目在运营过程中，对环境影响的表现为废水、废气、固废、噪声，其中项目产生的医疗废水经一体化污水处理设施处理后同生活污水一同进入满芳庭锦邻商住小区污水预处理池，经满芳庭锦邻商住小区污水预处理池处理后进入市政污水管网，最终经乐山市第一污水处理厂处理达标后排入岷江；项目产生的废气主要为在诊疗过程中动物自身散发出的少量异味、医废暂存间异味及带菌医疗废气，定期开窗通风加强院内空气流通，日常采用移动式紫外线灯照射+环境消毒（用过硫酸氢钾复合粉兑水喷洒）+新风系统加强对院内环境消毒来降低废气对周边环境的影响；项目产生的固废主要为生活垃圾、宠物粪便、宠物毛发、医疗废物、宠物尸体及废紫外线灯管，其中宠物粪便及宠物毛发经消毒杀菌后同生活垃圾收集堆放至片区垃圾桶，由街道环卫部门清运处理；医疗废物收集后暂存于医废暂存间，定期交由成都市科农动物无害化处置有限公司转运处置，病理组织暂存在专用冰柜内，与其它医疗废物一起交由有资质的单位进行统一处置；更换的废紫外线灯管暂存于与医废暂存间，交由具有相应的资质单位处理；项目运营过程中产生的噪声主要表现为空调外机噪声和宠物叫声，噪声经墙体隔音及日常加强对宠物的管理后，噪声对声环境的影响较小。</w:t>
            </w:r>
          </w:p>
          <w:p>
            <w:pPr>
              <w:pStyle w:val="104"/>
              <w:ind w:firstLine="480"/>
              <w:rPr>
                <w:color w:val="auto"/>
              </w:rPr>
            </w:pPr>
            <w:r>
              <w:rPr>
                <w:rFonts w:hint="eastAsia"/>
                <w:color w:val="auto"/>
              </w:rPr>
              <w:t>综上，项目在对运营期产生的污染物采取合理措施后，本项目的建设运营对区域环境影响较小，项目周边主要以商业及居住为主，因此，项目周边不存在明显的环境制约因素。本项目与周边外环境基本相容。</w:t>
            </w:r>
          </w:p>
        </w:tc>
      </w:tr>
    </w:tbl>
    <w:p>
      <w:pPr>
        <w:pStyle w:val="3"/>
        <w:rPr>
          <w:rFonts w:hint="eastAsia"/>
          <w:color w:val="auto"/>
        </w:rPr>
      </w:pPr>
      <w:r>
        <w:rPr>
          <w:rFonts w:hint="eastAsia"/>
          <w:color w:val="auto"/>
        </w:rPr>
        <w:br w:type="page"/>
      </w:r>
      <w:r>
        <w:rPr>
          <w:rFonts w:hint="eastAsia"/>
          <w:color w:val="auto"/>
        </w:rPr>
        <w:t>二、建设项目工程分析</w:t>
      </w:r>
      <w:bookmarkEnd w:id="97"/>
      <w:bookmarkEnd w:id="98"/>
      <w:bookmarkEnd w:id="99"/>
      <w:bookmarkEnd w:id="100"/>
    </w:p>
    <w:tbl>
      <w:tblPr>
        <w:tblStyle w:val="38"/>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450"/>
        <w:gridCol w:w="8610"/>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96" w:type="pct"/>
            <w:noWrap w:val="0"/>
            <w:vAlign w:val="center"/>
          </w:tcPr>
          <w:p>
            <w:pPr>
              <w:pStyle w:val="33"/>
              <w:spacing w:beforeAutospacing="0" w:afterAutospacing="0" w:line="240" w:lineRule="auto"/>
              <w:ind w:firstLine="0" w:firstLineChars="0"/>
              <w:jc w:val="center"/>
              <w:rPr>
                <w:rFonts w:hint="eastAsia" w:cs="宋体"/>
                <w:color w:val="auto"/>
                <w:szCs w:val="24"/>
              </w:rPr>
            </w:pPr>
            <w:r>
              <w:rPr>
                <w:rFonts w:hint="eastAsia" w:cs="宋体"/>
                <w:color w:val="auto"/>
                <w:szCs w:val="24"/>
              </w:rPr>
              <w:t>建</w:t>
            </w:r>
          </w:p>
          <w:p>
            <w:pPr>
              <w:pStyle w:val="33"/>
              <w:spacing w:beforeAutospacing="0" w:afterAutospacing="0" w:line="240" w:lineRule="auto"/>
              <w:ind w:firstLine="0" w:firstLineChars="0"/>
              <w:jc w:val="center"/>
              <w:rPr>
                <w:rFonts w:hint="eastAsia" w:cs="宋体"/>
                <w:color w:val="auto"/>
                <w:szCs w:val="24"/>
              </w:rPr>
            </w:pPr>
            <w:r>
              <w:rPr>
                <w:rFonts w:hint="eastAsia" w:cs="宋体"/>
                <w:color w:val="auto"/>
                <w:szCs w:val="24"/>
              </w:rPr>
              <w:t>设</w:t>
            </w:r>
          </w:p>
          <w:p>
            <w:pPr>
              <w:pStyle w:val="33"/>
              <w:spacing w:beforeAutospacing="0" w:afterAutospacing="0" w:line="240" w:lineRule="auto"/>
              <w:ind w:firstLine="0" w:firstLineChars="0"/>
              <w:jc w:val="center"/>
              <w:rPr>
                <w:rFonts w:hint="eastAsia" w:cs="宋体"/>
                <w:color w:val="auto"/>
                <w:szCs w:val="24"/>
              </w:rPr>
            </w:pPr>
            <w:r>
              <w:rPr>
                <w:rFonts w:hint="eastAsia" w:cs="宋体"/>
                <w:color w:val="auto"/>
                <w:szCs w:val="24"/>
              </w:rPr>
              <w:t>内</w:t>
            </w:r>
          </w:p>
          <w:p>
            <w:pPr>
              <w:pStyle w:val="33"/>
              <w:spacing w:beforeAutospacing="0" w:afterAutospacing="0" w:line="240" w:lineRule="auto"/>
              <w:ind w:firstLine="0" w:firstLineChars="0"/>
              <w:jc w:val="center"/>
              <w:rPr>
                <w:rFonts w:cs="宋体"/>
                <w:color w:val="auto"/>
                <w:szCs w:val="24"/>
              </w:rPr>
            </w:pPr>
            <w:r>
              <w:rPr>
                <w:rFonts w:hint="eastAsia" w:cs="宋体"/>
                <w:color w:val="auto"/>
                <w:szCs w:val="24"/>
              </w:rPr>
              <w:t>容</w:t>
            </w:r>
          </w:p>
        </w:tc>
        <w:tc>
          <w:tcPr>
            <w:tcW w:w="4503" w:type="pct"/>
            <w:noWrap w:val="0"/>
            <w:vAlign w:val="top"/>
          </w:tcPr>
          <w:p>
            <w:pPr>
              <w:pStyle w:val="5"/>
              <w:numPr>
                <w:ilvl w:val="0"/>
                <w:numId w:val="11"/>
              </w:numPr>
              <w:rPr>
                <w:color w:val="auto"/>
                <w:szCs w:val="24"/>
              </w:rPr>
            </w:pPr>
            <w:bookmarkStart w:id="101" w:name="_Toc32013"/>
            <w:bookmarkStart w:id="102" w:name="_Toc5087"/>
            <w:r>
              <w:rPr>
                <w:color w:val="auto"/>
                <w:szCs w:val="24"/>
              </w:rPr>
              <w:t>项目</w:t>
            </w:r>
            <w:bookmarkEnd w:id="101"/>
            <w:bookmarkEnd w:id="102"/>
            <w:r>
              <w:rPr>
                <w:color w:val="auto"/>
                <w:szCs w:val="24"/>
              </w:rPr>
              <w:t>由来</w:t>
            </w:r>
          </w:p>
          <w:p>
            <w:pPr>
              <w:pStyle w:val="104"/>
              <w:ind w:firstLine="480"/>
              <w:rPr>
                <w:rFonts w:hint="eastAsia"/>
                <w:color w:val="auto"/>
              </w:rPr>
            </w:pPr>
            <w:r>
              <w:rPr>
                <w:rFonts w:hint="eastAsia"/>
                <w:color w:val="auto"/>
              </w:rPr>
              <w:t>乐山市市中区派美动物医院成立于2019年1月，于2019年4月取得动物诊疗许可证，项目位于四川省乐山市市中区肖坝路796号，总投资15万元，根据现场调查，主要设置科室有诊室一、诊室二、住院室一、住院室二、住院室三、隔离病房、手术室、DR室、药房和化验室等。并安装解剖手术台、心电监护仪、DR机、B超仪、血常规分析仪等仪器。按照《建设项目环境影响评价分类管理名录（2021年版）》第123项“设有动物颅腔、胸腔或腹腔手术设施的动物医院，应组织编制环境影响报告表”的要求，建设单位违反了相关要求。</w:t>
            </w:r>
          </w:p>
          <w:p>
            <w:pPr>
              <w:pStyle w:val="104"/>
              <w:ind w:firstLine="480"/>
              <w:rPr>
                <w:color w:val="auto"/>
              </w:rPr>
            </w:pPr>
            <w:r>
              <w:rPr>
                <w:rFonts w:hint="eastAsia"/>
                <w:color w:val="auto"/>
              </w:rPr>
              <w:t>2022年3月，乐山市生态环境局对建设单位现场进行了调查，发现项目实施了相关环境违法行为：乐山市生态环境局陆续下发了行政处罚事先告知书（乐中环罚告字[2022]16号）和责令改正违法决定书（乐中环责改字[2022]7号），对建设单位处以人民币2600元罚款，建设单位于2022年4月27日缴纳了相关罚款，并开始环境影响评价编制工作，本次项目为新建补评。</w:t>
            </w:r>
          </w:p>
          <w:p>
            <w:pPr>
              <w:pStyle w:val="104"/>
              <w:ind w:firstLine="480"/>
              <w:rPr>
                <w:rFonts w:hint="eastAsia"/>
                <w:b/>
                <w:bCs/>
                <w:color w:val="auto"/>
              </w:rPr>
            </w:pPr>
            <w:r>
              <w:rPr>
                <w:rFonts w:hint="eastAsia"/>
                <w:color w:val="auto"/>
              </w:rPr>
              <w:t>根据动物诊疗许可证，乐山市市中区派美动物医院诊疗范围为宠物疾病诊疗及预防保健，具体包括动物疾病诊疗、疫病预防、三腔手术、常规检验化验及仅针对手术后的宠物留院观察服务，不涉及传染病宠物的收治，不涉及人畜共生病治科目。</w:t>
            </w:r>
            <w:r>
              <w:rPr>
                <w:rFonts w:hint="eastAsia"/>
                <w:b/>
                <w:bCs/>
                <w:color w:val="auto"/>
              </w:rPr>
              <w:t>本项目已设置有一间DR室，使用 DR 数字化检查设备，根据《医用诊断 X 线卫生防护标准》、《中华人民共和国放射性污染防治法》，本项目 DR 室所设的 X 射线影像系统已经完成环境影响登记表备案，备案号：202251110200000023。本次评价不再进行评价。</w:t>
            </w:r>
          </w:p>
          <w:p>
            <w:pPr>
              <w:pStyle w:val="104"/>
              <w:ind w:firstLine="480"/>
              <w:rPr>
                <w:rFonts w:hint="eastAsia"/>
                <w:color w:val="auto"/>
              </w:rPr>
            </w:pPr>
            <w:r>
              <w:rPr>
                <w:rFonts w:hint="eastAsia"/>
                <w:color w:val="auto"/>
              </w:rPr>
              <w:t>根据《中华人民共和国环境影响评价法》和《建设项目环境保护管理条例》的有关规定，本项目需进行环境影响评价工作。根据《建设项目环境影响评价分类管理名录》， 本项目属于“五十、社会事业与服务业 123 动物医院”，本项目环境影响评价类别为编制环境影响报告表。</w:t>
            </w:r>
          </w:p>
          <w:p>
            <w:pPr>
              <w:pStyle w:val="5"/>
              <w:rPr>
                <w:color w:val="auto"/>
              </w:rPr>
            </w:pPr>
            <w:bookmarkStart w:id="103" w:name="_Toc27055"/>
            <w:bookmarkStart w:id="104" w:name="_Toc5726"/>
            <w:r>
              <w:rPr>
                <w:color w:val="auto"/>
              </w:rPr>
              <w:t>二</w:t>
            </w:r>
            <w:r>
              <w:rPr>
                <w:color w:val="auto"/>
                <w:szCs w:val="24"/>
              </w:rPr>
              <w:t>、项目概况</w:t>
            </w:r>
            <w:bookmarkEnd w:id="103"/>
            <w:bookmarkEnd w:id="104"/>
          </w:p>
          <w:p>
            <w:pPr>
              <w:ind w:firstLine="482"/>
              <w:rPr>
                <w:rFonts w:hint="eastAsia"/>
                <w:b/>
                <w:bCs/>
                <w:color w:val="auto"/>
              </w:rPr>
            </w:pPr>
            <w:r>
              <w:rPr>
                <w:rFonts w:hint="eastAsia"/>
                <w:b/>
                <w:bCs/>
                <w:color w:val="auto"/>
              </w:rPr>
              <w:t>1、项目基本情况</w:t>
            </w:r>
          </w:p>
          <w:p>
            <w:pPr>
              <w:ind w:firstLine="482"/>
              <w:rPr>
                <w:rFonts w:hint="eastAsia" w:eastAsia="宋体"/>
                <w:color w:val="auto"/>
                <w:lang w:eastAsia="zh-CN"/>
              </w:rPr>
            </w:pPr>
            <w:r>
              <w:rPr>
                <w:rFonts w:hint="eastAsia"/>
                <w:b/>
                <w:bCs/>
                <w:color w:val="auto"/>
              </w:rPr>
              <w:t>项目名称</w:t>
            </w:r>
            <w:r>
              <w:rPr>
                <w:rFonts w:hint="eastAsia"/>
                <w:color w:val="auto"/>
              </w:rPr>
              <w:t>：</w:t>
            </w:r>
            <w:r>
              <w:rPr>
                <w:rFonts w:hint="eastAsia"/>
                <w:color w:val="auto"/>
                <w:lang w:eastAsia="zh-CN"/>
              </w:rPr>
              <w:t>乐山市市中区派美动物医院</w:t>
            </w:r>
          </w:p>
          <w:p>
            <w:pPr>
              <w:ind w:firstLine="482"/>
              <w:rPr>
                <w:rFonts w:hint="eastAsia"/>
                <w:color w:val="auto"/>
              </w:rPr>
            </w:pPr>
            <w:r>
              <w:rPr>
                <w:rFonts w:hint="eastAsia"/>
                <w:b/>
                <w:bCs/>
                <w:color w:val="auto"/>
              </w:rPr>
              <w:t>建设单位</w:t>
            </w:r>
            <w:r>
              <w:rPr>
                <w:rFonts w:hint="eastAsia"/>
                <w:color w:val="auto"/>
              </w:rPr>
              <w:t>：乐山市市中区派美动物医院</w:t>
            </w:r>
          </w:p>
          <w:p>
            <w:pPr>
              <w:ind w:firstLine="482"/>
              <w:rPr>
                <w:rFonts w:hint="eastAsia"/>
                <w:color w:val="auto"/>
              </w:rPr>
            </w:pPr>
            <w:r>
              <w:rPr>
                <w:rFonts w:hint="eastAsia"/>
                <w:b/>
                <w:bCs/>
                <w:color w:val="auto"/>
              </w:rPr>
              <w:t>建设地址</w:t>
            </w:r>
            <w:r>
              <w:rPr>
                <w:rFonts w:hint="eastAsia"/>
                <w:color w:val="auto"/>
              </w:rPr>
              <w:t>：四川省乐山市市中区肖坝路796号</w:t>
            </w:r>
          </w:p>
          <w:p>
            <w:pPr>
              <w:ind w:firstLine="482"/>
              <w:rPr>
                <w:rFonts w:hint="eastAsia"/>
                <w:color w:val="auto"/>
              </w:rPr>
            </w:pPr>
            <w:r>
              <w:rPr>
                <w:rFonts w:hint="eastAsia"/>
                <w:b/>
                <w:bCs/>
                <w:color w:val="auto"/>
              </w:rPr>
              <w:t>建设性质</w:t>
            </w:r>
            <w:r>
              <w:rPr>
                <w:rFonts w:hint="eastAsia"/>
                <w:color w:val="auto"/>
              </w:rPr>
              <w:t>：新建</w:t>
            </w:r>
          </w:p>
          <w:p>
            <w:pPr>
              <w:ind w:firstLine="482"/>
              <w:rPr>
                <w:rFonts w:hint="eastAsia"/>
                <w:color w:val="auto"/>
              </w:rPr>
            </w:pPr>
            <w:r>
              <w:rPr>
                <w:rFonts w:hint="eastAsia"/>
                <w:b/>
                <w:bCs/>
                <w:color w:val="auto"/>
              </w:rPr>
              <w:t>建设内容</w:t>
            </w:r>
            <w:r>
              <w:rPr>
                <w:rFonts w:hint="eastAsia"/>
                <w:color w:val="auto"/>
              </w:rPr>
              <w:t>：项目总投资15万元，本项目主要经营宠物诊疗、护理服务、宠物用品销售等，诊所日最大接待量为20只，项目主要设置科室有诊室一、诊室二、住院室一、住院室二、住院室三、手术室、DR室、药房和化验室等。</w:t>
            </w:r>
          </w:p>
          <w:p>
            <w:pPr>
              <w:bidi w:val="0"/>
              <w:ind w:left="0" w:leftChars="0" w:firstLine="0" w:firstLineChars="0"/>
              <w:rPr>
                <w:rFonts w:hint="eastAsia"/>
                <w:color w:val="auto"/>
              </w:rPr>
            </w:pPr>
            <w:r>
              <w:rPr>
                <w:rFonts w:hint="eastAsia"/>
                <w:color w:val="auto"/>
              </w:rPr>
              <w:t>如果发现具有传染性的宠物疾病会及时上报有关部门进行处理，不擅自处理。</w:t>
            </w:r>
          </w:p>
          <w:p>
            <w:pPr>
              <w:pStyle w:val="5"/>
              <w:rPr>
                <w:color w:val="auto"/>
              </w:rPr>
            </w:pPr>
            <w:r>
              <w:rPr>
                <w:color w:val="auto"/>
              </w:rPr>
              <w:t>三、项目组成及主要环境问题.</w:t>
            </w:r>
          </w:p>
          <w:p>
            <w:pPr>
              <w:pStyle w:val="101"/>
              <w:ind w:firstLine="480"/>
              <w:rPr>
                <w:color w:val="auto"/>
              </w:rPr>
            </w:pPr>
            <w:r>
              <w:rPr>
                <w:color w:val="auto"/>
              </w:rPr>
              <w:t>本项目主要由主体工程、辅助工程、公用工程</w:t>
            </w:r>
            <w:r>
              <w:rPr>
                <w:rFonts w:hint="eastAsia"/>
                <w:color w:val="auto"/>
              </w:rPr>
              <w:t>、</w:t>
            </w:r>
            <w:r>
              <w:rPr>
                <w:color w:val="auto"/>
              </w:rPr>
              <w:t>环保工程</w:t>
            </w:r>
            <w:r>
              <w:rPr>
                <w:rFonts w:hint="eastAsia"/>
                <w:color w:val="auto"/>
              </w:rPr>
              <w:t>等</w:t>
            </w:r>
            <w:r>
              <w:rPr>
                <w:color w:val="auto"/>
              </w:rPr>
              <w:t>组成</w:t>
            </w:r>
            <w:r>
              <w:rPr>
                <w:rFonts w:hint="eastAsia"/>
                <w:color w:val="auto"/>
              </w:rPr>
              <w:t>，整个项目场地由走廊相隔，功能分区明确</w:t>
            </w:r>
            <w:r>
              <w:rPr>
                <w:color w:val="auto"/>
              </w:rPr>
              <w:t>。现就本项目的项目组成及主要的环境问题列表如下表</w:t>
            </w:r>
            <w:r>
              <w:rPr>
                <w:rFonts w:hint="eastAsia"/>
                <w:color w:val="auto"/>
              </w:rPr>
              <w:t>2</w:t>
            </w:r>
            <w:r>
              <w:rPr>
                <w:color w:val="auto"/>
              </w:rPr>
              <w:t>-</w:t>
            </w:r>
            <w:r>
              <w:rPr>
                <w:rFonts w:hint="eastAsia"/>
                <w:color w:val="auto"/>
              </w:rPr>
              <w:t>1</w:t>
            </w:r>
            <w:r>
              <w:rPr>
                <w:color w:val="auto"/>
              </w:rPr>
              <w:t>：</w:t>
            </w:r>
          </w:p>
          <w:p>
            <w:pPr>
              <w:pStyle w:val="102"/>
              <w:rPr>
                <w:rFonts w:hint="eastAsia"/>
                <w:color w:val="auto"/>
              </w:rPr>
            </w:pPr>
            <w:r>
              <w:rPr>
                <w:rFonts w:hint="eastAsia"/>
                <w:color w:val="auto"/>
              </w:rPr>
              <w:t>表2-1工程组成及主要环境问题一览表</w:t>
            </w:r>
          </w:p>
          <w:tbl>
            <w:tblPr>
              <w:tblStyle w:val="38"/>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6"/>
              <w:gridCol w:w="818"/>
              <w:gridCol w:w="805"/>
              <w:gridCol w:w="3806"/>
              <w:gridCol w:w="760"/>
              <w:gridCol w:w="1234"/>
              <w:gridCol w:w="4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5" w:hRule="atLeast"/>
                <w:jc w:val="center"/>
              </w:trPr>
              <w:tc>
                <w:tcPr>
                  <w:tcW w:w="302" w:type="pct"/>
                  <w:vMerge w:val="restart"/>
                  <w:noWrap w:val="0"/>
                  <w:vAlign w:val="center"/>
                </w:tcPr>
                <w:p>
                  <w:pPr>
                    <w:pStyle w:val="69"/>
                    <w:rPr>
                      <w:rFonts w:hint="eastAsia"/>
                      <w:color w:val="auto"/>
                    </w:rPr>
                  </w:pPr>
                  <w:r>
                    <w:rPr>
                      <w:rFonts w:hint="eastAsia"/>
                      <w:color w:val="auto"/>
                    </w:rPr>
                    <w:t>名称</w:t>
                  </w:r>
                </w:p>
              </w:tc>
              <w:tc>
                <w:tcPr>
                  <w:tcW w:w="3238" w:type="pct"/>
                  <w:gridSpan w:val="3"/>
                  <w:vMerge w:val="restart"/>
                  <w:noWrap w:val="0"/>
                  <w:vAlign w:val="center"/>
                </w:tcPr>
                <w:p>
                  <w:pPr>
                    <w:pStyle w:val="69"/>
                    <w:rPr>
                      <w:rFonts w:hint="eastAsia"/>
                      <w:color w:val="auto"/>
                    </w:rPr>
                  </w:pPr>
                  <w:r>
                    <w:rPr>
                      <w:rFonts w:hint="eastAsia"/>
                      <w:color w:val="auto"/>
                    </w:rPr>
                    <w:t>建设内容及规模</w:t>
                  </w:r>
                </w:p>
              </w:tc>
              <w:tc>
                <w:tcPr>
                  <w:tcW w:w="1189" w:type="pct"/>
                  <w:gridSpan w:val="2"/>
                  <w:noWrap w:val="0"/>
                  <w:vAlign w:val="center"/>
                </w:tcPr>
                <w:p>
                  <w:pPr>
                    <w:pStyle w:val="69"/>
                    <w:rPr>
                      <w:rFonts w:hint="eastAsia"/>
                      <w:color w:val="auto"/>
                    </w:rPr>
                  </w:pPr>
                  <w:r>
                    <w:rPr>
                      <w:rFonts w:hint="eastAsia"/>
                      <w:color w:val="auto"/>
                    </w:rPr>
                    <w:t>可能产生的环境问题</w:t>
                  </w:r>
                </w:p>
              </w:tc>
              <w:tc>
                <w:tcPr>
                  <w:tcW w:w="269" w:type="pct"/>
                  <w:vMerge w:val="restart"/>
                  <w:noWrap w:val="0"/>
                  <w:vAlign w:val="center"/>
                </w:tcPr>
                <w:p>
                  <w:pPr>
                    <w:pStyle w:val="69"/>
                    <w:rPr>
                      <w:rFonts w:hint="eastAsia"/>
                      <w:color w:val="auto"/>
                    </w:rPr>
                  </w:pPr>
                  <w:r>
                    <w:rPr>
                      <w:rFonts w:hint="eastAsia"/>
                      <w:color w:val="auto"/>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7" w:hRule="atLeast"/>
                <w:jc w:val="center"/>
              </w:trPr>
              <w:tc>
                <w:tcPr>
                  <w:tcW w:w="302" w:type="pct"/>
                  <w:vMerge w:val="continue"/>
                  <w:noWrap w:val="0"/>
                  <w:vAlign w:val="center"/>
                </w:tcPr>
                <w:p>
                  <w:pPr>
                    <w:pStyle w:val="69"/>
                    <w:rPr>
                      <w:rFonts w:hint="eastAsia"/>
                      <w:color w:val="auto"/>
                    </w:rPr>
                  </w:pPr>
                </w:p>
              </w:tc>
              <w:tc>
                <w:tcPr>
                  <w:tcW w:w="3238" w:type="pct"/>
                  <w:gridSpan w:val="3"/>
                  <w:vMerge w:val="continue"/>
                  <w:noWrap w:val="0"/>
                  <w:vAlign w:val="center"/>
                </w:tcPr>
                <w:p>
                  <w:pPr>
                    <w:pStyle w:val="69"/>
                    <w:rPr>
                      <w:rFonts w:hint="eastAsia"/>
                      <w:color w:val="auto"/>
                    </w:rPr>
                  </w:pPr>
                </w:p>
              </w:tc>
              <w:tc>
                <w:tcPr>
                  <w:tcW w:w="453" w:type="pct"/>
                  <w:noWrap w:val="0"/>
                  <w:vAlign w:val="center"/>
                </w:tcPr>
                <w:p>
                  <w:pPr>
                    <w:pStyle w:val="69"/>
                    <w:rPr>
                      <w:rFonts w:hint="eastAsia"/>
                      <w:color w:val="auto"/>
                    </w:rPr>
                  </w:pPr>
                  <w:r>
                    <w:rPr>
                      <w:rFonts w:hint="eastAsia"/>
                      <w:color w:val="auto"/>
                    </w:rPr>
                    <w:t>施工期</w:t>
                  </w:r>
                </w:p>
              </w:tc>
              <w:tc>
                <w:tcPr>
                  <w:tcW w:w="736" w:type="pct"/>
                  <w:noWrap w:val="0"/>
                  <w:vAlign w:val="center"/>
                </w:tcPr>
                <w:p>
                  <w:pPr>
                    <w:pStyle w:val="69"/>
                    <w:rPr>
                      <w:rFonts w:hint="eastAsia"/>
                      <w:color w:val="auto"/>
                    </w:rPr>
                  </w:pPr>
                  <w:r>
                    <w:rPr>
                      <w:rFonts w:hint="eastAsia"/>
                      <w:color w:val="auto"/>
                    </w:rPr>
                    <w:t>运营期</w:t>
                  </w:r>
                </w:p>
              </w:tc>
              <w:tc>
                <w:tcPr>
                  <w:tcW w:w="269" w:type="pct"/>
                  <w:vMerge w:val="continue"/>
                  <w:noWrap w:val="0"/>
                  <w:vAlign w:val="center"/>
                </w:tcPr>
                <w:p>
                  <w:pPr>
                    <w:pStyle w:val="69"/>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0" w:hRule="atLeast"/>
                <w:jc w:val="center"/>
              </w:trPr>
              <w:tc>
                <w:tcPr>
                  <w:tcW w:w="302" w:type="pct"/>
                  <w:vMerge w:val="restart"/>
                  <w:noWrap w:val="0"/>
                  <w:vAlign w:val="center"/>
                </w:tcPr>
                <w:p>
                  <w:pPr>
                    <w:pStyle w:val="69"/>
                    <w:rPr>
                      <w:rFonts w:hint="eastAsia"/>
                      <w:color w:val="auto"/>
                    </w:rPr>
                  </w:pPr>
                  <w:r>
                    <w:rPr>
                      <w:rFonts w:hint="eastAsia"/>
                      <w:color w:val="auto"/>
                    </w:rPr>
                    <w:t>主体</w:t>
                  </w:r>
                </w:p>
                <w:p>
                  <w:pPr>
                    <w:pStyle w:val="69"/>
                    <w:rPr>
                      <w:rFonts w:hint="eastAsia"/>
                      <w:color w:val="auto"/>
                    </w:rPr>
                  </w:pPr>
                  <w:r>
                    <w:rPr>
                      <w:rFonts w:hint="eastAsia"/>
                      <w:color w:val="auto"/>
                    </w:rPr>
                    <w:t>工程</w:t>
                  </w:r>
                </w:p>
              </w:tc>
              <w:tc>
                <w:tcPr>
                  <w:tcW w:w="488" w:type="pct"/>
                  <w:noWrap w:val="0"/>
                  <w:vAlign w:val="center"/>
                </w:tcPr>
                <w:p>
                  <w:pPr>
                    <w:pStyle w:val="69"/>
                    <w:rPr>
                      <w:rFonts w:hint="eastAsia"/>
                      <w:color w:val="auto"/>
                    </w:rPr>
                  </w:pPr>
                  <w:r>
                    <w:rPr>
                      <w:rFonts w:hint="eastAsia"/>
                      <w:color w:val="auto"/>
                    </w:rPr>
                    <w:t>诊疗室</w:t>
                  </w:r>
                </w:p>
              </w:tc>
              <w:tc>
                <w:tcPr>
                  <w:tcW w:w="2750" w:type="pct"/>
                  <w:gridSpan w:val="2"/>
                  <w:noWrap w:val="0"/>
                  <w:vAlign w:val="center"/>
                </w:tcPr>
                <w:p>
                  <w:pPr>
                    <w:pStyle w:val="69"/>
                    <w:rPr>
                      <w:rFonts w:hint="eastAsia"/>
                      <w:color w:val="auto"/>
                    </w:rPr>
                  </w:pPr>
                  <w:r>
                    <w:rPr>
                      <w:rFonts w:hint="eastAsia"/>
                      <w:color w:val="auto"/>
                    </w:rPr>
                    <w:t>位于项目东侧，靠近医院的入口处，分别为诊疗室一，诊疗室二</w:t>
                  </w:r>
                </w:p>
              </w:tc>
              <w:tc>
                <w:tcPr>
                  <w:tcW w:w="453" w:type="pct"/>
                  <w:vMerge w:val="restart"/>
                  <w:noWrap w:val="0"/>
                  <w:vAlign w:val="center"/>
                </w:tcPr>
                <w:p>
                  <w:pPr>
                    <w:pStyle w:val="69"/>
                    <w:rPr>
                      <w:rFonts w:hint="eastAsia"/>
                      <w:color w:val="auto"/>
                    </w:rPr>
                  </w:pPr>
                  <w:r>
                    <w:rPr>
                      <w:rFonts w:hint="eastAsia"/>
                      <w:color w:val="auto"/>
                    </w:rPr>
                    <w:t>/</w:t>
                  </w:r>
                </w:p>
              </w:tc>
              <w:tc>
                <w:tcPr>
                  <w:tcW w:w="736" w:type="pct"/>
                  <w:vMerge w:val="restart"/>
                  <w:noWrap w:val="0"/>
                  <w:vAlign w:val="center"/>
                </w:tcPr>
                <w:p>
                  <w:pPr>
                    <w:pStyle w:val="69"/>
                    <w:rPr>
                      <w:rFonts w:hint="eastAsia"/>
                      <w:color w:val="auto"/>
                    </w:rPr>
                  </w:pPr>
                  <w:r>
                    <w:rPr>
                      <w:rFonts w:hint="eastAsia"/>
                      <w:color w:val="auto"/>
                    </w:rPr>
                    <w:t>生活垃圾、生活污水</w:t>
                  </w:r>
                </w:p>
                <w:p>
                  <w:pPr>
                    <w:pStyle w:val="69"/>
                    <w:rPr>
                      <w:rFonts w:hint="eastAsia"/>
                      <w:color w:val="auto"/>
                    </w:rPr>
                  </w:pPr>
                  <w:r>
                    <w:rPr>
                      <w:rFonts w:hint="eastAsia"/>
                      <w:color w:val="auto"/>
                    </w:rPr>
                    <w:t>固废</w:t>
                  </w:r>
                </w:p>
                <w:p>
                  <w:pPr>
                    <w:pStyle w:val="69"/>
                    <w:rPr>
                      <w:rFonts w:hint="eastAsia"/>
                      <w:color w:val="auto"/>
                    </w:rPr>
                  </w:pPr>
                  <w:r>
                    <w:rPr>
                      <w:rFonts w:hint="eastAsia"/>
                      <w:color w:val="auto"/>
                    </w:rPr>
                    <w:t>废水</w:t>
                  </w:r>
                </w:p>
              </w:tc>
              <w:tc>
                <w:tcPr>
                  <w:tcW w:w="269" w:type="pct"/>
                  <w:vMerge w:val="restart"/>
                  <w:noWrap w:val="0"/>
                  <w:vAlign w:val="center"/>
                </w:tcPr>
                <w:p>
                  <w:pPr>
                    <w:pStyle w:val="69"/>
                    <w:rPr>
                      <w:rFonts w:hint="eastAsia"/>
                      <w:color w:val="auto"/>
                    </w:rPr>
                  </w:pPr>
                  <w:r>
                    <w:rPr>
                      <w:rFonts w:hint="eastAsia"/>
                      <w:color w:val="auto"/>
                    </w:rPr>
                    <w:t>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0" w:hRule="atLeast"/>
                <w:jc w:val="center"/>
              </w:trPr>
              <w:tc>
                <w:tcPr>
                  <w:tcW w:w="302" w:type="pct"/>
                  <w:vMerge w:val="continue"/>
                  <w:noWrap w:val="0"/>
                  <w:vAlign w:val="center"/>
                </w:tcPr>
                <w:p>
                  <w:pPr>
                    <w:pStyle w:val="69"/>
                    <w:rPr>
                      <w:rFonts w:hint="eastAsia"/>
                      <w:color w:val="auto"/>
                    </w:rPr>
                  </w:pPr>
                </w:p>
              </w:tc>
              <w:tc>
                <w:tcPr>
                  <w:tcW w:w="488" w:type="pct"/>
                  <w:noWrap w:val="0"/>
                  <w:vAlign w:val="center"/>
                </w:tcPr>
                <w:p>
                  <w:pPr>
                    <w:pStyle w:val="69"/>
                    <w:rPr>
                      <w:rFonts w:hint="eastAsia"/>
                      <w:color w:val="auto"/>
                    </w:rPr>
                  </w:pPr>
                  <w:r>
                    <w:rPr>
                      <w:rFonts w:hint="eastAsia"/>
                      <w:color w:val="auto"/>
                    </w:rPr>
                    <w:t>住院室</w:t>
                  </w:r>
                </w:p>
              </w:tc>
              <w:tc>
                <w:tcPr>
                  <w:tcW w:w="2750" w:type="pct"/>
                  <w:gridSpan w:val="2"/>
                  <w:noWrap w:val="0"/>
                  <w:vAlign w:val="center"/>
                </w:tcPr>
                <w:p>
                  <w:pPr>
                    <w:pStyle w:val="69"/>
                    <w:rPr>
                      <w:rFonts w:hint="eastAsia"/>
                      <w:color w:val="auto"/>
                    </w:rPr>
                  </w:pPr>
                  <w:r>
                    <w:rPr>
                      <w:rFonts w:hint="eastAsia"/>
                      <w:color w:val="auto"/>
                    </w:rPr>
                    <w:t>共三间，分布于走廊的两侧，其中一间病房位于走廊左侧</w:t>
                  </w:r>
                </w:p>
              </w:tc>
              <w:tc>
                <w:tcPr>
                  <w:tcW w:w="453" w:type="pct"/>
                  <w:vMerge w:val="continue"/>
                  <w:noWrap w:val="0"/>
                  <w:vAlign w:val="center"/>
                </w:tcPr>
                <w:p>
                  <w:pPr>
                    <w:pStyle w:val="69"/>
                    <w:rPr>
                      <w:rFonts w:hint="eastAsia"/>
                      <w:color w:val="auto"/>
                    </w:rPr>
                  </w:pPr>
                </w:p>
              </w:tc>
              <w:tc>
                <w:tcPr>
                  <w:tcW w:w="736" w:type="pct"/>
                  <w:vMerge w:val="continue"/>
                  <w:noWrap w:val="0"/>
                  <w:vAlign w:val="center"/>
                </w:tcPr>
                <w:p>
                  <w:pPr>
                    <w:pStyle w:val="69"/>
                    <w:rPr>
                      <w:rFonts w:hint="eastAsia"/>
                      <w:color w:val="auto"/>
                    </w:rPr>
                  </w:pPr>
                </w:p>
              </w:tc>
              <w:tc>
                <w:tcPr>
                  <w:tcW w:w="269" w:type="pct"/>
                  <w:vMerge w:val="continue"/>
                  <w:noWrap w:val="0"/>
                  <w:vAlign w:val="center"/>
                </w:tcPr>
                <w:p>
                  <w:pPr>
                    <w:pStyle w:val="69"/>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25" w:hRule="atLeast"/>
                <w:jc w:val="center"/>
              </w:trPr>
              <w:tc>
                <w:tcPr>
                  <w:tcW w:w="302" w:type="pct"/>
                  <w:vMerge w:val="continue"/>
                  <w:noWrap w:val="0"/>
                  <w:vAlign w:val="center"/>
                </w:tcPr>
                <w:p>
                  <w:pPr>
                    <w:pStyle w:val="69"/>
                    <w:rPr>
                      <w:rFonts w:hint="eastAsia"/>
                      <w:color w:val="auto"/>
                    </w:rPr>
                  </w:pPr>
                </w:p>
              </w:tc>
              <w:tc>
                <w:tcPr>
                  <w:tcW w:w="488" w:type="pct"/>
                  <w:noWrap w:val="0"/>
                  <w:vAlign w:val="center"/>
                </w:tcPr>
                <w:p>
                  <w:pPr>
                    <w:pStyle w:val="69"/>
                    <w:rPr>
                      <w:rFonts w:hint="eastAsia"/>
                      <w:color w:val="auto"/>
                    </w:rPr>
                  </w:pPr>
                  <w:r>
                    <w:rPr>
                      <w:rFonts w:hint="eastAsia"/>
                      <w:color w:val="auto"/>
                    </w:rPr>
                    <w:t>药房</w:t>
                  </w:r>
                </w:p>
              </w:tc>
              <w:tc>
                <w:tcPr>
                  <w:tcW w:w="2750" w:type="pct"/>
                  <w:gridSpan w:val="2"/>
                  <w:noWrap w:val="0"/>
                  <w:vAlign w:val="center"/>
                </w:tcPr>
                <w:p>
                  <w:pPr>
                    <w:pStyle w:val="69"/>
                    <w:rPr>
                      <w:rFonts w:hint="eastAsia"/>
                      <w:color w:val="auto"/>
                    </w:rPr>
                  </w:pPr>
                  <w:r>
                    <w:rPr>
                      <w:rFonts w:hint="eastAsia"/>
                      <w:color w:val="auto"/>
                    </w:rPr>
                    <w:t>位于走廊左侧，药房的旁边</w:t>
                  </w:r>
                </w:p>
              </w:tc>
              <w:tc>
                <w:tcPr>
                  <w:tcW w:w="453" w:type="pct"/>
                  <w:vMerge w:val="continue"/>
                  <w:noWrap w:val="0"/>
                  <w:vAlign w:val="center"/>
                </w:tcPr>
                <w:p>
                  <w:pPr>
                    <w:pStyle w:val="69"/>
                    <w:rPr>
                      <w:rFonts w:hint="eastAsia"/>
                      <w:color w:val="auto"/>
                    </w:rPr>
                  </w:pPr>
                </w:p>
              </w:tc>
              <w:tc>
                <w:tcPr>
                  <w:tcW w:w="736" w:type="pct"/>
                  <w:vMerge w:val="continue"/>
                  <w:noWrap w:val="0"/>
                  <w:vAlign w:val="center"/>
                </w:tcPr>
                <w:p>
                  <w:pPr>
                    <w:pStyle w:val="69"/>
                    <w:rPr>
                      <w:rFonts w:hint="eastAsia"/>
                      <w:color w:val="auto"/>
                    </w:rPr>
                  </w:pPr>
                </w:p>
              </w:tc>
              <w:tc>
                <w:tcPr>
                  <w:tcW w:w="269" w:type="pct"/>
                  <w:vMerge w:val="continue"/>
                  <w:noWrap w:val="0"/>
                  <w:vAlign w:val="center"/>
                </w:tcPr>
                <w:p>
                  <w:pPr>
                    <w:pStyle w:val="69"/>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21" w:hRule="atLeast"/>
                <w:jc w:val="center"/>
              </w:trPr>
              <w:tc>
                <w:tcPr>
                  <w:tcW w:w="302" w:type="pct"/>
                  <w:vMerge w:val="continue"/>
                  <w:noWrap w:val="0"/>
                  <w:vAlign w:val="center"/>
                </w:tcPr>
                <w:p>
                  <w:pPr>
                    <w:pStyle w:val="69"/>
                    <w:rPr>
                      <w:rFonts w:hint="eastAsia"/>
                      <w:color w:val="auto"/>
                    </w:rPr>
                  </w:pPr>
                </w:p>
              </w:tc>
              <w:tc>
                <w:tcPr>
                  <w:tcW w:w="488" w:type="pct"/>
                  <w:noWrap w:val="0"/>
                  <w:vAlign w:val="center"/>
                </w:tcPr>
                <w:p>
                  <w:pPr>
                    <w:pStyle w:val="69"/>
                    <w:rPr>
                      <w:rFonts w:hint="eastAsia"/>
                      <w:color w:val="auto"/>
                    </w:rPr>
                  </w:pPr>
                  <w:r>
                    <w:rPr>
                      <w:rFonts w:hint="eastAsia"/>
                      <w:color w:val="auto"/>
                    </w:rPr>
                    <w:t>手术室</w:t>
                  </w:r>
                </w:p>
              </w:tc>
              <w:tc>
                <w:tcPr>
                  <w:tcW w:w="2750" w:type="pct"/>
                  <w:gridSpan w:val="2"/>
                  <w:noWrap w:val="0"/>
                  <w:vAlign w:val="center"/>
                </w:tcPr>
                <w:p>
                  <w:pPr>
                    <w:pStyle w:val="69"/>
                    <w:rPr>
                      <w:rFonts w:hint="eastAsia"/>
                      <w:color w:val="auto"/>
                    </w:rPr>
                  </w:pPr>
                  <w:r>
                    <w:rPr>
                      <w:rFonts w:hint="eastAsia"/>
                      <w:color w:val="auto"/>
                    </w:rPr>
                    <w:t>位于走廊的尽头，项目的北侧</w:t>
                  </w:r>
                </w:p>
              </w:tc>
              <w:tc>
                <w:tcPr>
                  <w:tcW w:w="453" w:type="pct"/>
                  <w:vMerge w:val="continue"/>
                  <w:noWrap w:val="0"/>
                  <w:vAlign w:val="center"/>
                </w:tcPr>
                <w:p>
                  <w:pPr>
                    <w:pStyle w:val="69"/>
                    <w:rPr>
                      <w:rFonts w:hint="eastAsia"/>
                      <w:color w:val="auto"/>
                    </w:rPr>
                  </w:pPr>
                </w:p>
              </w:tc>
              <w:tc>
                <w:tcPr>
                  <w:tcW w:w="736" w:type="pct"/>
                  <w:vMerge w:val="continue"/>
                  <w:noWrap w:val="0"/>
                  <w:vAlign w:val="center"/>
                </w:tcPr>
                <w:p>
                  <w:pPr>
                    <w:pStyle w:val="69"/>
                    <w:rPr>
                      <w:rFonts w:hint="eastAsia"/>
                      <w:color w:val="auto"/>
                    </w:rPr>
                  </w:pPr>
                </w:p>
              </w:tc>
              <w:tc>
                <w:tcPr>
                  <w:tcW w:w="269" w:type="pct"/>
                  <w:vMerge w:val="continue"/>
                  <w:noWrap w:val="0"/>
                  <w:vAlign w:val="center"/>
                </w:tcPr>
                <w:p>
                  <w:pPr>
                    <w:pStyle w:val="69"/>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3" w:hRule="atLeast"/>
                <w:jc w:val="center"/>
              </w:trPr>
              <w:tc>
                <w:tcPr>
                  <w:tcW w:w="302" w:type="pct"/>
                  <w:vMerge w:val="continue"/>
                  <w:noWrap w:val="0"/>
                  <w:vAlign w:val="center"/>
                </w:tcPr>
                <w:p>
                  <w:pPr>
                    <w:pStyle w:val="69"/>
                    <w:rPr>
                      <w:rFonts w:hint="eastAsia"/>
                      <w:color w:val="auto"/>
                    </w:rPr>
                  </w:pPr>
                </w:p>
              </w:tc>
              <w:tc>
                <w:tcPr>
                  <w:tcW w:w="488" w:type="pct"/>
                  <w:noWrap w:val="0"/>
                  <w:vAlign w:val="center"/>
                </w:tcPr>
                <w:p>
                  <w:pPr>
                    <w:pStyle w:val="69"/>
                    <w:rPr>
                      <w:rFonts w:hint="eastAsia"/>
                      <w:color w:val="auto"/>
                    </w:rPr>
                  </w:pPr>
                  <w:r>
                    <w:rPr>
                      <w:rFonts w:hint="eastAsia"/>
                      <w:color w:val="auto"/>
                    </w:rPr>
                    <w:t>化验室</w:t>
                  </w:r>
                </w:p>
              </w:tc>
              <w:tc>
                <w:tcPr>
                  <w:tcW w:w="2750" w:type="pct"/>
                  <w:gridSpan w:val="2"/>
                  <w:noWrap w:val="0"/>
                  <w:vAlign w:val="center"/>
                </w:tcPr>
                <w:p>
                  <w:pPr>
                    <w:pStyle w:val="69"/>
                    <w:rPr>
                      <w:rFonts w:hint="eastAsia"/>
                      <w:color w:val="auto"/>
                    </w:rPr>
                  </w:pPr>
                  <w:r>
                    <w:rPr>
                      <w:rFonts w:hint="eastAsia"/>
                      <w:color w:val="auto"/>
                    </w:rPr>
                    <w:t>位于医院入口处左侧，和前台共用一处</w:t>
                  </w:r>
                </w:p>
              </w:tc>
              <w:tc>
                <w:tcPr>
                  <w:tcW w:w="453" w:type="pct"/>
                  <w:vMerge w:val="continue"/>
                  <w:noWrap w:val="0"/>
                  <w:vAlign w:val="center"/>
                </w:tcPr>
                <w:p>
                  <w:pPr>
                    <w:pStyle w:val="69"/>
                    <w:rPr>
                      <w:rFonts w:hint="eastAsia"/>
                      <w:color w:val="auto"/>
                    </w:rPr>
                  </w:pPr>
                </w:p>
              </w:tc>
              <w:tc>
                <w:tcPr>
                  <w:tcW w:w="736" w:type="pct"/>
                  <w:vMerge w:val="continue"/>
                  <w:noWrap w:val="0"/>
                  <w:vAlign w:val="center"/>
                </w:tcPr>
                <w:p>
                  <w:pPr>
                    <w:pStyle w:val="69"/>
                    <w:rPr>
                      <w:rFonts w:hint="eastAsia"/>
                      <w:color w:val="auto"/>
                    </w:rPr>
                  </w:pPr>
                </w:p>
              </w:tc>
              <w:tc>
                <w:tcPr>
                  <w:tcW w:w="269" w:type="pct"/>
                  <w:vMerge w:val="continue"/>
                  <w:noWrap w:val="0"/>
                  <w:vAlign w:val="center"/>
                </w:tcPr>
                <w:p>
                  <w:pPr>
                    <w:pStyle w:val="69"/>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3" w:hRule="atLeast"/>
                <w:jc w:val="center"/>
              </w:trPr>
              <w:tc>
                <w:tcPr>
                  <w:tcW w:w="302" w:type="pct"/>
                  <w:vMerge w:val="continue"/>
                  <w:noWrap w:val="0"/>
                  <w:vAlign w:val="center"/>
                </w:tcPr>
                <w:p>
                  <w:pPr>
                    <w:pStyle w:val="69"/>
                    <w:rPr>
                      <w:rFonts w:hint="eastAsia"/>
                      <w:color w:val="auto"/>
                    </w:rPr>
                  </w:pPr>
                </w:p>
              </w:tc>
              <w:tc>
                <w:tcPr>
                  <w:tcW w:w="488" w:type="pct"/>
                  <w:noWrap w:val="0"/>
                  <w:vAlign w:val="center"/>
                </w:tcPr>
                <w:p>
                  <w:pPr>
                    <w:pStyle w:val="69"/>
                    <w:rPr>
                      <w:color w:val="auto"/>
                    </w:rPr>
                  </w:pPr>
                  <w:r>
                    <w:rPr>
                      <w:rFonts w:hint="eastAsia"/>
                      <w:color w:val="auto"/>
                    </w:rPr>
                    <w:t>DR室</w:t>
                  </w:r>
                </w:p>
              </w:tc>
              <w:tc>
                <w:tcPr>
                  <w:tcW w:w="2750" w:type="pct"/>
                  <w:gridSpan w:val="2"/>
                  <w:noWrap w:val="0"/>
                  <w:vAlign w:val="center"/>
                </w:tcPr>
                <w:p>
                  <w:pPr>
                    <w:pStyle w:val="69"/>
                    <w:rPr>
                      <w:rFonts w:hint="eastAsia"/>
                      <w:color w:val="auto"/>
                    </w:rPr>
                  </w:pPr>
                  <w:r>
                    <w:rPr>
                      <w:rFonts w:hint="eastAsia"/>
                      <w:color w:val="auto"/>
                    </w:rPr>
                    <w:t>位于走廊尽头右侧，紧邻手术室</w:t>
                  </w:r>
                </w:p>
              </w:tc>
              <w:tc>
                <w:tcPr>
                  <w:tcW w:w="453" w:type="pct"/>
                  <w:vMerge w:val="continue"/>
                  <w:noWrap w:val="0"/>
                  <w:vAlign w:val="center"/>
                </w:tcPr>
                <w:p>
                  <w:pPr>
                    <w:pStyle w:val="69"/>
                    <w:rPr>
                      <w:rFonts w:hint="eastAsia"/>
                      <w:color w:val="auto"/>
                    </w:rPr>
                  </w:pPr>
                </w:p>
              </w:tc>
              <w:tc>
                <w:tcPr>
                  <w:tcW w:w="736" w:type="pct"/>
                  <w:vMerge w:val="continue"/>
                  <w:noWrap w:val="0"/>
                  <w:vAlign w:val="center"/>
                </w:tcPr>
                <w:p>
                  <w:pPr>
                    <w:pStyle w:val="69"/>
                    <w:rPr>
                      <w:rFonts w:hint="eastAsia"/>
                      <w:color w:val="auto"/>
                    </w:rPr>
                  </w:pPr>
                </w:p>
              </w:tc>
              <w:tc>
                <w:tcPr>
                  <w:tcW w:w="269" w:type="pct"/>
                  <w:vMerge w:val="continue"/>
                  <w:noWrap w:val="0"/>
                  <w:vAlign w:val="center"/>
                </w:tcPr>
                <w:p>
                  <w:pPr>
                    <w:pStyle w:val="69"/>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76" w:hRule="atLeast"/>
                <w:jc w:val="center"/>
              </w:trPr>
              <w:tc>
                <w:tcPr>
                  <w:tcW w:w="302" w:type="pct"/>
                  <w:vMerge w:val="restart"/>
                  <w:noWrap w:val="0"/>
                  <w:vAlign w:val="center"/>
                </w:tcPr>
                <w:p>
                  <w:pPr>
                    <w:pStyle w:val="69"/>
                    <w:rPr>
                      <w:rFonts w:hint="eastAsia"/>
                      <w:color w:val="auto"/>
                    </w:rPr>
                  </w:pPr>
                  <w:r>
                    <w:rPr>
                      <w:rFonts w:hint="eastAsia"/>
                      <w:color w:val="auto"/>
                    </w:rPr>
                    <w:t>辅助工程</w:t>
                  </w:r>
                </w:p>
              </w:tc>
              <w:tc>
                <w:tcPr>
                  <w:tcW w:w="488" w:type="pct"/>
                  <w:noWrap w:val="0"/>
                  <w:vAlign w:val="center"/>
                </w:tcPr>
                <w:p>
                  <w:pPr>
                    <w:pStyle w:val="69"/>
                    <w:rPr>
                      <w:color w:val="auto"/>
                    </w:rPr>
                  </w:pPr>
                  <w:r>
                    <w:rPr>
                      <w:rFonts w:hint="eastAsia"/>
                      <w:color w:val="auto"/>
                    </w:rPr>
                    <w:t>休息区及大厅</w:t>
                  </w:r>
                </w:p>
              </w:tc>
              <w:tc>
                <w:tcPr>
                  <w:tcW w:w="2750" w:type="pct"/>
                  <w:gridSpan w:val="2"/>
                  <w:noWrap w:val="0"/>
                  <w:vAlign w:val="center"/>
                </w:tcPr>
                <w:p>
                  <w:pPr>
                    <w:pStyle w:val="69"/>
                    <w:rPr>
                      <w:rFonts w:hint="eastAsia"/>
                      <w:color w:val="auto"/>
                    </w:rPr>
                  </w:pPr>
                  <w:r>
                    <w:rPr>
                      <w:rFonts w:hint="eastAsia"/>
                      <w:color w:val="auto"/>
                    </w:rPr>
                    <w:t>位于大门进出口处左侧，包含休息区、前台咨询处</w:t>
                  </w:r>
                </w:p>
              </w:tc>
              <w:tc>
                <w:tcPr>
                  <w:tcW w:w="453" w:type="pct"/>
                  <w:vMerge w:val="continue"/>
                  <w:noWrap w:val="0"/>
                  <w:vAlign w:val="center"/>
                </w:tcPr>
                <w:p>
                  <w:pPr>
                    <w:pStyle w:val="69"/>
                    <w:rPr>
                      <w:rFonts w:hint="eastAsia"/>
                      <w:color w:val="auto"/>
                    </w:rPr>
                  </w:pPr>
                </w:p>
              </w:tc>
              <w:tc>
                <w:tcPr>
                  <w:tcW w:w="736" w:type="pct"/>
                  <w:vMerge w:val="restart"/>
                  <w:noWrap w:val="0"/>
                  <w:vAlign w:val="center"/>
                </w:tcPr>
                <w:p>
                  <w:pPr>
                    <w:pStyle w:val="69"/>
                    <w:rPr>
                      <w:rFonts w:hint="eastAsia"/>
                      <w:color w:val="auto"/>
                    </w:rPr>
                  </w:pPr>
                  <w:r>
                    <w:rPr>
                      <w:rFonts w:hint="eastAsia"/>
                      <w:color w:val="auto"/>
                    </w:rPr>
                    <w:t>/</w:t>
                  </w:r>
                </w:p>
              </w:tc>
              <w:tc>
                <w:tcPr>
                  <w:tcW w:w="269" w:type="pct"/>
                  <w:vMerge w:val="restart"/>
                  <w:noWrap w:val="0"/>
                  <w:vAlign w:val="center"/>
                </w:tcPr>
                <w:p>
                  <w:pPr>
                    <w:pStyle w:val="69"/>
                    <w:rPr>
                      <w:rFonts w:hint="eastAsia"/>
                      <w:color w:val="auto"/>
                    </w:rPr>
                  </w:pPr>
                  <w:r>
                    <w:rPr>
                      <w:rFonts w:hint="eastAsia"/>
                      <w:color w:val="auto"/>
                    </w:rPr>
                    <w:t>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9" w:hRule="atLeast"/>
                <w:jc w:val="center"/>
              </w:trPr>
              <w:tc>
                <w:tcPr>
                  <w:tcW w:w="302" w:type="pct"/>
                  <w:vMerge w:val="continue"/>
                  <w:noWrap w:val="0"/>
                  <w:vAlign w:val="center"/>
                </w:tcPr>
                <w:p>
                  <w:pPr>
                    <w:pStyle w:val="69"/>
                    <w:rPr>
                      <w:rFonts w:hint="eastAsia"/>
                      <w:color w:val="auto"/>
                    </w:rPr>
                  </w:pPr>
                </w:p>
              </w:tc>
              <w:tc>
                <w:tcPr>
                  <w:tcW w:w="488" w:type="pct"/>
                  <w:noWrap w:val="0"/>
                  <w:vAlign w:val="center"/>
                </w:tcPr>
                <w:p>
                  <w:pPr>
                    <w:pStyle w:val="69"/>
                    <w:rPr>
                      <w:rFonts w:hint="eastAsia"/>
                      <w:color w:val="auto"/>
                    </w:rPr>
                  </w:pPr>
                  <w:r>
                    <w:rPr>
                      <w:rFonts w:hint="eastAsia"/>
                      <w:color w:val="auto"/>
                    </w:rPr>
                    <w:t>商品展示</w:t>
                  </w:r>
                </w:p>
              </w:tc>
              <w:tc>
                <w:tcPr>
                  <w:tcW w:w="2750" w:type="pct"/>
                  <w:gridSpan w:val="2"/>
                  <w:noWrap w:val="0"/>
                  <w:vAlign w:val="center"/>
                </w:tcPr>
                <w:p>
                  <w:pPr>
                    <w:pStyle w:val="69"/>
                    <w:rPr>
                      <w:rFonts w:hint="eastAsia"/>
                      <w:color w:val="auto"/>
                    </w:rPr>
                  </w:pPr>
                  <w:r>
                    <w:rPr>
                      <w:rFonts w:hint="eastAsia"/>
                      <w:color w:val="auto"/>
                    </w:rPr>
                    <w:t>位于出入口处右侧，面积5㎡.</w:t>
                  </w:r>
                </w:p>
              </w:tc>
              <w:tc>
                <w:tcPr>
                  <w:tcW w:w="453" w:type="pct"/>
                  <w:vMerge w:val="continue"/>
                  <w:noWrap w:val="0"/>
                  <w:vAlign w:val="center"/>
                </w:tcPr>
                <w:p>
                  <w:pPr>
                    <w:pStyle w:val="69"/>
                    <w:rPr>
                      <w:rFonts w:hint="eastAsia"/>
                      <w:color w:val="auto"/>
                    </w:rPr>
                  </w:pPr>
                </w:p>
              </w:tc>
              <w:tc>
                <w:tcPr>
                  <w:tcW w:w="736" w:type="pct"/>
                  <w:vMerge w:val="continue"/>
                  <w:noWrap w:val="0"/>
                  <w:vAlign w:val="center"/>
                </w:tcPr>
                <w:p>
                  <w:pPr>
                    <w:pStyle w:val="69"/>
                    <w:rPr>
                      <w:rFonts w:hint="eastAsia"/>
                      <w:color w:val="auto"/>
                    </w:rPr>
                  </w:pPr>
                </w:p>
              </w:tc>
              <w:tc>
                <w:tcPr>
                  <w:tcW w:w="269" w:type="pct"/>
                  <w:vMerge w:val="continue"/>
                  <w:noWrap w:val="0"/>
                  <w:vAlign w:val="center"/>
                </w:tcPr>
                <w:p>
                  <w:pPr>
                    <w:pStyle w:val="69"/>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18" w:hRule="atLeast"/>
                <w:jc w:val="center"/>
              </w:trPr>
              <w:tc>
                <w:tcPr>
                  <w:tcW w:w="302" w:type="pct"/>
                  <w:vMerge w:val="restart"/>
                  <w:noWrap w:val="0"/>
                  <w:vAlign w:val="center"/>
                </w:tcPr>
                <w:p>
                  <w:pPr>
                    <w:pStyle w:val="69"/>
                    <w:rPr>
                      <w:rFonts w:hint="eastAsia"/>
                      <w:color w:val="auto"/>
                    </w:rPr>
                  </w:pPr>
                  <w:r>
                    <w:rPr>
                      <w:rFonts w:hint="eastAsia"/>
                      <w:color w:val="auto"/>
                    </w:rPr>
                    <w:t>公共工程</w:t>
                  </w:r>
                </w:p>
              </w:tc>
              <w:tc>
                <w:tcPr>
                  <w:tcW w:w="488" w:type="pct"/>
                  <w:noWrap w:val="0"/>
                  <w:vAlign w:val="center"/>
                </w:tcPr>
                <w:p>
                  <w:pPr>
                    <w:pStyle w:val="69"/>
                    <w:rPr>
                      <w:rFonts w:hint="eastAsia"/>
                      <w:color w:val="auto"/>
                    </w:rPr>
                  </w:pPr>
                  <w:r>
                    <w:rPr>
                      <w:rFonts w:hint="eastAsia"/>
                      <w:color w:val="auto"/>
                    </w:rPr>
                    <w:t>供水</w:t>
                  </w:r>
                </w:p>
              </w:tc>
              <w:tc>
                <w:tcPr>
                  <w:tcW w:w="2750" w:type="pct"/>
                  <w:gridSpan w:val="2"/>
                  <w:noWrap w:val="0"/>
                  <w:vAlign w:val="center"/>
                </w:tcPr>
                <w:p>
                  <w:pPr>
                    <w:pStyle w:val="69"/>
                    <w:rPr>
                      <w:rFonts w:hint="eastAsia"/>
                      <w:color w:val="auto"/>
                    </w:rPr>
                  </w:pPr>
                  <w:r>
                    <w:rPr>
                      <w:rFonts w:hint="eastAsia"/>
                      <w:color w:val="auto"/>
                    </w:rPr>
                    <w:t>由市政自来水管网供给</w:t>
                  </w:r>
                </w:p>
              </w:tc>
              <w:tc>
                <w:tcPr>
                  <w:tcW w:w="453" w:type="pct"/>
                  <w:vMerge w:val="continue"/>
                  <w:noWrap w:val="0"/>
                  <w:vAlign w:val="center"/>
                </w:tcPr>
                <w:p>
                  <w:pPr>
                    <w:pStyle w:val="69"/>
                    <w:rPr>
                      <w:rFonts w:hint="eastAsia"/>
                      <w:color w:val="auto"/>
                    </w:rPr>
                  </w:pPr>
                </w:p>
              </w:tc>
              <w:tc>
                <w:tcPr>
                  <w:tcW w:w="736" w:type="pct"/>
                  <w:vMerge w:val="restart"/>
                  <w:noWrap w:val="0"/>
                  <w:vAlign w:val="center"/>
                </w:tcPr>
                <w:p>
                  <w:pPr>
                    <w:pStyle w:val="69"/>
                    <w:rPr>
                      <w:rFonts w:hint="eastAsia"/>
                      <w:color w:val="auto"/>
                    </w:rPr>
                  </w:pPr>
                  <w:r>
                    <w:rPr>
                      <w:rFonts w:hint="eastAsia"/>
                      <w:color w:val="auto"/>
                    </w:rPr>
                    <w:t>/</w:t>
                  </w:r>
                </w:p>
              </w:tc>
              <w:tc>
                <w:tcPr>
                  <w:tcW w:w="269" w:type="pct"/>
                  <w:vMerge w:val="restart"/>
                  <w:noWrap w:val="0"/>
                  <w:vAlign w:val="center"/>
                </w:tcPr>
                <w:p>
                  <w:pPr>
                    <w:pStyle w:val="69"/>
                    <w:rPr>
                      <w:rFonts w:hint="eastAsia"/>
                      <w:color w:val="auto"/>
                    </w:rPr>
                  </w:pPr>
                  <w:r>
                    <w:rPr>
                      <w:rFonts w:hint="eastAsia"/>
                      <w:color w:val="auto"/>
                    </w:rPr>
                    <w:t>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02" w:type="pct"/>
                  <w:vMerge w:val="continue"/>
                  <w:noWrap w:val="0"/>
                  <w:vAlign w:val="center"/>
                </w:tcPr>
                <w:p>
                  <w:pPr>
                    <w:pStyle w:val="69"/>
                    <w:rPr>
                      <w:rFonts w:hint="eastAsia"/>
                      <w:color w:val="auto"/>
                    </w:rPr>
                  </w:pPr>
                </w:p>
              </w:tc>
              <w:tc>
                <w:tcPr>
                  <w:tcW w:w="488" w:type="pct"/>
                  <w:noWrap w:val="0"/>
                  <w:vAlign w:val="center"/>
                </w:tcPr>
                <w:p>
                  <w:pPr>
                    <w:pStyle w:val="69"/>
                    <w:rPr>
                      <w:rFonts w:hint="eastAsia"/>
                      <w:color w:val="auto"/>
                    </w:rPr>
                  </w:pPr>
                  <w:r>
                    <w:rPr>
                      <w:rFonts w:hint="eastAsia"/>
                      <w:color w:val="auto"/>
                    </w:rPr>
                    <w:t>排水</w:t>
                  </w:r>
                </w:p>
              </w:tc>
              <w:tc>
                <w:tcPr>
                  <w:tcW w:w="2750" w:type="pct"/>
                  <w:gridSpan w:val="2"/>
                  <w:noWrap w:val="0"/>
                  <w:vAlign w:val="center"/>
                </w:tcPr>
                <w:p>
                  <w:pPr>
                    <w:pStyle w:val="69"/>
                    <w:rPr>
                      <w:rFonts w:hint="eastAsia"/>
                      <w:color w:val="auto"/>
                    </w:rPr>
                  </w:pPr>
                  <w:r>
                    <w:rPr>
                      <w:rFonts w:hint="eastAsia"/>
                      <w:color w:val="auto"/>
                    </w:rPr>
                    <w:t>经医院内预处理池处理后排入市政污水管网</w:t>
                  </w:r>
                </w:p>
              </w:tc>
              <w:tc>
                <w:tcPr>
                  <w:tcW w:w="453" w:type="pct"/>
                  <w:vMerge w:val="continue"/>
                  <w:noWrap w:val="0"/>
                  <w:vAlign w:val="center"/>
                </w:tcPr>
                <w:p>
                  <w:pPr>
                    <w:pStyle w:val="69"/>
                    <w:rPr>
                      <w:rFonts w:hint="eastAsia"/>
                      <w:color w:val="auto"/>
                    </w:rPr>
                  </w:pPr>
                </w:p>
              </w:tc>
              <w:tc>
                <w:tcPr>
                  <w:tcW w:w="736" w:type="pct"/>
                  <w:vMerge w:val="continue"/>
                  <w:noWrap w:val="0"/>
                  <w:vAlign w:val="center"/>
                </w:tcPr>
                <w:p>
                  <w:pPr>
                    <w:pStyle w:val="69"/>
                    <w:rPr>
                      <w:rFonts w:hint="eastAsia"/>
                      <w:color w:val="auto"/>
                    </w:rPr>
                  </w:pPr>
                </w:p>
              </w:tc>
              <w:tc>
                <w:tcPr>
                  <w:tcW w:w="269" w:type="pct"/>
                  <w:vMerge w:val="continue"/>
                  <w:noWrap w:val="0"/>
                  <w:vAlign w:val="center"/>
                </w:tcPr>
                <w:p>
                  <w:pPr>
                    <w:pStyle w:val="69"/>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02" w:type="pct"/>
                  <w:vMerge w:val="continue"/>
                  <w:noWrap w:val="0"/>
                  <w:vAlign w:val="center"/>
                </w:tcPr>
                <w:p>
                  <w:pPr>
                    <w:pStyle w:val="69"/>
                    <w:rPr>
                      <w:rFonts w:hint="eastAsia"/>
                      <w:color w:val="auto"/>
                    </w:rPr>
                  </w:pPr>
                </w:p>
              </w:tc>
              <w:tc>
                <w:tcPr>
                  <w:tcW w:w="488" w:type="pct"/>
                  <w:noWrap w:val="0"/>
                  <w:vAlign w:val="center"/>
                </w:tcPr>
                <w:p>
                  <w:pPr>
                    <w:pStyle w:val="69"/>
                    <w:rPr>
                      <w:rFonts w:hint="eastAsia"/>
                      <w:color w:val="auto"/>
                    </w:rPr>
                  </w:pPr>
                  <w:r>
                    <w:rPr>
                      <w:rFonts w:hint="eastAsia"/>
                      <w:color w:val="auto"/>
                    </w:rPr>
                    <w:t>供电</w:t>
                  </w:r>
                </w:p>
              </w:tc>
              <w:tc>
                <w:tcPr>
                  <w:tcW w:w="2750" w:type="pct"/>
                  <w:gridSpan w:val="2"/>
                  <w:noWrap w:val="0"/>
                  <w:vAlign w:val="center"/>
                </w:tcPr>
                <w:p>
                  <w:pPr>
                    <w:pStyle w:val="69"/>
                    <w:rPr>
                      <w:rFonts w:hint="eastAsia"/>
                      <w:color w:val="auto"/>
                    </w:rPr>
                  </w:pPr>
                  <w:r>
                    <w:rPr>
                      <w:rFonts w:hint="eastAsia"/>
                      <w:color w:val="auto"/>
                    </w:rPr>
                    <w:t>由市政电网供给</w:t>
                  </w:r>
                </w:p>
              </w:tc>
              <w:tc>
                <w:tcPr>
                  <w:tcW w:w="453" w:type="pct"/>
                  <w:vMerge w:val="continue"/>
                  <w:noWrap w:val="0"/>
                  <w:vAlign w:val="center"/>
                </w:tcPr>
                <w:p>
                  <w:pPr>
                    <w:pStyle w:val="69"/>
                    <w:rPr>
                      <w:rFonts w:hint="eastAsia"/>
                      <w:color w:val="auto"/>
                    </w:rPr>
                  </w:pPr>
                </w:p>
              </w:tc>
              <w:tc>
                <w:tcPr>
                  <w:tcW w:w="736" w:type="pct"/>
                  <w:vMerge w:val="continue"/>
                  <w:noWrap w:val="0"/>
                  <w:vAlign w:val="center"/>
                </w:tcPr>
                <w:p>
                  <w:pPr>
                    <w:pStyle w:val="69"/>
                    <w:rPr>
                      <w:rFonts w:hint="eastAsia"/>
                      <w:color w:val="auto"/>
                    </w:rPr>
                  </w:pPr>
                </w:p>
              </w:tc>
              <w:tc>
                <w:tcPr>
                  <w:tcW w:w="269" w:type="pct"/>
                  <w:vMerge w:val="continue"/>
                  <w:noWrap w:val="0"/>
                  <w:vAlign w:val="center"/>
                </w:tcPr>
                <w:p>
                  <w:pPr>
                    <w:pStyle w:val="69"/>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02" w:type="pct"/>
                  <w:vMerge w:val="restart"/>
                  <w:noWrap w:val="0"/>
                  <w:vAlign w:val="center"/>
                </w:tcPr>
                <w:p>
                  <w:pPr>
                    <w:pStyle w:val="69"/>
                    <w:rPr>
                      <w:rFonts w:hint="eastAsia"/>
                      <w:color w:val="auto"/>
                    </w:rPr>
                  </w:pPr>
                  <w:r>
                    <w:rPr>
                      <w:rFonts w:hint="eastAsia"/>
                      <w:color w:val="auto"/>
                    </w:rPr>
                    <w:t>环保工程</w:t>
                  </w:r>
                </w:p>
              </w:tc>
              <w:tc>
                <w:tcPr>
                  <w:tcW w:w="488" w:type="pct"/>
                  <w:noWrap w:val="0"/>
                  <w:vAlign w:val="center"/>
                </w:tcPr>
                <w:p>
                  <w:pPr>
                    <w:pStyle w:val="69"/>
                    <w:rPr>
                      <w:rFonts w:hint="eastAsia"/>
                      <w:color w:val="auto"/>
                    </w:rPr>
                  </w:pPr>
                  <w:r>
                    <w:rPr>
                      <w:rFonts w:hint="eastAsia"/>
                      <w:color w:val="auto"/>
                    </w:rPr>
                    <w:t>废气</w:t>
                  </w:r>
                </w:p>
              </w:tc>
              <w:tc>
                <w:tcPr>
                  <w:tcW w:w="2750" w:type="pct"/>
                  <w:gridSpan w:val="2"/>
                  <w:noWrap w:val="0"/>
                  <w:vAlign w:val="center"/>
                </w:tcPr>
                <w:p>
                  <w:pPr>
                    <w:pStyle w:val="69"/>
                    <w:rPr>
                      <w:rFonts w:hint="eastAsia"/>
                      <w:color w:val="auto"/>
                    </w:rPr>
                  </w:pPr>
                  <w:r>
                    <w:rPr>
                      <w:rFonts w:hint="eastAsia"/>
                      <w:color w:val="auto"/>
                    </w:rPr>
                    <w:t>通过移动式紫外线灯照射+环境空气消毒（用过硫酸氢钾复合粉兑水喷洒）+新风系统进行环境消毒，定期开窗通风，加强院内空气流通、清洁。</w:t>
                  </w:r>
                </w:p>
              </w:tc>
              <w:tc>
                <w:tcPr>
                  <w:tcW w:w="453" w:type="pct"/>
                  <w:vMerge w:val="continue"/>
                  <w:noWrap w:val="0"/>
                  <w:vAlign w:val="center"/>
                </w:tcPr>
                <w:p>
                  <w:pPr>
                    <w:pStyle w:val="69"/>
                    <w:rPr>
                      <w:rFonts w:hint="eastAsia"/>
                      <w:color w:val="auto"/>
                    </w:rPr>
                  </w:pPr>
                </w:p>
              </w:tc>
              <w:tc>
                <w:tcPr>
                  <w:tcW w:w="736" w:type="pct"/>
                  <w:noWrap w:val="0"/>
                  <w:vAlign w:val="center"/>
                </w:tcPr>
                <w:p>
                  <w:pPr>
                    <w:pStyle w:val="69"/>
                    <w:rPr>
                      <w:rFonts w:hint="eastAsia"/>
                      <w:color w:val="auto"/>
                    </w:rPr>
                  </w:pPr>
                  <w:r>
                    <w:rPr>
                      <w:rFonts w:hint="eastAsia"/>
                      <w:color w:val="auto"/>
                    </w:rPr>
                    <w:t>/</w:t>
                  </w:r>
                </w:p>
              </w:tc>
              <w:tc>
                <w:tcPr>
                  <w:tcW w:w="269" w:type="pct"/>
                  <w:noWrap w:val="0"/>
                  <w:vAlign w:val="center"/>
                </w:tcPr>
                <w:p>
                  <w:pPr>
                    <w:pStyle w:val="69"/>
                    <w:rPr>
                      <w:rFonts w:hint="eastAsia" w:eastAsia="宋体"/>
                      <w:color w:val="auto"/>
                      <w:lang w:eastAsia="zh-CN"/>
                    </w:rPr>
                  </w:pPr>
                  <w:r>
                    <w:rPr>
                      <w:rFonts w:hint="eastAsia"/>
                      <w:color w:val="auto"/>
                      <w:lang w:eastAsia="zh-CN"/>
                    </w:rPr>
                    <w:t>整改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26" w:hRule="atLeast"/>
                <w:jc w:val="center"/>
              </w:trPr>
              <w:tc>
                <w:tcPr>
                  <w:tcW w:w="302" w:type="pct"/>
                  <w:vMerge w:val="continue"/>
                  <w:noWrap w:val="0"/>
                  <w:vAlign w:val="center"/>
                </w:tcPr>
                <w:p>
                  <w:pPr>
                    <w:pStyle w:val="69"/>
                    <w:rPr>
                      <w:rFonts w:hint="eastAsia"/>
                      <w:color w:val="auto"/>
                    </w:rPr>
                  </w:pPr>
                </w:p>
              </w:tc>
              <w:tc>
                <w:tcPr>
                  <w:tcW w:w="488" w:type="pct"/>
                  <w:noWrap w:val="0"/>
                  <w:vAlign w:val="center"/>
                </w:tcPr>
                <w:p>
                  <w:pPr>
                    <w:pStyle w:val="69"/>
                    <w:rPr>
                      <w:rFonts w:hint="eastAsia"/>
                      <w:color w:val="auto"/>
                    </w:rPr>
                  </w:pPr>
                  <w:r>
                    <w:rPr>
                      <w:rFonts w:hint="eastAsia"/>
                      <w:color w:val="auto"/>
                    </w:rPr>
                    <w:t>废水</w:t>
                  </w:r>
                </w:p>
              </w:tc>
              <w:tc>
                <w:tcPr>
                  <w:tcW w:w="2750" w:type="pct"/>
                  <w:gridSpan w:val="2"/>
                  <w:noWrap w:val="0"/>
                  <w:vAlign w:val="center"/>
                </w:tcPr>
                <w:p>
                  <w:pPr>
                    <w:pStyle w:val="69"/>
                    <w:rPr>
                      <w:rFonts w:hint="eastAsia"/>
                      <w:color w:val="auto"/>
                    </w:rPr>
                  </w:pPr>
                  <w:r>
                    <w:rPr>
                      <w:rFonts w:hint="eastAsia"/>
                      <w:color w:val="auto"/>
                    </w:rPr>
                    <w:t>采用一体化污水处理设备收集后采用“过滤沉淀+消毒”处理，消毒采用的二氧化氯泡腾片，处理后排入满芳庭锦邻小区预处理池，最终排入市政污水管网。</w:t>
                  </w:r>
                </w:p>
              </w:tc>
              <w:tc>
                <w:tcPr>
                  <w:tcW w:w="453" w:type="pct"/>
                  <w:vMerge w:val="continue"/>
                  <w:noWrap w:val="0"/>
                  <w:vAlign w:val="center"/>
                </w:tcPr>
                <w:p>
                  <w:pPr>
                    <w:pStyle w:val="69"/>
                    <w:rPr>
                      <w:rFonts w:hint="eastAsia"/>
                      <w:color w:val="auto"/>
                    </w:rPr>
                  </w:pPr>
                </w:p>
              </w:tc>
              <w:tc>
                <w:tcPr>
                  <w:tcW w:w="736" w:type="pct"/>
                  <w:noWrap w:val="0"/>
                  <w:vAlign w:val="center"/>
                </w:tcPr>
                <w:p>
                  <w:pPr>
                    <w:pStyle w:val="69"/>
                    <w:rPr>
                      <w:rFonts w:hint="eastAsia"/>
                      <w:color w:val="auto"/>
                    </w:rPr>
                  </w:pPr>
                  <w:r>
                    <w:rPr>
                      <w:rFonts w:hint="eastAsia"/>
                      <w:color w:val="auto"/>
                    </w:rPr>
                    <w:t>/</w:t>
                  </w:r>
                </w:p>
              </w:tc>
              <w:tc>
                <w:tcPr>
                  <w:tcW w:w="269" w:type="pct"/>
                  <w:noWrap w:val="0"/>
                  <w:vAlign w:val="center"/>
                </w:tcPr>
                <w:p>
                  <w:pPr>
                    <w:pStyle w:val="69"/>
                    <w:rPr>
                      <w:rFonts w:hint="eastAsia" w:eastAsia="宋体"/>
                      <w:color w:val="auto"/>
                      <w:lang w:eastAsia="zh-CN"/>
                    </w:rPr>
                  </w:pPr>
                  <w:r>
                    <w:rPr>
                      <w:rFonts w:hint="eastAsia"/>
                      <w:color w:val="auto"/>
                      <w:lang w:eastAsia="zh-CN"/>
                    </w:rPr>
                    <w:t>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23" w:hRule="atLeast"/>
                <w:jc w:val="center"/>
              </w:trPr>
              <w:tc>
                <w:tcPr>
                  <w:tcW w:w="302" w:type="pct"/>
                  <w:vMerge w:val="continue"/>
                  <w:noWrap w:val="0"/>
                  <w:vAlign w:val="center"/>
                </w:tcPr>
                <w:p>
                  <w:pPr>
                    <w:pStyle w:val="69"/>
                    <w:rPr>
                      <w:rFonts w:hint="eastAsia"/>
                      <w:color w:val="auto"/>
                    </w:rPr>
                  </w:pPr>
                </w:p>
              </w:tc>
              <w:tc>
                <w:tcPr>
                  <w:tcW w:w="488" w:type="pct"/>
                  <w:vMerge w:val="restart"/>
                  <w:noWrap w:val="0"/>
                  <w:vAlign w:val="center"/>
                </w:tcPr>
                <w:p>
                  <w:pPr>
                    <w:pStyle w:val="69"/>
                    <w:rPr>
                      <w:rFonts w:hint="eastAsia"/>
                      <w:color w:val="auto"/>
                    </w:rPr>
                  </w:pPr>
                  <w:r>
                    <w:rPr>
                      <w:rFonts w:hint="eastAsia"/>
                      <w:color w:val="auto"/>
                    </w:rPr>
                    <w:t>固废</w:t>
                  </w:r>
                </w:p>
              </w:tc>
              <w:tc>
                <w:tcPr>
                  <w:tcW w:w="480" w:type="pct"/>
                  <w:noWrap w:val="0"/>
                  <w:vAlign w:val="center"/>
                </w:tcPr>
                <w:p>
                  <w:pPr>
                    <w:pStyle w:val="69"/>
                    <w:rPr>
                      <w:rFonts w:hint="eastAsia"/>
                      <w:color w:val="auto"/>
                    </w:rPr>
                  </w:pPr>
                  <w:r>
                    <w:rPr>
                      <w:rFonts w:hint="eastAsia"/>
                      <w:color w:val="auto"/>
                    </w:rPr>
                    <w:t>生活垃圾</w:t>
                  </w:r>
                </w:p>
              </w:tc>
              <w:tc>
                <w:tcPr>
                  <w:tcW w:w="2269" w:type="pct"/>
                  <w:noWrap w:val="0"/>
                  <w:vAlign w:val="center"/>
                </w:tcPr>
                <w:p>
                  <w:pPr>
                    <w:pStyle w:val="69"/>
                    <w:rPr>
                      <w:rFonts w:hint="eastAsia"/>
                      <w:color w:val="auto"/>
                    </w:rPr>
                  </w:pPr>
                  <w:r>
                    <w:rPr>
                      <w:rFonts w:hint="eastAsia"/>
                      <w:color w:val="auto"/>
                    </w:rPr>
                    <w:t>于各科室设置生活垃圾收集桶，生活垃圾统一收集后放置于社区生活垃圾暂存点待环卫部门转运处置</w:t>
                  </w:r>
                </w:p>
              </w:tc>
              <w:tc>
                <w:tcPr>
                  <w:tcW w:w="453" w:type="pct"/>
                  <w:vMerge w:val="continue"/>
                  <w:noWrap w:val="0"/>
                  <w:vAlign w:val="center"/>
                </w:tcPr>
                <w:p>
                  <w:pPr>
                    <w:pStyle w:val="69"/>
                    <w:rPr>
                      <w:rFonts w:hint="eastAsia"/>
                      <w:color w:val="auto"/>
                    </w:rPr>
                  </w:pPr>
                </w:p>
              </w:tc>
              <w:tc>
                <w:tcPr>
                  <w:tcW w:w="736" w:type="pct"/>
                  <w:noWrap w:val="0"/>
                  <w:vAlign w:val="center"/>
                </w:tcPr>
                <w:p>
                  <w:pPr>
                    <w:pStyle w:val="69"/>
                    <w:rPr>
                      <w:rFonts w:hint="eastAsia"/>
                      <w:color w:val="auto"/>
                    </w:rPr>
                  </w:pPr>
                  <w:r>
                    <w:rPr>
                      <w:rFonts w:hint="eastAsia"/>
                      <w:color w:val="auto"/>
                    </w:rPr>
                    <w:t>/</w:t>
                  </w:r>
                </w:p>
              </w:tc>
              <w:tc>
                <w:tcPr>
                  <w:tcW w:w="269" w:type="pct"/>
                  <w:noWrap w:val="0"/>
                  <w:vAlign w:val="center"/>
                </w:tcPr>
                <w:p>
                  <w:pPr>
                    <w:pStyle w:val="69"/>
                    <w:rPr>
                      <w:rFonts w:hint="eastAsia" w:eastAsia="宋体"/>
                      <w:color w:val="auto"/>
                      <w:lang w:eastAsia="zh-CN"/>
                    </w:rPr>
                  </w:pPr>
                  <w:r>
                    <w:rPr>
                      <w:rFonts w:hint="eastAsia"/>
                      <w:color w:val="auto"/>
                      <w:lang w:eastAsia="zh-CN"/>
                    </w:rPr>
                    <w:t>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0" w:hRule="atLeast"/>
                <w:jc w:val="center"/>
              </w:trPr>
              <w:tc>
                <w:tcPr>
                  <w:tcW w:w="302" w:type="pct"/>
                  <w:vMerge w:val="continue"/>
                  <w:noWrap w:val="0"/>
                  <w:vAlign w:val="center"/>
                </w:tcPr>
                <w:p>
                  <w:pPr>
                    <w:pStyle w:val="69"/>
                    <w:rPr>
                      <w:rFonts w:hint="eastAsia"/>
                      <w:color w:val="auto"/>
                    </w:rPr>
                  </w:pPr>
                </w:p>
              </w:tc>
              <w:tc>
                <w:tcPr>
                  <w:tcW w:w="488" w:type="pct"/>
                  <w:vMerge w:val="continue"/>
                  <w:noWrap w:val="0"/>
                  <w:vAlign w:val="center"/>
                </w:tcPr>
                <w:p>
                  <w:pPr>
                    <w:pStyle w:val="69"/>
                    <w:rPr>
                      <w:rFonts w:hint="eastAsia"/>
                      <w:color w:val="auto"/>
                    </w:rPr>
                  </w:pPr>
                </w:p>
              </w:tc>
              <w:tc>
                <w:tcPr>
                  <w:tcW w:w="480" w:type="pct"/>
                  <w:noWrap w:val="0"/>
                  <w:vAlign w:val="center"/>
                </w:tcPr>
                <w:p>
                  <w:pPr>
                    <w:pStyle w:val="69"/>
                    <w:rPr>
                      <w:rFonts w:hint="eastAsia"/>
                      <w:color w:val="auto"/>
                    </w:rPr>
                  </w:pPr>
                  <w:r>
                    <w:rPr>
                      <w:rFonts w:hint="eastAsia"/>
                      <w:color w:val="auto"/>
                    </w:rPr>
                    <w:t>医疗废物</w:t>
                  </w:r>
                </w:p>
              </w:tc>
              <w:tc>
                <w:tcPr>
                  <w:tcW w:w="2269" w:type="pct"/>
                  <w:noWrap w:val="0"/>
                  <w:vAlign w:val="center"/>
                </w:tcPr>
                <w:p>
                  <w:pPr>
                    <w:pStyle w:val="69"/>
                    <w:rPr>
                      <w:rFonts w:hint="eastAsia"/>
                      <w:color w:val="auto"/>
                    </w:rPr>
                  </w:pPr>
                  <w:r>
                    <w:rPr>
                      <w:rFonts w:hint="eastAsia"/>
                      <w:color w:val="auto"/>
                    </w:rPr>
                    <w:t>设置医废暂存间，医疗废物（除病理性医疗废物外）经收集后暂存于医废暂存间，定期交由资质单位处理；宠物尸体经消毒后采用密封袋封存并于当天交由资质单位处置</w:t>
                  </w:r>
                </w:p>
              </w:tc>
              <w:tc>
                <w:tcPr>
                  <w:tcW w:w="453" w:type="pct"/>
                  <w:noWrap w:val="0"/>
                  <w:vAlign w:val="center"/>
                </w:tcPr>
                <w:p>
                  <w:pPr>
                    <w:pStyle w:val="69"/>
                    <w:rPr>
                      <w:rFonts w:hint="eastAsia" w:eastAsia="宋体"/>
                      <w:color w:val="auto"/>
                      <w:lang w:val="en-US" w:eastAsia="zh-CN"/>
                    </w:rPr>
                  </w:pPr>
                  <w:r>
                    <w:rPr>
                      <w:rFonts w:hint="eastAsia"/>
                      <w:color w:val="auto"/>
                      <w:lang w:val="en-US" w:eastAsia="zh-CN"/>
                    </w:rPr>
                    <w:t>/</w:t>
                  </w:r>
                </w:p>
              </w:tc>
              <w:tc>
                <w:tcPr>
                  <w:tcW w:w="736" w:type="pct"/>
                  <w:noWrap w:val="0"/>
                  <w:vAlign w:val="center"/>
                </w:tcPr>
                <w:p>
                  <w:pPr>
                    <w:pStyle w:val="69"/>
                    <w:rPr>
                      <w:rFonts w:hint="eastAsia" w:eastAsia="宋体"/>
                      <w:color w:val="auto"/>
                      <w:lang w:val="en-US" w:eastAsia="zh-CN"/>
                    </w:rPr>
                  </w:pPr>
                  <w:r>
                    <w:rPr>
                      <w:rFonts w:hint="eastAsia"/>
                      <w:color w:val="auto"/>
                      <w:lang w:val="en-US" w:eastAsia="zh-CN"/>
                    </w:rPr>
                    <w:t>/</w:t>
                  </w:r>
                </w:p>
              </w:tc>
              <w:tc>
                <w:tcPr>
                  <w:tcW w:w="269" w:type="pct"/>
                  <w:noWrap w:val="0"/>
                  <w:vAlign w:val="center"/>
                </w:tcPr>
                <w:p>
                  <w:pPr>
                    <w:pStyle w:val="69"/>
                    <w:rPr>
                      <w:rFonts w:hint="eastAsia" w:eastAsia="宋体"/>
                      <w:color w:val="auto"/>
                      <w:lang w:eastAsia="zh-CN"/>
                    </w:rPr>
                  </w:pPr>
                  <w:r>
                    <w:rPr>
                      <w:rFonts w:hint="eastAsia"/>
                      <w:color w:val="auto"/>
                      <w:lang w:eastAsia="zh-CN"/>
                    </w:rPr>
                    <w:t>整改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34" w:hRule="atLeast"/>
                <w:jc w:val="center"/>
              </w:trPr>
              <w:tc>
                <w:tcPr>
                  <w:tcW w:w="302" w:type="pct"/>
                  <w:vMerge w:val="continue"/>
                  <w:noWrap w:val="0"/>
                  <w:vAlign w:val="center"/>
                </w:tcPr>
                <w:p>
                  <w:pPr>
                    <w:pStyle w:val="69"/>
                    <w:rPr>
                      <w:rFonts w:hint="eastAsia"/>
                      <w:color w:val="auto"/>
                    </w:rPr>
                  </w:pPr>
                </w:p>
              </w:tc>
              <w:tc>
                <w:tcPr>
                  <w:tcW w:w="488" w:type="pct"/>
                  <w:vMerge w:val="continue"/>
                  <w:noWrap w:val="0"/>
                  <w:vAlign w:val="center"/>
                </w:tcPr>
                <w:p>
                  <w:pPr>
                    <w:pStyle w:val="69"/>
                    <w:rPr>
                      <w:rFonts w:hint="eastAsia"/>
                      <w:color w:val="auto"/>
                    </w:rPr>
                  </w:pPr>
                </w:p>
              </w:tc>
              <w:tc>
                <w:tcPr>
                  <w:tcW w:w="480" w:type="pct"/>
                  <w:noWrap w:val="0"/>
                  <w:vAlign w:val="center"/>
                </w:tcPr>
                <w:p>
                  <w:pPr>
                    <w:pStyle w:val="69"/>
                    <w:rPr>
                      <w:rFonts w:hint="eastAsia"/>
                      <w:color w:val="auto"/>
                    </w:rPr>
                  </w:pPr>
                  <w:r>
                    <w:rPr>
                      <w:rFonts w:hint="eastAsia"/>
                      <w:color w:val="auto"/>
                    </w:rPr>
                    <w:t>宠物毛发</w:t>
                  </w:r>
                </w:p>
              </w:tc>
              <w:tc>
                <w:tcPr>
                  <w:tcW w:w="2269" w:type="pct"/>
                  <w:noWrap w:val="0"/>
                  <w:vAlign w:val="center"/>
                </w:tcPr>
                <w:p>
                  <w:pPr>
                    <w:pStyle w:val="69"/>
                    <w:rPr>
                      <w:rFonts w:hint="eastAsia"/>
                      <w:color w:val="auto"/>
                    </w:rPr>
                  </w:pPr>
                  <w:r>
                    <w:rPr>
                      <w:rFonts w:hint="eastAsia"/>
                      <w:color w:val="auto"/>
                    </w:rPr>
                    <w:t>经消毒灭活后同生活垃圾一同收集后交由环卫部门处置</w:t>
                  </w:r>
                </w:p>
              </w:tc>
              <w:tc>
                <w:tcPr>
                  <w:tcW w:w="453" w:type="pct"/>
                  <w:vMerge w:val="restart"/>
                  <w:noWrap w:val="0"/>
                  <w:vAlign w:val="center"/>
                </w:tcPr>
                <w:p>
                  <w:pPr>
                    <w:pStyle w:val="69"/>
                    <w:rPr>
                      <w:rFonts w:hint="eastAsia"/>
                      <w:color w:val="auto"/>
                    </w:rPr>
                  </w:pPr>
                </w:p>
              </w:tc>
              <w:tc>
                <w:tcPr>
                  <w:tcW w:w="736" w:type="pct"/>
                  <w:vMerge w:val="restart"/>
                  <w:noWrap w:val="0"/>
                  <w:vAlign w:val="center"/>
                </w:tcPr>
                <w:p>
                  <w:pPr>
                    <w:pStyle w:val="69"/>
                    <w:rPr>
                      <w:rFonts w:hint="eastAsia"/>
                      <w:color w:val="auto"/>
                    </w:rPr>
                  </w:pPr>
                </w:p>
              </w:tc>
              <w:tc>
                <w:tcPr>
                  <w:tcW w:w="269" w:type="pct"/>
                  <w:vMerge w:val="restart"/>
                  <w:noWrap w:val="0"/>
                  <w:vAlign w:val="center"/>
                </w:tcPr>
                <w:p>
                  <w:pPr>
                    <w:pStyle w:val="69"/>
                    <w:rPr>
                      <w:rFonts w:hint="eastAsia" w:eastAsia="宋体"/>
                      <w:color w:val="auto"/>
                      <w:lang w:eastAsia="zh-CN"/>
                    </w:rPr>
                  </w:pPr>
                  <w:r>
                    <w:rPr>
                      <w:rFonts w:hint="eastAsia"/>
                      <w:color w:val="auto"/>
                      <w:lang w:eastAsia="zh-CN"/>
                    </w:rPr>
                    <w:t>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0" w:hRule="atLeast"/>
                <w:jc w:val="center"/>
              </w:trPr>
              <w:tc>
                <w:tcPr>
                  <w:tcW w:w="302" w:type="pct"/>
                  <w:vMerge w:val="continue"/>
                  <w:noWrap w:val="0"/>
                  <w:vAlign w:val="center"/>
                </w:tcPr>
                <w:p>
                  <w:pPr>
                    <w:pStyle w:val="69"/>
                    <w:rPr>
                      <w:rFonts w:hint="eastAsia"/>
                      <w:color w:val="auto"/>
                    </w:rPr>
                  </w:pPr>
                </w:p>
              </w:tc>
              <w:tc>
                <w:tcPr>
                  <w:tcW w:w="488" w:type="pct"/>
                  <w:vMerge w:val="continue"/>
                  <w:noWrap w:val="0"/>
                  <w:vAlign w:val="center"/>
                </w:tcPr>
                <w:p>
                  <w:pPr>
                    <w:pStyle w:val="69"/>
                    <w:rPr>
                      <w:rFonts w:hint="eastAsia"/>
                      <w:color w:val="auto"/>
                    </w:rPr>
                  </w:pPr>
                </w:p>
              </w:tc>
              <w:tc>
                <w:tcPr>
                  <w:tcW w:w="480" w:type="pct"/>
                  <w:noWrap w:val="0"/>
                  <w:vAlign w:val="center"/>
                </w:tcPr>
                <w:p>
                  <w:pPr>
                    <w:pStyle w:val="69"/>
                    <w:rPr>
                      <w:rFonts w:hint="eastAsia"/>
                      <w:color w:val="auto"/>
                    </w:rPr>
                  </w:pPr>
                  <w:r>
                    <w:rPr>
                      <w:rFonts w:hint="eastAsia"/>
                      <w:color w:val="auto"/>
                    </w:rPr>
                    <w:t>宠物粪便</w:t>
                  </w:r>
                </w:p>
              </w:tc>
              <w:tc>
                <w:tcPr>
                  <w:tcW w:w="2269" w:type="pct"/>
                  <w:noWrap w:val="0"/>
                  <w:vAlign w:val="center"/>
                </w:tcPr>
                <w:p>
                  <w:pPr>
                    <w:pStyle w:val="69"/>
                    <w:rPr>
                      <w:rFonts w:hint="eastAsia"/>
                      <w:color w:val="auto"/>
                    </w:rPr>
                  </w:pPr>
                  <w:r>
                    <w:rPr>
                      <w:rFonts w:hint="eastAsia"/>
                      <w:color w:val="auto"/>
                    </w:rPr>
                    <w:t>经消毒灭活后同生活垃圾一同收集后交由环卫部门处置</w:t>
                  </w:r>
                </w:p>
              </w:tc>
              <w:tc>
                <w:tcPr>
                  <w:tcW w:w="453" w:type="pct"/>
                  <w:vMerge w:val="continue"/>
                  <w:noWrap w:val="0"/>
                  <w:vAlign w:val="center"/>
                </w:tcPr>
                <w:p>
                  <w:pPr>
                    <w:pStyle w:val="69"/>
                    <w:rPr>
                      <w:rFonts w:hint="eastAsia"/>
                      <w:color w:val="auto"/>
                    </w:rPr>
                  </w:pPr>
                </w:p>
              </w:tc>
              <w:tc>
                <w:tcPr>
                  <w:tcW w:w="736" w:type="pct"/>
                  <w:vMerge w:val="continue"/>
                  <w:noWrap w:val="0"/>
                  <w:vAlign w:val="center"/>
                </w:tcPr>
                <w:p>
                  <w:pPr>
                    <w:pStyle w:val="69"/>
                    <w:rPr>
                      <w:rFonts w:hint="eastAsia"/>
                      <w:color w:val="auto"/>
                    </w:rPr>
                  </w:pPr>
                </w:p>
              </w:tc>
              <w:tc>
                <w:tcPr>
                  <w:tcW w:w="269" w:type="pct"/>
                  <w:vMerge w:val="continue"/>
                  <w:noWrap w:val="0"/>
                  <w:vAlign w:val="center"/>
                </w:tcPr>
                <w:p>
                  <w:pPr>
                    <w:pStyle w:val="69"/>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20" w:hRule="atLeast"/>
                <w:jc w:val="center"/>
              </w:trPr>
              <w:tc>
                <w:tcPr>
                  <w:tcW w:w="302" w:type="pct"/>
                  <w:vMerge w:val="continue"/>
                  <w:noWrap w:val="0"/>
                  <w:vAlign w:val="center"/>
                </w:tcPr>
                <w:p>
                  <w:pPr>
                    <w:pStyle w:val="69"/>
                    <w:rPr>
                      <w:rFonts w:hint="eastAsia"/>
                      <w:color w:val="auto"/>
                    </w:rPr>
                  </w:pPr>
                </w:p>
              </w:tc>
              <w:tc>
                <w:tcPr>
                  <w:tcW w:w="488" w:type="pct"/>
                  <w:vMerge w:val="continue"/>
                  <w:noWrap w:val="0"/>
                  <w:vAlign w:val="center"/>
                </w:tcPr>
                <w:p>
                  <w:pPr>
                    <w:pStyle w:val="69"/>
                    <w:rPr>
                      <w:rFonts w:hint="eastAsia"/>
                      <w:color w:val="auto"/>
                    </w:rPr>
                  </w:pPr>
                </w:p>
              </w:tc>
              <w:tc>
                <w:tcPr>
                  <w:tcW w:w="480" w:type="pct"/>
                  <w:noWrap w:val="0"/>
                  <w:vAlign w:val="center"/>
                </w:tcPr>
                <w:p>
                  <w:pPr>
                    <w:pStyle w:val="69"/>
                    <w:rPr>
                      <w:rFonts w:hint="eastAsia"/>
                      <w:color w:val="auto"/>
                    </w:rPr>
                  </w:pPr>
                  <w:r>
                    <w:rPr>
                      <w:rFonts w:hint="eastAsia"/>
                      <w:color w:val="auto"/>
                    </w:rPr>
                    <w:t>废紫外线灯管</w:t>
                  </w:r>
                </w:p>
              </w:tc>
              <w:tc>
                <w:tcPr>
                  <w:tcW w:w="2269" w:type="pct"/>
                  <w:noWrap w:val="0"/>
                  <w:vAlign w:val="center"/>
                </w:tcPr>
                <w:p>
                  <w:pPr>
                    <w:pStyle w:val="69"/>
                    <w:rPr>
                      <w:rFonts w:hint="eastAsia"/>
                      <w:color w:val="auto"/>
                    </w:rPr>
                  </w:pPr>
                  <w:r>
                    <w:rPr>
                      <w:rFonts w:hint="eastAsia"/>
                      <w:color w:val="auto"/>
                    </w:rPr>
                    <w:t>收集后暂存于医废暂存间，定期交由资质单位处置</w:t>
                  </w:r>
                </w:p>
              </w:tc>
              <w:tc>
                <w:tcPr>
                  <w:tcW w:w="453" w:type="pct"/>
                  <w:vMerge w:val="continue"/>
                  <w:noWrap w:val="0"/>
                  <w:vAlign w:val="center"/>
                </w:tcPr>
                <w:p>
                  <w:pPr>
                    <w:pStyle w:val="69"/>
                    <w:rPr>
                      <w:rFonts w:hint="eastAsia"/>
                      <w:color w:val="auto"/>
                    </w:rPr>
                  </w:pPr>
                </w:p>
              </w:tc>
              <w:tc>
                <w:tcPr>
                  <w:tcW w:w="736" w:type="pct"/>
                  <w:noWrap w:val="0"/>
                  <w:vAlign w:val="center"/>
                </w:tcPr>
                <w:p>
                  <w:pPr>
                    <w:pStyle w:val="69"/>
                    <w:rPr>
                      <w:rFonts w:hint="eastAsia"/>
                      <w:color w:val="auto"/>
                    </w:rPr>
                  </w:pPr>
                </w:p>
              </w:tc>
              <w:tc>
                <w:tcPr>
                  <w:tcW w:w="269" w:type="pct"/>
                  <w:noWrap w:val="0"/>
                  <w:vAlign w:val="center"/>
                </w:tcPr>
                <w:p>
                  <w:pPr>
                    <w:pStyle w:val="69"/>
                    <w:rPr>
                      <w:rFonts w:hint="eastAsia" w:eastAsia="宋体"/>
                      <w:color w:val="auto"/>
                      <w:lang w:eastAsia="zh-CN"/>
                    </w:rPr>
                  </w:pPr>
                  <w:r>
                    <w:rPr>
                      <w:rFonts w:hint="eastAsia"/>
                      <w:color w:val="auto"/>
                      <w:lang w:eastAsia="zh-CN"/>
                    </w:rPr>
                    <w:t>整改</w:t>
                  </w:r>
                </w:p>
              </w:tc>
            </w:tr>
          </w:tbl>
          <w:p>
            <w:pPr>
              <w:pStyle w:val="5"/>
              <w:rPr>
                <w:color w:val="auto"/>
              </w:rPr>
            </w:pPr>
            <w:r>
              <w:rPr>
                <w:color w:val="auto"/>
              </w:rPr>
              <w:t>四、项目主要设备、数量</w:t>
            </w:r>
          </w:p>
          <w:p>
            <w:pPr>
              <w:pStyle w:val="101"/>
              <w:spacing w:line="360" w:lineRule="auto"/>
              <w:ind w:firstLine="480"/>
              <w:rPr>
                <w:color w:val="auto"/>
              </w:rPr>
            </w:pPr>
            <w:r>
              <w:rPr>
                <w:color w:val="auto"/>
              </w:rPr>
              <w:t>本项目运营期主要医疗设备如下表：</w:t>
            </w:r>
          </w:p>
          <w:p>
            <w:pPr>
              <w:pStyle w:val="102"/>
              <w:rPr>
                <w:color w:val="auto"/>
              </w:rPr>
            </w:pPr>
            <w:r>
              <w:rPr>
                <w:color w:val="auto"/>
              </w:rPr>
              <w:t>表 2-</w:t>
            </w:r>
            <w:r>
              <w:rPr>
                <w:rFonts w:hint="eastAsia"/>
                <w:color w:val="auto"/>
              </w:rPr>
              <w:t>2</w:t>
            </w:r>
            <w:r>
              <w:rPr>
                <w:color w:val="auto"/>
              </w:rPr>
              <w:t xml:space="preserve">  主要设备清单</w:t>
            </w:r>
          </w:p>
          <w:tbl>
            <w:tblPr>
              <w:tblStyle w:val="38"/>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83"/>
              <w:gridCol w:w="3260"/>
              <w:gridCol w:w="3085"/>
              <w:gridCol w:w="15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31" w:hRule="atLeast"/>
              </w:trPr>
              <w:tc>
                <w:tcPr>
                  <w:tcW w:w="288" w:type="pct"/>
                  <w:noWrap w:val="0"/>
                  <w:vAlign w:val="center"/>
                </w:tcPr>
                <w:p>
                  <w:pPr>
                    <w:pStyle w:val="69"/>
                    <w:rPr>
                      <w:color w:val="auto"/>
                    </w:rPr>
                  </w:pPr>
                  <w:r>
                    <w:rPr>
                      <w:color w:val="auto"/>
                    </w:rPr>
                    <w:t>序号</w:t>
                  </w:r>
                </w:p>
              </w:tc>
              <w:tc>
                <w:tcPr>
                  <w:tcW w:w="1944" w:type="pct"/>
                  <w:noWrap w:val="0"/>
                  <w:vAlign w:val="center"/>
                </w:tcPr>
                <w:p>
                  <w:pPr>
                    <w:pStyle w:val="69"/>
                    <w:rPr>
                      <w:color w:val="auto"/>
                    </w:rPr>
                  </w:pPr>
                  <w:r>
                    <w:rPr>
                      <w:color w:val="auto"/>
                    </w:rPr>
                    <w:t>设备名称</w:t>
                  </w:r>
                </w:p>
              </w:tc>
              <w:tc>
                <w:tcPr>
                  <w:tcW w:w="1840" w:type="pct"/>
                  <w:noWrap w:val="0"/>
                  <w:vAlign w:val="center"/>
                </w:tcPr>
                <w:p>
                  <w:pPr>
                    <w:pStyle w:val="69"/>
                    <w:rPr>
                      <w:color w:val="auto"/>
                    </w:rPr>
                  </w:pPr>
                  <w:r>
                    <w:rPr>
                      <w:color w:val="auto"/>
                    </w:rPr>
                    <w:t>品牌/型号</w:t>
                  </w:r>
                </w:p>
              </w:tc>
              <w:tc>
                <w:tcPr>
                  <w:tcW w:w="926" w:type="pct"/>
                  <w:noWrap w:val="0"/>
                  <w:vAlign w:val="center"/>
                </w:tcPr>
                <w:p>
                  <w:pPr>
                    <w:pStyle w:val="69"/>
                    <w:rPr>
                      <w:color w:val="auto"/>
                    </w:rPr>
                  </w:pPr>
                  <w:r>
                    <w:rPr>
                      <w:color w:val="auto"/>
                    </w:rPr>
                    <w:t>数量（台/套）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9" w:hRule="atLeast"/>
              </w:trPr>
              <w:tc>
                <w:tcPr>
                  <w:tcW w:w="288" w:type="pct"/>
                  <w:noWrap w:val="0"/>
                  <w:vAlign w:val="center"/>
                </w:tcPr>
                <w:p>
                  <w:pPr>
                    <w:pStyle w:val="69"/>
                    <w:rPr>
                      <w:color w:val="auto"/>
                    </w:rPr>
                  </w:pPr>
                  <w:r>
                    <w:rPr>
                      <w:rFonts w:hint="eastAsia"/>
                      <w:color w:val="auto"/>
                    </w:rPr>
                    <w:t>1</w:t>
                  </w:r>
                </w:p>
              </w:tc>
              <w:tc>
                <w:tcPr>
                  <w:tcW w:w="1944" w:type="pct"/>
                  <w:noWrap w:val="0"/>
                  <w:vAlign w:val="center"/>
                </w:tcPr>
                <w:p>
                  <w:pPr>
                    <w:pStyle w:val="69"/>
                    <w:rPr>
                      <w:color w:val="auto"/>
                    </w:rPr>
                  </w:pPr>
                  <w:r>
                    <w:rPr>
                      <w:rFonts w:hint="eastAsia"/>
                      <w:color w:val="auto"/>
                    </w:rPr>
                    <w:t>血细胞分析仪</w:t>
                  </w:r>
                </w:p>
              </w:tc>
              <w:tc>
                <w:tcPr>
                  <w:tcW w:w="1840" w:type="pct"/>
                  <w:noWrap w:val="0"/>
                  <w:vAlign w:val="center"/>
                </w:tcPr>
                <w:p>
                  <w:pPr>
                    <w:pStyle w:val="69"/>
                    <w:rPr>
                      <w:color w:val="auto"/>
                    </w:rPr>
                  </w:pPr>
                  <w:r>
                    <w:rPr>
                      <w:rFonts w:hint="eastAsia"/>
                      <w:color w:val="auto"/>
                    </w:rPr>
                    <w:t>MindrayBC-2800Vet</w:t>
                  </w:r>
                </w:p>
              </w:tc>
              <w:tc>
                <w:tcPr>
                  <w:tcW w:w="926" w:type="pct"/>
                  <w:noWrap w:val="0"/>
                  <w:vAlign w:val="center"/>
                </w:tcPr>
                <w:p>
                  <w:pPr>
                    <w:pStyle w:val="69"/>
                    <w:rPr>
                      <w:color w:val="auto"/>
                    </w:rPr>
                  </w:pPr>
                  <w:r>
                    <w:rPr>
                      <w:rFonts w:hint="eastAsia"/>
                      <w:color w:val="auto"/>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9" w:hRule="atLeast"/>
              </w:trPr>
              <w:tc>
                <w:tcPr>
                  <w:tcW w:w="288" w:type="pct"/>
                  <w:noWrap w:val="0"/>
                  <w:vAlign w:val="center"/>
                </w:tcPr>
                <w:p>
                  <w:pPr>
                    <w:pStyle w:val="69"/>
                    <w:rPr>
                      <w:color w:val="auto"/>
                    </w:rPr>
                  </w:pPr>
                  <w:r>
                    <w:rPr>
                      <w:rFonts w:hint="eastAsia"/>
                      <w:color w:val="auto"/>
                    </w:rPr>
                    <w:t>2</w:t>
                  </w:r>
                </w:p>
              </w:tc>
              <w:tc>
                <w:tcPr>
                  <w:tcW w:w="1944" w:type="pct"/>
                  <w:noWrap w:val="0"/>
                  <w:vAlign w:val="center"/>
                </w:tcPr>
                <w:p>
                  <w:pPr>
                    <w:pStyle w:val="69"/>
                    <w:rPr>
                      <w:color w:val="auto"/>
                    </w:rPr>
                  </w:pPr>
                  <w:r>
                    <w:rPr>
                      <w:rFonts w:hint="eastAsia"/>
                      <w:color w:val="auto"/>
                    </w:rPr>
                    <w:t>生化分析仪</w:t>
                  </w:r>
                </w:p>
              </w:tc>
              <w:tc>
                <w:tcPr>
                  <w:tcW w:w="1840" w:type="pct"/>
                  <w:noWrap w:val="0"/>
                  <w:vAlign w:val="center"/>
                </w:tcPr>
                <w:p>
                  <w:pPr>
                    <w:pStyle w:val="69"/>
                    <w:rPr>
                      <w:color w:val="auto"/>
                    </w:rPr>
                  </w:pPr>
                  <w:r>
                    <w:rPr>
                      <w:rFonts w:hint="eastAsia"/>
                      <w:color w:val="auto"/>
                    </w:rPr>
                    <w:t>FUJIFILM DRI-CHEN NX500</w:t>
                  </w:r>
                </w:p>
              </w:tc>
              <w:tc>
                <w:tcPr>
                  <w:tcW w:w="926" w:type="pct"/>
                  <w:noWrap w:val="0"/>
                  <w:vAlign w:val="center"/>
                </w:tcPr>
                <w:p>
                  <w:pPr>
                    <w:pStyle w:val="69"/>
                    <w:rPr>
                      <w:color w:val="auto"/>
                    </w:rPr>
                  </w:pPr>
                  <w:r>
                    <w:rPr>
                      <w:rFonts w:hint="eastAsia"/>
                      <w:color w:val="auto"/>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9" w:hRule="atLeast"/>
              </w:trPr>
              <w:tc>
                <w:tcPr>
                  <w:tcW w:w="288" w:type="pct"/>
                  <w:noWrap w:val="0"/>
                  <w:vAlign w:val="center"/>
                </w:tcPr>
                <w:p>
                  <w:pPr>
                    <w:pStyle w:val="69"/>
                    <w:rPr>
                      <w:color w:val="auto"/>
                    </w:rPr>
                  </w:pPr>
                  <w:r>
                    <w:rPr>
                      <w:rFonts w:hint="eastAsia"/>
                      <w:color w:val="auto"/>
                    </w:rPr>
                    <w:t>3</w:t>
                  </w:r>
                </w:p>
              </w:tc>
              <w:tc>
                <w:tcPr>
                  <w:tcW w:w="1944" w:type="pct"/>
                  <w:noWrap w:val="0"/>
                  <w:vAlign w:val="center"/>
                </w:tcPr>
                <w:p>
                  <w:pPr>
                    <w:pStyle w:val="69"/>
                    <w:rPr>
                      <w:color w:val="auto"/>
                    </w:rPr>
                  </w:pPr>
                  <w:r>
                    <w:rPr>
                      <w:rFonts w:hint="eastAsia"/>
                      <w:color w:val="auto"/>
                    </w:rPr>
                    <w:t>全自动生化分析仪</w:t>
                  </w:r>
                </w:p>
              </w:tc>
              <w:tc>
                <w:tcPr>
                  <w:tcW w:w="1840" w:type="pct"/>
                  <w:noWrap w:val="0"/>
                  <w:vAlign w:val="center"/>
                </w:tcPr>
                <w:p>
                  <w:pPr>
                    <w:pStyle w:val="69"/>
                    <w:rPr>
                      <w:color w:val="auto"/>
                    </w:rPr>
                  </w:pPr>
                  <w:r>
                    <w:rPr>
                      <w:rFonts w:hint="eastAsia"/>
                      <w:color w:val="auto"/>
                    </w:rPr>
                    <w:t>SMARTLY-120V</w:t>
                  </w:r>
                </w:p>
              </w:tc>
              <w:tc>
                <w:tcPr>
                  <w:tcW w:w="926" w:type="pct"/>
                  <w:noWrap w:val="0"/>
                  <w:vAlign w:val="center"/>
                </w:tcPr>
                <w:p>
                  <w:pPr>
                    <w:pStyle w:val="69"/>
                    <w:rPr>
                      <w:color w:val="auto"/>
                    </w:rPr>
                  </w:pPr>
                  <w:r>
                    <w:rPr>
                      <w:rFonts w:hint="eastAsia"/>
                      <w:color w:val="auto"/>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9" w:hRule="atLeast"/>
              </w:trPr>
              <w:tc>
                <w:tcPr>
                  <w:tcW w:w="288" w:type="pct"/>
                  <w:noWrap w:val="0"/>
                  <w:vAlign w:val="center"/>
                </w:tcPr>
                <w:p>
                  <w:pPr>
                    <w:pStyle w:val="69"/>
                    <w:rPr>
                      <w:color w:val="auto"/>
                    </w:rPr>
                  </w:pPr>
                  <w:r>
                    <w:rPr>
                      <w:rFonts w:hint="eastAsia"/>
                      <w:color w:val="auto"/>
                    </w:rPr>
                    <w:t>4</w:t>
                  </w:r>
                </w:p>
              </w:tc>
              <w:tc>
                <w:tcPr>
                  <w:tcW w:w="1944" w:type="pct"/>
                  <w:noWrap w:val="0"/>
                  <w:vAlign w:val="center"/>
                </w:tcPr>
                <w:p>
                  <w:pPr>
                    <w:pStyle w:val="69"/>
                    <w:rPr>
                      <w:color w:val="auto"/>
                    </w:rPr>
                  </w:pPr>
                  <w:r>
                    <w:rPr>
                      <w:rFonts w:hint="eastAsia"/>
                      <w:color w:val="auto"/>
                    </w:rPr>
                    <w:t>动物限时凝血分析仪</w:t>
                  </w:r>
                </w:p>
              </w:tc>
              <w:tc>
                <w:tcPr>
                  <w:tcW w:w="1840" w:type="pct"/>
                  <w:noWrap w:val="0"/>
                  <w:vAlign w:val="center"/>
                </w:tcPr>
                <w:p>
                  <w:pPr>
                    <w:pStyle w:val="69"/>
                    <w:rPr>
                      <w:color w:val="auto"/>
                    </w:rPr>
                  </w:pPr>
                  <w:r>
                    <w:rPr>
                      <w:rFonts w:hint="eastAsia"/>
                      <w:color w:val="auto"/>
                    </w:rPr>
                    <w:t>万孚XN-102</w:t>
                  </w:r>
                </w:p>
              </w:tc>
              <w:tc>
                <w:tcPr>
                  <w:tcW w:w="926" w:type="pct"/>
                  <w:noWrap w:val="0"/>
                  <w:vAlign w:val="center"/>
                </w:tcPr>
                <w:p>
                  <w:pPr>
                    <w:pStyle w:val="69"/>
                    <w:rPr>
                      <w:color w:val="auto"/>
                    </w:rPr>
                  </w:pPr>
                  <w:r>
                    <w:rPr>
                      <w:rFonts w:hint="eastAsia"/>
                      <w:color w:val="auto"/>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9" w:hRule="atLeast"/>
              </w:trPr>
              <w:tc>
                <w:tcPr>
                  <w:tcW w:w="288" w:type="pct"/>
                  <w:noWrap w:val="0"/>
                  <w:vAlign w:val="center"/>
                </w:tcPr>
                <w:p>
                  <w:pPr>
                    <w:pStyle w:val="69"/>
                    <w:rPr>
                      <w:color w:val="auto"/>
                    </w:rPr>
                  </w:pPr>
                  <w:r>
                    <w:rPr>
                      <w:rFonts w:hint="eastAsia"/>
                      <w:color w:val="auto"/>
                    </w:rPr>
                    <w:t>5</w:t>
                  </w:r>
                </w:p>
              </w:tc>
              <w:tc>
                <w:tcPr>
                  <w:tcW w:w="1944" w:type="pct"/>
                  <w:noWrap w:val="0"/>
                  <w:vAlign w:val="center"/>
                </w:tcPr>
                <w:p>
                  <w:pPr>
                    <w:pStyle w:val="69"/>
                    <w:rPr>
                      <w:color w:val="auto"/>
                    </w:rPr>
                  </w:pPr>
                  <w:r>
                    <w:rPr>
                      <w:rFonts w:hint="eastAsia"/>
                      <w:color w:val="auto"/>
                    </w:rPr>
                    <w:t>离心机</w:t>
                  </w:r>
                </w:p>
              </w:tc>
              <w:tc>
                <w:tcPr>
                  <w:tcW w:w="1840" w:type="pct"/>
                  <w:noWrap w:val="0"/>
                  <w:vAlign w:val="center"/>
                </w:tcPr>
                <w:p>
                  <w:pPr>
                    <w:pStyle w:val="69"/>
                    <w:rPr>
                      <w:color w:val="auto"/>
                    </w:rPr>
                  </w:pPr>
                  <w:r>
                    <w:rPr>
                      <w:rFonts w:hint="eastAsia"/>
                      <w:color w:val="auto"/>
                    </w:rPr>
                    <w:t>MINI-7K+</w:t>
                  </w:r>
                </w:p>
              </w:tc>
              <w:tc>
                <w:tcPr>
                  <w:tcW w:w="926" w:type="pct"/>
                  <w:noWrap w:val="0"/>
                  <w:vAlign w:val="center"/>
                </w:tcPr>
                <w:p>
                  <w:pPr>
                    <w:pStyle w:val="69"/>
                    <w:rPr>
                      <w:color w:val="auto"/>
                    </w:rPr>
                  </w:pPr>
                  <w:r>
                    <w:rPr>
                      <w:rFonts w:hint="eastAsia"/>
                      <w:color w:val="auto"/>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9" w:hRule="atLeast"/>
              </w:trPr>
              <w:tc>
                <w:tcPr>
                  <w:tcW w:w="288" w:type="pct"/>
                  <w:noWrap w:val="0"/>
                  <w:vAlign w:val="center"/>
                </w:tcPr>
                <w:p>
                  <w:pPr>
                    <w:pStyle w:val="69"/>
                    <w:rPr>
                      <w:color w:val="auto"/>
                    </w:rPr>
                  </w:pPr>
                  <w:r>
                    <w:rPr>
                      <w:rFonts w:hint="eastAsia"/>
                      <w:color w:val="auto"/>
                    </w:rPr>
                    <w:t>6</w:t>
                  </w:r>
                </w:p>
              </w:tc>
              <w:tc>
                <w:tcPr>
                  <w:tcW w:w="1944" w:type="pct"/>
                  <w:noWrap w:val="0"/>
                  <w:vAlign w:val="center"/>
                </w:tcPr>
                <w:p>
                  <w:pPr>
                    <w:pStyle w:val="69"/>
                    <w:rPr>
                      <w:color w:val="auto"/>
                    </w:rPr>
                  </w:pPr>
                  <w:r>
                    <w:rPr>
                      <w:rFonts w:hint="eastAsia"/>
                      <w:color w:val="auto"/>
                    </w:rPr>
                    <w:t>宠物荧光免疫检测仪</w:t>
                  </w:r>
                </w:p>
              </w:tc>
              <w:tc>
                <w:tcPr>
                  <w:tcW w:w="1840" w:type="pct"/>
                  <w:noWrap w:val="0"/>
                  <w:vAlign w:val="center"/>
                </w:tcPr>
                <w:p>
                  <w:pPr>
                    <w:pStyle w:val="69"/>
                    <w:rPr>
                      <w:color w:val="auto"/>
                    </w:rPr>
                  </w:pPr>
                  <w:r>
                    <w:rPr>
                      <w:rFonts w:hint="eastAsia"/>
                      <w:color w:val="auto"/>
                    </w:rPr>
                    <w:t>万孚YC-101</w:t>
                  </w:r>
                </w:p>
              </w:tc>
              <w:tc>
                <w:tcPr>
                  <w:tcW w:w="926" w:type="pct"/>
                  <w:noWrap w:val="0"/>
                  <w:vAlign w:val="center"/>
                </w:tcPr>
                <w:p>
                  <w:pPr>
                    <w:pStyle w:val="69"/>
                    <w:rPr>
                      <w:color w:val="auto"/>
                    </w:rPr>
                  </w:pPr>
                  <w:r>
                    <w:rPr>
                      <w:rFonts w:hint="eastAsia"/>
                      <w:color w:val="auto"/>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9" w:hRule="atLeast"/>
              </w:trPr>
              <w:tc>
                <w:tcPr>
                  <w:tcW w:w="288" w:type="pct"/>
                  <w:noWrap w:val="0"/>
                  <w:vAlign w:val="center"/>
                </w:tcPr>
                <w:p>
                  <w:pPr>
                    <w:pStyle w:val="69"/>
                    <w:rPr>
                      <w:color w:val="auto"/>
                    </w:rPr>
                  </w:pPr>
                  <w:r>
                    <w:rPr>
                      <w:rFonts w:hint="eastAsia"/>
                      <w:color w:val="auto"/>
                    </w:rPr>
                    <w:t>7</w:t>
                  </w:r>
                </w:p>
              </w:tc>
              <w:tc>
                <w:tcPr>
                  <w:tcW w:w="1944" w:type="pct"/>
                  <w:noWrap w:val="0"/>
                  <w:vAlign w:val="center"/>
                </w:tcPr>
                <w:p>
                  <w:pPr>
                    <w:pStyle w:val="69"/>
                    <w:rPr>
                      <w:color w:val="auto"/>
                    </w:rPr>
                  </w:pPr>
                  <w:r>
                    <w:rPr>
                      <w:rFonts w:hint="eastAsia"/>
                      <w:color w:val="auto"/>
                    </w:rPr>
                    <w:t>显微镜</w:t>
                  </w:r>
                </w:p>
              </w:tc>
              <w:tc>
                <w:tcPr>
                  <w:tcW w:w="1840" w:type="pct"/>
                  <w:noWrap w:val="0"/>
                  <w:vAlign w:val="center"/>
                </w:tcPr>
                <w:p>
                  <w:pPr>
                    <w:pStyle w:val="69"/>
                    <w:rPr>
                      <w:color w:val="auto"/>
                    </w:rPr>
                  </w:pPr>
                  <w:r>
                    <w:rPr>
                      <w:rFonts w:hint="eastAsia"/>
                      <w:color w:val="auto"/>
                    </w:rPr>
                    <w:t>LEICA DM500</w:t>
                  </w:r>
                </w:p>
              </w:tc>
              <w:tc>
                <w:tcPr>
                  <w:tcW w:w="926" w:type="pct"/>
                  <w:noWrap w:val="0"/>
                  <w:vAlign w:val="center"/>
                </w:tcPr>
                <w:p>
                  <w:pPr>
                    <w:pStyle w:val="69"/>
                    <w:rPr>
                      <w:color w:val="auto"/>
                    </w:rPr>
                  </w:pPr>
                  <w:r>
                    <w:rPr>
                      <w:rFonts w:hint="eastAsia"/>
                      <w:color w:val="auto"/>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9" w:hRule="atLeast"/>
              </w:trPr>
              <w:tc>
                <w:tcPr>
                  <w:tcW w:w="288" w:type="pct"/>
                  <w:noWrap w:val="0"/>
                  <w:vAlign w:val="center"/>
                </w:tcPr>
                <w:p>
                  <w:pPr>
                    <w:pStyle w:val="69"/>
                    <w:rPr>
                      <w:rFonts w:hint="eastAsia"/>
                      <w:color w:val="auto"/>
                    </w:rPr>
                  </w:pPr>
                  <w:r>
                    <w:rPr>
                      <w:rFonts w:hint="eastAsia"/>
                      <w:color w:val="auto"/>
                    </w:rPr>
                    <w:t>8</w:t>
                  </w:r>
                </w:p>
              </w:tc>
              <w:tc>
                <w:tcPr>
                  <w:tcW w:w="1944" w:type="pct"/>
                  <w:noWrap w:val="0"/>
                  <w:vAlign w:val="center"/>
                </w:tcPr>
                <w:p>
                  <w:pPr>
                    <w:pStyle w:val="69"/>
                    <w:rPr>
                      <w:rFonts w:hint="eastAsia"/>
                      <w:color w:val="auto"/>
                    </w:rPr>
                  </w:pPr>
                  <w:r>
                    <w:rPr>
                      <w:rFonts w:hint="eastAsia"/>
                      <w:color w:val="auto"/>
                    </w:rPr>
                    <w:t>心电监护仪</w:t>
                  </w:r>
                </w:p>
              </w:tc>
              <w:tc>
                <w:tcPr>
                  <w:tcW w:w="1840" w:type="pct"/>
                  <w:noWrap w:val="0"/>
                  <w:vAlign w:val="center"/>
                </w:tcPr>
                <w:p>
                  <w:pPr>
                    <w:pStyle w:val="69"/>
                    <w:rPr>
                      <w:rFonts w:hint="eastAsia"/>
                      <w:color w:val="auto"/>
                    </w:rPr>
                  </w:pPr>
                  <w:r>
                    <w:rPr>
                      <w:rFonts w:hint="eastAsia"/>
                      <w:color w:val="auto"/>
                    </w:rPr>
                    <w:t>Mindray uMEC10 Vet</w:t>
                  </w:r>
                </w:p>
              </w:tc>
              <w:tc>
                <w:tcPr>
                  <w:tcW w:w="926" w:type="pct"/>
                  <w:noWrap w:val="0"/>
                  <w:vAlign w:val="center"/>
                </w:tcPr>
                <w:p>
                  <w:pPr>
                    <w:pStyle w:val="69"/>
                    <w:rPr>
                      <w:rFonts w:hint="eastAsia"/>
                      <w:color w:val="auto"/>
                    </w:rPr>
                  </w:pPr>
                  <w:r>
                    <w:rPr>
                      <w:rFonts w:hint="eastAsia"/>
                      <w:color w:val="auto"/>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9" w:hRule="atLeast"/>
              </w:trPr>
              <w:tc>
                <w:tcPr>
                  <w:tcW w:w="288" w:type="pct"/>
                  <w:noWrap w:val="0"/>
                  <w:vAlign w:val="center"/>
                </w:tcPr>
                <w:p>
                  <w:pPr>
                    <w:pStyle w:val="69"/>
                    <w:rPr>
                      <w:rFonts w:hint="eastAsia"/>
                      <w:color w:val="auto"/>
                    </w:rPr>
                  </w:pPr>
                  <w:r>
                    <w:rPr>
                      <w:rFonts w:hint="eastAsia"/>
                      <w:color w:val="auto"/>
                    </w:rPr>
                    <w:t>9</w:t>
                  </w:r>
                </w:p>
              </w:tc>
              <w:tc>
                <w:tcPr>
                  <w:tcW w:w="1944" w:type="pct"/>
                  <w:noWrap w:val="0"/>
                  <w:vAlign w:val="center"/>
                </w:tcPr>
                <w:p>
                  <w:pPr>
                    <w:pStyle w:val="69"/>
                    <w:rPr>
                      <w:rFonts w:hint="eastAsia"/>
                      <w:color w:val="auto"/>
                    </w:rPr>
                  </w:pPr>
                  <w:r>
                    <w:rPr>
                      <w:rFonts w:hint="eastAsia"/>
                      <w:color w:val="auto"/>
                    </w:rPr>
                    <w:t>动物掌式多参数监护仪</w:t>
                  </w:r>
                </w:p>
              </w:tc>
              <w:tc>
                <w:tcPr>
                  <w:tcW w:w="1840" w:type="pct"/>
                  <w:noWrap w:val="0"/>
                  <w:vAlign w:val="center"/>
                </w:tcPr>
                <w:p>
                  <w:pPr>
                    <w:pStyle w:val="69"/>
                    <w:rPr>
                      <w:rFonts w:hint="eastAsia"/>
                      <w:color w:val="auto"/>
                    </w:rPr>
                  </w:pPr>
                  <w:r>
                    <w:rPr>
                      <w:rFonts w:hint="eastAsia"/>
                      <w:color w:val="auto"/>
                    </w:rPr>
                    <w:t>VET400</w:t>
                  </w:r>
                </w:p>
              </w:tc>
              <w:tc>
                <w:tcPr>
                  <w:tcW w:w="926" w:type="pct"/>
                  <w:noWrap w:val="0"/>
                  <w:vAlign w:val="center"/>
                </w:tcPr>
                <w:p>
                  <w:pPr>
                    <w:pStyle w:val="69"/>
                    <w:rPr>
                      <w:rFonts w:hint="eastAsia"/>
                      <w:color w:val="auto"/>
                    </w:rPr>
                  </w:pPr>
                  <w:r>
                    <w:rPr>
                      <w:rFonts w:hint="eastAsia"/>
                      <w:color w:val="auto"/>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9" w:hRule="atLeast"/>
              </w:trPr>
              <w:tc>
                <w:tcPr>
                  <w:tcW w:w="288" w:type="pct"/>
                  <w:noWrap w:val="0"/>
                  <w:vAlign w:val="center"/>
                </w:tcPr>
                <w:p>
                  <w:pPr>
                    <w:pStyle w:val="69"/>
                    <w:rPr>
                      <w:rFonts w:hint="eastAsia"/>
                      <w:color w:val="auto"/>
                    </w:rPr>
                  </w:pPr>
                  <w:r>
                    <w:rPr>
                      <w:rFonts w:hint="eastAsia"/>
                      <w:color w:val="auto"/>
                    </w:rPr>
                    <w:t>10</w:t>
                  </w:r>
                </w:p>
              </w:tc>
              <w:tc>
                <w:tcPr>
                  <w:tcW w:w="1944" w:type="pct"/>
                  <w:noWrap w:val="0"/>
                  <w:vAlign w:val="center"/>
                </w:tcPr>
                <w:p>
                  <w:pPr>
                    <w:pStyle w:val="69"/>
                    <w:rPr>
                      <w:rFonts w:hint="eastAsia"/>
                      <w:color w:val="auto"/>
                    </w:rPr>
                  </w:pPr>
                  <w:r>
                    <w:rPr>
                      <w:rFonts w:hint="eastAsia"/>
                      <w:color w:val="auto"/>
                    </w:rPr>
                    <w:t>液压升降手术台</w:t>
                  </w:r>
                </w:p>
              </w:tc>
              <w:tc>
                <w:tcPr>
                  <w:tcW w:w="1840" w:type="pct"/>
                  <w:noWrap w:val="0"/>
                  <w:vAlign w:val="center"/>
                </w:tcPr>
                <w:p>
                  <w:pPr>
                    <w:pStyle w:val="69"/>
                    <w:rPr>
                      <w:rFonts w:hint="eastAsia"/>
                      <w:color w:val="auto"/>
                    </w:rPr>
                  </w:pPr>
                  <w:r>
                    <w:rPr>
                      <w:rFonts w:hint="eastAsia"/>
                      <w:color w:val="auto"/>
                    </w:rPr>
                    <w:t>/</w:t>
                  </w:r>
                </w:p>
              </w:tc>
              <w:tc>
                <w:tcPr>
                  <w:tcW w:w="926" w:type="pct"/>
                  <w:noWrap w:val="0"/>
                  <w:vAlign w:val="center"/>
                </w:tcPr>
                <w:p>
                  <w:pPr>
                    <w:pStyle w:val="69"/>
                    <w:rPr>
                      <w:rFonts w:hint="eastAsia"/>
                      <w:color w:val="auto"/>
                    </w:rPr>
                  </w:pPr>
                  <w:r>
                    <w:rPr>
                      <w:rFonts w:hint="eastAsia"/>
                      <w:color w:val="auto"/>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9" w:hRule="atLeast"/>
              </w:trPr>
              <w:tc>
                <w:tcPr>
                  <w:tcW w:w="288" w:type="pct"/>
                  <w:noWrap w:val="0"/>
                  <w:vAlign w:val="center"/>
                </w:tcPr>
                <w:p>
                  <w:pPr>
                    <w:pStyle w:val="69"/>
                    <w:rPr>
                      <w:rFonts w:hint="eastAsia"/>
                      <w:color w:val="auto"/>
                    </w:rPr>
                  </w:pPr>
                  <w:r>
                    <w:rPr>
                      <w:rFonts w:hint="eastAsia"/>
                      <w:color w:val="auto"/>
                    </w:rPr>
                    <w:t>11</w:t>
                  </w:r>
                </w:p>
              </w:tc>
              <w:tc>
                <w:tcPr>
                  <w:tcW w:w="1944" w:type="pct"/>
                  <w:noWrap w:val="0"/>
                  <w:vAlign w:val="center"/>
                </w:tcPr>
                <w:p>
                  <w:pPr>
                    <w:pStyle w:val="69"/>
                    <w:rPr>
                      <w:rFonts w:hint="eastAsia"/>
                      <w:color w:val="auto"/>
                    </w:rPr>
                  </w:pPr>
                  <w:r>
                    <w:rPr>
                      <w:rFonts w:hint="eastAsia"/>
                      <w:color w:val="auto"/>
                    </w:rPr>
                    <w:t>输液泵</w:t>
                  </w:r>
                </w:p>
              </w:tc>
              <w:tc>
                <w:tcPr>
                  <w:tcW w:w="1840" w:type="pct"/>
                  <w:noWrap w:val="0"/>
                  <w:vAlign w:val="center"/>
                </w:tcPr>
                <w:p>
                  <w:pPr>
                    <w:pStyle w:val="69"/>
                    <w:rPr>
                      <w:rFonts w:hint="eastAsia"/>
                      <w:color w:val="auto"/>
                    </w:rPr>
                  </w:pPr>
                  <w:r>
                    <w:rPr>
                      <w:rFonts w:hint="eastAsia"/>
                      <w:color w:val="auto"/>
                    </w:rPr>
                    <w:t>好克HK-050</w:t>
                  </w:r>
                </w:p>
              </w:tc>
              <w:tc>
                <w:tcPr>
                  <w:tcW w:w="926" w:type="pct"/>
                  <w:noWrap w:val="0"/>
                  <w:vAlign w:val="center"/>
                </w:tcPr>
                <w:p>
                  <w:pPr>
                    <w:pStyle w:val="69"/>
                    <w:rPr>
                      <w:rFonts w:hint="eastAsia"/>
                      <w:color w:val="auto"/>
                    </w:rPr>
                  </w:pPr>
                  <w:r>
                    <w:rPr>
                      <w:rFonts w:hint="eastAsia"/>
                      <w:color w:val="auto"/>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9" w:hRule="atLeast"/>
              </w:trPr>
              <w:tc>
                <w:tcPr>
                  <w:tcW w:w="288" w:type="pct"/>
                  <w:noWrap w:val="0"/>
                  <w:vAlign w:val="center"/>
                </w:tcPr>
                <w:p>
                  <w:pPr>
                    <w:pStyle w:val="69"/>
                    <w:rPr>
                      <w:rFonts w:hint="eastAsia"/>
                      <w:color w:val="auto"/>
                    </w:rPr>
                  </w:pPr>
                  <w:r>
                    <w:rPr>
                      <w:rFonts w:hint="eastAsia"/>
                      <w:color w:val="auto"/>
                    </w:rPr>
                    <w:t>12</w:t>
                  </w:r>
                </w:p>
              </w:tc>
              <w:tc>
                <w:tcPr>
                  <w:tcW w:w="1944" w:type="pct"/>
                  <w:noWrap w:val="0"/>
                  <w:vAlign w:val="center"/>
                </w:tcPr>
                <w:p>
                  <w:pPr>
                    <w:pStyle w:val="69"/>
                    <w:rPr>
                      <w:rFonts w:hint="eastAsia"/>
                      <w:color w:val="auto"/>
                    </w:rPr>
                  </w:pPr>
                  <w:r>
                    <w:rPr>
                      <w:rFonts w:hint="eastAsia"/>
                      <w:color w:val="auto"/>
                    </w:rPr>
                    <w:t>注射泵</w:t>
                  </w:r>
                </w:p>
              </w:tc>
              <w:tc>
                <w:tcPr>
                  <w:tcW w:w="1840" w:type="pct"/>
                  <w:noWrap w:val="0"/>
                  <w:vAlign w:val="center"/>
                </w:tcPr>
                <w:p>
                  <w:pPr>
                    <w:pStyle w:val="69"/>
                    <w:rPr>
                      <w:rFonts w:hint="eastAsia"/>
                      <w:color w:val="auto"/>
                    </w:rPr>
                  </w:pPr>
                  <w:r>
                    <w:rPr>
                      <w:rFonts w:hint="eastAsia"/>
                      <w:color w:val="auto"/>
                    </w:rPr>
                    <w:t>好克HK-400I</w:t>
                  </w:r>
                </w:p>
              </w:tc>
              <w:tc>
                <w:tcPr>
                  <w:tcW w:w="926" w:type="pct"/>
                  <w:noWrap w:val="0"/>
                  <w:vAlign w:val="center"/>
                </w:tcPr>
                <w:p>
                  <w:pPr>
                    <w:pStyle w:val="69"/>
                    <w:rPr>
                      <w:rFonts w:hint="eastAsia"/>
                      <w:color w:val="auto"/>
                    </w:rPr>
                  </w:pPr>
                  <w:r>
                    <w:rPr>
                      <w:rFonts w:hint="eastAsia"/>
                      <w:color w:val="auto"/>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9" w:hRule="atLeast"/>
              </w:trPr>
              <w:tc>
                <w:tcPr>
                  <w:tcW w:w="288" w:type="pct"/>
                  <w:noWrap w:val="0"/>
                  <w:vAlign w:val="center"/>
                </w:tcPr>
                <w:p>
                  <w:pPr>
                    <w:pStyle w:val="69"/>
                    <w:rPr>
                      <w:rFonts w:hint="eastAsia"/>
                      <w:color w:val="auto"/>
                    </w:rPr>
                  </w:pPr>
                  <w:r>
                    <w:rPr>
                      <w:rFonts w:hint="eastAsia"/>
                      <w:color w:val="auto"/>
                    </w:rPr>
                    <w:t>13</w:t>
                  </w:r>
                </w:p>
              </w:tc>
              <w:tc>
                <w:tcPr>
                  <w:tcW w:w="1944" w:type="pct"/>
                  <w:noWrap w:val="0"/>
                  <w:vAlign w:val="center"/>
                </w:tcPr>
                <w:p>
                  <w:pPr>
                    <w:pStyle w:val="69"/>
                    <w:rPr>
                      <w:rFonts w:hint="eastAsia"/>
                      <w:color w:val="auto"/>
                    </w:rPr>
                  </w:pPr>
                  <w:r>
                    <w:rPr>
                      <w:rFonts w:hint="eastAsia"/>
                      <w:color w:val="auto"/>
                    </w:rPr>
                    <w:t>无影灯</w:t>
                  </w:r>
                </w:p>
              </w:tc>
              <w:tc>
                <w:tcPr>
                  <w:tcW w:w="1840" w:type="pct"/>
                  <w:noWrap w:val="0"/>
                  <w:vAlign w:val="center"/>
                </w:tcPr>
                <w:p>
                  <w:pPr>
                    <w:pStyle w:val="69"/>
                    <w:rPr>
                      <w:rFonts w:hint="eastAsia"/>
                      <w:color w:val="auto"/>
                    </w:rPr>
                  </w:pPr>
                  <w:r>
                    <w:rPr>
                      <w:rFonts w:hint="eastAsia"/>
                      <w:color w:val="auto"/>
                    </w:rPr>
                    <w:t>/</w:t>
                  </w:r>
                </w:p>
              </w:tc>
              <w:tc>
                <w:tcPr>
                  <w:tcW w:w="926" w:type="pct"/>
                  <w:noWrap w:val="0"/>
                  <w:vAlign w:val="center"/>
                </w:tcPr>
                <w:p>
                  <w:pPr>
                    <w:pStyle w:val="69"/>
                    <w:rPr>
                      <w:rFonts w:hint="eastAsia"/>
                      <w:color w:val="auto"/>
                    </w:rPr>
                  </w:pPr>
                  <w:r>
                    <w:rPr>
                      <w:rFonts w:hint="eastAsia"/>
                      <w:color w:val="auto"/>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9" w:hRule="atLeast"/>
              </w:trPr>
              <w:tc>
                <w:tcPr>
                  <w:tcW w:w="288" w:type="pct"/>
                  <w:noWrap w:val="0"/>
                  <w:vAlign w:val="center"/>
                </w:tcPr>
                <w:p>
                  <w:pPr>
                    <w:pStyle w:val="69"/>
                    <w:rPr>
                      <w:rFonts w:hint="eastAsia"/>
                      <w:color w:val="auto"/>
                    </w:rPr>
                  </w:pPr>
                  <w:r>
                    <w:rPr>
                      <w:rFonts w:hint="eastAsia"/>
                      <w:color w:val="auto"/>
                    </w:rPr>
                    <w:t>14</w:t>
                  </w:r>
                </w:p>
              </w:tc>
              <w:tc>
                <w:tcPr>
                  <w:tcW w:w="1944" w:type="pct"/>
                  <w:noWrap w:val="0"/>
                  <w:vAlign w:val="center"/>
                </w:tcPr>
                <w:p>
                  <w:pPr>
                    <w:pStyle w:val="69"/>
                    <w:rPr>
                      <w:rFonts w:hint="eastAsia"/>
                      <w:color w:val="auto"/>
                    </w:rPr>
                  </w:pPr>
                  <w:r>
                    <w:rPr>
                      <w:rFonts w:hint="eastAsia"/>
                      <w:color w:val="auto"/>
                    </w:rPr>
                    <w:t>智能型动物呼吸机</w:t>
                  </w:r>
                </w:p>
              </w:tc>
              <w:tc>
                <w:tcPr>
                  <w:tcW w:w="1840" w:type="pct"/>
                  <w:noWrap w:val="0"/>
                  <w:vAlign w:val="center"/>
                </w:tcPr>
                <w:p>
                  <w:pPr>
                    <w:pStyle w:val="69"/>
                    <w:rPr>
                      <w:rFonts w:hint="eastAsia"/>
                      <w:color w:val="auto"/>
                    </w:rPr>
                  </w:pPr>
                  <w:r>
                    <w:rPr>
                      <w:rFonts w:hint="eastAsia"/>
                      <w:color w:val="auto"/>
                    </w:rPr>
                    <w:t>瑞沃德R419</w:t>
                  </w:r>
                </w:p>
              </w:tc>
              <w:tc>
                <w:tcPr>
                  <w:tcW w:w="926" w:type="pct"/>
                  <w:noWrap w:val="0"/>
                  <w:vAlign w:val="center"/>
                </w:tcPr>
                <w:p>
                  <w:pPr>
                    <w:pStyle w:val="69"/>
                    <w:rPr>
                      <w:rFonts w:hint="eastAsia"/>
                      <w:color w:val="auto"/>
                    </w:rPr>
                  </w:pPr>
                  <w:r>
                    <w:rPr>
                      <w:rFonts w:hint="eastAsia"/>
                      <w:color w:val="auto"/>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9" w:hRule="atLeast"/>
              </w:trPr>
              <w:tc>
                <w:tcPr>
                  <w:tcW w:w="288" w:type="pct"/>
                  <w:noWrap w:val="0"/>
                  <w:vAlign w:val="center"/>
                </w:tcPr>
                <w:p>
                  <w:pPr>
                    <w:pStyle w:val="69"/>
                    <w:rPr>
                      <w:rFonts w:hint="eastAsia"/>
                      <w:color w:val="auto"/>
                    </w:rPr>
                  </w:pPr>
                  <w:r>
                    <w:rPr>
                      <w:rFonts w:hint="eastAsia"/>
                      <w:color w:val="auto"/>
                    </w:rPr>
                    <w:t>15</w:t>
                  </w:r>
                </w:p>
              </w:tc>
              <w:tc>
                <w:tcPr>
                  <w:tcW w:w="1944" w:type="pct"/>
                  <w:noWrap w:val="0"/>
                  <w:vAlign w:val="center"/>
                </w:tcPr>
                <w:p>
                  <w:pPr>
                    <w:pStyle w:val="69"/>
                    <w:rPr>
                      <w:rFonts w:hint="eastAsia"/>
                      <w:color w:val="auto"/>
                    </w:rPr>
                  </w:pPr>
                  <w:r>
                    <w:rPr>
                      <w:rFonts w:hint="eastAsia"/>
                      <w:color w:val="auto"/>
                    </w:rPr>
                    <w:t>呼吸麻醉机</w:t>
                  </w:r>
                </w:p>
              </w:tc>
              <w:tc>
                <w:tcPr>
                  <w:tcW w:w="1840" w:type="pct"/>
                  <w:noWrap w:val="0"/>
                  <w:vAlign w:val="center"/>
                </w:tcPr>
                <w:p>
                  <w:pPr>
                    <w:pStyle w:val="69"/>
                    <w:rPr>
                      <w:rFonts w:hint="eastAsia"/>
                      <w:color w:val="auto"/>
                    </w:rPr>
                  </w:pPr>
                  <w:r>
                    <w:rPr>
                      <w:rFonts w:hint="eastAsia"/>
                      <w:color w:val="auto"/>
                    </w:rPr>
                    <w:t>瑞沃德R620-S1-IECS</w:t>
                  </w:r>
                </w:p>
              </w:tc>
              <w:tc>
                <w:tcPr>
                  <w:tcW w:w="926" w:type="pct"/>
                  <w:noWrap w:val="0"/>
                  <w:vAlign w:val="center"/>
                </w:tcPr>
                <w:p>
                  <w:pPr>
                    <w:pStyle w:val="69"/>
                    <w:rPr>
                      <w:rFonts w:hint="eastAsia"/>
                      <w:color w:val="auto"/>
                    </w:rPr>
                  </w:pPr>
                  <w:r>
                    <w:rPr>
                      <w:rFonts w:hint="eastAsia"/>
                      <w:color w:val="auto"/>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9" w:hRule="atLeast"/>
              </w:trPr>
              <w:tc>
                <w:tcPr>
                  <w:tcW w:w="288" w:type="pct"/>
                  <w:noWrap w:val="0"/>
                  <w:vAlign w:val="center"/>
                </w:tcPr>
                <w:p>
                  <w:pPr>
                    <w:pStyle w:val="69"/>
                    <w:rPr>
                      <w:rFonts w:hint="eastAsia"/>
                      <w:color w:val="auto"/>
                    </w:rPr>
                  </w:pPr>
                  <w:r>
                    <w:rPr>
                      <w:rFonts w:hint="eastAsia"/>
                      <w:color w:val="auto"/>
                    </w:rPr>
                    <w:t>16</w:t>
                  </w:r>
                </w:p>
              </w:tc>
              <w:tc>
                <w:tcPr>
                  <w:tcW w:w="1944" w:type="pct"/>
                  <w:noWrap w:val="0"/>
                  <w:vAlign w:val="center"/>
                </w:tcPr>
                <w:p>
                  <w:pPr>
                    <w:pStyle w:val="69"/>
                    <w:rPr>
                      <w:rFonts w:hint="eastAsia"/>
                      <w:color w:val="auto"/>
                    </w:rPr>
                  </w:pPr>
                  <w:r>
                    <w:rPr>
                      <w:rFonts w:hint="eastAsia"/>
                      <w:color w:val="auto"/>
                    </w:rPr>
                    <w:t>医用诊断X射线管组件</w:t>
                  </w:r>
                </w:p>
              </w:tc>
              <w:tc>
                <w:tcPr>
                  <w:tcW w:w="1840" w:type="pct"/>
                  <w:noWrap w:val="0"/>
                  <w:vAlign w:val="center"/>
                </w:tcPr>
                <w:p>
                  <w:pPr>
                    <w:pStyle w:val="69"/>
                    <w:rPr>
                      <w:rFonts w:hint="eastAsia"/>
                      <w:color w:val="auto"/>
                    </w:rPr>
                  </w:pPr>
                  <w:r>
                    <w:rPr>
                      <w:rFonts w:hint="eastAsia"/>
                      <w:color w:val="auto"/>
                    </w:rPr>
                    <w:t>深图E7242X</w:t>
                  </w:r>
                </w:p>
              </w:tc>
              <w:tc>
                <w:tcPr>
                  <w:tcW w:w="926" w:type="pct"/>
                  <w:noWrap w:val="0"/>
                  <w:vAlign w:val="center"/>
                </w:tcPr>
                <w:p>
                  <w:pPr>
                    <w:pStyle w:val="69"/>
                    <w:rPr>
                      <w:rFonts w:hint="eastAsia"/>
                      <w:color w:val="auto"/>
                    </w:rPr>
                  </w:pPr>
                  <w:r>
                    <w:rPr>
                      <w:rFonts w:hint="eastAsia"/>
                      <w:color w:val="auto"/>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9" w:hRule="atLeast"/>
              </w:trPr>
              <w:tc>
                <w:tcPr>
                  <w:tcW w:w="288" w:type="pct"/>
                  <w:noWrap w:val="0"/>
                  <w:vAlign w:val="center"/>
                </w:tcPr>
                <w:p>
                  <w:pPr>
                    <w:pStyle w:val="69"/>
                    <w:rPr>
                      <w:rFonts w:hint="eastAsia"/>
                      <w:color w:val="auto"/>
                    </w:rPr>
                  </w:pPr>
                  <w:r>
                    <w:rPr>
                      <w:rFonts w:hint="eastAsia"/>
                      <w:color w:val="auto"/>
                    </w:rPr>
                    <w:t>17</w:t>
                  </w:r>
                </w:p>
              </w:tc>
              <w:tc>
                <w:tcPr>
                  <w:tcW w:w="1944" w:type="pct"/>
                  <w:noWrap w:val="0"/>
                  <w:vAlign w:val="center"/>
                </w:tcPr>
                <w:p>
                  <w:pPr>
                    <w:pStyle w:val="69"/>
                    <w:rPr>
                      <w:rFonts w:hint="eastAsia"/>
                      <w:color w:val="auto"/>
                    </w:rPr>
                  </w:pPr>
                  <w:r>
                    <w:rPr>
                      <w:rFonts w:hint="eastAsia"/>
                      <w:color w:val="auto"/>
                    </w:rPr>
                    <w:t>彩超</w:t>
                  </w:r>
                </w:p>
              </w:tc>
              <w:tc>
                <w:tcPr>
                  <w:tcW w:w="1840" w:type="pct"/>
                  <w:noWrap w:val="0"/>
                  <w:vAlign w:val="center"/>
                </w:tcPr>
                <w:p>
                  <w:pPr>
                    <w:pStyle w:val="69"/>
                    <w:rPr>
                      <w:rFonts w:hint="eastAsia"/>
                      <w:color w:val="auto"/>
                    </w:rPr>
                  </w:pPr>
                  <w:r>
                    <w:rPr>
                      <w:rFonts w:hint="eastAsia"/>
                      <w:color w:val="auto"/>
                    </w:rPr>
                    <w:t>祥生QBit-5</w:t>
                  </w:r>
                </w:p>
              </w:tc>
              <w:tc>
                <w:tcPr>
                  <w:tcW w:w="926" w:type="pct"/>
                  <w:noWrap w:val="0"/>
                  <w:vAlign w:val="center"/>
                </w:tcPr>
                <w:p>
                  <w:pPr>
                    <w:pStyle w:val="69"/>
                    <w:rPr>
                      <w:rFonts w:hint="eastAsia"/>
                      <w:color w:val="auto"/>
                    </w:rPr>
                  </w:pPr>
                  <w:r>
                    <w:rPr>
                      <w:rFonts w:hint="eastAsia"/>
                      <w:color w:val="auto"/>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9" w:hRule="atLeast"/>
              </w:trPr>
              <w:tc>
                <w:tcPr>
                  <w:tcW w:w="288" w:type="pct"/>
                  <w:noWrap w:val="0"/>
                  <w:vAlign w:val="center"/>
                </w:tcPr>
                <w:p>
                  <w:pPr>
                    <w:pStyle w:val="69"/>
                    <w:rPr>
                      <w:rFonts w:hint="eastAsia"/>
                      <w:color w:val="auto"/>
                    </w:rPr>
                  </w:pPr>
                  <w:r>
                    <w:rPr>
                      <w:rFonts w:hint="eastAsia"/>
                      <w:color w:val="auto"/>
                    </w:rPr>
                    <w:t>18</w:t>
                  </w:r>
                </w:p>
              </w:tc>
              <w:tc>
                <w:tcPr>
                  <w:tcW w:w="1944" w:type="pct"/>
                  <w:noWrap w:val="0"/>
                  <w:vAlign w:val="center"/>
                </w:tcPr>
                <w:p>
                  <w:pPr>
                    <w:pStyle w:val="69"/>
                    <w:rPr>
                      <w:rFonts w:hint="eastAsia"/>
                      <w:color w:val="auto"/>
                    </w:rPr>
                  </w:pPr>
                  <w:r>
                    <w:rPr>
                      <w:rFonts w:hint="eastAsia"/>
                      <w:color w:val="auto"/>
                    </w:rPr>
                    <w:t>宠物ICU监护仓</w:t>
                  </w:r>
                </w:p>
              </w:tc>
              <w:tc>
                <w:tcPr>
                  <w:tcW w:w="1840" w:type="pct"/>
                  <w:noWrap w:val="0"/>
                  <w:vAlign w:val="center"/>
                </w:tcPr>
                <w:p>
                  <w:pPr>
                    <w:pStyle w:val="69"/>
                    <w:rPr>
                      <w:rFonts w:hint="eastAsia"/>
                      <w:color w:val="auto"/>
                    </w:rPr>
                  </w:pPr>
                  <w:r>
                    <w:rPr>
                      <w:rFonts w:hint="eastAsia"/>
                      <w:color w:val="auto"/>
                    </w:rPr>
                    <w:t>/</w:t>
                  </w:r>
                </w:p>
              </w:tc>
              <w:tc>
                <w:tcPr>
                  <w:tcW w:w="926" w:type="pct"/>
                  <w:noWrap w:val="0"/>
                  <w:vAlign w:val="center"/>
                </w:tcPr>
                <w:p>
                  <w:pPr>
                    <w:pStyle w:val="69"/>
                    <w:rPr>
                      <w:rFonts w:hint="eastAsia"/>
                      <w:color w:val="auto"/>
                    </w:rPr>
                  </w:pPr>
                  <w:r>
                    <w:rPr>
                      <w:rFonts w:hint="eastAsia"/>
                      <w:color w:val="auto"/>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9" w:hRule="atLeast"/>
              </w:trPr>
              <w:tc>
                <w:tcPr>
                  <w:tcW w:w="288" w:type="pct"/>
                  <w:noWrap w:val="0"/>
                  <w:vAlign w:val="center"/>
                </w:tcPr>
                <w:p>
                  <w:pPr>
                    <w:pStyle w:val="69"/>
                    <w:rPr>
                      <w:rFonts w:hint="eastAsia"/>
                      <w:color w:val="auto"/>
                    </w:rPr>
                  </w:pPr>
                  <w:r>
                    <w:rPr>
                      <w:rFonts w:hint="eastAsia"/>
                      <w:color w:val="auto"/>
                    </w:rPr>
                    <w:t>19</w:t>
                  </w:r>
                </w:p>
              </w:tc>
              <w:tc>
                <w:tcPr>
                  <w:tcW w:w="1944" w:type="pct"/>
                  <w:noWrap w:val="0"/>
                  <w:vAlign w:val="center"/>
                </w:tcPr>
                <w:p>
                  <w:pPr>
                    <w:pStyle w:val="69"/>
                    <w:rPr>
                      <w:rFonts w:hint="eastAsia"/>
                      <w:color w:val="auto"/>
                    </w:rPr>
                  </w:pPr>
                  <w:r>
                    <w:rPr>
                      <w:rFonts w:hint="eastAsia"/>
                      <w:color w:val="auto"/>
                    </w:rPr>
                    <w:t>制氧机</w:t>
                  </w:r>
                </w:p>
              </w:tc>
              <w:tc>
                <w:tcPr>
                  <w:tcW w:w="1840" w:type="pct"/>
                  <w:noWrap w:val="0"/>
                  <w:vAlign w:val="center"/>
                </w:tcPr>
                <w:p>
                  <w:pPr>
                    <w:pStyle w:val="69"/>
                    <w:rPr>
                      <w:rFonts w:hint="eastAsia"/>
                      <w:color w:val="auto"/>
                    </w:rPr>
                  </w:pPr>
                  <w:r>
                    <w:rPr>
                      <w:rFonts w:hint="eastAsia"/>
                      <w:color w:val="auto"/>
                    </w:rPr>
                    <w:t>氧精灵KJR-Y31W</w:t>
                  </w:r>
                </w:p>
              </w:tc>
              <w:tc>
                <w:tcPr>
                  <w:tcW w:w="926" w:type="pct"/>
                  <w:noWrap w:val="0"/>
                  <w:vAlign w:val="center"/>
                </w:tcPr>
                <w:p>
                  <w:pPr>
                    <w:pStyle w:val="69"/>
                    <w:rPr>
                      <w:rFonts w:hint="eastAsia"/>
                      <w:color w:val="auto"/>
                    </w:rPr>
                  </w:pPr>
                  <w:r>
                    <w:rPr>
                      <w:rFonts w:hint="eastAsia"/>
                      <w:color w:val="auto"/>
                    </w:rPr>
                    <w:t>1</w:t>
                  </w:r>
                </w:p>
              </w:tc>
            </w:tr>
          </w:tbl>
          <w:p>
            <w:pPr>
              <w:pStyle w:val="5"/>
              <w:rPr>
                <w:color w:val="auto"/>
              </w:rPr>
            </w:pPr>
            <w:r>
              <w:rPr>
                <w:color w:val="auto"/>
              </w:rPr>
              <w:t>五、主要原辅材料及能耗</w:t>
            </w:r>
          </w:p>
          <w:p>
            <w:pPr>
              <w:pStyle w:val="104"/>
              <w:ind w:firstLine="480"/>
              <w:rPr>
                <w:color w:val="auto"/>
              </w:rPr>
            </w:pPr>
            <w:r>
              <w:rPr>
                <w:color w:val="auto"/>
              </w:rPr>
              <w:t>项目运营期所使用的原辅材料及消耗量见下表：</w:t>
            </w:r>
          </w:p>
          <w:p>
            <w:pPr>
              <w:pStyle w:val="102"/>
              <w:rPr>
                <w:rFonts w:hint="eastAsia"/>
                <w:color w:val="auto"/>
              </w:rPr>
            </w:pPr>
            <w:r>
              <w:rPr>
                <w:color w:val="auto"/>
              </w:rPr>
              <w:t>表 2-</w:t>
            </w:r>
            <w:r>
              <w:rPr>
                <w:rFonts w:hint="eastAsia"/>
                <w:color w:val="auto"/>
              </w:rPr>
              <w:t>3</w:t>
            </w:r>
            <w:r>
              <w:rPr>
                <w:color w:val="auto"/>
              </w:rPr>
              <w:t xml:space="preserve">  </w:t>
            </w:r>
            <w:r>
              <w:rPr>
                <w:rFonts w:hint="eastAsia"/>
                <w:color w:val="auto"/>
              </w:rPr>
              <w:t>原辅材料年耗情况表</w:t>
            </w:r>
          </w:p>
          <w:tbl>
            <w:tblPr>
              <w:tblStyle w:val="38"/>
              <w:tblW w:w="499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3"/>
              <w:gridCol w:w="3341"/>
              <w:gridCol w:w="1365"/>
              <w:gridCol w:w="1149"/>
              <w:gridCol w:w="16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noWrap/>
                  <w:vAlign w:val="center"/>
                </w:tcPr>
                <w:p>
                  <w:pPr>
                    <w:pStyle w:val="69"/>
                    <w:rPr>
                      <w:rFonts w:hint="eastAsia"/>
                      <w:color w:val="auto"/>
                    </w:rPr>
                  </w:pPr>
                  <w:r>
                    <w:rPr>
                      <w:rFonts w:hint="eastAsia"/>
                      <w:color w:val="auto"/>
                    </w:rPr>
                    <w:t>分类</w:t>
                  </w:r>
                </w:p>
              </w:tc>
              <w:tc>
                <w:tcPr>
                  <w:tcW w:w="1994" w:type="pct"/>
                  <w:noWrap/>
                  <w:vAlign w:val="center"/>
                </w:tcPr>
                <w:p>
                  <w:pPr>
                    <w:pStyle w:val="69"/>
                    <w:rPr>
                      <w:rFonts w:hint="eastAsia"/>
                      <w:color w:val="auto"/>
                    </w:rPr>
                  </w:pPr>
                  <w:r>
                    <w:rPr>
                      <w:rFonts w:hint="eastAsia"/>
                      <w:color w:val="auto"/>
                    </w:rPr>
                    <w:t>商品名</w:t>
                  </w:r>
                </w:p>
              </w:tc>
              <w:tc>
                <w:tcPr>
                  <w:tcW w:w="815" w:type="pct"/>
                  <w:noWrap/>
                  <w:vAlign w:val="center"/>
                </w:tcPr>
                <w:p>
                  <w:pPr>
                    <w:pStyle w:val="69"/>
                    <w:rPr>
                      <w:rFonts w:hint="eastAsia"/>
                      <w:color w:val="auto"/>
                    </w:rPr>
                  </w:pPr>
                  <w:r>
                    <w:rPr>
                      <w:rFonts w:hint="eastAsia"/>
                      <w:color w:val="auto"/>
                    </w:rPr>
                    <w:t>数量</w:t>
                  </w:r>
                </w:p>
              </w:tc>
              <w:tc>
                <w:tcPr>
                  <w:tcW w:w="686" w:type="pct"/>
                  <w:noWrap/>
                  <w:vAlign w:val="center"/>
                </w:tcPr>
                <w:p>
                  <w:pPr>
                    <w:pStyle w:val="69"/>
                    <w:rPr>
                      <w:rFonts w:hint="eastAsia"/>
                      <w:color w:val="auto"/>
                    </w:rPr>
                  </w:pPr>
                  <w:r>
                    <w:rPr>
                      <w:rFonts w:hint="eastAsia"/>
                      <w:color w:val="auto"/>
                    </w:rPr>
                    <w:t>单位</w:t>
                  </w:r>
                </w:p>
              </w:tc>
              <w:tc>
                <w:tcPr>
                  <w:tcW w:w="988" w:type="pct"/>
                  <w:noWrap/>
                  <w:vAlign w:val="center"/>
                </w:tcPr>
                <w:p>
                  <w:pPr>
                    <w:pStyle w:val="69"/>
                    <w:rPr>
                      <w:rFonts w:hint="eastAsia"/>
                      <w:color w:val="auto"/>
                    </w:rPr>
                  </w:pPr>
                  <w:r>
                    <w:rPr>
                      <w:rFonts w:hint="eastAsia"/>
                      <w:color w:val="auto"/>
                    </w:rPr>
                    <w:t>来源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restart"/>
                  <w:noWrap/>
                  <w:vAlign w:val="center"/>
                </w:tcPr>
                <w:p>
                  <w:pPr>
                    <w:pStyle w:val="69"/>
                    <w:rPr>
                      <w:rFonts w:hint="eastAsia"/>
                      <w:color w:val="auto"/>
                    </w:rPr>
                  </w:pPr>
                  <w:r>
                    <w:rPr>
                      <w:rFonts w:hint="eastAsia"/>
                      <w:color w:val="auto"/>
                    </w:rPr>
                    <w:t>药品</w:t>
                  </w:r>
                </w:p>
              </w:tc>
              <w:tc>
                <w:tcPr>
                  <w:tcW w:w="1994" w:type="pct"/>
                  <w:noWrap/>
                  <w:vAlign w:val="center"/>
                </w:tcPr>
                <w:p>
                  <w:pPr>
                    <w:pStyle w:val="69"/>
                    <w:rPr>
                      <w:rFonts w:hint="eastAsia"/>
                      <w:color w:val="auto"/>
                    </w:rPr>
                  </w:pPr>
                  <w:r>
                    <w:rPr>
                      <w:rFonts w:hint="eastAsia"/>
                      <w:color w:val="auto"/>
                    </w:rPr>
                    <w:t>0.9%氯化钠注射液</w:t>
                  </w:r>
                </w:p>
              </w:tc>
              <w:tc>
                <w:tcPr>
                  <w:tcW w:w="815" w:type="pct"/>
                  <w:noWrap/>
                  <w:vAlign w:val="center"/>
                </w:tcPr>
                <w:p>
                  <w:pPr>
                    <w:pStyle w:val="69"/>
                    <w:rPr>
                      <w:rFonts w:hint="eastAsia"/>
                      <w:color w:val="auto"/>
                    </w:rPr>
                  </w:pPr>
                  <w:r>
                    <w:rPr>
                      <w:rFonts w:hint="eastAsia"/>
                      <w:color w:val="auto"/>
                    </w:rPr>
                    <w:t>500</w:t>
                  </w:r>
                </w:p>
              </w:tc>
              <w:tc>
                <w:tcPr>
                  <w:tcW w:w="686" w:type="pct"/>
                  <w:noWrap/>
                  <w:vAlign w:val="center"/>
                </w:tcPr>
                <w:p>
                  <w:pPr>
                    <w:pStyle w:val="69"/>
                    <w:rPr>
                      <w:rFonts w:hint="eastAsia"/>
                      <w:color w:val="auto"/>
                    </w:rPr>
                  </w:pPr>
                  <w:r>
                    <w:rPr>
                      <w:rFonts w:hint="eastAsia"/>
                      <w:color w:val="auto"/>
                    </w:rPr>
                    <w:t>袋</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5%葡萄糖注射液</w:t>
                  </w:r>
                </w:p>
              </w:tc>
              <w:tc>
                <w:tcPr>
                  <w:tcW w:w="815" w:type="pct"/>
                  <w:noWrap/>
                  <w:vAlign w:val="center"/>
                </w:tcPr>
                <w:p>
                  <w:pPr>
                    <w:pStyle w:val="69"/>
                    <w:rPr>
                      <w:rFonts w:hint="eastAsia"/>
                      <w:color w:val="auto"/>
                    </w:rPr>
                  </w:pPr>
                  <w:r>
                    <w:rPr>
                      <w:rFonts w:hint="eastAsia"/>
                      <w:color w:val="auto"/>
                    </w:rPr>
                    <w:t>200</w:t>
                  </w:r>
                </w:p>
              </w:tc>
              <w:tc>
                <w:tcPr>
                  <w:tcW w:w="686" w:type="pct"/>
                  <w:noWrap/>
                  <w:vAlign w:val="center"/>
                </w:tcPr>
                <w:p>
                  <w:pPr>
                    <w:pStyle w:val="69"/>
                    <w:rPr>
                      <w:rFonts w:hint="eastAsia"/>
                      <w:color w:val="auto"/>
                    </w:rPr>
                  </w:pPr>
                  <w:r>
                    <w:rPr>
                      <w:rFonts w:hint="eastAsia"/>
                      <w:color w:val="auto"/>
                    </w:rPr>
                    <w:t>袋</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50%葡萄糖注射液</w:t>
                  </w:r>
                </w:p>
              </w:tc>
              <w:tc>
                <w:tcPr>
                  <w:tcW w:w="815" w:type="pct"/>
                  <w:noWrap/>
                  <w:vAlign w:val="center"/>
                </w:tcPr>
                <w:p>
                  <w:pPr>
                    <w:pStyle w:val="69"/>
                    <w:rPr>
                      <w:rFonts w:hint="eastAsia"/>
                      <w:color w:val="auto"/>
                    </w:rPr>
                  </w:pPr>
                  <w:r>
                    <w:rPr>
                      <w:rFonts w:hint="eastAsia"/>
                      <w:color w:val="auto"/>
                    </w:rPr>
                    <w:t>50</w:t>
                  </w:r>
                </w:p>
              </w:tc>
              <w:tc>
                <w:tcPr>
                  <w:tcW w:w="686" w:type="pct"/>
                  <w:noWrap/>
                  <w:vAlign w:val="center"/>
                </w:tcPr>
                <w:p>
                  <w:pPr>
                    <w:pStyle w:val="69"/>
                    <w:rPr>
                      <w:rFonts w:hint="eastAsia"/>
                      <w:color w:val="auto"/>
                    </w:rPr>
                  </w:pPr>
                  <w:r>
                    <w:rPr>
                      <w:rFonts w:hint="eastAsia"/>
                      <w:color w:val="auto"/>
                    </w:rPr>
                    <w:t>盒</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丙泊酚注射液</w:t>
                  </w:r>
                </w:p>
              </w:tc>
              <w:tc>
                <w:tcPr>
                  <w:tcW w:w="815" w:type="pct"/>
                  <w:noWrap/>
                  <w:vAlign w:val="center"/>
                </w:tcPr>
                <w:p>
                  <w:pPr>
                    <w:pStyle w:val="69"/>
                    <w:rPr>
                      <w:color w:val="auto"/>
                    </w:rPr>
                  </w:pPr>
                  <w:r>
                    <w:rPr>
                      <w:rFonts w:hint="eastAsia"/>
                      <w:color w:val="auto"/>
                    </w:rPr>
                    <w:t>50</w:t>
                  </w:r>
                </w:p>
              </w:tc>
              <w:tc>
                <w:tcPr>
                  <w:tcW w:w="686" w:type="pct"/>
                  <w:noWrap/>
                  <w:vAlign w:val="center"/>
                </w:tcPr>
                <w:p>
                  <w:pPr>
                    <w:pStyle w:val="69"/>
                    <w:rPr>
                      <w:rFonts w:hint="eastAsia"/>
                      <w:color w:val="auto"/>
                    </w:rPr>
                  </w:pPr>
                  <w:r>
                    <w:rPr>
                      <w:rFonts w:hint="eastAsia"/>
                      <w:color w:val="auto"/>
                    </w:rPr>
                    <w:t>袋</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舒泰注射液</w:t>
                  </w:r>
                </w:p>
              </w:tc>
              <w:tc>
                <w:tcPr>
                  <w:tcW w:w="815" w:type="pct"/>
                  <w:noWrap/>
                  <w:vAlign w:val="center"/>
                </w:tcPr>
                <w:p>
                  <w:pPr>
                    <w:pStyle w:val="69"/>
                    <w:rPr>
                      <w:color w:val="auto"/>
                    </w:rPr>
                  </w:pPr>
                  <w:r>
                    <w:rPr>
                      <w:rFonts w:hint="eastAsia"/>
                      <w:color w:val="auto"/>
                    </w:rPr>
                    <w:t>20</w:t>
                  </w:r>
                </w:p>
              </w:tc>
              <w:tc>
                <w:tcPr>
                  <w:tcW w:w="686" w:type="pct"/>
                  <w:noWrap/>
                  <w:vAlign w:val="center"/>
                </w:tcPr>
                <w:p>
                  <w:pPr>
                    <w:pStyle w:val="69"/>
                    <w:rPr>
                      <w:rFonts w:hint="eastAsia"/>
                      <w:color w:val="auto"/>
                    </w:rPr>
                  </w:pPr>
                  <w:r>
                    <w:rPr>
                      <w:rFonts w:hint="eastAsia"/>
                      <w:color w:val="auto"/>
                    </w:rPr>
                    <w:t>袋</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惠可宁</w:t>
                  </w:r>
                </w:p>
              </w:tc>
              <w:tc>
                <w:tcPr>
                  <w:tcW w:w="815" w:type="pct"/>
                  <w:noWrap/>
                  <w:vAlign w:val="center"/>
                </w:tcPr>
                <w:p>
                  <w:pPr>
                    <w:pStyle w:val="69"/>
                    <w:rPr>
                      <w:rFonts w:hint="eastAsia"/>
                      <w:color w:val="auto"/>
                    </w:rPr>
                  </w:pPr>
                  <w:r>
                    <w:rPr>
                      <w:rFonts w:hint="eastAsia"/>
                      <w:color w:val="auto"/>
                    </w:rPr>
                    <w:t>20</w:t>
                  </w:r>
                </w:p>
              </w:tc>
              <w:tc>
                <w:tcPr>
                  <w:tcW w:w="686" w:type="pct"/>
                  <w:noWrap/>
                  <w:vAlign w:val="center"/>
                </w:tcPr>
                <w:p>
                  <w:pPr>
                    <w:pStyle w:val="69"/>
                    <w:rPr>
                      <w:rFonts w:hint="eastAsia"/>
                      <w:color w:val="auto"/>
                    </w:rPr>
                  </w:pPr>
                  <w:r>
                    <w:rPr>
                      <w:rFonts w:hint="eastAsia"/>
                      <w:color w:val="auto"/>
                    </w:rPr>
                    <w:t>盒</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替奥福</w:t>
                  </w:r>
                </w:p>
              </w:tc>
              <w:tc>
                <w:tcPr>
                  <w:tcW w:w="815" w:type="pct"/>
                  <w:noWrap/>
                  <w:vAlign w:val="center"/>
                </w:tcPr>
                <w:p>
                  <w:pPr>
                    <w:pStyle w:val="69"/>
                    <w:rPr>
                      <w:rFonts w:hint="eastAsia"/>
                      <w:color w:val="auto"/>
                    </w:rPr>
                  </w:pPr>
                  <w:r>
                    <w:rPr>
                      <w:rFonts w:hint="eastAsia"/>
                      <w:color w:val="auto"/>
                    </w:rPr>
                    <w:t>50</w:t>
                  </w:r>
                </w:p>
              </w:tc>
              <w:tc>
                <w:tcPr>
                  <w:tcW w:w="686" w:type="pct"/>
                  <w:noWrap/>
                  <w:vAlign w:val="center"/>
                </w:tcPr>
                <w:p>
                  <w:pPr>
                    <w:pStyle w:val="69"/>
                    <w:rPr>
                      <w:rFonts w:hint="eastAsia"/>
                      <w:color w:val="auto"/>
                    </w:rPr>
                  </w:pPr>
                  <w:r>
                    <w:rPr>
                      <w:rFonts w:hint="eastAsia"/>
                      <w:color w:val="auto"/>
                    </w:rPr>
                    <w:t>盒</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缩宫素注射液</w:t>
                  </w:r>
                </w:p>
              </w:tc>
              <w:tc>
                <w:tcPr>
                  <w:tcW w:w="815" w:type="pct"/>
                  <w:noWrap/>
                  <w:vAlign w:val="center"/>
                </w:tcPr>
                <w:p>
                  <w:pPr>
                    <w:pStyle w:val="69"/>
                    <w:rPr>
                      <w:rFonts w:hint="eastAsia"/>
                      <w:color w:val="auto"/>
                    </w:rPr>
                  </w:pPr>
                  <w:r>
                    <w:rPr>
                      <w:rFonts w:hint="eastAsia"/>
                      <w:color w:val="auto"/>
                    </w:rPr>
                    <w:t>1</w:t>
                  </w:r>
                </w:p>
              </w:tc>
              <w:tc>
                <w:tcPr>
                  <w:tcW w:w="686" w:type="pct"/>
                  <w:noWrap/>
                  <w:vAlign w:val="center"/>
                </w:tcPr>
                <w:p>
                  <w:pPr>
                    <w:pStyle w:val="69"/>
                    <w:rPr>
                      <w:rFonts w:hint="eastAsia"/>
                      <w:color w:val="auto"/>
                    </w:rPr>
                  </w:pPr>
                  <w:r>
                    <w:rPr>
                      <w:rFonts w:hint="eastAsia"/>
                      <w:color w:val="auto"/>
                    </w:rPr>
                    <w:t>盒</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地塞米松注射液</w:t>
                  </w:r>
                </w:p>
              </w:tc>
              <w:tc>
                <w:tcPr>
                  <w:tcW w:w="815" w:type="pct"/>
                  <w:noWrap/>
                  <w:vAlign w:val="center"/>
                </w:tcPr>
                <w:p>
                  <w:pPr>
                    <w:pStyle w:val="69"/>
                    <w:rPr>
                      <w:rFonts w:hint="eastAsia"/>
                      <w:color w:val="auto"/>
                    </w:rPr>
                  </w:pPr>
                  <w:r>
                    <w:rPr>
                      <w:rFonts w:hint="eastAsia"/>
                      <w:color w:val="auto"/>
                    </w:rPr>
                    <w:t>2</w:t>
                  </w:r>
                </w:p>
              </w:tc>
              <w:tc>
                <w:tcPr>
                  <w:tcW w:w="686" w:type="pct"/>
                  <w:noWrap/>
                  <w:vAlign w:val="center"/>
                </w:tcPr>
                <w:p>
                  <w:pPr>
                    <w:pStyle w:val="69"/>
                    <w:rPr>
                      <w:rFonts w:hint="eastAsia"/>
                      <w:color w:val="auto"/>
                    </w:rPr>
                  </w:pPr>
                  <w:r>
                    <w:rPr>
                      <w:rFonts w:hint="eastAsia"/>
                      <w:color w:val="auto"/>
                    </w:rPr>
                    <w:t>盒</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拜耳拜有利注射液</w:t>
                  </w:r>
                </w:p>
              </w:tc>
              <w:tc>
                <w:tcPr>
                  <w:tcW w:w="815" w:type="pct"/>
                  <w:noWrap/>
                  <w:vAlign w:val="center"/>
                </w:tcPr>
                <w:p>
                  <w:pPr>
                    <w:pStyle w:val="69"/>
                    <w:rPr>
                      <w:rFonts w:hint="eastAsia"/>
                      <w:color w:val="auto"/>
                    </w:rPr>
                  </w:pPr>
                  <w:r>
                    <w:rPr>
                      <w:rFonts w:hint="eastAsia"/>
                      <w:color w:val="auto"/>
                    </w:rPr>
                    <w:t>10</w:t>
                  </w:r>
                </w:p>
              </w:tc>
              <w:tc>
                <w:tcPr>
                  <w:tcW w:w="686" w:type="pct"/>
                  <w:noWrap/>
                  <w:vAlign w:val="center"/>
                </w:tcPr>
                <w:p>
                  <w:pPr>
                    <w:pStyle w:val="69"/>
                    <w:rPr>
                      <w:rFonts w:hint="eastAsia"/>
                      <w:color w:val="auto"/>
                    </w:rPr>
                  </w:pPr>
                  <w:r>
                    <w:rPr>
                      <w:rFonts w:hint="eastAsia"/>
                      <w:color w:val="auto"/>
                    </w:rPr>
                    <w:t>瓶</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速诺注射液</w:t>
                  </w:r>
                </w:p>
              </w:tc>
              <w:tc>
                <w:tcPr>
                  <w:tcW w:w="815" w:type="pct"/>
                  <w:noWrap/>
                  <w:vAlign w:val="center"/>
                </w:tcPr>
                <w:p>
                  <w:pPr>
                    <w:pStyle w:val="69"/>
                    <w:rPr>
                      <w:rFonts w:hint="eastAsia"/>
                      <w:color w:val="auto"/>
                    </w:rPr>
                  </w:pPr>
                  <w:r>
                    <w:rPr>
                      <w:rFonts w:hint="eastAsia"/>
                      <w:color w:val="auto"/>
                    </w:rPr>
                    <w:t>50</w:t>
                  </w:r>
                </w:p>
              </w:tc>
              <w:tc>
                <w:tcPr>
                  <w:tcW w:w="686" w:type="pct"/>
                  <w:noWrap/>
                  <w:vAlign w:val="center"/>
                </w:tcPr>
                <w:p>
                  <w:pPr>
                    <w:pStyle w:val="69"/>
                    <w:rPr>
                      <w:rFonts w:hint="eastAsia"/>
                      <w:color w:val="auto"/>
                    </w:rPr>
                  </w:pPr>
                  <w:r>
                    <w:rPr>
                      <w:rFonts w:hint="eastAsia"/>
                      <w:color w:val="auto"/>
                    </w:rPr>
                    <w:t>瓶</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康卫宁</w:t>
                  </w:r>
                </w:p>
              </w:tc>
              <w:tc>
                <w:tcPr>
                  <w:tcW w:w="815" w:type="pct"/>
                  <w:noWrap/>
                  <w:vAlign w:val="center"/>
                </w:tcPr>
                <w:p>
                  <w:pPr>
                    <w:pStyle w:val="69"/>
                    <w:rPr>
                      <w:rFonts w:hint="eastAsia"/>
                      <w:color w:val="auto"/>
                    </w:rPr>
                  </w:pPr>
                  <w:r>
                    <w:rPr>
                      <w:rFonts w:hint="eastAsia"/>
                      <w:color w:val="auto"/>
                    </w:rPr>
                    <w:t>10</w:t>
                  </w:r>
                </w:p>
              </w:tc>
              <w:tc>
                <w:tcPr>
                  <w:tcW w:w="686" w:type="pct"/>
                  <w:noWrap/>
                  <w:vAlign w:val="center"/>
                </w:tcPr>
                <w:p>
                  <w:pPr>
                    <w:pStyle w:val="69"/>
                    <w:rPr>
                      <w:rFonts w:hint="eastAsia"/>
                      <w:color w:val="auto"/>
                    </w:rPr>
                  </w:pPr>
                  <w:r>
                    <w:rPr>
                      <w:rFonts w:hint="eastAsia"/>
                      <w:color w:val="auto"/>
                    </w:rPr>
                    <w:t>瓶</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科特壮注射液</w:t>
                  </w:r>
                </w:p>
              </w:tc>
              <w:tc>
                <w:tcPr>
                  <w:tcW w:w="815" w:type="pct"/>
                  <w:noWrap/>
                  <w:vAlign w:val="center"/>
                </w:tcPr>
                <w:p>
                  <w:pPr>
                    <w:pStyle w:val="69"/>
                    <w:rPr>
                      <w:rFonts w:hint="eastAsia"/>
                      <w:color w:val="auto"/>
                    </w:rPr>
                  </w:pPr>
                  <w:r>
                    <w:rPr>
                      <w:rFonts w:hint="eastAsia"/>
                      <w:color w:val="auto"/>
                    </w:rPr>
                    <w:t>10</w:t>
                  </w:r>
                </w:p>
              </w:tc>
              <w:tc>
                <w:tcPr>
                  <w:tcW w:w="686" w:type="pct"/>
                  <w:noWrap/>
                  <w:vAlign w:val="center"/>
                </w:tcPr>
                <w:p>
                  <w:pPr>
                    <w:pStyle w:val="69"/>
                    <w:rPr>
                      <w:rFonts w:hint="eastAsia"/>
                      <w:color w:val="auto"/>
                    </w:rPr>
                  </w:pPr>
                  <w:r>
                    <w:rPr>
                      <w:rFonts w:hint="eastAsia"/>
                      <w:color w:val="auto"/>
                    </w:rPr>
                    <w:t>瓶</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氯化钾注射液</w:t>
                  </w:r>
                </w:p>
              </w:tc>
              <w:tc>
                <w:tcPr>
                  <w:tcW w:w="815" w:type="pct"/>
                  <w:noWrap/>
                  <w:vAlign w:val="center"/>
                </w:tcPr>
                <w:p>
                  <w:pPr>
                    <w:pStyle w:val="69"/>
                    <w:rPr>
                      <w:rFonts w:hint="eastAsia"/>
                      <w:color w:val="auto"/>
                    </w:rPr>
                  </w:pPr>
                  <w:r>
                    <w:rPr>
                      <w:rFonts w:hint="eastAsia"/>
                      <w:color w:val="auto"/>
                    </w:rPr>
                    <w:t>50</w:t>
                  </w:r>
                </w:p>
              </w:tc>
              <w:tc>
                <w:tcPr>
                  <w:tcW w:w="686" w:type="pct"/>
                  <w:noWrap/>
                  <w:vAlign w:val="center"/>
                </w:tcPr>
                <w:p>
                  <w:pPr>
                    <w:pStyle w:val="69"/>
                    <w:rPr>
                      <w:rFonts w:hint="eastAsia"/>
                      <w:color w:val="auto"/>
                    </w:rPr>
                  </w:pPr>
                  <w:r>
                    <w:rPr>
                      <w:rFonts w:hint="eastAsia"/>
                      <w:color w:val="auto"/>
                    </w:rPr>
                    <w:t>盒</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美洛昔康注射液</w:t>
                  </w:r>
                </w:p>
              </w:tc>
              <w:tc>
                <w:tcPr>
                  <w:tcW w:w="815" w:type="pct"/>
                  <w:noWrap/>
                  <w:vAlign w:val="center"/>
                </w:tcPr>
                <w:p>
                  <w:pPr>
                    <w:pStyle w:val="69"/>
                    <w:rPr>
                      <w:rFonts w:hint="eastAsia"/>
                      <w:color w:val="auto"/>
                    </w:rPr>
                  </w:pPr>
                  <w:r>
                    <w:rPr>
                      <w:rFonts w:hint="eastAsia"/>
                      <w:color w:val="auto"/>
                    </w:rPr>
                    <w:t>10</w:t>
                  </w:r>
                </w:p>
              </w:tc>
              <w:tc>
                <w:tcPr>
                  <w:tcW w:w="686" w:type="pct"/>
                  <w:noWrap/>
                  <w:vAlign w:val="center"/>
                </w:tcPr>
                <w:p>
                  <w:pPr>
                    <w:pStyle w:val="69"/>
                    <w:rPr>
                      <w:rFonts w:hint="eastAsia"/>
                      <w:color w:val="auto"/>
                    </w:rPr>
                  </w:pPr>
                  <w:r>
                    <w:rPr>
                      <w:rFonts w:hint="eastAsia"/>
                      <w:color w:val="auto"/>
                    </w:rPr>
                    <w:t>瓶</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灭菌注水</w:t>
                  </w:r>
                </w:p>
              </w:tc>
              <w:tc>
                <w:tcPr>
                  <w:tcW w:w="815" w:type="pct"/>
                  <w:noWrap/>
                  <w:vAlign w:val="center"/>
                </w:tcPr>
                <w:p>
                  <w:pPr>
                    <w:pStyle w:val="69"/>
                    <w:rPr>
                      <w:rFonts w:hint="eastAsia"/>
                      <w:color w:val="auto"/>
                    </w:rPr>
                  </w:pPr>
                  <w:r>
                    <w:rPr>
                      <w:rFonts w:hint="eastAsia"/>
                      <w:color w:val="auto"/>
                    </w:rPr>
                    <w:t>100</w:t>
                  </w:r>
                </w:p>
              </w:tc>
              <w:tc>
                <w:tcPr>
                  <w:tcW w:w="686" w:type="pct"/>
                  <w:noWrap/>
                  <w:vAlign w:val="center"/>
                </w:tcPr>
                <w:p>
                  <w:pPr>
                    <w:pStyle w:val="69"/>
                    <w:rPr>
                      <w:rFonts w:hint="eastAsia"/>
                      <w:color w:val="auto"/>
                    </w:rPr>
                  </w:pPr>
                  <w:r>
                    <w:rPr>
                      <w:rFonts w:hint="eastAsia"/>
                      <w:color w:val="auto"/>
                    </w:rPr>
                    <w:t>盒</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赛瑞宁</w:t>
                  </w:r>
                </w:p>
              </w:tc>
              <w:tc>
                <w:tcPr>
                  <w:tcW w:w="815" w:type="pct"/>
                  <w:noWrap/>
                  <w:vAlign w:val="center"/>
                </w:tcPr>
                <w:p>
                  <w:pPr>
                    <w:pStyle w:val="69"/>
                    <w:rPr>
                      <w:rFonts w:hint="eastAsia"/>
                      <w:color w:val="auto"/>
                    </w:rPr>
                  </w:pPr>
                  <w:r>
                    <w:rPr>
                      <w:rFonts w:hint="eastAsia"/>
                      <w:color w:val="auto"/>
                    </w:rPr>
                    <w:t>10</w:t>
                  </w:r>
                </w:p>
              </w:tc>
              <w:tc>
                <w:tcPr>
                  <w:tcW w:w="686" w:type="pct"/>
                  <w:noWrap/>
                  <w:vAlign w:val="center"/>
                </w:tcPr>
                <w:p>
                  <w:pPr>
                    <w:pStyle w:val="69"/>
                    <w:rPr>
                      <w:rFonts w:hint="eastAsia"/>
                      <w:color w:val="auto"/>
                    </w:rPr>
                  </w:pPr>
                  <w:r>
                    <w:rPr>
                      <w:rFonts w:hint="eastAsia"/>
                      <w:color w:val="auto"/>
                    </w:rPr>
                    <w:t>瓶</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葡萄糖酸钙注射液</w:t>
                  </w:r>
                </w:p>
              </w:tc>
              <w:tc>
                <w:tcPr>
                  <w:tcW w:w="815" w:type="pct"/>
                  <w:noWrap/>
                  <w:vAlign w:val="center"/>
                </w:tcPr>
                <w:p>
                  <w:pPr>
                    <w:pStyle w:val="69"/>
                    <w:rPr>
                      <w:rFonts w:hint="eastAsia"/>
                      <w:color w:val="auto"/>
                    </w:rPr>
                  </w:pPr>
                  <w:r>
                    <w:rPr>
                      <w:rFonts w:hint="eastAsia"/>
                      <w:color w:val="auto"/>
                    </w:rPr>
                    <w:t>15</w:t>
                  </w:r>
                </w:p>
              </w:tc>
              <w:tc>
                <w:tcPr>
                  <w:tcW w:w="686" w:type="pct"/>
                  <w:noWrap/>
                  <w:vAlign w:val="center"/>
                </w:tcPr>
                <w:p>
                  <w:pPr>
                    <w:pStyle w:val="69"/>
                    <w:rPr>
                      <w:rFonts w:hint="eastAsia"/>
                      <w:color w:val="auto"/>
                    </w:rPr>
                  </w:pPr>
                  <w:r>
                    <w:rPr>
                      <w:rFonts w:hint="eastAsia"/>
                      <w:color w:val="auto"/>
                    </w:rPr>
                    <w:t>盒</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呋塞米注射液</w:t>
                  </w:r>
                </w:p>
              </w:tc>
              <w:tc>
                <w:tcPr>
                  <w:tcW w:w="815" w:type="pct"/>
                  <w:noWrap/>
                  <w:vAlign w:val="center"/>
                </w:tcPr>
                <w:p>
                  <w:pPr>
                    <w:pStyle w:val="69"/>
                    <w:rPr>
                      <w:rFonts w:hint="eastAsia"/>
                      <w:color w:val="auto"/>
                    </w:rPr>
                  </w:pPr>
                  <w:r>
                    <w:rPr>
                      <w:rFonts w:hint="eastAsia"/>
                      <w:color w:val="auto"/>
                    </w:rPr>
                    <w:t>5</w:t>
                  </w:r>
                </w:p>
              </w:tc>
              <w:tc>
                <w:tcPr>
                  <w:tcW w:w="686" w:type="pct"/>
                  <w:noWrap/>
                  <w:vAlign w:val="center"/>
                </w:tcPr>
                <w:p>
                  <w:pPr>
                    <w:pStyle w:val="69"/>
                    <w:rPr>
                      <w:rFonts w:hint="eastAsia"/>
                      <w:color w:val="auto"/>
                    </w:rPr>
                  </w:pPr>
                  <w:r>
                    <w:rPr>
                      <w:rFonts w:hint="eastAsia"/>
                      <w:color w:val="auto"/>
                    </w:rPr>
                    <w:t>盒</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盐酸肾上腺素注射液</w:t>
                  </w:r>
                </w:p>
              </w:tc>
              <w:tc>
                <w:tcPr>
                  <w:tcW w:w="815" w:type="pct"/>
                  <w:noWrap/>
                  <w:vAlign w:val="center"/>
                </w:tcPr>
                <w:p>
                  <w:pPr>
                    <w:pStyle w:val="69"/>
                    <w:rPr>
                      <w:rFonts w:hint="eastAsia"/>
                      <w:color w:val="auto"/>
                    </w:rPr>
                  </w:pPr>
                  <w:r>
                    <w:rPr>
                      <w:rFonts w:hint="eastAsia"/>
                      <w:color w:val="auto"/>
                    </w:rPr>
                    <w:t>2</w:t>
                  </w:r>
                </w:p>
              </w:tc>
              <w:tc>
                <w:tcPr>
                  <w:tcW w:w="686" w:type="pct"/>
                  <w:noWrap/>
                  <w:vAlign w:val="center"/>
                </w:tcPr>
                <w:p>
                  <w:pPr>
                    <w:pStyle w:val="69"/>
                    <w:rPr>
                      <w:rFonts w:hint="eastAsia"/>
                      <w:color w:val="auto"/>
                    </w:rPr>
                  </w:pPr>
                  <w:r>
                    <w:rPr>
                      <w:rFonts w:hint="eastAsia"/>
                      <w:color w:val="auto"/>
                    </w:rPr>
                    <w:t>盒</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酚磺乙胺注射液</w:t>
                  </w:r>
                </w:p>
              </w:tc>
              <w:tc>
                <w:tcPr>
                  <w:tcW w:w="815" w:type="pct"/>
                  <w:noWrap/>
                  <w:vAlign w:val="center"/>
                </w:tcPr>
                <w:p>
                  <w:pPr>
                    <w:pStyle w:val="69"/>
                    <w:rPr>
                      <w:rFonts w:hint="eastAsia"/>
                      <w:color w:val="auto"/>
                    </w:rPr>
                  </w:pPr>
                  <w:r>
                    <w:rPr>
                      <w:rFonts w:hint="eastAsia"/>
                      <w:color w:val="auto"/>
                    </w:rPr>
                    <w:t>10</w:t>
                  </w:r>
                </w:p>
              </w:tc>
              <w:tc>
                <w:tcPr>
                  <w:tcW w:w="686" w:type="pct"/>
                  <w:noWrap/>
                  <w:vAlign w:val="center"/>
                </w:tcPr>
                <w:p>
                  <w:pPr>
                    <w:pStyle w:val="69"/>
                    <w:rPr>
                      <w:rFonts w:hint="eastAsia"/>
                      <w:color w:val="auto"/>
                    </w:rPr>
                  </w:pPr>
                  <w:r>
                    <w:rPr>
                      <w:rFonts w:hint="eastAsia"/>
                      <w:color w:val="auto"/>
                    </w:rPr>
                    <w:t>盒</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维生素B12注射液</w:t>
                  </w:r>
                </w:p>
              </w:tc>
              <w:tc>
                <w:tcPr>
                  <w:tcW w:w="815" w:type="pct"/>
                  <w:noWrap/>
                  <w:vAlign w:val="center"/>
                </w:tcPr>
                <w:p>
                  <w:pPr>
                    <w:pStyle w:val="69"/>
                    <w:rPr>
                      <w:rFonts w:hint="eastAsia"/>
                      <w:color w:val="auto"/>
                    </w:rPr>
                  </w:pPr>
                  <w:r>
                    <w:rPr>
                      <w:rFonts w:hint="eastAsia"/>
                      <w:color w:val="auto"/>
                    </w:rPr>
                    <w:t>10</w:t>
                  </w:r>
                </w:p>
              </w:tc>
              <w:tc>
                <w:tcPr>
                  <w:tcW w:w="686" w:type="pct"/>
                  <w:noWrap/>
                  <w:vAlign w:val="center"/>
                </w:tcPr>
                <w:p>
                  <w:pPr>
                    <w:pStyle w:val="69"/>
                    <w:rPr>
                      <w:rFonts w:hint="eastAsia"/>
                      <w:color w:val="auto"/>
                    </w:rPr>
                  </w:pPr>
                  <w:r>
                    <w:rPr>
                      <w:rFonts w:hint="eastAsia"/>
                      <w:color w:val="auto"/>
                    </w:rPr>
                    <w:t>盒</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复合维生素B注射液</w:t>
                  </w:r>
                </w:p>
              </w:tc>
              <w:tc>
                <w:tcPr>
                  <w:tcW w:w="815" w:type="pct"/>
                  <w:noWrap/>
                  <w:vAlign w:val="center"/>
                </w:tcPr>
                <w:p>
                  <w:pPr>
                    <w:pStyle w:val="69"/>
                    <w:rPr>
                      <w:rFonts w:hint="eastAsia"/>
                      <w:color w:val="auto"/>
                    </w:rPr>
                  </w:pPr>
                  <w:r>
                    <w:rPr>
                      <w:rFonts w:hint="eastAsia"/>
                      <w:color w:val="auto"/>
                    </w:rPr>
                    <w:t>5</w:t>
                  </w:r>
                </w:p>
              </w:tc>
              <w:tc>
                <w:tcPr>
                  <w:tcW w:w="686" w:type="pct"/>
                  <w:noWrap/>
                  <w:vAlign w:val="center"/>
                </w:tcPr>
                <w:p>
                  <w:pPr>
                    <w:pStyle w:val="69"/>
                    <w:rPr>
                      <w:rFonts w:hint="eastAsia"/>
                      <w:color w:val="auto"/>
                    </w:rPr>
                  </w:pPr>
                  <w:r>
                    <w:rPr>
                      <w:rFonts w:hint="eastAsia"/>
                      <w:color w:val="auto"/>
                    </w:rPr>
                    <w:t>盒</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维生素B6注射液</w:t>
                  </w:r>
                </w:p>
              </w:tc>
              <w:tc>
                <w:tcPr>
                  <w:tcW w:w="815" w:type="pct"/>
                  <w:noWrap/>
                  <w:vAlign w:val="center"/>
                </w:tcPr>
                <w:p>
                  <w:pPr>
                    <w:pStyle w:val="69"/>
                    <w:rPr>
                      <w:rFonts w:hint="eastAsia"/>
                      <w:color w:val="auto"/>
                    </w:rPr>
                  </w:pPr>
                  <w:r>
                    <w:rPr>
                      <w:rFonts w:hint="eastAsia"/>
                      <w:color w:val="auto"/>
                    </w:rPr>
                    <w:t>5</w:t>
                  </w:r>
                </w:p>
              </w:tc>
              <w:tc>
                <w:tcPr>
                  <w:tcW w:w="686" w:type="pct"/>
                  <w:noWrap/>
                  <w:vAlign w:val="center"/>
                </w:tcPr>
                <w:p>
                  <w:pPr>
                    <w:pStyle w:val="69"/>
                    <w:rPr>
                      <w:rFonts w:hint="eastAsia"/>
                      <w:color w:val="auto"/>
                    </w:rPr>
                  </w:pPr>
                  <w:r>
                    <w:rPr>
                      <w:rFonts w:hint="eastAsia"/>
                      <w:color w:val="auto"/>
                    </w:rPr>
                    <w:t>盒</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维生素C注射液</w:t>
                  </w:r>
                </w:p>
              </w:tc>
              <w:tc>
                <w:tcPr>
                  <w:tcW w:w="815" w:type="pct"/>
                  <w:noWrap/>
                  <w:vAlign w:val="center"/>
                </w:tcPr>
                <w:p>
                  <w:pPr>
                    <w:pStyle w:val="69"/>
                    <w:rPr>
                      <w:rFonts w:hint="eastAsia"/>
                      <w:color w:val="auto"/>
                    </w:rPr>
                  </w:pPr>
                  <w:r>
                    <w:rPr>
                      <w:rFonts w:hint="eastAsia"/>
                      <w:color w:val="auto"/>
                    </w:rPr>
                    <w:t>20</w:t>
                  </w:r>
                </w:p>
              </w:tc>
              <w:tc>
                <w:tcPr>
                  <w:tcW w:w="686" w:type="pct"/>
                  <w:noWrap/>
                  <w:vAlign w:val="center"/>
                </w:tcPr>
                <w:p>
                  <w:pPr>
                    <w:pStyle w:val="69"/>
                    <w:rPr>
                      <w:rFonts w:hint="eastAsia"/>
                      <w:color w:val="auto"/>
                    </w:rPr>
                  </w:pPr>
                  <w:r>
                    <w:rPr>
                      <w:rFonts w:hint="eastAsia"/>
                      <w:color w:val="auto"/>
                    </w:rPr>
                    <w:t>盒</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硫酸阿托品注射液</w:t>
                  </w:r>
                </w:p>
              </w:tc>
              <w:tc>
                <w:tcPr>
                  <w:tcW w:w="815" w:type="pct"/>
                  <w:noWrap/>
                  <w:vAlign w:val="center"/>
                </w:tcPr>
                <w:p>
                  <w:pPr>
                    <w:pStyle w:val="69"/>
                    <w:rPr>
                      <w:rFonts w:hint="eastAsia"/>
                      <w:color w:val="auto"/>
                    </w:rPr>
                  </w:pPr>
                  <w:r>
                    <w:rPr>
                      <w:rFonts w:hint="eastAsia"/>
                      <w:color w:val="auto"/>
                    </w:rPr>
                    <w:t>2</w:t>
                  </w:r>
                </w:p>
              </w:tc>
              <w:tc>
                <w:tcPr>
                  <w:tcW w:w="686" w:type="pct"/>
                  <w:noWrap/>
                  <w:vAlign w:val="center"/>
                </w:tcPr>
                <w:p>
                  <w:pPr>
                    <w:pStyle w:val="69"/>
                    <w:rPr>
                      <w:rFonts w:hint="eastAsia"/>
                      <w:color w:val="auto"/>
                    </w:rPr>
                  </w:pPr>
                  <w:r>
                    <w:rPr>
                      <w:rFonts w:hint="eastAsia"/>
                      <w:color w:val="auto"/>
                    </w:rPr>
                    <w:t>盒</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英特威二联疫苗</w:t>
                  </w:r>
                </w:p>
              </w:tc>
              <w:tc>
                <w:tcPr>
                  <w:tcW w:w="815" w:type="pct"/>
                  <w:noWrap/>
                  <w:vAlign w:val="center"/>
                </w:tcPr>
                <w:p>
                  <w:pPr>
                    <w:pStyle w:val="69"/>
                    <w:rPr>
                      <w:rFonts w:hint="eastAsia"/>
                      <w:color w:val="auto"/>
                    </w:rPr>
                  </w:pPr>
                  <w:r>
                    <w:rPr>
                      <w:rFonts w:hint="eastAsia"/>
                      <w:color w:val="auto"/>
                    </w:rPr>
                    <w:t>50</w:t>
                  </w:r>
                </w:p>
              </w:tc>
              <w:tc>
                <w:tcPr>
                  <w:tcW w:w="686" w:type="pct"/>
                  <w:noWrap/>
                  <w:vAlign w:val="center"/>
                </w:tcPr>
                <w:p>
                  <w:pPr>
                    <w:pStyle w:val="69"/>
                    <w:rPr>
                      <w:rFonts w:hint="eastAsia"/>
                      <w:color w:val="auto"/>
                    </w:rPr>
                  </w:pPr>
                  <w:r>
                    <w:rPr>
                      <w:rFonts w:hint="eastAsia"/>
                      <w:color w:val="auto"/>
                    </w:rPr>
                    <w:t>支</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英特威四联疫苗</w:t>
                  </w:r>
                </w:p>
              </w:tc>
              <w:tc>
                <w:tcPr>
                  <w:tcW w:w="815" w:type="pct"/>
                  <w:noWrap/>
                  <w:vAlign w:val="center"/>
                </w:tcPr>
                <w:p>
                  <w:pPr>
                    <w:pStyle w:val="69"/>
                    <w:rPr>
                      <w:rFonts w:hint="eastAsia"/>
                      <w:color w:val="auto"/>
                    </w:rPr>
                  </w:pPr>
                  <w:r>
                    <w:rPr>
                      <w:rFonts w:hint="eastAsia"/>
                      <w:color w:val="auto"/>
                    </w:rPr>
                    <w:t>300</w:t>
                  </w:r>
                </w:p>
              </w:tc>
              <w:tc>
                <w:tcPr>
                  <w:tcW w:w="686" w:type="pct"/>
                  <w:noWrap/>
                  <w:vAlign w:val="center"/>
                </w:tcPr>
                <w:p>
                  <w:pPr>
                    <w:pStyle w:val="69"/>
                    <w:rPr>
                      <w:rFonts w:hint="eastAsia"/>
                      <w:color w:val="auto"/>
                    </w:rPr>
                  </w:pPr>
                  <w:r>
                    <w:rPr>
                      <w:rFonts w:hint="eastAsia"/>
                      <w:color w:val="auto"/>
                    </w:rPr>
                    <w:t>支</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妙三多</w:t>
                  </w:r>
                </w:p>
              </w:tc>
              <w:tc>
                <w:tcPr>
                  <w:tcW w:w="815" w:type="pct"/>
                  <w:noWrap/>
                  <w:vAlign w:val="center"/>
                </w:tcPr>
                <w:p>
                  <w:pPr>
                    <w:pStyle w:val="69"/>
                    <w:rPr>
                      <w:rFonts w:hint="eastAsia"/>
                      <w:color w:val="auto"/>
                    </w:rPr>
                  </w:pPr>
                  <w:r>
                    <w:rPr>
                      <w:rFonts w:hint="eastAsia"/>
                      <w:color w:val="auto"/>
                    </w:rPr>
                    <w:t>500</w:t>
                  </w:r>
                </w:p>
              </w:tc>
              <w:tc>
                <w:tcPr>
                  <w:tcW w:w="686" w:type="pct"/>
                  <w:noWrap/>
                  <w:vAlign w:val="center"/>
                </w:tcPr>
                <w:p>
                  <w:pPr>
                    <w:pStyle w:val="69"/>
                    <w:rPr>
                      <w:rFonts w:hint="eastAsia"/>
                      <w:color w:val="auto"/>
                    </w:rPr>
                  </w:pPr>
                  <w:r>
                    <w:rPr>
                      <w:rFonts w:hint="eastAsia"/>
                      <w:color w:val="auto"/>
                    </w:rPr>
                    <w:t>支</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硕腾狂犬单苗（瑞比克）</w:t>
                  </w:r>
                </w:p>
              </w:tc>
              <w:tc>
                <w:tcPr>
                  <w:tcW w:w="815" w:type="pct"/>
                  <w:noWrap/>
                  <w:vAlign w:val="center"/>
                </w:tcPr>
                <w:p>
                  <w:pPr>
                    <w:pStyle w:val="69"/>
                    <w:rPr>
                      <w:rFonts w:hint="eastAsia"/>
                      <w:color w:val="auto"/>
                    </w:rPr>
                  </w:pPr>
                  <w:r>
                    <w:rPr>
                      <w:rFonts w:hint="eastAsia"/>
                      <w:color w:val="auto"/>
                    </w:rPr>
                    <w:t>500</w:t>
                  </w:r>
                </w:p>
              </w:tc>
              <w:tc>
                <w:tcPr>
                  <w:tcW w:w="686" w:type="pct"/>
                  <w:noWrap/>
                  <w:vAlign w:val="center"/>
                </w:tcPr>
                <w:p>
                  <w:pPr>
                    <w:pStyle w:val="69"/>
                    <w:rPr>
                      <w:rFonts w:hint="eastAsia"/>
                      <w:color w:val="auto"/>
                    </w:rPr>
                  </w:pPr>
                  <w:r>
                    <w:rPr>
                      <w:rFonts w:hint="eastAsia"/>
                      <w:color w:val="auto"/>
                    </w:rPr>
                    <w:t>支</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卫佳5</w:t>
                  </w:r>
                </w:p>
              </w:tc>
              <w:tc>
                <w:tcPr>
                  <w:tcW w:w="815" w:type="pct"/>
                  <w:noWrap/>
                  <w:vAlign w:val="center"/>
                </w:tcPr>
                <w:p>
                  <w:pPr>
                    <w:pStyle w:val="69"/>
                    <w:rPr>
                      <w:rFonts w:hint="eastAsia"/>
                      <w:color w:val="auto"/>
                    </w:rPr>
                  </w:pPr>
                  <w:r>
                    <w:rPr>
                      <w:rFonts w:hint="eastAsia"/>
                      <w:color w:val="auto"/>
                    </w:rPr>
                    <w:t>500</w:t>
                  </w:r>
                </w:p>
              </w:tc>
              <w:tc>
                <w:tcPr>
                  <w:tcW w:w="686" w:type="pct"/>
                  <w:noWrap/>
                  <w:vAlign w:val="center"/>
                </w:tcPr>
                <w:p>
                  <w:pPr>
                    <w:pStyle w:val="69"/>
                    <w:rPr>
                      <w:rFonts w:hint="eastAsia"/>
                      <w:color w:val="auto"/>
                    </w:rPr>
                  </w:pPr>
                  <w:r>
                    <w:rPr>
                      <w:rFonts w:hint="eastAsia"/>
                      <w:color w:val="auto"/>
                    </w:rPr>
                    <w:t>支</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卫佳8疫苗</w:t>
                  </w:r>
                </w:p>
              </w:tc>
              <w:tc>
                <w:tcPr>
                  <w:tcW w:w="815" w:type="pct"/>
                  <w:noWrap/>
                  <w:vAlign w:val="center"/>
                </w:tcPr>
                <w:p>
                  <w:pPr>
                    <w:pStyle w:val="69"/>
                    <w:rPr>
                      <w:rFonts w:hint="eastAsia"/>
                      <w:color w:val="auto"/>
                    </w:rPr>
                  </w:pPr>
                  <w:r>
                    <w:rPr>
                      <w:rFonts w:hint="eastAsia"/>
                      <w:color w:val="auto"/>
                    </w:rPr>
                    <w:t>150</w:t>
                  </w:r>
                </w:p>
              </w:tc>
              <w:tc>
                <w:tcPr>
                  <w:tcW w:w="686" w:type="pct"/>
                  <w:noWrap/>
                  <w:vAlign w:val="center"/>
                </w:tcPr>
                <w:p>
                  <w:pPr>
                    <w:pStyle w:val="69"/>
                    <w:rPr>
                      <w:rFonts w:hint="eastAsia"/>
                      <w:color w:val="auto"/>
                    </w:rPr>
                  </w:pPr>
                  <w:r>
                    <w:rPr>
                      <w:rFonts w:hint="eastAsia"/>
                      <w:color w:val="auto"/>
                    </w:rPr>
                    <w:t>支</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GFC利尿通</w:t>
                  </w:r>
                </w:p>
              </w:tc>
              <w:tc>
                <w:tcPr>
                  <w:tcW w:w="815" w:type="pct"/>
                  <w:noWrap/>
                  <w:vAlign w:val="center"/>
                </w:tcPr>
                <w:p>
                  <w:pPr>
                    <w:pStyle w:val="69"/>
                    <w:rPr>
                      <w:rFonts w:hint="eastAsia"/>
                      <w:color w:val="auto"/>
                    </w:rPr>
                  </w:pPr>
                  <w:r>
                    <w:rPr>
                      <w:rFonts w:hint="eastAsia"/>
                      <w:color w:val="auto"/>
                    </w:rPr>
                    <w:t>100</w:t>
                  </w:r>
                </w:p>
              </w:tc>
              <w:tc>
                <w:tcPr>
                  <w:tcW w:w="686" w:type="pct"/>
                  <w:noWrap/>
                  <w:vAlign w:val="center"/>
                </w:tcPr>
                <w:p>
                  <w:pPr>
                    <w:pStyle w:val="69"/>
                    <w:rPr>
                      <w:rFonts w:hint="eastAsia"/>
                      <w:color w:val="auto"/>
                    </w:rPr>
                  </w:pPr>
                  <w:r>
                    <w:rPr>
                      <w:rFonts w:hint="eastAsia"/>
                      <w:color w:val="auto"/>
                    </w:rPr>
                    <w:t>瓶</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GFC益畅</w:t>
                  </w:r>
                </w:p>
              </w:tc>
              <w:tc>
                <w:tcPr>
                  <w:tcW w:w="815" w:type="pct"/>
                  <w:noWrap/>
                  <w:vAlign w:val="center"/>
                </w:tcPr>
                <w:p>
                  <w:pPr>
                    <w:pStyle w:val="69"/>
                    <w:rPr>
                      <w:rFonts w:hint="eastAsia"/>
                      <w:color w:val="auto"/>
                    </w:rPr>
                  </w:pPr>
                  <w:r>
                    <w:rPr>
                      <w:rFonts w:hint="eastAsia"/>
                      <w:color w:val="auto"/>
                    </w:rPr>
                    <w:t>50</w:t>
                  </w:r>
                </w:p>
              </w:tc>
              <w:tc>
                <w:tcPr>
                  <w:tcW w:w="686" w:type="pct"/>
                  <w:noWrap/>
                  <w:vAlign w:val="center"/>
                </w:tcPr>
                <w:p>
                  <w:pPr>
                    <w:pStyle w:val="69"/>
                    <w:rPr>
                      <w:rFonts w:hint="eastAsia"/>
                      <w:color w:val="auto"/>
                    </w:rPr>
                  </w:pPr>
                  <w:r>
                    <w:rPr>
                      <w:rFonts w:hint="eastAsia"/>
                      <w:color w:val="auto"/>
                    </w:rPr>
                    <w:t>瓶</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GFC益血维</w:t>
                  </w:r>
                </w:p>
              </w:tc>
              <w:tc>
                <w:tcPr>
                  <w:tcW w:w="815" w:type="pct"/>
                  <w:noWrap/>
                  <w:vAlign w:val="center"/>
                </w:tcPr>
                <w:p>
                  <w:pPr>
                    <w:pStyle w:val="69"/>
                    <w:rPr>
                      <w:rFonts w:hint="eastAsia"/>
                      <w:color w:val="auto"/>
                    </w:rPr>
                  </w:pPr>
                  <w:r>
                    <w:rPr>
                      <w:rFonts w:hint="eastAsia"/>
                      <w:color w:val="auto"/>
                    </w:rPr>
                    <w:t>200</w:t>
                  </w:r>
                </w:p>
              </w:tc>
              <w:tc>
                <w:tcPr>
                  <w:tcW w:w="686" w:type="pct"/>
                  <w:noWrap/>
                  <w:vAlign w:val="center"/>
                </w:tcPr>
                <w:p>
                  <w:pPr>
                    <w:pStyle w:val="69"/>
                    <w:rPr>
                      <w:rFonts w:hint="eastAsia"/>
                      <w:color w:val="auto"/>
                    </w:rPr>
                  </w:pPr>
                  <w:r>
                    <w:rPr>
                      <w:rFonts w:hint="eastAsia"/>
                      <w:color w:val="auto"/>
                    </w:rPr>
                    <w:t>瓶</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肯的斯DH3000</w:t>
                  </w:r>
                </w:p>
              </w:tc>
              <w:tc>
                <w:tcPr>
                  <w:tcW w:w="815" w:type="pct"/>
                  <w:noWrap/>
                  <w:vAlign w:val="center"/>
                </w:tcPr>
                <w:p>
                  <w:pPr>
                    <w:pStyle w:val="69"/>
                    <w:rPr>
                      <w:rFonts w:hint="eastAsia"/>
                      <w:color w:val="auto"/>
                    </w:rPr>
                  </w:pPr>
                  <w:r>
                    <w:rPr>
                      <w:rFonts w:hint="eastAsia"/>
                      <w:color w:val="auto"/>
                    </w:rPr>
                    <w:t>30</w:t>
                  </w:r>
                </w:p>
              </w:tc>
              <w:tc>
                <w:tcPr>
                  <w:tcW w:w="686" w:type="pct"/>
                  <w:noWrap/>
                  <w:vAlign w:val="center"/>
                </w:tcPr>
                <w:p>
                  <w:pPr>
                    <w:pStyle w:val="69"/>
                    <w:rPr>
                      <w:rFonts w:hint="eastAsia"/>
                      <w:color w:val="auto"/>
                    </w:rPr>
                  </w:pPr>
                  <w:r>
                    <w:rPr>
                      <w:rFonts w:hint="eastAsia"/>
                      <w:color w:val="auto"/>
                    </w:rPr>
                    <w:t>盒</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脸谱处方罐头</w:t>
                  </w:r>
                </w:p>
              </w:tc>
              <w:tc>
                <w:tcPr>
                  <w:tcW w:w="815" w:type="pct"/>
                  <w:noWrap/>
                  <w:vAlign w:val="center"/>
                </w:tcPr>
                <w:p>
                  <w:pPr>
                    <w:pStyle w:val="69"/>
                    <w:rPr>
                      <w:rFonts w:hint="eastAsia"/>
                      <w:color w:val="auto"/>
                    </w:rPr>
                  </w:pPr>
                  <w:r>
                    <w:rPr>
                      <w:rFonts w:hint="eastAsia"/>
                      <w:color w:val="auto"/>
                    </w:rPr>
                    <w:t>200</w:t>
                  </w:r>
                </w:p>
              </w:tc>
              <w:tc>
                <w:tcPr>
                  <w:tcW w:w="686" w:type="pct"/>
                  <w:noWrap/>
                  <w:vAlign w:val="center"/>
                </w:tcPr>
                <w:p>
                  <w:pPr>
                    <w:pStyle w:val="69"/>
                    <w:rPr>
                      <w:rFonts w:hint="eastAsia"/>
                      <w:color w:val="auto"/>
                    </w:rPr>
                  </w:pPr>
                  <w:r>
                    <w:rPr>
                      <w:rFonts w:hint="eastAsia"/>
                      <w:color w:val="auto"/>
                    </w:rPr>
                    <w:t>罐</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美洛昔康口服液</w:t>
                  </w:r>
                </w:p>
              </w:tc>
              <w:tc>
                <w:tcPr>
                  <w:tcW w:w="815" w:type="pct"/>
                  <w:noWrap/>
                  <w:vAlign w:val="center"/>
                </w:tcPr>
                <w:p>
                  <w:pPr>
                    <w:pStyle w:val="69"/>
                    <w:rPr>
                      <w:rFonts w:hint="eastAsia"/>
                      <w:color w:val="auto"/>
                    </w:rPr>
                  </w:pPr>
                  <w:r>
                    <w:rPr>
                      <w:rFonts w:hint="eastAsia"/>
                      <w:color w:val="auto"/>
                    </w:rPr>
                    <w:t>10</w:t>
                  </w:r>
                </w:p>
              </w:tc>
              <w:tc>
                <w:tcPr>
                  <w:tcW w:w="686" w:type="pct"/>
                  <w:noWrap/>
                  <w:vAlign w:val="center"/>
                </w:tcPr>
                <w:p>
                  <w:pPr>
                    <w:pStyle w:val="69"/>
                    <w:rPr>
                      <w:rFonts w:hint="eastAsia"/>
                      <w:color w:val="auto"/>
                    </w:rPr>
                  </w:pPr>
                  <w:r>
                    <w:rPr>
                      <w:rFonts w:hint="eastAsia"/>
                      <w:color w:val="auto"/>
                    </w:rPr>
                    <w:t>瓶</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巧乐林</w:t>
                  </w:r>
                </w:p>
              </w:tc>
              <w:tc>
                <w:tcPr>
                  <w:tcW w:w="815" w:type="pct"/>
                  <w:noWrap/>
                  <w:vAlign w:val="center"/>
                </w:tcPr>
                <w:p>
                  <w:pPr>
                    <w:pStyle w:val="69"/>
                    <w:rPr>
                      <w:rFonts w:hint="eastAsia"/>
                      <w:color w:val="auto"/>
                    </w:rPr>
                  </w:pPr>
                  <w:r>
                    <w:rPr>
                      <w:rFonts w:hint="eastAsia"/>
                      <w:color w:val="auto"/>
                    </w:rPr>
                    <w:t>50</w:t>
                  </w:r>
                </w:p>
              </w:tc>
              <w:tc>
                <w:tcPr>
                  <w:tcW w:w="686" w:type="pct"/>
                  <w:noWrap/>
                  <w:vAlign w:val="center"/>
                </w:tcPr>
                <w:p>
                  <w:pPr>
                    <w:pStyle w:val="69"/>
                    <w:rPr>
                      <w:rFonts w:hint="eastAsia"/>
                      <w:color w:val="auto"/>
                    </w:rPr>
                  </w:pPr>
                  <w:r>
                    <w:rPr>
                      <w:rFonts w:hint="eastAsia"/>
                      <w:color w:val="auto"/>
                    </w:rPr>
                    <w:t>盒</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舒畅（猫）</w:t>
                  </w:r>
                </w:p>
              </w:tc>
              <w:tc>
                <w:tcPr>
                  <w:tcW w:w="815" w:type="pct"/>
                  <w:noWrap/>
                  <w:vAlign w:val="center"/>
                </w:tcPr>
                <w:p>
                  <w:pPr>
                    <w:pStyle w:val="69"/>
                    <w:rPr>
                      <w:rFonts w:hint="eastAsia"/>
                      <w:color w:val="auto"/>
                    </w:rPr>
                  </w:pPr>
                  <w:r>
                    <w:rPr>
                      <w:rFonts w:hint="eastAsia"/>
                      <w:color w:val="auto"/>
                    </w:rPr>
                    <w:t>20</w:t>
                  </w:r>
                </w:p>
              </w:tc>
              <w:tc>
                <w:tcPr>
                  <w:tcW w:w="686" w:type="pct"/>
                  <w:noWrap/>
                  <w:vAlign w:val="center"/>
                </w:tcPr>
                <w:p>
                  <w:pPr>
                    <w:pStyle w:val="69"/>
                    <w:rPr>
                      <w:rFonts w:hint="eastAsia"/>
                      <w:color w:val="auto"/>
                    </w:rPr>
                  </w:pPr>
                  <w:r>
                    <w:rPr>
                      <w:rFonts w:hint="eastAsia"/>
                      <w:color w:val="auto"/>
                    </w:rPr>
                    <w:t>盒</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舒畅（犬）</w:t>
                  </w:r>
                </w:p>
              </w:tc>
              <w:tc>
                <w:tcPr>
                  <w:tcW w:w="815" w:type="pct"/>
                  <w:noWrap/>
                  <w:vAlign w:val="center"/>
                </w:tcPr>
                <w:p>
                  <w:pPr>
                    <w:pStyle w:val="69"/>
                    <w:rPr>
                      <w:rFonts w:hint="eastAsia"/>
                      <w:color w:val="auto"/>
                    </w:rPr>
                  </w:pPr>
                  <w:r>
                    <w:rPr>
                      <w:rFonts w:hint="eastAsia"/>
                      <w:color w:val="auto"/>
                    </w:rPr>
                    <w:t>20</w:t>
                  </w:r>
                </w:p>
              </w:tc>
              <w:tc>
                <w:tcPr>
                  <w:tcW w:w="686" w:type="pct"/>
                  <w:noWrap/>
                  <w:vAlign w:val="center"/>
                </w:tcPr>
                <w:p>
                  <w:pPr>
                    <w:pStyle w:val="69"/>
                    <w:rPr>
                      <w:rFonts w:hint="eastAsia"/>
                      <w:color w:val="auto"/>
                    </w:rPr>
                  </w:pPr>
                  <w:r>
                    <w:rPr>
                      <w:rFonts w:hint="eastAsia"/>
                      <w:color w:val="auto"/>
                    </w:rPr>
                    <w:t>盒</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布维林（猫专用）</w:t>
                  </w:r>
                </w:p>
              </w:tc>
              <w:tc>
                <w:tcPr>
                  <w:tcW w:w="815" w:type="pct"/>
                  <w:noWrap/>
                  <w:vAlign w:val="center"/>
                </w:tcPr>
                <w:p>
                  <w:pPr>
                    <w:pStyle w:val="69"/>
                    <w:rPr>
                      <w:rFonts w:hint="eastAsia"/>
                      <w:color w:val="auto"/>
                    </w:rPr>
                  </w:pPr>
                  <w:r>
                    <w:rPr>
                      <w:rFonts w:hint="eastAsia"/>
                      <w:color w:val="auto"/>
                    </w:rPr>
                    <w:t>100</w:t>
                  </w:r>
                </w:p>
              </w:tc>
              <w:tc>
                <w:tcPr>
                  <w:tcW w:w="686" w:type="pct"/>
                  <w:noWrap/>
                  <w:vAlign w:val="center"/>
                </w:tcPr>
                <w:p>
                  <w:pPr>
                    <w:pStyle w:val="69"/>
                    <w:rPr>
                      <w:rFonts w:hint="eastAsia"/>
                      <w:color w:val="auto"/>
                    </w:rPr>
                  </w:pPr>
                  <w:r>
                    <w:rPr>
                      <w:rFonts w:hint="eastAsia"/>
                      <w:color w:val="auto"/>
                    </w:rPr>
                    <w:t>盒</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布维林（犬）</w:t>
                  </w:r>
                </w:p>
              </w:tc>
              <w:tc>
                <w:tcPr>
                  <w:tcW w:w="815" w:type="pct"/>
                  <w:noWrap/>
                  <w:vAlign w:val="center"/>
                </w:tcPr>
                <w:p>
                  <w:pPr>
                    <w:pStyle w:val="69"/>
                    <w:rPr>
                      <w:rFonts w:hint="eastAsia"/>
                      <w:color w:val="auto"/>
                    </w:rPr>
                  </w:pPr>
                  <w:r>
                    <w:rPr>
                      <w:rFonts w:hint="eastAsia"/>
                      <w:color w:val="auto"/>
                    </w:rPr>
                    <w:t>30</w:t>
                  </w:r>
                </w:p>
              </w:tc>
              <w:tc>
                <w:tcPr>
                  <w:tcW w:w="686" w:type="pct"/>
                  <w:noWrap/>
                  <w:vAlign w:val="center"/>
                </w:tcPr>
                <w:p>
                  <w:pPr>
                    <w:pStyle w:val="69"/>
                    <w:rPr>
                      <w:rFonts w:hint="eastAsia"/>
                      <w:color w:val="auto"/>
                    </w:rPr>
                  </w:pPr>
                  <w:r>
                    <w:rPr>
                      <w:rFonts w:hint="eastAsia"/>
                      <w:color w:val="auto"/>
                    </w:rPr>
                    <w:t>盒</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宠儿香益生菌</w:t>
                  </w:r>
                </w:p>
              </w:tc>
              <w:tc>
                <w:tcPr>
                  <w:tcW w:w="815" w:type="pct"/>
                  <w:noWrap/>
                  <w:vAlign w:val="center"/>
                </w:tcPr>
                <w:p>
                  <w:pPr>
                    <w:pStyle w:val="69"/>
                    <w:rPr>
                      <w:rFonts w:hint="eastAsia"/>
                      <w:color w:val="auto"/>
                    </w:rPr>
                  </w:pPr>
                  <w:r>
                    <w:rPr>
                      <w:rFonts w:hint="eastAsia"/>
                      <w:color w:val="auto"/>
                    </w:rPr>
                    <w:t>100</w:t>
                  </w:r>
                </w:p>
              </w:tc>
              <w:tc>
                <w:tcPr>
                  <w:tcW w:w="686" w:type="pct"/>
                  <w:noWrap/>
                  <w:vAlign w:val="center"/>
                </w:tcPr>
                <w:p>
                  <w:pPr>
                    <w:pStyle w:val="69"/>
                    <w:rPr>
                      <w:rFonts w:hint="eastAsia"/>
                      <w:color w:val="auto"/>
                    </w:rPr>
                  </w:pPr>
                  <w:r>
                    <w:rPr>
                      <w:rFonts w:hint="eastAsia"/>
                      <w:color w:val="auto"/>
                    </w:rPr>
                    <w:t>盒</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爱波克16毫克</w:t>
                  </w:r>
                </w:p>
              </w:tc>
              <w:tc>
                <w:tcPr>
                  <w:tcW w:w="815" w:type="pct"/>
                  <w:noWrap/>
                  <w:vAlign w:val="center"/>
                </w:tcPr>
                <w:p>
                  <w:pPr>
                    <w:pStyle w:val="69"/>
                    <w:rPr>
                      <w:rFonts w:hint="eastAsia"/>
                      <w:color w:val="auto"/>
                    </w:rPr>
                  </w:pPr>
                  <w:r>
                    <w:rPr>
                      <w:rFonts w:hint="eastAsia"/>
                      <w:color w:val="auto"/>
                    </w:rPr>
                    <w:t>2</w:t>
                  </w:r>
                </w:p>
              </w:tc>
              <w:tc>
                <w:tcPr>
                  <w:tcW w:w="686" w:type="pct"/>
                  <w:noWrap/>
                  <w:vAlign w:val="center"/>
                </w:tcPr>
                <w:p>
                  <w:pPr>
                    <w:pStyle w:val="69"/>
                    <w:rPr>
                      <w:rFonts w:hint="eastAsia"/>
                      <w:color w:val="auto"/>
                    </w:rPr>
                  </w:pPr>
                  <w:r>
                    <w:rPr>
                      <w:rFonts w:hint="eastAsia"/>
                      <w:color w:val="auto"/>
                    </w:rPr>
                    <w:t>瓶</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爱波克3.6毫克</w:t>
                  </w:r>
                </w:p>
              </w:tc>
              <w:tc>
                <w:tcPr>
                  <w:tcW w:w="815" w:type="pct"/>
                  <w:noWrap/>
                  <w:vAlign w:val="center"/>
                </w:tcPr>
                <w:p>
                  <w:pPr>
                    <w:pStyle w:val="69"/>
                    <w:rPr>
                      <w:rFonts w:hint="eastAsia"/>
                      <w:color w:val="auto"/>
                    </w:rPr>
                  </w:pPr>
                  <w:r>
                    <w:rPr>
                      <w:rFonts w:hint="eastAsia"/>
                      <w:color w:val="auto"/>
                    </w:rPr>
                    <w:t>1</w:t>
                  </w:r>
                </w:p>
              </w:tc>
              <w:tc>
                <w:tcPr>
                  <w:tcW w:w="686" w:type="pct"/>
                  <w:noWrap/>
                  <w:vAlign w:val="center"/>
                </w:tcPr>
                <w:p>
                  <w:pPr>
                    <w:pStyle w:val="69"/>
                    <w:rPr>
                      <w:rFonts w:hint="eastAsia"/>
                      <w:color w:val="auto"/>
                    </w:rPr>
                  </w:pPr>
                  <w:r>
                    <w:rPr>
                      <w:rFonts w:hint="eastAsia"/>
                      <w:color w:val="auto"/>
                    </w:rPr>
                    <w:t>瓶</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爱波克5.4毫克</w:t>
                  </w:r>
                </w:p>
              </w:tc>
              <w:tc>
                <w:tcPr>
                  <w:tcW w:w="815" w:type="pct"/>
                  <w:noWrap/>
                  <w:vAlign w:val="center"/>
                </w:tcPr>
                <w:p>
                  <w:pPr>
                    <w:pStyle w:val="69"/>
                    <w:rPr>
                      <w:rFonts w:hint="eastAsia"/>
                      <w:color w:val="auto"/>
                    </w:rPr>
                  </w:pPr>
                  <w:r>
                    <w:rPr>
                      <w:rFonts w:hint="eastAsia"/>
                      <w:color w:val="auto"/>
                    </w:rPr>
                    <w:t>2</w:t>
                  </w:r>
                </w:p>
              </w:tc>
              <w:tc>
                <w:tcPr>
                  <w:tcW w:w="686" w:type="pct"/>
                  <w:noWrap/>
                  <w:vAlign w:val="center"/>
                </w:tcPr>
                <w:p>
                  <w:pPr>
                    <w:pStyle w:val="69"/>
                    <w:rPr>
                      <w:rFonts w:hint="eastAsia"/>
                      <w:color w:val="auto"/>
                    </w:rPr>
                  </w:pPr>
                  <w:r>
                    <w:rPr>
                      <w:rFonts w:hint="eastAsia"/>
                      <w:color w:val="auto"/>
                    </w:rPr>
                    <w:t>瓶</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汉肤欣</w:t>
                  </w:r>
                </w:p>
              </w:tc>
              <w:tc>
                <w:tcPr>
                  <w:tcW w:w="815" w:type="pct"/>
                  <w:noWrap/>
                  <w:vAlign w:val="center"/>
                </w:tcPr>
                <w:p>
                  <w:pPr>
                    <w:pStyle w:val="69"/>
                    <w:rPr>
                      <w:rFonts w:hint="eastAsia"/>
                      <w:color w:val="auto"/>
                    </w:rPr>
                  </w:pPr>
                  <w:r>
                    <w:rPr>
                      <w:rFonts w:hint="eastAsia"/>
                      <w:color w:val="auto"/>
                    </w:rPr>
                    <w:t>30</w:t>
                  </w:r>
                </w:p>
              </w:tc>
              <w:tc>
                <w:tcPr>
                  <w:tcW w:w="686" w:type="pct"/>
                  <w:noWrap/>
                  <w:vAlign w:val="center"/>
                </w:tcPr>
                <w:p>
                  <w:pPr>
                    <w:pStyle w:val="69"/>
                    <w:rPr>
                      <w:rFonts w:hint="eastAsia"/>
                      <w:color w:val="auto"/>
                    </w:rPr>
                  </w:pPr>
                  <w:r>
                    <w:rPr>
                      <w:rFonts w:hint="eastAsia"/>
                      <w:color w:val="auto"/>
                    </w:rPr>
                    <w:t>瓶</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速诺片剂50mg</w:t>
                  </w:r>
                </w:p>
              </w:tc>
              <w:tc>
                <w:tcPr>
                  <w:tcW w:w="815" w:type="pct"/>
                  <w:noWrap/>
                  <w:vAlign w:val="center"/>
                </w:tcPr>
                <w:p>
                  <w:pPr>
                    <w:pStyle w:val="69"/>
                    <w:rPr>
                      <w:rFonts w:hint="eastAsia"/>
                      <w:color w:val="auto"/>
                    </w:rPr>
                  </w:pPr>
                  <w:r>
                    <w:rPr>
                      <w:rFonts w:hint="eastAsia"/>
                      <w:color w:val="auto"/>
                    </w:rPr>
                    <w:t>10</w:t>
                  </w:r>
                </w:p>
              </w:tc>
              <w:tc>
                <w:tcPr>
                  <w:tcW w:w="686" w:type="pct"/>
                  <w:noWrap/>
                  <w:vAlign w:val="center"/>
                </w:tcPr>
                <w:p>
                  <w:pPr>
                    <w:pStyle w:val="69"/>
                    <w:rPr>
                      <w:rFonts w:hint="eastAsia"/>
                      <w:color w:val="auto"/>
                    </w:rPr>
                  </w:pPr>
                  <w:r>
                    <w:rPr>
                      <w:rFonts w:hint="eastAsia"/>
                      <w:color w:val="auto"/>
                    </w:rPr>
                    <w:t>盒</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速诺片剂250mg</w:t>
                  </w:r>
                </w:p>
              </w:tc>
              <w:tc>
                <w:tcPr>
                  <w:tcW w:w="815" w:type="pct"/>
                  <w:noWrap/>
                  <w:vAlign w:val="center"/>
                </w:tcPr>
                <w:p>
                  <w:pPr>
                    <w:pStyle w:val="69"/>
                    <w:rPr>
                      <w:rFonts w:hint="eastAsia"/>
                      <w:color w:val="auto"/>
                    </w:rPr>
                  </w:pPr>
                  <w:r>
                    <w:rPr>
                      <w:rFonts w:hint="eastAsia"/>
                      <w:color w:val="auto"/>
                    </w:rPr>
                    <w:t>5</w:t>
                  </w:r>
                </w:p>
              </w:tc>
              <w:tc>
                <w:tcPr>
                  <w:tcW w:w="686" w:type="pct"/>
                  <w:noWrap/>
                  <w:vAlign w:val="center"/>
                </w:tcPr>
                <w:p>
                  <w:pPr>
                    <w:pStyle w:val="69"/>
                    <w:rPr>
                      <w:rFonts w:hint="eastAsia"/>
                      <w:color w:val="auto"/>
                    </w:rPr>
                  </w:pPr>
                  <w:r>
                    <w:rPr>
                      <w:rFonts w:hint="eastAsia"/>
                      <w:color w:val="auto"/>
                    </w:rPr>
                    <w:t>盒</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速诺片剂500mg</w:t>
                  </w:r>
                </w:p>
              </w:tc>
              <w:tc>
                <w:tcPr>
                  <w:tcW w:w="815" w:type="pct"/>
                  <w:noWrap/>
                  <w:vAlign w:val="center"/>
                </w:tcPr>
                <w:p>
                  <w:pPr>
                    <w:pStyle w:val="69"/>
                    <w:rPr>
                      <w:rFonts w:hint="eastAsia"/>
                      <w:color w:val="auto"/>
                    </w:rPr>
                  </w:pPr>
                  <w:r>
                    <w:rPr>
                      <w:rFonts w:hint="eastAsia"/>
                      <w:color w:val="auto"/>
                    </w:rPr>
                    <w:t>5</w:t>
                  </w:r>
                </w:p>
              </w:tc>
              <w:tc>
                <w:tcPr>
                  <w:tcW w:w="686" w:type="pct"/>
                  <w:noWrap/>
                  <w:vAlign w:val="center"/>
                </w:tcPr>
                <w:p>
                  <w:pPr>
                    <w:pStyle w:val="69"/>
                    <w:rPr>
                      <w:rFonts w:hint="eastAsia"/>
                      <w:color w:val="auto"/>
                    </w:rPr>
                  </w:pPr>
                  <w:r>
                    <w:rPr>
                      <w:rFonts w:hint="eastAsia"/>
                      <w:color w:val="auto"/>
                    </w:rPr>
                    <w:t>盒</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远福乐</w:t>
                  </w:r>
                </w:p>
              </w:tc>
              <w:tc>
                <w:tcPr>
                  <w:tcW w:w="815" w:type="pct"/>
                  <w:noWrap/>
                  <w:vAlign w:val="center"/>
                </w:tcPr>
                <w:p>
                  <w:pPr>
                    <w:pStyle w:val="69"/>
                    <w:rPr>
                      <w:rFonts w:hint="eastAsia"/>
                      <w:color w:val="auto"/>
                    </w:rPr>
                  </w:pPr>
                  <w:r>
                    <w:rPr>
                      <w:rFonts w:hint="eastAsia"/>
                      <w:color w:val="auto"/>
                    </w:rPr>
                    <w:t>2</w:t>
                  </w:r>
                </w:p>
              </w:tc>
              <w:tc>
                <w:tcPr>
                  <w:tcW w:w="686" w:type="pct"/>
                  <w:noWrap/>
                  <w:vAlign w:val="center"/>
                </w:tcPr>
                <w:p>
                  <w:pPr>
                    <w:pStyle w:val="69"/>
                    <w:rPr>
                      <w:rFonts w:hint="eastAsia"/>
                      <w:color w:val="auto"/>
                    </w:rPr>
                  </w:pPr>
                  <w:r>
                    <w:rPr>
                      <w:rFonts w:hint="eastAsia"/>
                      <w:color w:val="auto"/>
                    </w:rPr>
                    <w:t>盒</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锐趣美毛护肤软咀嚼</w:t>
                  </w:r>
                </w:p>
              </w:tc>
              <w:tc>
                <w:tcPr>
                  <w:tcW w:w="815" w:type="pct"/>
                  <w:noWrap/>
                  <w:vAlign w:val="center"/>
                </w:tcPr>
                <w:p>
                  <w:pPr>
                    <w:pStyle w:val="69"/>
                    <w:rPr>
                      <w:rFonts w:hint="eastAsia"/>
                      <w:color w:val="auto"/>
                    </w:rPr>
                  </w:pPr>
                  <w:r>
                    <w:rPr>
                      <w:rFonts w:hint="eastAsia"/>
                      <w:color w:val="auto"/>
                    </w:rPr>
                    <w:t>100</w:t>
                  </w:r>
                </w:p>
              </w:tc>
              <w:tc>
                <w:tcPr>
                  <w:tcW w:w="686" w:type="pct"/>
                  <w:noWrap/>
                  <w:vAlign w:val="center"/>
                </w:tcPr>
                <w:p>
                  <w:pPr>
                    <w:pStyle w:val="69"/>
                    <w:rPr>
                      <w:rFonts w:hint="eastAsia"/>
                      <w:color w:val="auto"/>
                    </w:rPr>
                  </w:pPr>
                  <w:r>
                    <w:rPr>
                      <w:rFonts w:hint="eastAsia"/>
                      <w:color w:val="auto"/>
                    </w:rPr>
                    <w:t>盒</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宠儿香保肤康</w:t>
                  </w:r>
                </w:p>
              </w:tc>
              <w:tc>
                <w:tcPr>
                  <w:tcW w:w="815" w:type="pct"/>
                  <w:noWrap/>
                  <w:vAlign w:val="center"/>
                </w:tcPr>
                <w:p>
                  <w:pPr>
                    <w:pStyle w:val="69"/>
                    <w:rPr>
                      <w:rFonts w:hint="eastAsia"/>
                      <w:color w:val="auto"/>
                    </w:rPr>
                  </w:pPr>
                  <w:r>
                    <w:rPr>
                      <w:rFonts w:hint="eastAsia"/>
                      <w:color w:val="auto"/>
                    </w:rPr>
                    <w:t>100</w:t>
                  </w:r>
                </w:p>
              </w:tc>
              <w:tc>
                <w:tcPr>
                  <w:tcW w:w="686" w:type="pct"/>
                  <w:noWrap/>
                  <w:vAlign w:val="center"/>
                </w:tcPr>
                <w:p>
                  <w:pPr>
                    <w:pStyle w:val="69"/>
                    <w:rPr>
                      <w:rFonts w:hint="eastAsia"/>
                      <w:color w:val="auto"/>
                    </w:rPr>
                  </w:pPr>
                  <w:r>
                    <w:rPr>
                      <w:rFonts w:hint="eastAsia"/>
                      <w:color w:val="auto"/>
                    </w:rPr>
                    <w:t>盒</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派固威</w:t>
                  </w:r>
                </w:p>
              </w:tc>
              <w:tc>
                <w:tcPr>
                  <w:tcW w:w="815" w:type="pct"/>
                  <w:noWrap/>
                  <w:vAlign w:val="center"/>
                </w:tcPr>
                <w:p>
                  <w:pPr>
                    <w:pStyle w:val="69"/>
                    <w:rPr>
                      <w:rFonts w:hint="eastAsia"/>
                      <w:color w:val="auto"/>
                    </w:rPr>
                  </w:pPr>
                  <w:r>
                    <w:rPr>
                      <w:rFonts w:hint="eastAsia"/>
                      <w:color w:val="auto"/>
                    </w:rPr>
                    <w:t>20</w:t>
                  </w:r>
                </w:p>
              </w:tc>
              <w:tc>
                <w:tcPr>
                  <w:tcW w:w="686" w:type="pct"/>
                  <w:noWrap/>
                  <w:vAlign w:val="center"/>
                </w:tcPr>
                <w:p>
                  <w:pPr>
                    <w:pStyle w:val="69"/>
                    <w:rPr>
                      <w:rFonts w:hint="eastAsia"/>
                      <w:color w:val="auto"/>
                    </w:rPr>
                  </w:pPr>
                  <w:r>
                    <w:rPr>
                      <w:rFonts w:hint="eastAsia"/>
                      <w:color w:val="auto"/>
                    </w:rPr>
                    <w:t>瓶</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维克营养膏</w:t>
                  </w:r>
                </w:p>
              </w:tc>
              <w:tc>
                <w:tcPr>
                  <w:tcW w:w="815" w:type="pct"/>
                  <w:noWrap/>
                  <w:vAlign w:val="center"/>
                </w:tcPr>
                <w:p>
                  <w:pPr>
                    <w:pStyle w:val="69"/>
                    <w:rPr>
                      <w:rFonts w:hint="eastAsia"/>
                      <w:color w:val="auto"/>
                    </w:rPr>
                  </w:pPr>
                  <w:r>
                    <w:rPr>
                      <w:rFonts w:hint="eastAsia"/>
                      <w:color w:val="auto"/>
                    </w:rPr>
                    <w:t>50</w:t>
                  </w:r>
                </w:p>
              </w:tc>
              <w:tc>
                <w:tcPr>
                  <w:tcW w:w="686" w:type="pct"/>
                  <w:noWrap/>
                  <w:vAlign w:val="center"/>
                </w:tcPr>
                <w:p>
                  <w:pPr>
                    <w:pStyle w:val="69"/>
                    <w:rPr>
                      <w:rFonts w:hint="eastAsia"/>
                      <w:color w:val="auto"/>
                    </w:rPr>
                  </w:pPr>
                  <w:r>
                    <w:rPr>
                      <w:rFonts w:hint="eastAsia"/>
                      <w:color w:val="auto"/>
                    </w:rPr>
                    <w:t>支</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西咪替丁</w:t>
                  </w:r>
                </w:p>
              </w:tc>
              <w:tc>
                <w:tcPr>
                  <w:tcW w:w="815" w:type="pct"/>
                  <w:noWrap/>
                  <w:vAlign w:val="center"/>
                </w:tcPr>
                <w:p>
                  <w:pPr>
                    <w:pStyle w:val="69"/>
                    <w:rPr>
                      <w:rFonts w:hint="eastAsia"/>
                      <w:color w:val="auto"/>
                    </w:rPr>
                  </w:pPr>
                  <w:r>
                    <w:rPr>
                      <w:rFonts w:hint="eastAsia"/>
                      <w:color w:val="auto"/>
                    </w:rPr>
                    <w:t>20</w:t>
                  </w:r>
                </w:p>
              </w:tc>
              <w:tc>
                <w:tcPr>
                  <w:tcW w:w="686" w:type="pct"/>
                  <w:noWrap/>
                  <w:vAlign w:val="center"/>
                </w:tcPr>
                <w:p>
                  <w:pPr>
                    <w:pStyle w:val="69"/>
                    <w:rPr>
                      <w:rFonts w:hint="eastAsia"/>
                      <w:color w:val="auto"/>
                    </w:rPr>
                  </w:pPr>
                  <w:r>
                    <w:rPr>
                      <w:rFonts w:hint="eastAsia"/>
                      <w:color w:val="auto"/>
                    </w:rPr>
                    <w:t>盒</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贝卫多</w:t>
                  </w:r>
                </w:p>
              </w:tc>
              <w:tc>
                <w:tcPr>
                  <w:tcW w:w="815" w:type="pct"/>
                  <w:noWrap/>
                  <w:vAlign w:val="center"/>
                </w:tcPr>
                <w:p>
                  <w:pPr>
                    <w:pStyle w:val="69"/>
                    <w:rPr>
                      <w:rFonts w:hint="eastAsia"/>
                      <w:color w:val="auto"/>
                    </w:rPr>
                  </w:pPr>
                  <w:r>
                    <w:rPr>
                      <w:rFonts w:hint="eastAsia"/>
                      <w:color w:val="auto"/>
                    </w:rPr>
                    <w:t>100</w:t>
                  </w:r>
                </w:p>
              </w:tc>
              <w:tc>
                <w:tcPr>
                  <w:tcW w:w="686" w:type="pct"/>
                  <w:noWrap/>
                  <w:vAlign w:val="center"/>
                </w:tcPr>
                <w:p>
                  <w:pPr>
                    <w:pStyle w:val="69"/>
                    <w:rPr>
                      <w:rFonts w:hint="eastAsia"/>
                      <w:color w:val="auto"/>
                    </w:rPr>
                  </w:pPr>
                  <w:r>
                    <w:rPr>
                      <w:rFonts w:hint="eastAsia"/>
                      <w:color w:val="auto"/>
                    </w:rPr>
                    <w:t>盒</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欣宠克</w:t>
                  </w:r>
                </w:p>
              </w:tc>
              <w:tc>
                <w:tcPr>
                  <w:tcW w:w="815" w:type="pct"/>
                  <w:noWrap/>
                  <w:vAlign w:val="center"/>
                </w:tcPr>
                <w:p>
                  <w:pPr>
                    <w:pStyle w:val="69"/>
                    <w:rPr>
                      <w:rFonts w:hint="eastAsia"/>
                      <w:color w:val="auto"/>
                    </w:rPr>
                  </w:pPr>
                  <w:r>
                    <w:rPr>
                      <w:rFonts w:hint="eastAsia"/>
                      <w:color w:val="auto"/>
                    </w:rPr>
                    <w:t>100</w:t>
                  </w:r>
                </w:p>
              </w:tc>
              <w:tc>
                <w:tcPr>
                  <w:tcW w:w="686" w:type="pct"/>
                  <w:noWrap/>
                  <w:vAlign w:val="center"/>
                </w:tcPr>
                <w:p>
                  <w:pPr>
                    <w:pStyle w:val="69"/>
                    <w:rPr>
                      <w:rFonts w:hint="eastAsia"/>
                      <w:color w:val="auto"/>
                    </w:rPr>
                  </w:pPr>
                  <w:r>
                    <w:rPr>
                      <w:rFonts w:hint="eastAsia"/>
                      <w:color w:val="auto"/>
                    </w:rPr>
                    <w:t>盒</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欣宠克（20mg)</w:t>
                  </w:r>
                </w:p>
              </w:tc>
              <w:tc>
                <w:tcPr>
                  <w:tcW w:w="815" w:type="pct"/>
                  <w:noWrap/>
                  <w:vAlign w:val="center"/>
                </w:tcPr>
                <w:p>
                  <w:pPr>
                    <w:pStyle w:val="69"/>
                    <w:rPr>
                      <w:rFonts w:hint="eastAsia"/>
                      <w:color w:val="auto"/>
                    </w:rPr>
                  </w:pPr>
                  <w:r>
                    <w:rPr>
                      <w:rFonts w:hint="eastAsia"/>
                      <w:color w:val="auto"/>
                    </w:rPr>
                    <w:t>80</w:t>
                  </w:r>
                </w:p>
              </w:tc>
              <w:tc>
                <w:tcPr>
                  <w:tcW w:w="686" w:type="pct"/>
                  <w:noWrap/>
                  <w:vAlign w:val="center"/>
                </w:tcPr>
                <w:p>
                  <w:pPr>
                    <w:pStyle w:val="69"/>
                    <w:rPr>
                      <w:rFonts w:hint="eastAsia"/>
                      <w:color w:val="auto"/>
                    </w:rPr>
                  </w:pPr>
                  <w:r>
                    <w:rPr>
                      <w:rFonts w:hint="eastAsia"/>
                      <w:color w:val="auto"/>
                    </w:rPr>
                    <w:t>片</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爱沃克猫滴</w:t>
                  </w:r>
                </w:p>
              </w:tc>
              <w:tc>
                <w:tcPr>
                  <w:tcW w:w="815" w:type="pct"/>
                  <w:noWrap/>
                  <w:vAlign w:val="center"/>
                </w:tcPr>
                <w:p>
                  <w:pPr>
                    <w:pStyle w:val="69"/>
                    <w:rPr>
                      <w:rFonts w:hint="eastAsia"/>
                      <w:color w:val="auto"/>
                    </w:rPr>
                  </w:pPr>
                  <w:r>
                    <w:rPr>
                      <w:rFonts w:hint="eastAsia"/>
                      <w:color w:val="auto"/>
                    </w:rPr>
                    <w:t>200</w:t>
                  </w:r>
                </w:p>
              </w:tc>
              <w:tc>
                <w:tcPr>
                  <w:tcW w:w="686" w:type="pct"/>
                  <w:noWrap/>
                  <w:vAlign w:val="center"/>
                </w:tcPr>
                <w:p>
                  <w:pPr>
                    <w:pStyle w:val="69"/>
                    <w:rPr>
                      <w:rFonts w:hint="eastAsia"/>
                      <w:color w:val="auto"/>
                    </w:rPr>
                  </w:pPr>
                  <w:r>
                    <w:rPr>
                      <w:rFonts w:hint="eastAsia"/>
                      <w:color w:val="auto"/>
                    </w:rPr>
                    <w:t>盒</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大宠爱</w:t>
                  </w:r>
                </w:p>
              </w:tc>
              <w:tc>
                <w:tcPr>
                  <w:tcW w:w="815" w:type="pct"/>
                  <w:noWrap/>
                  <w:vAlign w:val="center"/>
                </w:tcPr>
                <w:p>
                  <w:pPr>
                    <w:pStyle w:val="69"/>
                    <w:rPr>
                      <w:rFonts w:hint="eastAsia"/>
                      <w:color w:val="auto"/>
                    </w:rPr>
                  </w:pPr>
                  <w:r>
                    <w:rPr>
                      <w:rFonts w:hint="eastAsia"/>
                      <w:color w:val="auto"/>
                    </w:rPr>
                    <w:t>20</w:t>
                  </w:r>
                </w:p>
              </w:tc>
              <w:tc>
                <w:tcPr>
                  <w:tcW w:w="686" w:type="pct"/>
                  <w:noWrap/>
                  <w:vAlign w:val="center"/>
                </w:tcPr>
                <w:p>
                  <w:pPr>
                    <w:pStyle w:val="69"/>
                    <w:rPr>
                      <w:rFonts w:hint="eastAsia"/>
                      <w:color w:val="auto"/>
                    </w:rPr>
                  </w:pPr>
                  <w:r>
                    <w:rPr>
                      <w:rFonts w:hint="eastAsia"/>
                      <w:color w:val="auto"/>
                    </w:rPr>
                    <w:t>盒</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汉宠欣</w:t>
                  </w:r>
                </w:p>
              </w:tc>
              <w:tc>
                <w:tcPr>
                  <w:tcW w:w="815" w:type="pct"/>
                  <w:noWrap/>
                  <w:vAlign w:val="center"/>
                </w:tcPr>
                <w:p>
                  <w:pPr>
                    <w:pStyle w:val="69"/>
                    <w:rPr>
                      <w:rFonts w:hint="eastAsia"/>
                      <w:color w:val="auto"/>
                    </w:rPr>
                  </w:pPr>
                  <w:r>
                    <w:rPr>
                      <w:rFonts w:hint="eastAsia"/>
                      <w:color w:val="auto"/>
                    </w:rPr>
                    <w:t>60</w:t>
                  </w:r>
                </w:p>
              </w:tc>
              <w:tc>
                <w:tcPr>
                  <w:tcW w:w="686" w:type="pct"/>
                  <w:noWrap/>
                  <w:vAlign w:val="center"/>
                </w:tcPr>
                <w:p>
                  <w:pPr>
                    <w:pStyle w:val="69"/>
                    <w:rPr>
                      <w:rFonts w:hint="eastAsia"/>
                      <w:color w:val="auto"/>
                    </w:rPr>
                  </w:pPr>
                  <w:r>
                    <w:rPr>
                      <w:rFonts w:hint="eastAsia"/>
                      <w:color w:val="auto"/>
                    </w:rPr>
                    <w:t>盒</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海乐妙14毫克</w:t>
                  </w:r>
                </w:p>
              </w:tc>
              <w:tc>
                <w:tcPr>
                  <w:tcW w:w="815" w:type="pct"/>
                  <w:noWrap/>
                  <w:vAlign w:val="center"/>
                </w:tcPr>
                <w:p>
                  <w:pPr>
                    <w:pStyle w:val="69"/>
                    <w:rPr>
                      <w:rFonts w:hint="eastAsia"/>
                      <w:color w:val="auto"/>
                    </w:rPr>
                  </w:pPr>
                  <w:r>
                    <w:rPr>
                      <w:rFonts w:hint="eastAsia"/>
                      <w:color w:val="auto"/>
                    </w:rPr>
                    <w:t>45</w:t>
                  </w:r>
                </w:p>
              </w:tc>
              <w:tc>
                <w:tcPr>
                  <w:tcW w:w="686" w:type="pct"/>
                  <w:noWrap/>
                  <w:vAlign w:val="center"/>
                </w:tcPr>
                <w:p>
                  <w:pPr>
                    <w:pStyle w:val="69"/>
                    <w:rPr>
                      <w:rFonts w:hint="eastAsia"/>
                      <w:color w:val="auto"/>
                    </w:rPr>
                  </w:pPr>
                  <w:r>
                    <w:rPr>
                      <w:rFonts w:hint="eastAsia"/>
                      <w:color w:val="auto"/>
                    </w:rPr>
                    <w:t>盒</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海乐妙56毫克</w:t>
                  </w:r>
                </w:p>
              </w:tc>
              <w:tc>
                <w:tcPr>
                  <w:tcW w:w="815" w:type="pct"/>
                  <w:noWrap/>
                  <w:vAlign w:val="center"/>
                </w:tcPr>
                <w:p>
                  <w:pPr>
                    <w:pStyle w:val="69"/>
                    <w:rPr>
                      <w:rFonts w:hint="eastAsia"/>
                      <w:color w:val="auto"/>
                    </w:rPr>
                  </w:pPr>
                  <w:r>
                    <w:rPr>
                      <w:rFonts w:hint="eastAsia"/>
                      <w:color w:val="auto"/>
                    </w:rPr>
                    <w:t>58</w:t>
                  </w:r>
                </w:p>
              </w:tc>
              <w:tc>
                <w:tcPr>
                  <w:tcW w:w="686" w:type="pct"/>
                  <w:noWrap/>
                  <w:vAlign w:val="center"/>
                </w:tcPr>
                <w:p>
                  <w:pPr>
                    <w:pStyle w:val="69"/>
                    <w:rPr>
                      <w:rFonts w:hint="eastAsia"/>
                      <w:color w:val="auto"/>
                    </w:rPr>
                  </w:pPr>
                  <w:r>
                    <w:rPr>
                      <w:rFonts w:hint="eastAsia"/>
                      <w:color w:val="auto"/>
                    </w:rPr>
                    <w:t>盒</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海乐旺</w:t>
                  </w:r>
                </w:p>
              </w:tc>
              <w:tc>
                <w:tcPr>
                  <w:tcW w:w="815" w:type="pct"/>
                  <w:noWrap/>
                  <w:vAlign w:val="center"/>
                </w:tcPr>
                <w:p>
                  <w:pPr>
                    <w:pStyle w:val="69"/>
                    <w:rPr>
                      <w:rFonts w:hint="eastAsia"/>
                      <w:color w:val="auto"/>
                    </w:rPr>
                  </w:pPr>
                  <w:r>
                    <w:rPr>
                      <w:rFonts w:hint="eastAsia"/>
                      <w:color w:val="auto"/>
                    </w:rPr>
                    <w:t>75</w:t>
                  </w:r>
                </w:p>
              </w:tc>
              <w:tc>
                <w:tcPr>
                  <w:tcW w:w="686" w:type="pct"/>
                  <w:noWrap/>
                  <w:vAlign w:val="center"/>
                </w:tcPr>
                <w:p>
                  <w:pPr>
                    <w:pStyle w:val="69"/>
                    <w:rPr>
                      <w:rFonts w:hint="eastAsia"/>
                      <w:color w:val="auto"/>
                    </w:rPr>
                  </w:pPr>
                  <w:r>
                    <w:rPr>
                      <w:rFonts w:hint="eastAsia"/>
                      <w:color w:val="auto"/>
                    </w:rPr>
                    <w:t>盒</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法国威隆耳肤灵</w:t>
                  </w:r>
                </w:p>
              </w:tc>
              <w:tc>
                <w:tcPr>
                  <w:tcW w:w="815" w:type="pct"/>
                  <w:noWrap/>
                  <w:vAlign w:val="center"/>
                </w:tcPr>
                <w:p>
                  <w:pPr>
                    <w:pStyle w:val="69"/>
                    <w:rPr>
                      <w:rFonts w:hint="eastAsia"/>
                      <w:color w:val="auto"/>
                    </w:rPr>
                  </w:pPr>
                  <w:r>
                    <w:rPr>
                      <w:rFonts w:hint="eastAsia"/>
                      <w:color w:val="auto"/>
                    </w:rPr>
                    <w:t>130</w:t>
                  </w:r>
                </w:p>
              </w:tc>
              <w:tc>
                <w:tcPr>
                  <w:tcW w:w="686" w:type="pct"/>
                  <w:noWrap/>
                  <w:vAlign w:val="center"/>
                </w:tcPr>
                <w:p>
                  <w:pPr>
                    <w:pStyle w:val="69"/>
                    <w:rPr>
                      <w:rFonts w:hint="eastAsia"/>
                      <w:color w:val="auto"/>
                    </w:rPr>
                  </w:pPr>
                  <w:r>
                    <w:rPr>
                      <w:rFonts w:hint="eastAsia"/>
                      <w:color w:val="auto"/>
                    </w:rPr>
                    <w:t>支</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法国威隆耳舒</w:t>
                  </w:r>
                </w:p>
              </w:tc>
              <w:tc>
                <w:tcPr>
                  <w:tcW w:w="815" w:type="pct"/>
                  <w:noWrap/>
                  <w:vAlign w:val="center"/>
                </w:tcPr>
                <w:p>
                  <w:pPr>
                    <w:pStyle w:val="69"/>
                    <w:rPr>
                      <w:rFonts w:hint="eastAsia"/>
                      <w:color w:val="auto"/>
                    </w:rPr>
                  </w:pPr>
                  <w:r>
                    <w:rPr>
                      <w:rFonts w:hint="eastAsia"/>
                      <w:color w:val="auto"/>
                    </w:rPr>
                    <w:t>120</w:t>
                  </w:r>
                </w:p>
              </w:tc>
              <w:tc>
                <w:tcPr>
                  <w:tcW w:w="686" w:type="pct"/>
                  <w:noWrap/>
                  <w:vAlign w:val="center"/>
                </w:tcPr>
                <w:p>
                  <w:pPr>
                    <w:pStyle w:val="69"/>
                    <w:rPr>
                      <w:rFonts w:hint="eastAsia"/>
                      <w:color w:val="auto"/>
                    </w:rPr>
                  </w:pPr>
                  <w:r>
                    <w:rPr>
                      <w:rFonts w:hint="eastAsia"/>
                      <w:color w:val="auto"/>
                    </w:rPr>
                    <w:t>瓶</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一宠眼康</w:t>
                  </w:r>
                </w:p>
              </w:tc>
              <w:tc>
                <w:tcPr>
                  <w:tcW w:w="815" w:type="pct"/>
                  <w:noWrap/>
                  <w:vAlign w:val="center"/>
                </w:tcPr>
                <w:p>
                  <w:pPr>
                    <w:pStyle w:val="69"/>
                    <w:rPr>
                      <w:rFonts w:hint="eastAsia"/>
                      <w:color w:val="auto"/>
                    </w:rPr>
                  </w:pPr>
                  <w:r>
                    <w:rPr>
                      <w:rFonts w:hint="eastAsia"/>
                      <w:color w:val="auto"/>
                    </w:rPr>
                    <w:t>50</w:t>
                  </w:r>
                </w:p>
              </w:tc>
              <w:tc>
                <w:tcPr>
                  <w:tcW w:w="686" w:type="pct"/>
                  <w:noWrap/>
                  <w:vAlign w:val="center"/>
                </w:tcPr>
                <w:p>
                  <w:pPr>
                    <w:pStyle w:val="69"/>
                    <w:rPr>
                      <w:rFonts w:hint="eastAsia"/>
                      <w:color w:val="auto"/>
                    </w:rPr>
                  </w:pPr>
                  <w:r>
                    <w:rPr>
                      <w:rFonts w:hint="eastAsia"/>
                      <w:color w:val="auto"/>
                    </w:rPr>
                    <w:t>瓶</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维克康泰乐药浴液</w:t>
                  </w:r>
                </w:p>
              </w:tc>
              <w:tc>
                <w:tcPr>
                  <w:tcW w:w="815" w:type="pct"/>
                  <w:noWrap/>
                  <w:vAlign w:val="center"/>
                </w:tcPr>
                <w:p>
                  <w:pPr>
                    <w:pStyle w:val="69"/>
                    <w:rPr>
                      <w:rFonts w:hint="eastAsia"/>
                      <w:color w:val="auto"/>
                    </w:rPr>
                  </w:pPr>
                  <w:r>
                    <w:rPr>
                      <w:rFonts w:hint="eastAsia"/>
                      <w:color w:val="auto"/>
                    </w:rPr>
                    <w:t>20</w:t>
                  </w:r>
                </w:p>
              </w:tc>
              <w:tc>
                <w:tcPr>
                  <w:tcW w:w="686" w:type="pct"/>
                  <w:noWrap/>
                  <w:vAlign w:val="center"/>
                </w:tcPr>
                <w:p>
                  <w:pPr>
                    <w:pStyle w:val="69"/>
                    <w:rPr>
                      <w:rFonts w:hint="eastAsia"/>
                      <w:color w:val="auto"/>
                    </w:rPr>
                  </w:pPr>
                  <w:r>
                    <w:rPr>
                      <w:rFonts w:hint="eastAsia"/>
                      <w:color w:val="auto"/>
                    </w:rPr>
                    <w:t>瓶</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维克爱乐美药浴液</w:t>
                  </w:r>
                </w:p>
              </w:tc>
              <w:tc>
                <w:tcPr>
                  <w:tcW w:w="815" w:type="pct"/>
                  <w:noWrap/>
                  <w:vAlign w:val="center"/>
                </w:tcPr>
                <w:p>
                  <w:pPr>
                    <w:pStyle w:val="69"/>
                    <w:rPr>
                      <w:rFonts w:hint="eastAsia"/>
                      <w:color w:val="auto"/>
                    </w:rPr>
                  </w:pPr>
                  <w:r>
                    <w:rPr>
                      <w:rFonts w:hint="eastAsia"/>
                      <w:color w:val="auto"/>
                    </w:rPr>
                    <w:t>20</w:t>
                  </w:r>
                </w:p>
              </w:tc>
              <w:tc>
                <w:tcPr>
                  <w:tcW w:w="686" w:type="pct"/>
                  <w:noWrap/>
                  <w:vAlign w:val="center"/>
                </w:tcPr>
                <w:p>
                  <w:pPr>
                    <w:pStyle w:val="69"/>
                    <w:rPr>
                      <w:rFonts w:hint="eastAsia"/>
                      <w:color w:val="auto"/>
                    </w:rPr>
                  </w:pPr>
                  <w:r>
                    <w:rPr>
                      <w:rFonts w:hint="eastAsia"/>
                      <w:color w:val="auto"/>
                    </w:rPr>
                    <w:t>瓶</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百灵金方抑菌液</w:t>
                  </w:r>
                </w:p>
              </w:tc>
              <w:tc>
                <w:tcPr>
                  <w:tcW w:w="815" w:type="pct"/>
                  <w:noWrap/>
                  <w:vAlign w:val="center"/>
                </w:tcPr>
                <w:p>
                  <w:pPr>
                    <w:pStyle w:val="69"/>
                    <w:rPr>
                      <w:rFonts w:hint="eastAsia"/>
                      <w:color w:val="auto"/>
                    </w:rPr>
                  </w:pPr>
                  <w:r>
                    <w:rPr>
                      <w:rFonts w:hint="eastAsia"/>
                      <w:color w:val="auto"/>
                    </w:rPr>
                    <w:t>300</w:t>
                  </w:r>
                </w:p>
              </w:tc>
              <w:tc>
                <w:tcPr>
                  <w:tcW w:w="686" w:type="pct"/>
                  <w:noWrap/>
                  <w:vAlign w:val="center"/>
                </w:tcPr>
                <w:p>
                  <w:pPr>
                    <w:pStyle w:val="69"/>
                    <w:rPr>
                      <w:rFonts w:hint="eastAsia"/>
                      <w:color w:val="auto"/>
                    </w:rPr>
                  </w:pPr>
                  <w:r>
                    <w:rPr>
                      <w:rFonts w:hint="eastAsia"/>
                      <w:color w:val="auto"/>
                    </w:rPr>
                    <w:t>瓶</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restart"/>
                  <w:noWrap/>
                  <w:vAlign w:val="center"/>
                </w:tcPr>
                <w:p>
                  <w:pPr>
                    <w:pStyle w:val="69"/>
                    <w:rPr>
                      <w:rFonts w:hint="eastAsia"/>
                      <w:color w:val="auto"/>
                    </w:rPr>
                  </w:pPr>
                  <w:r>
                    <w:rPr>
                      <w:rFonts w:hint="eastAsia"/>
                      <w:color w:val="auto"/>
                    </w:rPr>
                    <w:t>消毒</w:t>
                  </w:r>
                </w:p>
              </w:tc>
              <w:tc>
                <w:tcPr>
                  <w:tcW w:w="1994" w:type="pct"/>
                  <w:noWrap/>
                  <w:vAlign w:val="center"/>
                </w:tcPr>
                <w:p>
                  <w:pPr>
                    <w:pStyle w:val="69"/>
                    <w:rPr>
                      <w:rFonts w:hint="eastAsia"/>
                      <w:color w:val="auto"/>
                    </w:rPr>
                  </w:pPr>
                  <w:r>
                    <w:rPr>
                      <w:rFonts w:hint="eastAsia"/>
                      <w:color w:val="auto"/>
                    </w:rPr>
                    <w:t>奥福健</w:t>
                  </w:r>
                </w:p>
              </w:tc>
              <w:tc>
                <w:tcPr>
                  <w:tcW w:w="815" w:type="pct"/>
                  <w:noWrap/>
                  <w:vAlign w:val="center"/>
                </w:tcPr>
                <w:p>
                  <w:pPr>
                    <w:pStyle w:val="69"/>
                    <w:rPr>
                      <w:rFonts w:hint="eastAsia"/>
                      <w:color w:val="auto"/>
                    </w:rPr>
                  </w:pPr>
                  <w:r>
                    <w:rPr>
                      <w:rFonts w:hint="eastAsia"/>
                      <w:color w:val="auto"/>
                    </w:rPr>
                    <w:t>80</w:t>
                  </w:r>
                </w:p>
              </w:tc>
              <w:tc>
                <w:tcPr>
                  <w:tcW w:w="686" w:type="pct"/>
                  <w:noWrap/>
                  <w:vAlign w:val="center"/>
                </w:tcPr>
                <w:p>
                  <w:pPr>
                    <w:pStyle w:val="69"/>
                    <w:rPr>
                      <w:rFonts w:hint="eastAsia"/>
                      <w:color w:val="auto"/>
                    </w:rPr>
                  </w:pPr>
                  <w:r>
                    <w:rPr>
                      <w:rFonts w:hint="eastAsia"/>
                      <w:color w:val="auto"/>
                    </w:rPr>
                    <w:t>瓶</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清欢</w:t>
                  </w:r>
                </w:p>
              </w:tc>
              <w:tc>
                <w:tcPr>
                  <w:tcW w:w="815" w:type="pct"/>
                  <w:noWrap/>
                  <w:vAlign w:val="center"/>
                </w:tcPr>
                <w:p>
                  <w:pPr>
                    <w:pStyle w:val="69"/>
                    <w:rPr>
                      <w:rFonts w:hint="eastAsia"/>
                      <w:color w:val="auto"/>
                    </w:rPr>
                  </w:pPr>
                  <w:r>
                    <w:rPr>
                      <w:rFonts w:hint="eastAsia"/>
                      <w:color w:val="auto"/>
                    </w:rPr>
                    <w:t>80</w:t>
                  </w:r>
                </w:p>
              </w:tc>
              <w:tc>
                <w:tcPr>
                  <w:tcW w:w="686" w:type="pct"/>
                  <w:noWrap/>
                  <w:vAlign w:val="center"/>
                </w:tcPr>
                <w:p>
                  <w:pPr>
                    <w:pStyle w:val="69"/>
                    <w:rPr>
                      <w:rFonts w:hint="eastAsia"/>
                      <w:color w:val="auto"/>
                    </w:rPr>
                  </w:pPr>
                  <w:r>
                    <w:rPr>
                      <w:rFonts w:hint="eastAsia"/>
                      <w:color w:val="auto"/>
                    </w:rPr>
                    <w:t>盒</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restart"/>
                  <w:noWrap/>
                  <w:vAlign w:val="center"/>
                </w:tcPr>
                <w:p>
                  <w:pPr>
                    <w:pStyle w:val="69"/>
                    <w:rPr>
                      <w:rFonts w:hint="eastAsia"/>
                      <w:color w:val="auto"/>
                    </w:rPr>
                  </w:pPr>
                  <w:r>
                    <w:rPr>
                      <w:rFonts w:hint="eastAsia"/>
                      <w:color w:val="auto"/>
                    </w:rPr>
                    <w:t>耗材</w:t>
                  </w:r>
                </w:p>
              </w:tc>
              <w:tc>
                <w:tcPr>
                  <w:tcW w:w="1994" w:type="pct"/>
                  <w:noWrap/>
                  <w:vAlign w:val="center"/>
                </w:tcPr>
                <w:p>
                  <w:pPr>
                    <w:pStyle w:val="69"/>
                    <w:rPr>
                      <w:rFonts w:hint="eastAsia"/>
                      <w:color w:val="auto"/>
                    </w:rPr>
                  </w:pPr>
                  <w:r>
                    <w:rPr>
                      <w:rFonts w:hint="eastAsia"/>
                      <w:color w:val="auto"/>
                    </w:rPr>
                    <w:t>狗导尿管1.6</w:t>
                  </w:r>
                </w:p>
              </w:tc>
              <w:tc>
                <w:tcPr>
                  <w:tcW w:w="815" w:type="pct"/>
                  <w:noWrap/>
                  <w:vAlign w:val="center"/>
                </w:tcPr>
                <w:p>
                  <w:pPr>
                    <w:pStyle w:val="69"/>
                    <w:rPr>
                      <w:rFonts w:hint="eastAsia"/>
                      <w:color w:val="auto"/>
                    </w:rPr>
                  </w:pPr>
                  <w:r>
                    <w:rPr>
                      <w:rFonts w:hint="eastAsia"/>
                      <w:color w:val="auto"/>
                    </w:rPr>
                    <w:t>80</w:t>
                  </w:r>
                </w:p>
              </w:tc>
              <w:tc>
                <w:tcPr>
                  <w:tcW w:w="686" w:type="pct"/>
                  <w:noWrap/>
                  <w:vAlign w:val="center"/>
                </w:tcPr>
                <w:p>
                  <w:pPr>
                    <w:pStyle w:val="69"/>
                    <w:rPr>
                      <w:rFonts w:hint="eastAsia"/>
                      <w:color w:val="auto"/>
                    </w:rPr>
                  </w:pPr>
                  <w:r>
                    <w:rPr>
                      <w:rFonts w:hint="eastAsia"/>
                      <w:color w:val="auto"/>
                    </w:rPr>
                    <w:t>根</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狗用导尿管2.0</w:t>
                  </w:r>
                </w:p>
              </w:tc>
              <w:tc>
                <w:tcPr>
                  <w:tcW w:w="815" w:type="pct"/>
                  <w:noWrap/>
                  <w:vAlign w:val="center"/>
                </w:tcPr>
                <w:p>
                  <w:pPr>
                    <w:pStyle w:val="69"/>
                    <w:rPr>
                      <w:rFonts w:hint="eastAsia"/>
                      <w:color w:val="auto"/>
                    </w:rPr>
                  </w:pPr>
                  <w:r>
                    <w:rPr>
                      <w:rFonts w:hint="eastAsia"/>
                      <w:color w:val="auto"/>
                    </w:rPr>
                    <w:t>5</w:t>
                  </w:r>
                </w:p>
              </w:tc>
              <w:tc>
                <w:tcPr>
                  <w:tcW w:w="686" w:type="pct"/>
                  <w:noWrap/>
                  <w:vAlign w:val="center"/>
                </w:tcPr>
                <w:p>
                  <w:pPr>
                    <w:pStyle w:val="69"/>
                    <w:rPr>
                      <w:rFonts w:hint="eastAsia"/>
                      <w:color w:val="auto"/>
                    </w:rPr>
                  </w:pPr>
                  <w:r>
                    <w:rPr>
                      <w:rFonts w:hint="eastAsia"/>
                      <w:color w:val="auto"/>
                    </w:rPr>
                    <w:t>根</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狗用导尿管2.6</w:t>
                  </w:r>
                </w:p>
              </w:tc>
              <w:tc>
                <w:tcPr>
                  <w:tcW w:w="815" w:type="pct"/>
                  <w:noWrap/>
                  <w:vAlign w:val="center"/>
                </w:tcPr>
                <w:p>
                  <w:pPr>
                    <w:pStyle w:val="69"/>
                    <w:rPr>
                      <w:rFonts w:hint="eastAsia"/>
                      <w:color w:val="auto"/>
                    </w:rPr>
                  </w:pPr>
                  <w:r>
                    <w:rPr>
                      <w:rFonts w:hint="eastAsia"/>
                      <w:color w:val="auto"/>
                    </w:rPr>
                    <w:t>5</w:t>
                  </w:r>
                </w:p>
              </w:tc>
              <w:tc>
                <w:tcPr>
                  <w:tcW w:w="686" w:type="pct"/>
                  <w:noWrap/>
                  <w:vAlign w:val="center"/>
                </w:tcPr>
                <w:p>
                  <w:pPr>
                    <w:pStyle w:val="69"/>
                    <w:rPr>
                      <w:rFonts w:hint="eastAsia"/>
                      <w:color w:val="auto"/>
                    </w:rPr>
                  </w:pPr>
                  <w:r>
                    <w:rPr>
                      <w:rFonts w:hint="eastAsia"/>
                      <w:color w:val="auto"/>
                    </w:rPr>
                    <w:t>根</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静脉留置针22G</w:t>
                  </w:r>
                </w:p>
              </w:tc>
              <w:tc>
                <w:tcPr>
                  <w:tcW w:w="815" w:type="pct"/>
                  <w:noWrap/>
                  <w:vAlign w:val="center"/>
                </w:tcPr>
                <w:p>
                  <w:pPr>
                    <w:pStyle w:val="69"/>
                    <w:rPr>
                      <w:rFonts w:hint="eastAsia"/>
                      <w:color w:val="auto"/>
                    </w:rPr>
                  </w:pPr>
                  <w:r>
                    <w:rPr>
                      <w:rFonts w:hint="eastAsia"/>
                      <w:color w:val="auto"/>
                    </w:rPr>
                    <w:t>50</w:t>
                  </w:r>
                </w:p>
              </w:tc>
              <w:tc>
                <w:tcPr>
                  <w:tcW w:w="686" w:type="pct"/>
                  <w:noWrap/>
                  <w:vAlign w:val="center"/>
                </w:tcPr>
                <w:p>
                  <w:pPr>
                    <w:pStyle w:val="69"/>
                    <w:rPr>
                      <w:rFonts w:hint="eastAsia"/>
                      <w:color w:val="auto"/>
                    </w:rPr>
                  </w:pPr>
                  <w:r>
                    <w:rPr>
                      <w:rFonts w:hint="eastAsia"/>
                      <w:color w:val="auto"/>
                    </w:rPr>
                    <w:t>个</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静脉留置针24G</w:t>
                  </w:r>
                </w:p>
              </w:tc>
              <w:tc>
                <w:tcPr>
                  <w:tcW w:w="815" w:type="pct"/>
                  <w:noWrap/>
                  <w:vAlign w:val="center"/>
                </w:tcPr>
                <w:p>
                  <w:pPr>
                    <w:pStyle w:val="69"/>
                    <w:rPr>
                      <w:rFonts w:hint="eastAsia"/>
                      <w:color w:val="auto"/>
                    </w:rPr>
                  </w:pPr>
                  <w:r>
                    <w:rPr>
                      <w:rFonts w:hint="eastAsia"/>
                      <w:color w:val="auto"/>
                    </w:rPr>
                    <w:t>500</w:t>
                  </w:r>
                </w:p>
              </w:tc>
              <w:tc>
                <w:tcPr>
                  <w:tcW w:w="686" w:type="pct"/>
                  <w:noWrap/>
                  <w:vAlign w:val="center"/>
                </w:tcPr>
                <w:p>
                  <w:pPr>
                    <w:pStyle w:val="69"/>
                    <w:rPr>
                      <w:rFonts w:hint="eastAsia"/>
                      <w:color w:val="auto"/>
                    </w:rPr>
                  </w:pPr>
                  <w:r>
                    <w:rPr>
                      <w:rFonts w:hint="eastAsia"/>
                      <w:color w:val="auto"/>
                    </w:rPr>
                    <w:t>个</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静脉留置针26G</w:t>
                  </w:r>
                </w:p>
              </w:tc>
              <w:tc>
                <w:tcPr>
                  <w:tcW w:w="815" w:type="pct"/>
                  <w:noWrap/>
                  <w:vAlign w:val="center"/>
                </w:tcPr>
                <w:p>
                  <w:pPr>
                    <w:pStyle w:val="69"/>
                    <w:rPr>
                      <w:rFonts w:hint="eastAsia"/>
                      <w:color w:val="auto"/>
                    </w:rPr>
                  </w:pPr>
                  <w:r>
                    <w:rPr>
                      <w:rFonts w:hint="eastAsia"/>
                      <w:color w:val="auto"/>
                    </w:rPr>
                    <w:t>300</w:t>
                  </w:r>
                </w:p>
              </w:tc>
              <w:tc>
                <w:tcPr>
                  <w:tcW w:w="686" w:type="pct"/>
                  <w:noWrap/>
                  <w:vAlign w:val="center"/>
                </w:tcPr>
                <w:p>
                  <w:pPr>
                    <w:pStyle w:val="69"/>
                    <w:rPr>
                      <w:rFonts w:hint="eastAsia"/>
                      <w:color w:val="auto"/>
                    </w:rPr>
                  </w:pPr>
                  <w:r>
                    <w:rPr>
                      <w:rFonts w:hint="eastAsia"/>
                      <w:color w:val="auto"/>
                    </w:rPr>
                    <w:t>个</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猫导尿管1.3*130</w:t>
                  </w:r>
                </w:p>
              </w:tc>
              <w:tc>
                <w:tcPr>
                  <w:tcW w:w="815" w:type="pct"/>
                  <w:noWrap/>
                  <w:vAlign w:val="center"/>
                </w:tcPr>
                <w:p>
                  <w:pPr>
                    <w:pStyle w:val="69"/>
                    <w:rPr>
                      <w:rFonts w:hint="eastAsia"/>
                      <w:color w:val="auto"/>
                    </w:rPr>
                  </w:pPr>
                  <w:r>
                    <w:rPr>
                      <w:rFonts w:hint="eastAsia"/>
                      <w:color w:val="auto"/>
                    </w:rPr>
                    <w:t>50</w:t>
                  </w:r>
                </w:p>
              </w:tc>
              <w:tc>
                <w:tcPr>
                  <w:tcW w:w="686" w:type="pct"/>
                  <w:noWrap/>
                  <w:vAlign w:val="center"/>
                </w:tcPr>
                <w:p>
                  <w:pPr>
                    <w:pStyle w:val="69"/>
                    <w:rPr>
                      <w:rFonts w:hint="eastAsia"/>
                      <w:color w:val="auto"/>
                    </w:rPr>
                  </w:pPr>
                  <w:r>
                    <w:rPr>
                      <w:rFonts w:hint="eastAsia"/>
                      <w:color w:val="auto"/>
                    </w:rPr>
                    <w:t>根</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注射器1ML</w:t>
                  </w:r>
                </w:p>
              </w:tc>
              <w:tc>
                <w:tcPr>
                  <w:tcW w:w="815" w:type="pct"/>
                  <w:noWrap/>
                  <w:vAlign w:val="center"/>
                </w:tcPr>
                <w:p>
                  <w:pPr>
                    <w:pStyle w:val="69"/>
                    <w:rPr>
                      <w:rFonts w:hint="eastAsia"/>
                      <w:color w:val="auto"/>
                    </w:rPr>
                  </w:pPr>
                  <w:r>
                    <w:rPr>
                      <w:rFonts w:hint="eastAsia"/>
                      <w:color w:val="auto"/>
                    </w:rPr>
                    <w:t>3000</w:t>
                  </w:r>
                </w:p>
              </w:tc>
              <w:tc>
                <w:tcPr>
                  <w:tcW w:w="686" w:type="pct"/>
                  <w:noWrap/>
                  <w:vAlign w:val="center"/>
                </w:tcPr>
                <w:p>
                  <w:pPr>
                    <w:pStyle w:val="69"/>
                    <w:rPr>
                      <w:rFonts w:hint="eastAsia"/>
                      <w:color w:val="auto"/>
                    </w:rPr>
                  </w:pPr>
                  <w:r>
                    <w:rPr>
                      <w:rFonts w:hint="eastAsia"/>
                      <w:color w:val="auto"/>
                    </w:rPr>
                    <w:t>个</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注射器2ML</w:t>
                  </w:r>
                </w:p>
              </w:tc>
              <w:tc>
                <w:tcPr>
                  <w:tcW w:w="815" w:type="pct"/>
                  <w:noWrap/>
                  <w:vAlign w:val="center"/>
                </w:tcPr>
                <w:p>
                  <w:pPr>
                    <w:pStyle w:val="69"/>
                    <w:rPr>
                      <w:rFonts w:hint="eastAsia"/>
                      <w:color w:val="auto"/>
                    </w:rPr>
                  </w:pPr>
                  <w:r>
                    <w:rPr>
                      <w:rFonts w:hint="eastAsia"/>
                      <w:color w:val="auto"/>
                    </w:rPr>
                    <w:t>3000</w:t>
                  </w:r>
                </w:p>
              </w:tc>
              <w:tc>
                <w:tcPr>
                  <w:tcW w:w="686" w:type="pct"/>
                  <w:noWrap/>
                  <w:vAlign w:val="center"/>
                </w:tcPr>
                <w:p>
                  <w:pPr>
                    <w:pStyle w:val="69"/>
                    <w:rPr>
                      <w:rFonts w:hint="eastAsia"/>
                      <w:color w:val="auto"/>
                    </w:rPr>
                  </w:pPr>
                  <w:r>
                    <w:rPr>
                      <w:rFonts w:hint="eastAsia"/>
                      <w:color w:val="auto"/>
                    </w:rPr>
                    <w:t>个</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注射器5ML</w:t>
                  </w:r>
                </w:p>
              </w:tc>
              <w:tc>
                <w:tcPr>
                  <w:tcW w:w="815" w:type="pct"/>
                  <w:noWrap/>
                  <w:vAlign w:val="center"/>
                </w:tcPr>
                <w:p>
                  <w:pPr>
                    <w:pStyle w:val="69"/>
                    <w:rPr>
                      <w:rFonts w:hint="eastAsia"/>
                      <w:color w:val="auto"/>
                    </w:rPr>
                  </w:pPr>
                  <w:r>
                    <w:rPr>
                      <w:rFonts w:hint="eastAsia"/>
                      <w:color w:val="auto"/>
                    </w:rPr>
                    <w:t>1000</w:t>
                  </w:r>
                </w:p>
              </w:tc>
              <w:tc>
                <w:tcPr>
                  <w:tcW w:w="686" w:type="pct"/>
                  <w:noWrap/>
                  <w:vAlign w:val="center"/>
                </w:tcPr>
                <w:p>
                  <w:pPr>
                    <w:pStyle w:val="69"/>
                    <w:rPr>
                      <w:rFonts w:hint="eastAsia"/>
                      <w:color w:val="auto"/>
                    </w:rPr>
                  </w:pPr>
                  <w:r>
                    <w:rPr>
                      <w:rFonts w:hint="eastAsia"/>
                      <w:color w:val="auto"/>
                    </w:rPr>
                    <w:t>个</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注射器20ML</w:t>
                  </w:r>
                </w:p>
              </w:tc>
              <w:tc>
                <w:tcPr>
                  <w:tcW w:w="815" w:type="pct"/>
                  <w:noWrap/>
                  <w:vAlign w:val="center"/>
                </w:tcPr>
                <w:p>
                  <w:pPr>
                    <w:pStyle w:val="69"/>
                    <w:rPr>
                      <w:rFonts w:hint="eastAsia"/>
                      <w:color w:val="auto"/>
                    </w:rPr>
                  </w:pPr>
                  <w:r>
                    <w:rPr>
                      <w:rFonts w:hint="eastAsia"/>
                      <w:color w:val="auto"/>
                    </w:rPr>
                    <w:t>500</w:t>
                  </w:r>
                </w:p>
              </w:tc>
              <w:tc>
                <w:tcPr>
                  <w:tcW w:w="686" w:type="pct"/>
                  <w:noWrap/>
                  <w:vAlign w:val="center"/>
                </w:tcPr>
                <w:p>
                  <w:pPr>
                    <w:pStyle w:val="69"/>
                    <w:rPr>
                      <w:rFonts w:hint="eastAsia"/>
                      <w:color w:val="auto"/>
                    </w:rPr>
                  </w:pPr>
                  <w:r>
                    <w:rPr>
                      <w:rFonts w:hint="eastAsia"/>
                      <w:color w:val="auto"/>
                    </w:rPr>
                    <w:t>个</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输液袋</w:t>
                  </w:r>
                </w:p>
              </w:tc>
              <w:tc>
                <w:tcPr>
                  <w:tcW w:w="815" w:type="pct"/>
                  <w:noWrap/>
                  <w:vAlign w:val="center"/>
                </w:tcPr>
                <w:p>
                  <w:pPr>
                    <w:pStyle w:val="69"/>
                    <w:rPr>
                      <w:rFonts w:hint="eastAsia"/>
                      <w:color w:val="auto"/>
                    </w:rPr>
                  </w:pPr>
                  <w:r>
                    <w:rPr>
                      <w:rFonts w:hint="eastAsia"/>
                      <w:color w:val="auto"/>
                    </w:rPr>
                    <w:t>1000</w:t>
                  </w:r>
                </w:p>
              </w:tc>
              <w:tc>
                <w:tcPr>
                  <w:tcW w:w="686" w:type="pct"/>
                  <w:noWrap/>
                  <w:vAlign w:val="center"/>
                </w:tcPr>
                <w:p>
                  <w:pPr>
                    <w:pStyle w:val="69"/>
                    <w:rPr>
                      <w:rFonts w:hint="eastAsia"/>
                      <w:color w:val="auto"/>
                    </w:rPr>
                  </w:pPr>
                  <w:r>
                    <w:rPr>
                      <w:rFonts w:hint="eastAsia"/>
                      <w:color w:val="auto"/>
                    </w:rPr>
                    <w:t>个</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头皮针</w:t>
                  </w:r>
                </w:p>
              </w:tc>
              <w:tc>
                <w:tcPr>
                  <w:tcW w:w="815" w:type="pct"/>
                  <w:noWrap/>
                  <w:vAlign w:val="center"/>
                </w:tcPr>
                <w:p>
                  <w:pPr>
                    <w:pStyle w:val="69"/>
                    <w:rPr>
                      <w:rFonts w:hint="eastAsia"/>
                      <w:color w:val="auto"/>
                    </w:rPr>
                  </w:pPr>
                  <w:r>
                    <w:rPr>
                      <w:rFonts w:hint="eastAsia"/>
                      <w:color w:val="auto"/>
                    </w:rPr>
                    <w:t>1000</w:t>
                  </w:r>
                </w:p>
              </w:tc>
              <w:tc>
                <w:tcPr>
                  <w:tcW w:w="686" w:type="pct"/>
                  <w:noWrap/>
                  <w:vAlign w:val="center"/>
                </w:tcPr>
                <w:p>
                  <w:pPr>
                    <w:pStyle w:val="69"/>
                    <w:rPr>
                      <w:rFonts w:hint="eastAsia"/>
                      <w:color w:val="auto"/>
                    </w:rPr>
                  </w:pPr>
                  <w:r>
                    <w:rPr>
                      <w:rFonts w:hint="eastAsia"/>
                      <w:color w:val="auto"/>
                    </w:rPr>
                    <w:t>个</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手术衣</w:t>
                  </w:r>
                </w:p>
              </w:tc>
              <w:tc>
                <w:tcPr>
                  <w:tcW w:w="815" w:type="pct"/>
                  <w:noWrap/>
                  <w:vAlign w:val="center"/>
                </w:tcPr>
                <w:p>
                  <w:pPr>
                    <w:pStyle w:val="69"/>
                    <w:rPr>
                      <w:rFonts w:hint="eastAsia"/>
                      <w:color w:val="auto"/>
                    </w:rPr>
                  </w:pPr>
                  <w:r>
                    <w:rPr>
                      <w:rFonts w:hint="eastAsia"/>
                      <w:color w:val="auto"/>
                    </w:rPr>
                    <w:t>800</w:t>
                  </w:r>
                </w:p>
              </w:tc>
              <w:tc>
                <w:tcPr>
                  <w:tcW w:w="686" w:type="pct"/>
                  <w:noWrap/>
                  <w:vAlign w:val="center"/>
                </w:tcPr>
                <w:p>
                  <w:pPr>
                    <w:pStyle w:val="69"/>
                    <w:rPr>
                      <w:rFonts w:hint="eastAsia"/>
                      <w:color w:val="auto"/>
                    </w:rPr>
                  </w:pPr>
                  <w:r>
                    <w:rPr>
                      <w:rFonts w:hint="eastAsia"/>
                      <w:color w:val="auto"/>
                    </w:rPr>
                    <w:t>件</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纱布块</w:t>
                  </w:r>
                </w:p>
              </w:tc>
              <w:tc>
                <w:tcPr>
                  <w:tcW w:w="815" w:type="pct"/>
                  <w:noWrap/>
                  <w:vAlign w:val="center"/>
                </w:tcPr>
                <w:p>
                  <w:pPr>
                    <w:pStyle w:val="69"/>
                    <w:rPr>
                      <w:rFonts w:hint="eastAsia"/>
                      <w:color w:val="auto"/>
                    </w:rPr>
                  </w:pPr>
                  <w:r>
                    <w:rPr>
                      <w:rFonts w:hint="eastAsia"/>
                      <w:color w:val="auto"/>
                    </w:rPr>
                    <w:t>100</w:t>
                  </w:r>
                </w:p>
              </w:tc>
              <w:tc>
                <w:tcPr>
                  <w:tcW w:w="686" w:type="pct"/>
                  <w:noWrap/>
                  <w:vAlign w:val="center"/>
                </w:tcPr>
                <w:p>
                  <w:pPr>
                    <w:pStyle w:val="69"/>
                    <w:rPr>
                      <w:rFonts w:hint="eastAsia"/>
                      <w:color w:val="auto"/>
                    </w:rPr>
                  </w:pPr>
                  <w:r>
                    <w:rPr>
                      <w:rFonts w:hint="eastAsia"/>
                      <w:color w:val="auto"/>
                    </w:rPr>
                    <w:t>包</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胶带</w:t>
                  </w:r>
                </w:p>
              </w:tc>
              <w:tc>
                <w:tcPr>
                  <w:tcW w:w="815" w:type="pct"/>
                  <w:noWrap/>
                  <w:vAlign w:val="center"/>
                </w:tcPr>
                <w:p>
                  <w:pPr>
                    <w:pStyle w:val="69"/>
                    <w:rPr>
                      <w:rFonts w:hint="eastAsia"/>
                      <w:color w:val="auto"/>
                    </w:rPr>
                  </w:pPr>
                  <w:r>
                    <w:rPr>
                      <w:rFonts w:hint="eastAsia"/>
                      <w:color w:val="auto"/>
                    </w:rPr>
                    <w:t>200</w:t>
                  </w:r>
                </w:p>
              </w:tc>
              <w:tc>
                <w:tcPr>
                  <w:tcW w:w="686" w:type="pct"/>
                  <w:noWrap/>
                  <w:vAlign w:val="center"/>
                </w:tcPr>
                <w:p>
                  <w:pPr>
                    <w:pStyle w:val="69"/>
                    <w:rPr>
                      <w:rFonts w:hint="eastAsia"/>
                      <w:color w:val="auto"/>
                    </w:rPr>
                  </w:pPr>
                  <w:r>
                    <w:rPr>
                      <w:rFonts w:hint="eastAsia"/>
                      <w:color w:val="auto"/>
                    </w:rPr>
                    <w:t>卷</w:t>
                  </w:r>
                </w:p>
              </w:tc>
              <w:tc>
                <w:tcPr>
                  <w:tcW w:w="988" w:type="pct"/>
                  <w:noWrap/>
                  <w:vAlign w:val="center"/>
                </w:tcPr>
                <w:p>
                  <w:pPr>
                    <w:pStyle w:val="69"/>
                    <w:rPr>
                      <w:rFonts w:hint="eastAsia"/>
                      <w:color w:val="auto"/>
                    </w:rPr>
                  </w:pPr>
                  <w:r>
                    <w:rPr>
                      <w:rFonts w:hint="eastAsia"/>
                      <w:color w:val="auto"/>
                    </w:rPr>
                    <w:t>外购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515" w:type="pct"/>
                  <w:vMerge w:val="restart"/>
                  <w:noWrap/>
                  <w:vAlign w:val="center"/>
                </w:tcPr>
                <w:p>
                  <w:pPr>
                    <w:pStyle w:val="69"/>
                    <w:rPr>
                      <w:rFonts w:hint="eastAsia"/>
                      <w:color w:val="auto"/>
                    </w:rPr>
                  </w:pPr>
                  <w:r>
                    <w:rPr>
                      <w:rFonts w:hint="eastAsia"/>
                      <w:color w:val="auto"/>
                    </w:rPr>
                    <w:t>能耗</w:t>
                  </w:r>
                </w:p>
              </w:tc>
              <w:tc>
                <w:tcPr>
                  <w:tcW w:w="1994" w:type="pct"/>
                  <w:noWrap/>
                  <w:vAlign w:val="center"/>
                </w:tcPr>
                <w:p>
                  <w:pPr>
                    <w:pStyle w:val="69"/>
                    <w:rPr>
                      <w:rFonts w:hint="eastAsia"/>
                      <w:color w:val="auto"/>
                    </w:rPr>
                  </w:pPr>
                  <w:r>
                    <w:rPr>
                      <w:rFonts w:hint="eastAsia"/>
                      <w:color w:val="auto"/>
                    </w:rPr>
                    <w:t>电</w:t>
                  </w:r>
                </w:p>
              </w:tc>
              <w:tc>
                <w:tcPr>
                  <w:tcW w:w="815" w:type="pct"/>
                  <w:noWrap/>
                  <w:vAlign w:val="center"/>
                </w:tcPr>
                <w:p>
                  <w:pPr>
                    <w:pStyle w:val="69"/>
                    <w:rPr>
                      <w:color w:val="auto"/>
                    </w:rPr>
                  </w:pPr>
                  <w:r>
                    <w:rPr>
                      <w:rFonts w:hint="eastAsia"/>
                      <w:color w:val="auto"/>
                    </w:rPr>
                    <w:t>5000</w:t>
                  </w:r>
                </w:p>
              </w:tc>
              <w:tc>
                <w:tcPr>
                  <w:tcW w:w="686" w:type="pct"/>
                  <w:noWrap/>
                  <w:vAlign w:val="center"/>
                </w:tcPr>
                <w:p>
                  <w:pPr>
                    <w:pStyle w:val="69"/>
                    <w:rPr>
                      <w:color w:val="auto"/>
                    </w:rPr>
                  </w:pPr>
                  <w:r>
                    <w:rPr>
                      <w:rFonts w:hint="eastAsia"/>
                      <w:color w:val="auto"/>
                    </w:rPr>
                    <w:t>Kw.h</w:t>
                  </w:r>
                </w:p>
              </w:tc>
              <w:tc>
                <w:tcPr>
                  <w:tcW w:w="988" w:type="pct"/>
                  <w:noWrap/>
                  <w:vAlign w:val="center"/>
                </w:tcPr>
                <w:p>
                  <w:pPr>
                    <w:pStyle w:val="69"/>
                    <w:rPr>
                      <w:rFonts w:hint="eastAsia"/>
                      <w:color w:val="auto"/>
                    </w:rPr>
                  </w:pPr>
                  <w:r>
                    <w:rPr>
                      <w:rFonts w:hint="eastAsia"/>
                      <w:color w:val="auto"/>
                    </w:rPr>
                    <w:t>市政电网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515" w:type="pct"/>
                  <w:vMerge w:val="continue"/>
                  <w:noWrap/>
                  <w:vAlign w:val="center"/>
                </w:tcPr>
                <w:p>
                  <w:pPr>
                    <w:pStyle w:val="69"/>
                    <w:rPr>
                      <w:rFonts w:hint="eastAsia"/>
                      <w:color w:val="auto"/>
                    </w:rPr>
                  </w:pPr>
                </w:p>
              </w:tc>
              <w:tc>
                <w:tcPr>
                  <w:tcW w:w="1994" w:type="pct"/>
                  <w:noWrap/>
                  <w:vAlign w:val="center"/>
                </w:tcPr>
                <w:p>
                  <w:pPr>
                    <w:pStyle w:val="69"/>
                    <w:rPr>
                      <w:rFonts w:hint="eastAsia"/>
                      <w:color w:val="auto"/>
                    </w:rPr>
                  </w:pPr>
                  <w:r>
                    <w:rPr>
                      <w:rFonts w:hint="eastAsia"/>
                      <w:color w:val="auto"/>
                    </w:rPr>
                    <w:t>水</w:t>
                  </w:r>
                </w:p>
              </w:tc>
              <w:tc>
                <w:tcPr>
                  <w:tcW w:w="815" w:type="pct"/>
                  <w:noWrap/>
                  <w:vAlign w:val="center"/>
                </w:tcPr>
                <w:p>
                  <w:pPr>
                    <w:pStyle w:val="69"/>
                    <w:rPr>
                      <w:color w:val="auto"/>
                    </w:rPr>
                  </w:pPr>
                  <w:r>
                    <w:rPr>
                      <w:rFonts w:hint="eastAsia"/>
                      <w:color w:val="auto"/>
                    </w:rPr>
                    <w:t>540</w:t>
                  </w:r>
                </w:p>
              </w:tc>
              <w:tc>
                <w:tcPr>
                  <w:tcW w:w="686" w:type="pct"/>
                  <w:noWrap/>
                  <w:vAlign w:val="center"/>
                </w:tcPr>
                <w:p>
                  <w:pPr>
                    <w:pStyle w:val="69"/>
                    <w:rPr>
                      <w:color w:val="auto"/>
                    </w:rPr>
                  </w:pPr>
                  <w:r>
                    <w:rPr>
                      <w:rFonts w:hint="eastAsia"/>
                      <w:color w:val="auto"/>
                    </w:rPr>
                    <w:t>m³/a</w:t>
                  </w:r>
                </w:p>
              </w:tc>
              <w:tc>
                <w:tcPr>
                  <w:tcW w:w="988" w:type="pct"/>
                  <w:noWrap/>
                  <w:vAlign w:val="center"/>
                </w:tcPr>
                <w:p>
                  <w:pPr>
                    <w:pStyle w:val="69"/>
                    <w:rPr>
                      <w:rFonts w:hint="eastAsia"/>
                      <w:color w:val="auto"/>
                    </w:rPr>
                  </w:pPr>
                  <w:r>
                    <w:rPr>
                      <w:rFonts w:hint="eastAsia"/>
                      <w:color w:val="auto"/>
                    </w:rPr>
                    <w:t>市政自来水</w:t>
                  </w:r>
                </w:p>
              </w:tc>
            </w:tr>
          </w:tbl>
          <w:p>
            <w:pPr>
              <w:pStyle w:val="5"/>
              <w:rPr>
                <w:color w:val="auto"/>
              </w:rPr>
            </w:pPr>
            <w:r>
              <w:rPr>
                <w:color w:val="auto"/>
              </w:rPr>
              <w:t>六、劳动定员与工作制度</w:t>
            </w:r>
          </w:p>
          <w:p>
            <w:pPr>
              <w:pStyle w:val="101"/>
              <w:ind w:firstLine="480"/>
              <w:rPr>
                <w:rFonts w:hint="eastAsia"/>
                <w:color w:val="auto"/>
              </w:rPr>
            </w:pPr>
            <w:r>
              <w:rPr>
                <w:color w:val="auto"/>
              </w:rPr>
              <w:t>本项目</w:t>
            </w:r>
            <w:r>
              <w:rPr>
                <w:rFonts w:hint="eastAsia"/>
                <w:color w:val="auto"/>
              </w:rPr>
              <w:t>在职</w:t>
            </w:r>
            <w:r>
              <w:rPr>
                <w:color w:val="auto"/>
              </w:rPr>
              <w:t>员工</w:t>
            </w:r>
            <w:r>
              <w:rPr>
                <w:rFonts w:hint="eastAsia"/>
                <w:color w:val="auto"/>
              </w:rPr>
              <w:t>5</w:t>
            </w:r>
            <w:r>
              <w:rPr>
                <w:color w:val="auto"/>
              </w:rPr>
              <w:t>人，采用</w:t>
            </w:r>
            <w:r>
              <w:rPr>
                <w:rFonts w:hint="eastAsia"/>
                <w:color w:val="auto"/>
              </w:rPr>
              <w:t>一</w:t>
            </w:r>
            <w:r>
              <w:rPr>
                <w:color w:val="auto"/>
              </w:rPr>
              <w:t>班制，每班8小时，年工作</w:t>
            </w:r>
            <w:r>
              <w:rPr>
                <w:rFonts w:hint="eastAsia"/>
                <w:color w:val="auto"/>
              </w:rPr>
              <w:t>300</w:t>
            </w:r>
            <w:r>
              <w:rPr>
                <w:color w:val="auto"/>
              </w:rPr>
              <w:t>天</w:t>
            </w:r>
            <w:r>
              <w:rPr>
                <w:rFonts w:hint="eastAsia"/>
                <w:color w:val="auto"/>
              </w:rPr>
              <w:t>。</w:t>
            </w:r>
          </w:p>
          <w:p>
            <w:pPr>
              <w:pStyle w:val="5"/>
              <w:rPr>
                <w:color w:val="auto"/>
              </w:rPr>
            </w:pPr>
            <w:r>
              <w:rPr>
                <w:color w:val="auto"/>
              </w:rPr>
              <w:t>七、公用工程</w:t>
            </w:r>
          </w:p>
          <w:p>
            <w:pPr>
              <w:ind w:firstLine="482"/>
              <w:rPr>
                <w:rFonts w:hint="eastAsia"/>
                <w:b/>
                <w:bCs/>
                <w:color w:val="auto"/>
              </w:rPr>
            </w:pPr>
            <w:r>
              <w:rPr>
                <w:rFonts w:hint="eastAsia"/>
                <w:b/>
                <w:bCs/>
                <w:color w:val="auto"/>
              </w:rPr>
              <w:t>1、供电</w:t>
            </w:r>
          </w:p>
          <w:p>
            <w:pPr>
              <w:pStyle w:val="101"/>
              <w:ind w:firstLine="480"/>
              <w:rPr>
                <w:rFonts w:hint="eastAsia"/>
                <w:color w:val="auto"/>
              </w:rPr>
            </w:pPr>
            <w:r>
              <w:rPr>
                <w:rFonts w:hint="eastAsia"/>
                <w:color w:val="auto"/>
              </w:rPr>
              <w:t>本项目用电采用市政电网供电，不设置备用发电机。</w:t>
            </w:r>
          </w:p>
          <w:p>
            <w:pPr>
              <w:ind w:firstLine="482"/>
              <w:rPr>
                <w:rFonts w:hint="eastAsia"/>
                <w:b/>
                <w:bCs/>
                <w:color w:val="auto"/>
              </w:rPr>
            </w:pPr>
            <w:r>
              <w:rPr>
                <w:rFonts w:hint="eastAsia"/>
                <w:b/>
                <w:bCs/>
                <w:color w:val="auto"/>
              </w:rPr>
              <w:t>2、供水</w:t>
            </w:r>
          </w:p>
          <w:p>
            <w:pPr>
              <w:pStyle w:val="101"/>
              <w:ind w:firstLine="480"/>
              <w:rPr>
                <w:rFonts w:hint="eastAsia"/>
                <w:color w:val="auto"/>
              </w:rPr>
            </w:pPr>
            <w:r>
              <w:rPr>
                <w:rFonts w:hint="eastAsia"/>
                <w:color w:val="auto"/>
              </w:rPr>
              <w:t>本项目以市政自来水为水源，由市政给水管网给水管供水，供水能力能満足本项目的需要。</w:t>
            </w:r>
          </w:p>
          <w:p>
            <w:pPr>
              <w:pStyle w:val="101"/>
              <w:ind w:firstLine="480"/>
              <w:rPr>
                <w:rFonts w:hint="eastAsia"/>
                <w:color w:val="auto"/>
              </w:rPr>
            </w:pPr>
            <w:r>
              <w:rPr>
                <w:rFonts w:hint="eastAsia"/>
                <w:color w:val="auto"/>
              </w:rPr>
              <w:t>项目运营期，其用水主要为工作人员生活用水、医疗用水（包含宠物门诊、住院及地面清洁用水等）。按照《建筑给水排水设计规范》(GB500520090)及《四川省用水定额》所制定的各项用水定额，并参照同等规模的宠物医院用水量，本项目用水情况具体见下表。</w:t>
            </w:r>
          </w:p>
          <w:p>
            <w:pPr>
              <w:pStyle w:val="102"/>
              <w:rPr>
                <w:rFonts w:hint="eastAsia"/>
                <w:color w:val="auto"/>
              </w:rPr>
            </w:pPr>
            <w:r>
              <w:rPr>
                <w:color w:val="auto"/>
              </w:rPr>
              <w:t>表 2-</w:t>
            </w:r>
            <w:r>
              <w:rPr>
                <w:rFonts w:hint="eastAsia"/>
                <w:color w:val="auto"/>
              </w:rPr>
              <w:t>5</w:t>
            </w:r>
            <w:r>
              <w:rPr>
                <w:color w:val="auto"/>
              </w:rPr>
              <w:t xml:space="preserve">    本项目用水、排水情况</w:t>
            </w:r>
            <w:r>
              <w:rPr>
                <w:rFonts w:hint="eastAsia"/>
                <w:color w:val="auto"/>
              </w:rPr>
              <w:t>汇总表</w:t>
            </w:r>
          </w:p>
          <w:tbl>
            <w:tblPr>
              <w:tblStyle w:val="3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57" w:type="dxa"/>
                <w:bottom w:w="0" w:type="dxa"/>
                <w:right w:w="57" w:type="dxa"/>
              </w:tblCellMar>
            </w:tblPr>
            <w:tblGrid>
              <w:gridCol w:w="503"/>
              <w:gridCol w:w="10"/>
              <w:gridCol w:w="557"/>
              <w:gridCol w:w="1919"/>
              <w:gridCol w:w="579"/>
              <w:gridCol w:w="1305"/>
              <w:gridCol w:w="1290"/>
              <w:gridCol w:w="990"/>
              <w:gridCol w:w="12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07" w:hRule="atLeast"/>
                <w:jc w:val="center"/>
              </w:trPr>
              <w:tc>
                <w:tcPr>
                  <w:tcW w:w="300" w:type="pct"/>
                  <w:noWrap w:val="0"/>
                  <w:vAlign w:val="center"/>
                </w:tcPr>
                <w:p>
                  <w:pPr>
                    <w:pStyle w:val="118"/>
                    <w:rPr>
                      <w:b/>
                      <w:bCs/>
                      <w:color w:val="auto"/>
                    </w:rPr>
                  </w:pPr>
                  <w:r>
                    <w:rPr>
                      <w:b/>
                      <w:bCs/>
                      <w:color w:val="auto"/>
                    </w:rPr>
                    <w:t>序号</w:t>
                  </w:r>
                </w:p>
              </w:tc>
              <w:tc>
                <w:tcPr>
                  <w:tcW w:w="1482" w:type="pct"/>
                  <w:gridSpan w:val="3"/>
                  <w:noWrap w:val="0"/>
                  <w:vAlign w:val="center"/>
                </w:tcPr>
                <w:p>
                  <w:pPr>
                    <w:pStyle w:val="118"/>
                    <w:rPr>
                      <w:rFonts w:hint="eastAsia"/>
                      <w:b/>
                      <w:bCs/>
                      <w:color w:val="auto"/>
                    </w:rPr>
                  </w:pPr>
                  <w:r>
                    <w:rPr>
                      <w:rFonts w:hint="eastAsia"/>
                      <w:b/>
                      <w:bCs/>
                      <w:color w:val="auto"/>
                    </w:rPr>
                    <w:t>用水项目</w:t>
                  </w:r>
                </w:p>
              </w:tc>
              <w:tc>
                <w:tcPr>
                  <w:tcW w:w="345" w:type="pct"/>
                  <w:noWrap w:val="0"/>
                  <w:tcMar>
                    <w:left w:w="57" w:type="dxa"/>
                    <w:right w:w="57" w:type="dxa"/>
                  </w:tcMar>
                  <w:vAlign w:val="center"/>
                </w:tcPr>
                <w:p>
                  <w:pPr>
                    <w:pStyle w:val="118"/>
                    <w:rPr>
                      <w:b/>
                      <w:bCs/>
                      <w:color w:val="auto"/>
                    </w:rPr>
                  </w:pPr>
                  <w:r>
                    <w:rPr>
                      <w:b/>
                      <w:bCs/>
                      <w:color w:val="auto"/>
                    </w:rPr>
                    <w:t>规模</w:t>
                  </w:r>
                </w:p>
              </w:tc>
              <w:tc>
                <w:tcPr>
                  <w:tcW w:w="777" w:type="pct"/>
                  <w:noWrap w:val="0"/>
                  <w:tcMar>
                    <w:left w:w="57" w:type="dxa"/>
                    <w:right w:w="57" w:type="dxa"/>
                  </w:tcMar>
                  <w:vAlign w:val="center"/>
                </w:tcPr>
                <w:p>
                  <w:pPr>
                    <w:pStyle w:val="118"/>
                    <w:rPr>
                      <w:b/>
                      <w:bCs/>
                      <w:color w:val="auto"/>
                    </w:rPr>
                  </w:pPr>
                  <w:r>
                    <w:rPr>
                      <w:b/>
                      <w:bCs/>
                      <w:color w:val="auto"/>
                    </w:rPr>
                    <w:t>用水定额</w:t>
                  </w:r>
                </w:p>
              </w:tc>
              <w:tc>
                <w:tcPr>
                  <w:tcW w:w="769" w:type="pct"/>
                  <w:noWrap w:val="0"/>
                  <w:tcMar>
                    <w:left w:w="57" w:type="dxa"/>
                    <w:right w:w="57" w:type="dxa"/>
                  </w:tcMar>
                  <w:vAlign w:val="center"/>
                </w:tcPr>
                <w:p>
                  <w:pPr>
                    <w:pStyle w:val="118"/>
                    <w:rPr>
                      <w:b/>
                      <w:bCs/>
                      <w:color w:val="auto"/>
                    </w:rPr>
                  </w:pPr>
                  <w:r>
                    <w:rPr>
                      <w:b/>
                      <w:bCs/>
                      <w:color w:val="auto"/>
                    </w:rPr>
                    <w:t>用水量</w:t>
                  </w:r>
                </w:p>
                <w:p>
                  <w:pPr>
                    <w:pStyle w:val="118"/>
                    <w:rPr>
                      <w:b/>
                      <w:bCs/>
                      <w:color w:val="auto"/>
                    </w:rPr>
                  </w:pPr>
                  <w:r>
                    <w:rPr>
                      <w:b/>
                      <w:bCs/>
                      <w:color w:val="auto"/>
                    </w:rPr>
                    <w:t>（m</w:t>
                  </w:r>
                  <w:r>
                    <w:rPr>
                      <w:b/>
                      <w:bCs/>
                      <w:color w:val="auto"/>
                      <w:vertAlign w:val="superscript"/>
                    </w:rPr>
                    <w:t>3</w:t>
                  </w:r>
                  <w:r>
                    <w:rPr>
                      <w:b/>
                      <w:bCs/>
                      <w:color w:val="auto"/>
                    </w:rPr>
                    <w:t>/d）</w:t>
                  </w:r>
                </w:p>
              </w:tc>
              <w:tc>
                <w:tcPr>
                  <w:tcW w:w="590" w:type="pct"/>
                  <w:noWrap w:val="0"/>
                  <w:vAlign w:val="center"/>
                </w:tcPr>
                <w:p>
                  <w:pPr>
                    <w:pStyle w:val="118"/>
                    <w:rPr>
                      <w:b/>
                      <w:bCs/>
                      <w:color w:val="auto"/>
                    </w:rPr>
                  </w:pPr>
                  <w:r>
                    <w:rPr>
                      <w:b/>
                      <w:bCs/>
                      <w:color w:val="auto"/>
                    </w:rPr>
                    <w:t>排污系数</w:t>
                  </w:r>
                </w:p>
              </w:tc>
              <w:tc>
                <w:tcPr>
                  <w:tcW w:w="734" w:type="pct"/>
                  <w:noWrap w:val="0"/>
                  <w:vAlign w:val="center"/>
                </w:tcPr>
                <w:p>
                  <w:pPr>
                    <w:pStyle w:val="118"/>
                    <w:rPr>
                      <w:b/>
                      <w:bCs/>
                      <w:color w:val="auto"/>
                    </w:rPr>
                  </w:pPr>
                  <w:r>
                    <w:rPr>
                      <w:b/>
                      <w:bCs/>
                      <w:color w:val="auto"/>
                    </w:rPr>
                    <w:t>排水量</w:t>
                  </w:r>
                </w:p>
                <w:p>
                  <w:pPr>
                    <w:pStyle w:val="118"/>
                    <w:rPr>
                      <w:b/>
                      <w:bCs/>
                      <w:color w:val="auto"/>
                    </w:rPr>
                  </w:pPr>
                  <w:r>
                    <w:rPr>
                      <w:b/>
                      <w:bCs/>
                      <w:color w:val="auto"/>
                    </w:rPr>
                    <w:t>（m</w:t>
                  </w:r>
                  <w:r>
                    <w:rPr>
                      <w:b/>
                      <w:bCs/>
                      <w:color w:val="auto"/>
                      <w:vertAlign w:val="superscript"/>
                    </w:rPr>
                    <w:t>3</w:t>
                  </w:r>
                  <w:r>
                    <w:rPr>
                      <w:b/>
                      <w:bCs/>
                      <w:color w:val="auto"/>
                    </w:rPr>
                    <w:t>/d）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65" w:hRule="atLeast"/>
                <w:jc w:val="center"/>
              </w:trPr>
              <w:tc>
                <w:tcPr>
                  <w:tcW w:w="300" w:type="pct"/>
                  <w:vMerge w:val="restart"/>
                  <w:noWrap w:val="0"/>
                  <w:vAlign w:val="center"/>
                </w:tcPr>
                <w:p>
                  <w:pPr>
                    <w:pStyle w:val="118"/>
                    <w:rPr>
                      <w:color w:val="auto"/>
                    </w:rPr>
                  </w:pPr>
                  <w:r>
                    <w:rPr>
                      <w:color w:val="auto"/>
                    </w:rPr>
                    <w:t>1</w:t>
                  </w:r>
                </w:p>
              </w:tc>
              <w:tc>
                <w:tcPr>
                  <w:tcW w:w="338" w:type="pct"/>
                  <w:gridSpan w:val="2"/>
                  <w:vMerge w:val="restart"/>
                  <w:noWrap w:val="0"/>
                  <w:vAlign w:val="center"/>
                </w:tcPr>
                <w:p>
                  <w:pPr>
                    <w:pStyle w:val="118"/>
                    <w:rPr>
                      <w:rFonts w:hint="eastAsia"/>
                      <w:color w:val="auto"/>
                    </w:rPr>
                  </w:pPr>
                  <w:r>
                    <w:rPr>
                      <w:rFonts w:hint="eastAsia"/>
                      <w:color w:val="auto"/>
                    </w:rPr>
                    <w:t>生活用水</w:t>
                  </w:r>
                </w:p>
              </w:tc>
              <w:tc>
                <w:tcPr>
                  <w:tcW w:w="1144" w:type="pct"/>
                  <w:noWrap w:val="0"/>
                  <w:vAlign w:val="center"/>
                </w:tcPr>
                <w:p>
                  <w:pPr>
                    <w:pStyle w:val="118"/>
                    <w:rPr>
                      <w:rFonts w:hint="eastAsia"/>
                      <w:color w:val="auto"/>
                    </w:rPr>
                  </w:pPr>
                  <w:r>
                    <w:rPr>
                      <w:rFonts w:hint="eastAsia"/>
                      <w:color w:val="auto"/>
                    </w:rPr>
                    <w:t>医护人员生活用水</w:t>
                  </w:r>
                </w:p>
              </w:tc>
              <w:tc>
                <w:tcPr>
                  <w:tcW w:w="345" w:type="pct"/>
                  <w:noWrap w:val="0"/>
                  <w:tcMar>
                    <w:left w:w="57" w:type="dxa"/>
                    <w:right w:w="57" w:type="dxa"/>
                  </w:tcMar>
                  <w:vAlign w:val="center"/>
                </w:tcPr>
                <w:p>
                  <w:pPr>
                    <w:pStyle w:val="118"/>
                    <w:rPr>
                      <w:rFonts w:hint="eastAsia"/>
                      <w:color w:val="auto"/>
                    </w:rPr>
                  </w:pPr>
                  <w:r>
                    <w:rPr>
                      <w:rFonts w:hint="eastAsia"/>
                      <w:color w:val="auto"/>
                    </w:rPr>
                    <w:t>5人</w:t>
                  </w:r>
                </w:p>
              </w:tc>
              <w:tc>
                <w:tcPr>
                  <w:tcW w:w="777" w:type="pct"/>
                  <w:noWrap w:val="0"/>
                  <w:tcMar>
                    <w:left w:w="57" w:type="dxa"/>
                    <w:right w:w="57" w:type="dxa"/>
                  </w:tcMar>
                  <w:vAlign w:val="center"/>
                </w:tcPr>
                <w:p>
                  <w:pPr>
                    <w:pStyle w:val="118"/>
                    <w:rPr>
                      <w:color w:val="auto"/>
                    </w:rPr>
                  </w:pPr>
                  <w:r>
                    <w:rPr>
                      <w:rFonts w:hint="eastAsia"/>
                      <w:color w:val="auto"/>
                    </w:rPr>
                    <w:t>50L/人·d</w:t>
                  </w:r>
                </w:p>
              </w:tc>
              <w:tc>
                <w:tcPr>
                  <w:tcW w:w="769" w:type="pct"/>
                  <w:noWrap w:val="0"/>
                  <w:tcMar>
                    <w:left w:w="57" w:type="dxa"/>
                    <w:right w:w="57" w:type="dxa"/>
                  </w:tcMar>
                  <w:vAlign w:val="center"/>
                </w:tcPr>
                <w:p>
                  <w:pPr>
                    <w:pStyle w:val="118"/>
                    <w:rPr>
                      <w:color w:val="auto"/>
                    </w:rPr>
                  </w:pPr>
                  <w:r>
                    <w:rPr>
                      <w:color w:val="auto"/>
                    </w:rPr>
                    <w:t>0.</w:t>
                  </w:r>
                  <w:r>
                    <w:rPr>
                      <w:rFonts w:hint="eastAsia"/>
                      <w:color w:val="auto"/>
                    </w:rPr>
                    <w:t>25</w:t>
                  </w:r>
                </w:p>
              </w:tc>
              <w:tc>
                <w:tcPr>
                  <w:tcW w:w="590" w:type="pct"/>
                  <w:vMerge w:val="restart"/>
                  <w:noWrap w:val="0"/>
                  <w:vAlign w:val="center"/>
                </w:tcPr>
                <w:p>
                  <w:pPr>
                    <w:pStyle w:val="118"/>
                    <w:rPr>
                      <w:color w:val="auto"/>
                    </w:rPr>
                  </w:pPr>
                  <w:r>
                    <w:rPr>
                      <w:rFonts w:hint="eastAsia"/>
                      <w:color w:val="auto"/>
                    </w:rPr>
                    <w:t>0.8</w:t>
                  </w:r>
                </w:p>
              </w:tc>
              <w:tc>
                <w:tcPr>
                  <w:tcW w:w="734" w:type="pct"/>
                  <w:noWrap w:val="0"/>
                  <w:vAlign w:val="center"/>
                </w:tcPr>
                <w:p>
                  <w:pPr>
                    <w:pStyle w:val="118"/>
                    <w:rPr>
                      <w:color w:val="auto"/>
                    </w:rPr>
                  </w:pPr>
                  <w:r>
                    <w:rPr>
                      <w:rFonts w:hint="eastAsia"/>
                      <w:color w:val="auto"/>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5" w:hRule="atLeast"/>
                <w:jc w:val="center"/>
              </w:trPr>
              <w:tc>
                <w:tcPr>
                  <w:tcW w:w="300" w:type="pct"/>
                  <w:vMerge w:val="continue"/>
                  <w:noWrap w:val="0"/>
                  <w:vAlign w:val="center"/>
                </w:tcPr>
                <w:p>
                  <w:pPr>
                    <w:pStyle w:val="118"/>
                    <w:rPr>
                      <w:color w:val="auto"/>
                    </w:rPr>
                  </w:pPr>
                </w:p>
              </w:tc>
              <w:tc>
                <w:tcPr>
                  <w:tcW w:w="338" w:type="pct"/>
                  <w:gridSpan w:val="2"/>
                  <w:vMerge w:val="continue"/>
                  <w:noWrap w:val="0"/>
                  <w:vAlign w:val="center"/>
                </w:tcPr>
                <w:p>
                  <w:pPr>
                    <w:pStyle w:val="118"/>
                    <w:rPr>
                      <w:rFonts w:hint="eastAsia"/>
                      <w:color w:val="auto"/>
                    </w:rPr>
                  </w:pPr>
                </w:p>
              </w:tc>
              <w:tc>
                <w:tcPr>
                  <w:tcW w:w="1144" w:type="pct"/>
                  <w:noWrap w:val="0"/>
                  <w:vAlign w:val="center"/>
                </w:tcPr>
                <w:p>
                  <w:pPr>
                    <w:pStyle w:val="118"/>
                    <w:rPr>
                      <w:rFonts w:hint="eastAsia"/>
                      <w:color w:val="auto"/>
                    </w:rPr>
                  </w:pPr>
                  <w:r>
                    <w:rPr>
                      <w:rFonts w:hint="eastAsia"/>
                      <w:color w:val="auto"/>
                    </w:rPr>
                    <w:t>顾客生活用水</w:t>
                  </w:r>
                </w:p>
              </w:tc>
              <w:tc>
                <w:tcPr>
                  <w:tcW w:w="345" w:type="pct"/>
                  <w:noWrap w:val="0"/>
                  <w:tcMar>
                    <w:left w:w="57" w:type="dxa"/>
                    <w:right w:w="57" w:type="dxa"/>
                  </w:tcMar>
                  <w:vAlign w:val="center"/>
                </w:tcPr>
                <w:p>
                  <w:pPr>
                    <w:pStyle w:val="118"/>
                    <w:rPr>
                      <w:color w:val="auto"/>
                    </w:rPr>
                  </w:pPr>
                  <w:r>
                    <w:rPr>
                      <w:rFonts w:hint="eastAsia"/>
                      <w:color w:val="auto"/>
                    </w:rPr>
                    <w:t>/</w:t>
                  </w:r>
                </w:p>
              </w:tc>
              <w:tc>
                <w:tcPr>
                  <w:tcW w:w="777" w:type="pct"/>
                  <w:noWrap w:val="0"/>
                  <w:tcMar>
                    <w:left w:w="57" w:type="dxa"/>
                    <w:right w:w="57" w:type="dxa"/>
                  </w:tcMar>
                  <w:vAlign w:val="center"/>
                </w:tcPr>
                <w:p>
                  <w:pPr>
                    <w:pStyle w:val="118"/>
                    <w:rPr>
                      <w:color w:val="auto"/>
                    </w:rPr>
                  </w:pPr>
                  <w:r>
                    <w:rPr>
                      <w:rFonts w:hint="eastAsia"/>
                      <w:color w:val="auto"/>
                    </w:rPr>
                    <w:t>/</w:t>
                  </w:r>
                </w:p>
              </w:tc>
              <w:tc>
                <w:tcPr>
                  <w:tcW w:w="769" w:type="pct"/>
                  <w:noWrap w:val="0"/>
                  <w:tcMar>
                    <w:left w:w="57" w:type="dxa"/>
                    <w:right w:w="57" w:type="dxa"/>
                  </w:tcMar>
                  <w:vAlign w:val="center"/>
                </w:tcPr>
                <w:p>
                  <w:pPr>
                    <w:pStyle w:val="118"/>
                    <w:rPr>
                      <w:color w:val="auto"/>
                    </w:rPr>
                  </w:pPr>
                  <w:r>
                    <w:rPr>
                      <w:rFonts w:hint="eastAsia"/>
                      <w:color w:val="auto"/>
                    </w:rPr>
                    <w:t>0.2</w:t>
                  </w:r>
                </w:p>
              </w:tc>
              <w:tc>
                <w:tcPr>
                  <w:tcW w:w="590" w:type="pct"/>
                  <w:vMerge w:val="continue"/>
                  <w:noWrap w:val="0"/>
                  <w:vAlign w:val="center"/>
                </w:tcPr>
                <w:p>
                  <w:pPr>
                    <w:pStyle w:val="118"/>
                    <w:rPr>
                      <w:rFonts w:hint="eastAsia"/>
                      <w:color w:val="auto"/>
                    </w:rPr>
                  </w:pPr>
                </w:p>
              </w:tc>
              <w:tc>
                <w:tcPr>
                  <w:tcW w:w="734" w:type="pct"/>
                  <w:noWrap w:val="0"/>
                  <w:vAlign w:val="center"/>
                </w:tcPr>
                <w:p>
                  <w:pPr>
                    <w:pStyle w:val="118"/>
                    <w:rPr>
                      <w:color w:val="auto"/>
                    </w:rPr>
                  </w:pPr>
                  <w:r>
                    <w:rPr>
                      <w:rFonts w:hint="eastAsia"/>
                      <w:color w:val="auto"/>
                    </w:rPr>
                    <w:t>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5" w:hRule="atLeast"/>
                <w:jc w:val="center"/>
              </w:trPr>
              <w:tc>
                <w:tcPr>
                  <w:tcW w:w="300" w:type="pct"/>
                  <w:vMerge w:val="restart"/>
                  <w:noWrap w:val="0"/>
                  <w:vAlign w:val="center"/>
                </w:tcPr>
                <w:p>
                  <w:pPr>
                    <w:pStyle w:val="118"/>
                    <w:rPr>
                      <w:color w:val="auto"/>
                    </w:rPr>
                  </w:pPr>
                  <w:r>
                    <w:rPr>
                      <w:color w:val="auto"/>
                    </w:rPr>
                    <w:t>2</w:t>
                  </w:r>
                </w:p>
                <w:p>
                  <w:pPr>
                    <w:pStyle w:val="118"/>
                    <w:rPr>
                      <w:rFonts w:hint="eastAsia"/>
                      <w:color w:val="auto"/>
                    </w:rPr>
                  </w:pPr>
                </w:p>
              </w:tc>
              <w:tc>
                <w:tcPr>
                  <w:tcW w:w="338" w:type="pct"/>
                  <w:gridSpan w:val="2"/>
                  <w:vMerge w:val="restart"/>
                  <w:noWrap w:val="0"/>
                  <w:vAlign w:val="center"/>
                </w:tcPr>
                <w:p>
                  <w:pPr>
                    <w:pStyle w:val="118"/>
                    <w:rPr>
                      <w:rFonts w:hint="eastAsia"/>
                      <w:color w:val="auto"/>
                    </w:rPr>
                  </w:pPr>
                  <w:r>
                    <w:rPr>
                      <w:rFonts w:hint="eastAsia"/>
                      <w:color w:val="auto"/>
                    </w:rPr>
                    <w:t>医疗用水</w:t>
                  </w:r>
                </w:p>
              </w:tc>
              <w:tc>
                <w:tcPr>
                  <w:tcW w:w="1144" w:type="pct"/>
                  <w:noWrap w:val="0"/>
                  <w:vAlign w:val="center"/>
                </w:tcPr>
                <w:p>
                  <w:pPr>
                    <w:pStyle w:val="118"/>
                    <w:rPr>
                      <w:rFonts w:hint="eastAsia"/>
                      <w:color w:val="auto"/>
                    </w:rPr>
                  </w:pPr>
                  <w:r>
                    <w:rPr>
                      <w:rFonts w:hint="eastAsia"/>
                      <w:color w:val="auto"/>
                    </w:rPr>
                    <w:t>宠物诊疗用水</w:t>
                  </w:r>
                </w:p>
              </w:tc>
              <w:tc>
                <w:tcPr>
                  <w:tcW w:w="345" w:type="pct"/>
                  <w:noWrap w:val="0"/>
                  <w:tcMar>
                    <w:left w:w="57" w:type="dxa"/>
                    <w:right w:w="57" w:type="dxa"/>
                  </w:tcMar>
                  <w:vAlign w:val="center"/>
                </w:tcPr>
                <w:p>
                  <w:pPr>
                    <w:pStyle w:val="118"/>
                    <w:rPr>
                      <w:color w:val="auto"/>
                    </w:rPr>
                  </w:pPr>
                  <w:r>
                    <w:rPr>
                      <w:rFonts w:hint="eastAsia"/>
                      <w:color w:val="auto"/>
                    </w:rPr>
                    <w:t>10只</w:t>
                  </w:r>
                </w:p>
              </w:tc>
              <w:tc>
                <w:tcPr>
                  <w:tcW w:w="777" w:type="pct"/>
                  <w:noWrap w:val="0"/>
                  <w:tcMar>
                    <w:left w:w="57" w:type="dxa"/>
                    <w:right w:w="57" w:type="dxa"/>
                  </w:tcMar>
                  <w:vAlign w:val="center"/>
                </w:tcPr>
                <w:p>
                  <w:pPr>
                    <w:pStyle w:val="170"/>
                    <w:rPr>
                      <w:color w:val="auto"/>
                    </w:rPr>
                  </w:pPr>
                  <w:r>
                    <w:rPr>
                      <w:rFonts w:hint="eastAsia"/>
                      <w:color w:val="auto"/>
                    </w:rPr>
                    <w:t>50L/只·d</w:t>
                  </w:r>
                </w:p>
              </w:tc>
              <w:tc>
                <w:tcPr>
                  <w:tcW w:w="769" w:type="pct"/>
                  <w:noWrap w:val="0"/>
                  <w:tcMar>
                    <w:left w:w="57" w:type="dxa"/>
                    <w:right w:w="57" w:type="dxa"/>
                  </w:tcMar>
                  <w:vAlign w:val="center"/>
                </w:tcPr>
                <w:p>
                  <w:pPr>
                    <w:pStyle w:val="118"/>
                    <w:rPr>
                      <w:color w:val="auto"/>
                    </w:rPr>
                  </w:pPr>
                  <w:r>
                    <w:rPr>
                      <w:rFonts w:hint="eastAsia"/>
                      <w:color w:val="auto"/>
                    </w:rPr>
                    <w:t>0.5</w:t>
                  </w:r>
                </w:p>
              </w:tc>
              <w:tc>
                <w:tcPr>
                  <w:tcW w:w="590" w:type="pct"/>
                  <w:vMerge w:val="continue"/>
                  <w:noWrap w:val="0"/>
                  <w:vAlign w:val="center"/>
                </w:tcPr>
                <w:p>
                  <w:pPr>
                    <w:pStyle w:val="118"/>
                    <w:rPr>
                      <w:color w:val="auto"/>
                    </w:rPr>
                  </w:pPr>
                </w:p>
              </w:tc>
              <w:tc>
                <w:tcPr>
                  <w:tcW w:w="734" w:type="pct"/>
                  <w:noWrap w:val="0"/>
                  <w:vAlign w:val="center"/>
                </w:tcPr>
                <w:p>
                  <w:pPr>
                    <w:pStyle w:val="118"/>
                    <w:rPr>
                      <w:color w:val="auto"/>
                    </w:rPr>
                  </w:pPr>
                  <w:r>
                    <w:rPr>
                      <w:rFonts w:hint="eastAsia"/>
                      <w:color w:val="auto"/>
                    </w:rPr>
                    <w:t>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65" w:hRule="atLeast"/>
                <w:jc w:val="center"/>
              </w:trPr>
              <w:tc>
                <w:tcPr>
                  <w:tcW w:w="300" w:type="pct"/>
                  <w:vMerge w:val="continue"/>
                  <w:noWrap w:val="0"/>
                  <w:vAlign w:val="center"/>
                </w:tcPr>
                <w:p>
                  <w:pPr>
                    <w:pStyle w:val="118"/>
                    <w:rPr>
                      <w:rFonts w:hint="eastAsia"/>
                      <w:color w:val="auto"/>
                    </w:rPr>
                  </w:pPr>
                </w:p>
              </w:tc>
              <w:tc>
                <w:tcPr>
                  <w:tcW w:w="338" w:type="pct"/>
                  <w:gridSpan w:val="2"/>
                  <w:vMerge w:val="continue"/>
                  <w:noWrap w:val="0"/>
                  <w:vAlign w:val="center"/>
                </w:tcPr>
                <w:p>
                  <w:pPr>
                    <w:pStyle w:val="118"/>
                    <w:rPr>
                      <w:rFonts w:hint="eastAsia"/>
                      <w:color w:val="auto"/>
                    </w:rPr>
                  </w:pPr>
                </w:p>
              </w:tc>
              <w:tc>
                <w:tcPr>
                  <w:tcW w:w="1144" w:type="pct"/>
                  <w:noWrap w:val="0"/>
                  <w:vAlign w:val="center"/>
                </w:tcPr>
                <w:p>
                  <w:pPr>
                    <w:pStyle w:val="118"/>
                    <w:rPr>
                      <w:rFonts w:hint="eastAsia"/>
                      <w:color w:val="auto"/>
                    </w:rPr>
                  </w:pPr>
                  <w:r>
                    <w:rPr>
                      <w:rFonts w:hint="eastAsia"/>
                      <w:color w:val="auto"/>
                    </w:rPr>
                    <w:t>宠物住院用水</w:t>
                  </w:r>
                </w:p>
              </w:tc>
              <w:tc>
                <w:tcPr>
                  <w:tcW w:w="345" w:type="pct"/>
                  <w:noWrap w:val="0"/>
                  <w:tcMar>
                    <w:left w:w="57" w:type="dxa"/>
                    <w:right w:w="57" w:type="dxa"/>
                  </w:tcMar>
                  <w:vAlign w:val="center"/>
                </w:tcPr>
                <w:p>
                  <w:pPr>
                    <w:pStyle w:val="118"/>
                    <w:rPr>
                      <w:color w:val="auto"/>
                    </w:rPr>
                  </w:pPr>
                  <w:r>
                    <w:rPr>
                      <w:rFonts w:hint="eastAsia"/>
                      <w:color w:val="auto"/>
                    </w:rPr>
                    <w:t>10只</w:t>
                  </w:r>
                </w:p>
              </w:tc>
              <w:tc>
                <w:tcPr>
                  <w:tcW w:w="777" w:type="pct"/>
                  <w:noWrap w:val="0"/>
                  <w:tcMar>
                    <w:left w:w="57" w:type="dxa"/>
                    <w:right w:w="57" w:type="dxa"/>
                  </w:tcMar>
                  <w:vAlign w:val="center"/>
                </w:tcPr>
                <w:p>
                  <w:pPr>
                    <w:pStyle w:val="170"/>
                    <w:rPr>
                      <w:color w:val="auto"/>
                    </w:rPr>
                  </w:pPr>
                  <w:r>
                    <w:rPr>
                      <w:rFonts w:hint="eastAsia"/>
                      <w:color w:val="auto"/>
                    </w:rPr>
                    <w:t>50L/只·d</w:t>
                  </w:r>
                </w:p>
              </w:tc>
              <w:tc>
                <w:tcPr>
                  <w:tcW w:w="769" w:type="pct"/>
                  <w:noWrap w:val="0"/>
                  <w:tcMar>
                    <w:left w:w="57" w:type="dxa"/>
                    <w:right w:w="57" w:type="dxa"/>
                  </w:tcMar>
                  <w:vAlign w:val="center"/>
                </w:tcPr>
                <w:p>
                  <w:pPr>
                    <w:pStyle w:val="118"/>
                    <w:rPr>
                      <w:color w:val="auto"/>
                    </w:rPr>
                  </w:pPr>
                  <w:r>
                    <w:rPr>
                      <w:rFonts w:hint="eastAsia"/>
                      <w:color w:val="auto"/>
                    </w:rPr>
                    <w:t>0.5</w:t>
                  </w:r>
                </w:p>
              </w:tc>
              <w:tc>
                <w:tcPr>
                  <w:tcW w:w="590" w:type="pct"/>
                  <w:vMerge w:val="continue"/>
                  <w:noWrap w:val="0"/>
                  <w:vAlign w:val="center"/>
                </w:tcPr>
                <w:p>
                  <w:pPr>
                    <w:pStyle w:val="118"/>
                    <w:rPr>
                      <w:color w:val="auto"/>
                    </w:rPr>
                  </w:pPr>
                </w:p>
              </w:tc>
              <w:tc>
                <w:tcPr>
                  <w:tcW w:w="734" w:type="pct"/>
                  <w:noWrap w:val="0"/>
                  <w:vAlign w:val="center"/>
                </w:tcPr>
                <w:p>
                  <w:pPr>
                    <w:pStyle w:val="118"/>
                    <w:rPr>
                      <w:color w:val="auto"/>
                    </w:rPr>
                  </w:pPr>
                  <w:r>
                    <w:rPr>
                      <w:rFonts w:hint="eastAsia"/>
                      <w:color w:val="auto"/>
                    </w:rPr>
                    <w:t>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65" w:hRule="atLeast"/>
                <w:jc w:val="center"/>
              </w:trPr>
              <w:tc>
                <w:tcPr>
                  <w:tcW w:w="300" w:type="pct"/>
                  <w:vMerge w:val="continue"/>
                  <w:noWrap w:val="0"/>
                  <w:vAlign w:val="center"/>
                </w:tcPr>
                <w:p>
                  <w:pPr>
                    <w:pStyle w:val="118"/>
                    <w:rPr>
                      <w:rFonts w:hint="eastAsia"/>
                      <w:color w:val="auto"/>
                    </w:rPr>
                  </w:pPr>
                </w:p>
              </w:tc>
              <w:tc>
                <w:tcPr>
                  <w:tcW w:w="338" w:type="pct"/>
                  <w:gridSpan w:val="2"/>
                  <w:vMerge w:val="continue"/>
                  <w:noWrap w:val="0"/>
                  <w:vAlign w:val="center"/>
                </w:tcPr>
                <w:p>
                  <w:pPr>
                    <w:pStyle w:val="118"/>
                    <w:rPr>
                      <w:rFonts w:hint="eastAsia"/>
                      <w:color w:val="auto"/>
                    </w:rPr>
                  </w:pPr>
                </w:p>
              </w:tc>
              <w:tc>
                <w:tcPr>
                  <w:tcW w:w="1144" w:type="pct"/>
                  <w:noWrap w:val="0"/>
                  <w:vAlign w:val="center"/>
                </w:tcPr>
                <w:p>
                  <w:pPr>
                    <w:pStyle w:val="118"/>
                    <w:rPr>
                      <w:rFonts w:hint="eastAsia"/>
                      <w:color w:val="auto"/>
                    </w:rPr>
                  </w:pPr>
                  <w:r>
                    <w:rPr>
                      <w:rFonts w:hint="eastAsia"/>
                      <w:color w:val="auto"/>
                    </w:rPr>
                    <w:t>医院地面清洁用水</w:t>
                  </w:r>
                </w:p>
              </w:tc>
              <w:tc>
                <w:tcPr>
                  <w:tcW w:w="345" w:type="pct"/>
                  <w:noWrap w:val="0"/>
                  <w:tcMar>
                    <w:left w:w="57" w:type="dxa"/>
                    <w:right w:w="57" w:type="dxa"/>
                  </w:tcMar>
                  <w:vAlign w:val="center"/>
                </w:tcPr>
                <w:p>
                  <w:pPr>
                    <w:pStyle w:val="118"/>
                    <w:rPr>
                      <w:rFonts w:hint="eastAsia"/>
                      <w:color w:val="auto"/>
                    </w:rPr>
                  </w:pPr>
                  <w:r>
                    <w:rPr>
                      <w:rFonts w:hint="eastAsia"/>
                      <w:color w:val="auto"/>
                    </w:rPr>
                    <w:t>/</w:t>
                  </w:r>
                </w:p>
              </w:tc>
              <w:tc>
                <w:tcPr>
                  <w:tcW w:w="777" w:type="pct"/>
                  <w:noWrap w:val="0"/>
                  <w:tcMar>
                    <w:left w:w="57" w:type="dxa"/>
                    <w:right w:w="57" w:type="dxa"/>
                  </w:tcMar>
                  <w:vAlign w:val="center"/>
                </w:tcPr>
                <w:p>
                  <w:pPr>
                    <w:pStyle w:val="118"/>
                    <w:rPr>
                      <w:rFonts w:hint="eastAsia"/>
                      <w:color w:val="auto"/>
                    </w:rPr>
                  </w:pPr>
                  <w:r>
                    <w:rPr>
                      <w:rFonts w:hint="eastAsia"/>
                      <w:color w:val="auto"/>
                    </w:rPr>
                    <w:t>/</w:t>
                  </w:r>
                </w:p>
              </w:tc>
              <w:tc>
                <w:tcPr>
                  <w:tcW w:w="769" w:type="pct"/>
                  <w:noWrap w:val="0"/>
                  <w:tcMar>
                    <w:left w:w="57" w:type="dxa"/>
                    <w:right w:w="57" w:type="dxa"/>
                  </w:tcMar>
                  <w:vAlign w:val="center"/>
                </w:tcPr>
                <w:p>
                  <w:pPr>
                    <w:pStyle w:val="118"/>
                    <w:rPr>
                      <w:color w:val="auto"/>
                    </w:rPr>
                  </w:pPr>
                  <w:r>
                    <w:rPr>
                      <w:color w:val="auto"/>
                    </w:rPr>
                    <w:t>0.2</w:t>
                  </w:r>
                </w:p>
              </w:tc>
              <w:tc>
                <w:tcPr>
                  <w:tcW w:w="590" w:type="pct"/>
                  <w:vMerge w:val="continue"/>
                  <w:noWrap w:val="0"/>
                  <w:vAlign w:val="center"/>
                </w:tcPr>
                <w:p>
                  <w:pPr>
                    <w:pStyle w:val="118"/>
                    <w:rPr>
                      <w:color w:val="auto"/>
                    </w:rPr>
                  </w:pPr>
                </w:p>
              </w:tc>
              <w:tc>
                <w:tcPr>
                  <w:tcW w:w="734" w:type="pct"/>
                  <w:noWrap w:val="0"/>
                  <w:vAlign w:val="center"/>
                </w:tcPr>
                <w:p>
                  <w:pPr>
                    <w:pStyle w:val="118"/>
                    <w:rPr>
                      <w:color w:val="auto"/>
                    </w:rPr>
                  </w:pPr>
                  <w:r>
                    <w:rPr>
                      <w:color w:val="auto"/>
                    </w:rPr>
                    <w:t>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5" w:hRule="atLeast"/>
                <w:jc w:val="center"/>
              </w:trPr>
              <w:tc>
                <w:tcPr>
                  <w:tcW w:w="306" w:type="pct"/>
                  <w:gridSpan w:val="2"/>
                  <w:noWrap w:val="0"/>
                  <w:vAlign w:val="center"/>
                </w:tcPr>
                <w:p>
                  <w:pPr>
                    <w:pStyle w:val="118"/>
                    <w:rPr>
                      <w:color w:val="auto"/>
                    </w:rPr>
                  </w:pPr>
                  <w:r>
                    <w:rPr>
                      <w:rFonts w:hint="eastAsia"/>
                      <w:color w:val="auto"/>
                    </w:rPr>
                    <w:t>3</w:t>
                  </w:r>
                </w:p>
              </w:tc>
              <w:tc>
                <w:tcPr>
                  <w:tcW w:w="1476" w:type="pct"/>
                  <w:gridSpan w:val="2"/>
                  <w:noWrap w:val="0"/>
                  <w:vAlign w:val="center"/>
                </w:tcPr>
                <w:p>
                  <w:pPr>
                    <w:pStyle w:val="118"/>
                    <w:rPr>
                      <w:rFonts w:hint="eastAsia"/>
                      <w:color w:val="auto"/>
                    </w:rPr>
                  </w:pPr>
                  <w:r>
                    <w:rPr>
                      <w:rFonts w:hint="eastAsia"/>
                      <w:color w:val="auto"/>
                    </w:rPr>
                    <w:t>未预见用水</w:t>
                  </w:r>
                </w:p>
              </w:tc>
              <w:tc>
                <w:tcPr>
                  <w:tcW w:w="1122" w:type="pct"/>
                  <w:gridSpan w:val="2"/>
                  <w:noWrap w:val="0"/>
                  <w:tcMar>
                    <w:left w:w="57" w:type="dxa"/>
                    <w:right w:w="57" w:type="dxa"/>
                  </w:tcMar>
                  <w:vAlign w:val="center"/>
                </w:tcPr>
                <w:p>
                  <w:pPr>
                    <w:pStyle w:val="118"/>
                    <w:rPr>
                      <w:rFonts w:hint="eastAsia"/>
                      <w:color w:val="auto"/>
                    </w:rPr>
                  </w:pPr>
                  <w:r>
                    <w:rPr>
                      <w:rFonts w:hint="eastAsia"/>
                      <w:color w:val="auto"/>
                    </w:rPr>
                    <w:t>按总用水量10%计</w:t>
                  </w:r>
                </w:p>
              </w:tc>
              <w:tc>
                <w:tcPr>
                  <w:tcW w:w="769" w:type="pct"/>
                  <w:noWrap w:val="0"/>
                  <w:tcMar>
                    <w:left w:w="57" w:type="dxa"/>
                    <w:right w:w="57" w:type="dxa"/>
                  </w:tcMar>
                  <w:vAlign w:val="center"/>
                </w:tcPr>
                <w:p>
                  <w:pPr>
                    <w:pStyle w:val="118"/>
                    <w:rPr>
                      <w:color w:val="auto"/>
                    </w:rPr>
                  </w:pPr>
                  <w:r>
                    <w:rPr>
                      <w:rFonts w:hint="eastAsia"/>
                      <w:color w:val="auto"/>
                    </w:rPr>
                    <w:t>0.145</w:t>
                  </w:r>
                </w:p>
              </w:tc>
              <w:tc>
                <w:tcPr>
                  <w:tcW w:w="590" w:type="pct"/>
                  <w:noWrap w:val="0"/>
                  <w:vAlign w:val="center"/>
                </w:tcPr>
                <w:p>
                  <w:pPr>
                    <w:pStyle w:val="118"/>
                    <w:rPr>
                      <w:rFonts w:hint="eastAsia"/>
                      <w:color w:val="auto"/>
                    </w:rPr>
                  </w:pPr>
                  <w:r>
                    <w:rPr>
                      <w:rFonts w:hint="eastAsia"/>
                      <w:color w:val="auto"/>
                    </w:rPr>
                    <w:t>/</w:t>
                  </w:r>
                </w:p>
              </w:tc>
              <w:tc>
                <w:tcPr>
                  <w:tcW w:w="734" w:type="pct"/>
                  <w:noWrap w:val="0"/>
                  <w:vAlign w:val="center"/>
                </w:tcPr>
                <w:p>
                  <w:pPr>
                    <w:pStyle w:val="118"/>
                    <w:rPr>
                      <w:rFonts w:hint="eastAsia"/>
                      <w:color w:val="auto"/>
                    </w:rPr>
                  </w:pPr>
                  <w:r>
                    <w:rPr>
                      <w:rFonts w:hint="eastAsia"/>
                      <w:color w:val="aut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5" w:hRule="atLeast"/>
                <w:jc w:val="center"/>
              </w:trPr>
              <w:tc>
                <w:tcPr>
                  <w:tcW w:w="2905" w:type="pct"/>
                  <w:gridSpan w:val="6"/>
                  <w:noWrap w:val="0"/>
                  <w:vAlign w:val="center"/>
                </w:tcPr>
                <w:p>
                  <w:pPr>
                    <w:pStyle w:val="118"/>
                    <w:rPr>
                      <w:color w:val="auto"/>
                    </w:rPr>
                  </w:pPr>
                  <w:r>
                    <w:rPr>
                      <w:color w:val="auto"/>
                    </w:rPr>
                    <w:t>合计</w:t>
                  </w:r>
                </w:p>
              </w:tc>
              <w:tc>
                <w:tcPr>
                  <w:tcW w:w="769" w:type="pct"/>
                  <w:noWrap w:val="0"/>
                  <w:tcMar>
                    <w:left w:w="57" w:type="dxa"/>
                    <w:right w:w="57" w:type="dxa"/>
                  </w:tcMar>
                  <w:vAlign w:val="center"/>
                </w:tcPr>
                <w:p>
                  <w:pPr>
                    <w:pStyle w:val="118"/>
                    <w:rPr>
                      <w:color w:val="auto"/>
                    </w:rPr>
                  </w:pPr>
                  <w:r>
                    <w:rPr>
                      <w:rFonts w:hint="eastAsia"/>
                      <w:color w:val="auto"/>
                    </w:rPr>
                    <w:t>1.795</w:t>
                  </w:r>
                </w:p>
              </w:tc>
              <w:tc>
                <w:tcPr>
                  <w:tcW w:w="590" w:type="pct"/>
                  <w:noWrap w:val="0"/>
                  <w:vAlign w:val="center"/>
                </w:tcPr>
                <w:p>
                  <w:pPr>
                    <w:pStyle w:val="118"/>
                    <w:rPr>
                      <w:rFonts w:hint="eastAsia"/>
                      <w:color w:val="auto"/>
                    </w:rPr>
                  </w:pPr>
                  <w:r>
                    <w:rPr>
                      <w:rFonts w:hint="eastAsia"/>
                      <w:color w:val="auto"/>
                    </w:rPr>
                    <w:t>/</w:t>
                  </w:r>
                </w:p>
              </w:tc>
              <w:tc>
                <w:tcPr>
                  <w:tcW w:w="734" w:type="pct"/>
                  <w:noWrap w:val="0"/>
                  <w:vAlign w:val="center"/>
                </w:tcPr>
                <w:p>
                  <w:pPr>
                    <w:pStyle w:val="118"/>
                    <w:rPr>
                      <w:color w:val="auto"/>
                    </w:rPr>
                  </w:pPr>
                  <w:r>
                    <w:rPr>
                      <w:color w:val="auto"/>
                    </w:rPr>
                    <w:t>1.</w:t>
                  </w:r>
                  <w:r>
                    <w:rPr>
                      <w:rFonts w:hint="eastAsia"/>
                      <w:color w:val="auto"/>
                    </w:rPr>
                    <w:t>32</w:t>
                  </w:r>
                </w:p>
              </w:tc>
            </w:tr>
          </w:tbl>
          <w:p>
            <w:pPr>
              <w:pStyle w:val="101"/>
              <w:ind w:left="480" w:leftChars="200" w:firstLine="0" w:firstLineChars="0"/>
              <w:rPr>
                <w:rFonts w:hint="eastAsia"/>
                <w:b/>
                <w:bCs/>
                <w:color w:val="auto"/>
              </w:rPr>
            </w:pPr>
            <w:r>
              <w:rPr>
                <w:rFonts w:hint="eastAsia"/>
                <w:b/>
                <w:bCs/>
                <w:color w:val="auto"/>
              </w:rPr>
              <w:t>3、</w:t>
            </w:r>
            <w:r>
              <w:rPr>
                <w:b/>
                <w:bCs/>
                <w:color w:val="auto"/>
              </w:rPr>
              <w:t>排水</w:t>
            </w:r>
            <w:r>
              <w:rPr>
                <w:rFonts w:hint="eastAsia"/>
                <w:b/>
                <w:bCs/>
                <w:color w:val="auto"/>
              </w:rPr>
              <w:t>系统</w:t>
            </w:r>
          </w:p>
          <w:p>
            <w:pPr>
              <w:pStyle w:val="104"/>
              <w:ind w:firstLine="480"/>
              <w:rPr>
                <w:rFonts w:hint="eastAsia"/>
                <w:color w:val="auto"/>
              </w:rPr>
            </w:pPr>
            <w:r>
              <w:rPr>
                <w:rFonts w:hint="eastAsia"/>
                <w:color w:val="auto"/>
              </w:rPr>
              <w:t>项目排水实行“雨污分流”制，雨水经屋面雨水漏斗收集，经雨水管道排入城市雨水管网；生活污水经</w:t>
            </w:r>
            <w:r>
              <w:rPr>
                <w:rFonts w:hint="eastAsia" w:ascii="宋体" w:hAnsi="宋体"/>
                <w:color w:val="auto"/>
                <w:lang w:val="zh-CN"/>
              </w:rPr>
              <w:t>满芳庭锦邻小区预处理池处理</w:t>
            </w:r>
            <w:r>
              <w:rPr>
                <w:rFonts w:hint="eastAsia"/>
                <w:color w:val="auto"/>
              </w:rPr>
              <w:t>后进入市政污水管网；动物诊疗过程中产生的医疗废水收集后经一体化污水处理设备采用“过滤沉淀+消毒”处理，消毒采用二氧化氯泡腾片，医疗废水经处理后进入</w:t>
            </w:r>
            <w:r>
              <w:rPr>
                <w:rFonts w:hint="eastAsia" w:ascii="宋体" w:hAnsi="宋体"/>
                <w:color w:val="auto"/>
                <w:lang w:val="zh-CN"/>
              </w:rPr>
              <w:t>满芳庭锦邻小区预处理</w:t>
            </w:r>
            <w:r>
              <w:rPr>
                <w:rFonts w:hint="eastAsia"/>
                <w:color w:val="auto"/>
              </w:rPr>
              <w:t>池处理后排入市政污水管网，最终进入乐山市第一污水处理厂处理后排放。</w:t>
            </w:r>
          </w:p>
          <w:p>
            <w:pPr>
              <w:spacing w:line="240" w:lineRule="auto"/>
              <w:ind w:firstLine="480"/>
              <w:rPr>
                <w:color w:val="auto"/>
              </w:rPr>
            </w:pPr>
            <w:r>
              <w:rPr>
                <w:rFonts w:hint="eastAsia"/>
                <w:color w:val="auto"/>
              </w:rPr>
              <w:t>项目运营期水平衡图如下：</w:t>
            </w:r>
          </w:p>
          <w:p>
            <w:pPr>
              <w:pStyle w:val="69"/>
              <w:rPr>
                <w:rFonts w:hint="eastAsia"/>
                <w:color w:val="auto"/>
              </w:rPr>
            </w:pPr>
            <w:r>
              <w:rPr>
                <w:rFonts w:hint="eastAsia"/>
                <w:color w:val="auto"/>
              </w:rPr>
              <w:object>
                <v:shape id="_x0000_i1044" o:spt="75" type="#_x0000_t75" style="height:203.15pt;width:379.35pt;" o:ole="t" filled="f" o:preferrelative="t" stroked="f" coordsize="21600,21600">
                  <v:path/>
                  <v:fill on="f" focussize="0,0"/>
                  <v:stroke on="f"/>
                  <v:imagedata r:id="rId102" o:title=""/>
                  <o:lock v:ext="edit" aspectratio="f"/>
                  <w10:wrap type="none"/>
                  <w10:anchorlock/>
                </v:shape>
                <o:OLEObject Type="Embed" ProgID="Visio.Drawing.15" ShapeID="_x0000_i1044" DrawAspect="Content" ObjectID="_1468075746" r:id="rId101">
                  <o:LockedField>false</o:LockedField>
                </o:OLEObject>
              </w:object>
            </w:r>
          </w:p>
          <w:p>
            <w:pPr>
              <w:pStyle w:val="102"/>
              <w:rPr>
                <w:rFonts w:hint="eastAsia"/>
                <w:color w:val="auto"/>
              </w:rPr>
            </w:pPr>
            <w:r>
              <w:rPr>
                <w:rFonts w:hint="eastAsia"/>
                <w:color w:val="auto"/>
              </w:rPr>
              <w:t>图2-1 项目水平衡图（m³/d）</w:t>
            </w:r>
          </w:p>
          <w:p>
            <w:pPr>
              <w:pStyle w:val="104"/>
              <w:ind w:left="720" w:firstLine="0" w:firstLineChars="0"/>
              <w:rPr>
                <w:rFonts w:hint="eastAsia"/>
                <w:b/>
                <w:bCs/>
                <w:color w:val="auto"/>
              </w:rPr>
            </w:pPr>
            <w:r>
              <w:rPr>
                <w:rFonts w:hint="eastAsia"/>
                <w:b/>
                <w:bCs/>
                <w:color w:val="auto"/>
              </w:rPr>
              <w:t>4、消毒供应</w:t>
            </w:r>
          </w:p>
          <w:p>
            <w:pPr>
              <w:pStyle w:val="104"/>
              <w:ind w:firstLine="480"/>
              <w:rPr>
                <w:rFonts w:hint="eastAsia"/>
                <w:color w:val="auto"/>
              </w:rPr>
            </w:pPr>
            <w:r>
              <w:rPr>
                <w:rFonts w:hint="eastAsia"/>
                <w:color w:val="auto"/>
              </w:rPr>
              <w:t>医疗废水消毒采用二氧化氯泡腾片消毒；医院环境消毒（采用过硫酸氢钾复合粉兑水喷洒空气）喷入空气；手术室仪器设备消毒采用高压蒸汽灭菌锅。</w:t>
            </w:r>
          </w:p>
          <w:p>
            <w:pPr>
              <w:pStyle w:val="104"/>
              <w:ind w:firstLine="482"/>
              <w:rPr>
                <w:rFonts w:hint="eastAsia"/>
                <w:b/>
                <w:bCs/>
                <w:color w:val="auto"/>
              </w:rPr>
            </w:pPr>
            <w:r>
              <w:rPr>
                <w:rFonts w:hint="eastAsia"/>
                <w:b/>
                <w:bCs/>
                <w:color w:val="auto"/>
              </w:rPr>
              <w:t>关于本项目具体情况说明如下：</w:t>
            </w:r>
          </w:p>
          <w:p>
            <w:pPr>
              <w:pStyle w:val="104"/>
              <w:ind w:firstLine="482"/>
              <w:rPr>
                <w:rFonts w:hint="eastAsia"/>
                <w:b/>
                <w:bCs/>
                <w:color w:val="auto"/>
              </w:rPr>
            </w:pPr>
            <w:r>
              <w:rPr>
                <w:rFonts w:hint="eastAsia"/>
                <w:b/>
                <w:bCs/>
                <w:color w:val="auto"/>
              </w:rPr>
              <w:t xml:space="preserve">（1）项目医学影像科采用数码打印方式，无洗印废水产生和排放； </w:t>
            </w:r>
          </w:p>
          <w:p>
            <w:pPr>
              <w:pStyle w:val="104"/>
              <w:ind w:firstLine="482"/>
              <w:rPr>
                <w:rFonts w:hint="eastAsia"/>
                <w:b/>
                <w:bCs/>
                <w:color w:val="auto"/>
              </w:rPr>
            </w:pPr>
            <w:r>
              <w:rPr>
                <w:rFonts w:hint="eastAsia"/>
                <w:b/>
                <w:bCs/>
                <w:color w:val="auto"/>
              </w:rPr>
              <w:t xml:space="preserve">（2）项目不设置食堂，职工就餐已自带和外卖的形式，因此无餐饮废水产生； </w:t>
            </w:r>
          </w:p>
          <w:p>
            <w:pPr>
              <w:pStyle w:val="104"/>
              <w:ind w:firstLine="482"/>
              <w:rPr>
                <w:rFonts w:hint="eastAsia"/>
                <w:b/>
                <w:bCs/>
                <w:color w:val="auto"/>
              </w:rPr>
            </w:pPr>
            <w:r>
              <w:rPr>
                <w:rFonts w:hint="eastAsia"/>
                <w:b/>
                <w:bCs/>
                <w:color w:val="auto"/>
              </w:rPr>
              <w:t>（3）本项目不接收传染病宠物;</w:t>
            </w:r>
          </w:p>
          <w:p>
            <w:pPr>
              <w:pStyle w:val="104"/>
              <w:ind w:firstLine="482"/>
              <w:rPr>
                <w:rFonts w:hint="eastAsia"/>
                <w:b/>
                <w:bCs/>
                <w:color w:val="auto"/>
              </w:rPr>
            </w:pPr>
            <w:r>
              <w:rPr>
                <w:rFonts w:hint="eastAsia"/>
                <w:b/>
                <w:bCs/>
                <w:color w:val="auto"/>
              </w:rPr>
              <w:t>（4）另外，本项目化验区采用成品试剂进行血常规检验，不使用水，此类检查产生的污染物主要为沾有血液的棉签、棉球、采血针、针简、量杯等，全部作为医疗垃圾处理，因此，本项目无检验废水的产生。</w:t>
            </w:r>
          </w:p>
          <w:p>
            <w:pPr>
              <w:pStyle w:val="5"/>
              <w:rPr>
                <w:color w:val="auto"/>
              </w:rPr>
            </w:pPr>
            <w:r>
              <w:rPr>
                <w:color w:val="auto"/>
              </w:rPr>
              <w:t>八、项目总平面布置</w:t>
            </w:r>
          </w:p>
          <w:p>
            <w:pPr>
              <w:ind w:firstLine="480"/>
              <w:rPr>
                <w:color w:val="auto"/>
              </w:rPr>
            </w:pPr>
            <w:r>
              <w:rPr>
                <w:color w:val="auto"/>
              </w:rPr>
              <w:t>本项目</w:t>
            </w:r>
            <w:r>
              <w:rPr>
                <w:rFonts w:hint="eastAsia"/>
                <w:color w:val="auto"/>
              </w:rPr>
              <w:t>已建成运营，根据现场踏勘，项目</w:t>
            </w:r>
            <w:r>
              <w:rPr>
                <w:rFonts w:hint="eastAsia"/>
                <w:color w:val="auto"/>
                <w:lang w:eastAsia="zh-CN"/>
              </w:rPr>
              <w:t>南侧</w:t>
            </w:r>
            <w:r>
              <w:rPr>
                <w:color w:val="auto"/>
              </w:rPr>
              <w:t>设置一个独立的出入口（项目专用），区域内主要接纳宠物猫狗，猫与狗分区域进行诊治，项目设置有</w:t>
            </w:r>
            <w:r>
              <w:rPr>
                <w:rFonts w:hint="eastAsia"/>
                <w:color w:val="auto"/>
              </w:rPr>
              <w:t>2</w:t>
            </w:r>
            <w:r>
              <w:rPr>
                <w:color w:val="auto"/>
              </w:rPr>
              <w:t>间</w:t>
            </w:r>
            <w:r>
              <w:rPr>
                <w:rFonts w:hint="eastAsia"/>
                <w:color w:val="auto"/>
              </w:rPr>
              <w:t>诊疗</w:t>
            </w:r>
            <w:r>
              <w:rPr>
                <w:color w:val="auto"/>
              </w:rPr>
              <w:t>室、</w:t>
            </w:r>
            <w:r>
              <w:rPr>
                <w:rFonts w:hint="eastAsia"/>
                <w:color w:val="auto"/>
              </w:rPr>
              <w:t>1</w:t>
            </w:r>
            <w:r>
              <w:rPr>
                <w:color w:val="auto"/>
              </w:rPr>
              <w:t>间手术室、</w:t>
            </w:r>
            <w:r>
              <w:rPr>
                <w:rFonts w:hint="eastAsia"/>
                <w:color w:val="auto"/>
              </w:rPr>
              <w:t>3</w:t>
            </w:r>
            <w:r>
              <w:rPr>
                <w:color w:val="auto"/>
              </w:rPr>
              <w:t>间住院室、1间DR室、1间</w:t>
            </w:r>
            <w:r>
              <w:rPr>
                <w:rFonts w:hint="eastAsia"/>
                <w:color w:val="auto"/>
              </w:rPr>
              <w:t>特护</w:t>
            </w:r>
            <w:r>
              <w:rPr>
                <w:color w:val="auto"/>
              </w:rPr>
              <w:t>室和1间卫生间等，另设置</w:t>
            </w:r>
            <w:r>
              <w:rPr>
                <w:rFonts w:hint="eastAsia"/>
                <w:color w:val="auto"/>
              </w:rPr>
              <w:t>一体化污水处理设备1</w:t>
            </w:r>
            <w:r>
              <w:rPr>
                <w:color w:val="auto"/>
              </w:rPr>
              <w:t>套，</w:t>
            </w:r>
            <w:r>
              <w:rPr>
                <w:rFonts w:hint="eastAsia"/>
                <w:color w:val="auto"/>
              </w:rPr>
              <w:t>医废暂存间</w:t>
            </w:r>
            <w:r>
              <w:rPr>
                <w:color w:val="auto"/>
              </w:rPr>
              <w:t>1处。</w:t>
            </w:r>
          </w:p>
          <w:p>
            <w:pPr>
              <w:pStyle w:val="104"/>
              <w:ind w:firstLine="480"/>
              <w:rPr>
                <w:rFonts w:hint="eastAsia"/>
                <w:color w:val="auto"/>
              </w:rPr>
            </w:pPr>
            <w:r>
              <w:rPr>
                <w:color w:val="auto"/>
              </w:rPr>
              <w:t>本项目</w:t>
            </w:r>
            <w:r>
              <w:rPr>
                <w:rFonts w:hint="eastAsia"/>
                <w:color w:val="auto"/>
              </w:rPr>
              <w:t>医废暂存间</w:t>
            </w:r>
            <w:r>
              <w:rPr>
                <w:color w:val="auto"/>
              </w:rPr>
              <w:t>置于项目</w:t>
            </w:r>
            <w:r>
              <w:rPr>
                <w:rFonts w:hint="eastAsia"/>
                <w:color w:val="auto"/>
              </w:rPr>
              <w:t>东</w:t>
            </w:r>
            <w:r>
              <w:rPr>
                <w:color w:val="auto"/>
              </w:rPr>
              <w:t>北侧</w:t>
            </w:r>
            <w:r>
              <w:rPr>
                <w:rFonts w:hint="eastAsia"/>
                <w:color w:val="auto"/>
              </w:rPr>
              <w:t>走廊右侧，离手术室最近，临近手术室，能满足手术过程中产生的医疗废物短距离收集，减少了交叉感染和环境污染的风险。医废暂存间</w:t>
            </w:r>
            <w:r>
              <w:rPr>
                <w:color w:val="auto"/>
              </w:rPr>
              <w:t>平时密封，采用专用密闭</w:t>
            </w:r>
            <w:r>
              <w:rPr>
                <w:rFonts w:hint="eastAsia"/>
                <w:color w:val="auto"/>
              </w:rPr>
              <w:t>医疗废物专用袋</w:t>
            </w:r>
            <w:r>
              <w:rPr>
                <w:color w:val="auto"/>
              </w:rPr>
              <w:t>收集</w:t>
            </w:r>
            <w:r>
              <w:rPr>
                <w:rFonts w:hint="eastAsia"/>
                <w:color w:val="auto"/>
              </w:rPr>
              <w:t>、</w:t>
            </w:r>
            <w:r>
              <w:rPr>
                <w:color w:val="auto"/>
              </w:rPr>
              <w:t>暂存后交由有资质单位处置，</w:t>
            </w:r>
            <w:r>
              <w:rPr>
                <w:rFonts w:hint="eastAsia"/>
                <w:color w:val="auto"/>
              </w:rPr>
              <w:t>医废暂存间</w:t>
            </w:r>
            <w:r>
              <w:rPr>
                <w:color w:val="auto"/>
              </w:rPr>
              <w:t>暂存</w:t>
            </w:r>
            <w:r>
              <w:rPr>
                <w:rFonts w:hint="eastAsia"/>
                <w:color w:val="auto"/>
              </w:rPr>
              <w:t>（暂存时间常温下不得超过1天，5℃以下冷藏不得超过7天）</w:t>
            </w:r>
            <w:r>
              <w:rPr>
                <w:color w:val="auto"/>
              </w:rPr>
              <w:t>且加强消毒和管理，并在避开高峰时段外运，对周围环境影响较小</w:t>
            </w:r>
            <w:r>
              <w:rPr>
                <w:rFonts w:hint="eastAsia"/>
                <w:color w:val="auto"/>
              </w:rPr>
              <w:t>；宠物手术室设置于项目北侧走廊尽头，动物发出的声音在经过墙体、门窗等隔声之后不会对周围环境造成较大影响；项目一体化污水处理设施位于西侧走廊左侧第四间卫生间处，离手术室较近，能有效的保证医疗废水的短距离收集，减少了废水泄露的风险；项目医院内废气采用移动式紫外线灯+（过硫酸氢钾复合粉兑水喷入空气）环境消毒+新风系统，能交替合并使用且满足各个功能房的消毒要求.</w:t>
            </w:r>
          </w:p>
          <w:p>
            <w:pPr>
              <w:ind w:firstLine="480"/>
              <w:rPr>
                <w:color w:val="auto"/>
              </w:rPr>
            </w:pPr>
            <w:r>
              <w:rPr>
                <w:rFonts w:hint="eastAsia"/>
                <w:color w:val="auto"/>
              </w:rPr>
              <w:t>综上所述，项目总平面设计合理，功能分区明确，各种环保设施布置较为合理，满足医疗卫生的要求和环境保护的要求，项目平面布置总体可行。</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734" w:hRule="atLeast"/>
          <w:jc w:val="center"/>
        </w:trPr>
        <w:tc>
          <w:tcPr>
            <w:tcW w:w="496" w:type="pct"/>
            <w:noWrap w:val="0"/>
            <w:vAlign w:val="center"/>
          </w:tcPr>
          <w:p>
            <w:pPr>
              <w:pStyle w:val="33"/>
              <w:spacing w:beforeAutospacing="0" w:afterAutospacing="0"/>
              <w:ind w:firstLine="0" w:firstLineChars="0"/>
              <w:jc w:val="center"/>
              <w:rPr>
                <w:rFonts w:cs="宋体"/>
                <w:color w:val="auto"/>
                <w:szCs w:val="24"/>
              </w:rPr>
            </w:pPr>
            <w:r>
              <w:rPr>
                <w:rFonts w:hint="eastAsia" w:cs="宋体"/>
                <w:color w:val="auto"/>
                <w:szCs w:val="24"/>
              </w:rPr>
              <w:t>工艺流程和产排污环节</w:t>
            </w:r>
          </w:p>
        </w:tc>
        <w:tc>
          <w:tcPr>
            <w:tcW w:w="4503" w:type="pct"/>
            <w:noWrap w:val="0"/>
            <w:vAlign w:val="top"/>
          </w:tcPr>
          <w:p>
            <w:pPr>
              <w:pStyle w:val="5"/>
              <w:rPr>
                <w:color w:val="auto"/>
              </w:rPr>
            </w:pPr>
            <w:r>
              <w:rPr>
                <w:color w:val="auto"/>
              </w:rPr>
              <w:t>一、施工期</w:t>
            </w:r>
          </w:p>
          <w:p>
            <w:pPr>
              <w:ind w:firstLine="480"/>
              <w:rPr>
                <w:rFonts w:hint="eastAsia"/>
                <w:color w:val="auto"/>
              </w:rPr>
            </w:pPr>
            <w:r>
              <w:rPr>
                <w:color w:val="auto"/>
              </w:rPr>
              <w:t>本项目系租用已建商业</w:t>
            </w:r>
            <w:r>
              <w:rPr>
                <w:rFonts w:hint="eastAsia"/>
                <w:color w:val="auto"/>
              </w:rPr>
              <w:t>店铺</w:t>
            </w:r>
            <w:r>
              <w:rPr>
                <w:color w:val="auto"/>
              </w:rPr>
              <w:t>用于建设宠物医院，</w:t>
            </w:r>
            <w:r>
              <w:rPr>
                <w:rFonts w:hint="eastAsia"/>
                <w:color w:val="auto"/>
              </w:rPr>
              <w:t>属于未批先建项目，简单装修已完成，本次评价主要进行装修及设备安装的回顾性分析</w:t>
            </w:r>
            <w:r>
              <w:rPr>
                <w:color w:val="auto"/>
              </w:rPr>
              <w:t>，施工期污染物产生量少。</w:t>
            </w:r>
            <w:r>
              <w:rPr>
                <w:rFonts w:hint="eastAsia"/>
                <w:color w:val="auto"/>
              </w:rPr>
              <w:t>未遗留环境问题。</w:t>
            </w:r>
          </w:p>
          <w:p>
            <w:pPr>
              <w:ind w:firstLine="480"/>
              <w:rPr>
                <w:rFonts w:hint="eastAsia"/>
                <w:color w:val="auto"/>
              </w:rPr>
            </w:pPr>
            <w:r>
              <w:rPr>
                <w:rFonts w:hint="eastAsia"/>
                <w:color w:val="auto"/>
              </w:rPr>
              <w:t>1、施工期工艺流程简述</w:t>
            </w:r>
          </w:p>
          <w:p>
            <w:pPr>
              <w:pStyle w:val="104"/>
              <w:ind w:firstLine="480"/>
              <w:rPr>
                <w:rFonts w:hint="eastAsia"/>
                <w:color w:val="auto"/>
              </w:rPr>
            </w:pPr>
            <w:r>
              <w:rPr>
                <w:rFonts w:hint="eastAsia"/>
                <w:color w:val="auto"/>
              </w:rPr>
              <w:t>本项目为新建，项目施工期施工内容主要为改造工程、装修工程、设备安装工程，施工期约1个月，施工过程中将产生噪声、粉尘、固体废弃物、废水、废气等污染物，随着工程的完工和投入使用，施工期产生的各种污染物也随之消失。由于项目工程量较小，施工时间较短，污染物产排量较少，对周边环境的影响程度较小。项目施工期工艺流程如下图：</w:t>
            </w:r>
          </w:p>
          <w:p>
            <w:pPr>
              <w:pStyle w:val="102"/>
              <w:spacing w:line="240" w:lineRule="auto"/>
              <w:rPr>
                <w:color w:val="auto"/>
              </w:rPr>
            </w:pPr>
            <w:r>
              <w:rPr>
                <w:color w:val="auto"/>
              </w:rPr>
              <w:object>
                <v:shape id="_x0000_i1045" o:spt="75" type="#_x0000_t75" style="height:201pt;width:406.65pt;" o:ole="t" filled="f" o:preferrelative="t" stroked="f" coordsize="21600,21600">
                  <v:path/>
                  <v:fill on="f" focussize="0,0"/>
                  <v:stroke on="f"/>
                  <v:imagedata r:id="rId104" o:title=""/>
                  <o:lock v:ext="edit" aspectratio="t"/>
                  <w10:wrap type="none"/>
                  <w10:anchorlock/>
                </v:shape>
                <o:OLEObject Type="Embed" ProgID="Visio.Drawing.15" ShapeID="_x0000_i1045" DrawAspect="Content" ObjectID="_1468075747" r:id="rId103">
                  <o:LockedField>false</o:LockedField>
                </o:OLEObject>
              </w:object>
            </w:r>
          </w:p>
          <w:p>
            <w:pPr>
              <w:pStyle w:val="102"/>
              <w:rPr>
                <w:rFonts w:hint="eastAsia"/>
                <w:color w:val="auto"/>
              </w:rPr>
            </w:pPr>
            <w:r>
              <w:rPr>
                <w:rFonts w:hint="eastAsia"/>
                <w:color w:val="auto"/>
              </w:rPr>
              <w:t>图2-2 施工期工艺流程及产污环节图</w:t>
            </w:r>
          </w:p>
          <w:p>
            <w:pPr>
              <w:pStyle w:val="104"/>
              <w:ind w:firstLine="480"/>
              <w:rPr>
                <w:color w:val="auto"/>
              </w:rPr>
            </w:pPr>
            <w:r>
              <w:rPr>
                <w:color w:val="auto"/>
              </w:rPr>
              <w:t>工艺流程简述：</w:t>
            </w:r>
          </w:p>
          <w:p>
            <w:pPr>
              <w:pStyle w:val="104"/>
              <w:ind w:firstLine="480"/>
              <w:rPr>
                <w:color w:val="auto"/>
              </w:rPr>
            </w:pPr>
            <w:r>
              <w:rPr>
                <w:color w:val="auto"/>
              </w:rPr>
              <w:t>1、改造工程</w:t>
            </w:r>
          </w:p>
          <w:p>
            <w:pPr>
              <w:pStyle w:val="104"/>
              <w:ind w:firstLine="480"/>
              <w:rPr>
                <w:rFonts w:hint="eastAsia"/>
                <w:b/>
                <w:bCs/>
                <w:color w:val="auto"/>
              </w:rPr>
            </w:pPr>
            <w:r>
              <w:rPr>
                <w:color w:val="auto"/>
              </w:rPr>
              <w:t>改造工程主要为</w:t>
            </w:r>
            <w:r>
              <w:rPr>
                <w:rFonts w:hint="eastAsia"/>
                <w:color w:val="auto"/>
              </w:rPr>
              <w:t>对商铺进行隔断，根据项目各功能用房需要设置，施工过程中将产生少量粉尘、噪声等。</w:t>
            </w:r>
          </w:p>
          <w:p>
            <w:pPr>
              <w:pStyle w:val="104"/>
              <w:ind w:firstLine="480"/>
              <w:rPr>
                <w:color w:val="auto"/>
              </w:rPr>
            </w:pPr>
            <w:r>
              <w:rPr>
                <w:color w:val="auto"/>
              </w:rPr>
              <w:t>2、</w:t>
            </w:r>
            <w:r>
              <w:rPr>
                <w:rFonts w:hint="eastAsia"/>
                <w:color w:val="auto"/>
              </w:rPr>
              <w:t>装修工程</w:t>
            </w:r>
          </w:p>
          <w:p>
            <w:pPr>
              <w:pStyle w:val="104"/>
              <w:ind w:firstLine="480"/>
              <w:rPr>
                <w:rFonts w:hint="eastAsia"/>
                <w:color w:val="auto"/>
              </w:rPr>
            </w:pPr>
            <w:r>
              <w:rPr>
                <w:rFonts w:hint="eastAsia"/>
                <w:color w:val="auto"/>
              </w:rPr>
              <w:t>装修工程主要为地面硬化及铺砖、墙体墙面粉刷、门窗安装等，施工工程量较小，施工时间较短，施工过程中将产生废气、噪声、固废及生活污水等。</w:t>
            </w:r>
          </w:p>
          <w:p>
            <w:pPr>
              <w:pStyle w:val="104"/>
              <w:ind w:firstLine="480"/>
              <w:rPr>
                <w:color w:val="auto"/>
              </w:rPr>
            </w:pPr>
            <w:r>
              <w:rPr>
                <w:color w:val="auto"/>
              </w:rPr>
              <w:t>3、设备安装</w:t>
            </w:r>
          </w:p>
          <w:p>
            <w:pPr>
              <w:pStyle w:val="104"/>
              <w:ind w:firstLine="480"/>
              <w:rPr>
                <w:color w:val="auto"/>
              </w:rPr>
            </w:pPr>
            <w:r>
              <w:rPr>
                <w:color w:val="auto"/>
              </w:rPr>
              <w:t>项目设备安装主要为</w:t>
            </w:r>
            <w:r>
              <w:rPr>
                <w:rFonts w:hint="eastAsia"/>
                <w:color w:val="auto"/>
              </w:rPr>
              <w:t>手术室设备安装、B超市及化验室等设备安装，</w:t>
            </w:r>
            <w:r>
              <w:rPr>
                <w:color w:val="auto"/>
              </w:rPr>
              <w:t>设备安装过程中涉及设备固定等，将产生一定的噪声。</w:t>
            </w:r>
          </w:p>
          <w:p>
            <w:pPr>
              <w:pStyle w:val="104"/>
              <w:ind w:firstLine="480"/>
              <w:rPr>
                <w:rFonts w:hint="eastAsia"/>
                <w:color w:val="auto"/>
              </w:rPr>
            </w:pPr>
            <w:r>
              <w:rPr>
                <w:rFonts w:hint="eastAsia"/>
                <w:color w:val="auto"/>
              </w:rPr>
              <w:t>本工程施工期为1个月，施工期对环境的影响通过采取加强管理、合理安排施工时间等措施能够得到一定缓解，随着施工阶段的推进，施工期污染物产排及对环境的影响将发生变化，最终随着施工的结束而消失。</w:t>
            </w:r>
          </w:p>
          <w:p>
            <w:pPr>
              <w:pStyle w:val="5"/>
              <w:numPr>
                <w:ilvl w:val="0"/>
                <w:numId w:val="11"/>
              </w:numPr>
              <w:rPr>
                <w:color w:val="auto"/>
              </w:rPr>
            </w:pPr>
            <w:r>
              <w:rPr>
                <w:color w:val="auto"/>
              </w:rPr>
              <w:t>营运期</w:t>
            </w:r>
          </w:p>
          <w:p>
            <w:pPr>
              <w:pStyle w:val="104"/>
              <w:ind w:firstLine="480"/>
              <w:rPr>
                <w:rFonts w:hint="eastAsia"/>
                <w:color w:val="auto"/>
              </w:rPr>
            </w:pPr>
            <w:r>
              <w:rPr>
                <w:rFonts w:hint="eastAsia"/>
                <w:color w:val="auto"/>
              </w:rPr>
              <w:t>本项目为宠物医院项目，年营运日为300天/年，人员共5人，项目不提住宿、不设食堂。项目运营后，其主要为宠物医疗服务。其工作流程及主要排污节点详如图2-3：</w:t>
            </w:r>
          </w:p>
          <w:p>
            <w:pPr>
              <w:pStyle w:val="69"/>
              <w:rPr>
                <w:color w:val="auto"/>
              </w:rPr>
            </w:pPr>
            <w:r>
              <w:rPr>
                <w:color w:val="auto"/>
              </w:rPr>
              <w:object>
                <v:shape id="_x0000_i1046" o:spt="75" type="#_x0000_t75" style="height:194.8pt;width:393.9pt;" o:ole="t" filled="f" o:preferrelative="t" stroked="f" coordsize="21600,21600">
                  <v:path/>
                  <v:fill on="f" focussize="0,0"/>
                  <v:stroke on="f"/>
                  <v:imagedata r:id="rId106" o:title=""/>
                  <o:lock v:ext="edit" aspectratio="t"/>
                  <w10:wrap type="none"/>
                  <w10:anchorlock/>
                </v:shape>
                <o:OLEObject Type="Embed" ProgID="Visio.Drawing.15" ShapeID="_x0000_i1046" DrawAspect="Content" ObjectID="_1468075748" r:id="rId105">
                  <o:LockedField>false</o:LockedField>
                </o:OLEObject>
              </w:object>
            </w:r>
          </w:p>
          <w:p>
            <w:pPr>
              <w:pStyle w:val="102"/>
              <w:rPr>
                <w:rFonts w:hint="eastAsia"/>
                <w:color w:val="auto"/>
              </w:rPr>
            </w:pPr>
            <w:r>
              <w:rPr>
                <w:rFonts w:hint="eastAsia"/>
                <w:color w:val="auto"/>
              </w:rPr>
              <w:t>图2-3 运营期工艺流程及产污环节图</w:t>
            </w:r>
          </w:p>
          <w:p>
            <w:pPr>
              <w:pStyle w:val="104"/>
              <w:ind w:firstLine="480"/>
              <w:rPr>
                <w:rFonts w:hint="eastAsia"/>
                <w:color w:val="auto"/>
              </w:rPr>
            </w:pPr>
            <w:r>
              <w:rPr>
                <w:rFonts w:hint="eastAsia"/>
                <w:color w:val="auto"/>
              </w:rPr>
              <w:t>各科室进行诊断流程简述：</w:t>
            </w:r>
          </w:p>
          <w:p>
            <w:pPr>
              <w:ind w:firstLine="480"/>
              <w:rPr>
                <w:rFonts w:hint="eastAsia"/>
                <w:color w:val="auto"/>
              </w:rPr>
            </w:pPr>
            <w:r>
              <w:rPr>
                <w:rFonts w:hint="eastAsia"/>
                <w:color w:val="auto"/>
              </w:rPr>
              <w:t>诊室：主要对宠物进行常见疾病的治疗，产生的污染物主要为棉球、药品等医疗废物和诊断过程产生的医疗废水，为宠物进行换药，产生的污染物主要为棉球、纱布等医疗废物、医疗废水。</w:t>
            </w:r>
          </w:p>
          <w:p>
            <w:pPr>
              <w:ind w:firstLine="480"/>
              <w:rPr>
                <w:rFonts w:hint="eastAsia"/>
                <w:color w:val="auto"/>
              </w:rPr>
            </w:pPr>
            <w:r>
              <w:rPr>
                <w:rFonts w:hint="eastAsia"/>
                <w:color w:val="auto"/>
              </w:rPr>
              <w:t>化验室：主要为宠物进行血常规检查，且采用成品试剂，产生的污染物主要为带有宠物血液的棉球、试管等医疗废物。</w:t>
            </w:r>
          </w:p>
          <w:p>
            <w:pPr>
              <w:ind w:firstLine="480"/>
              <w:rPr>
                <w:rFonts w:hint="eastAsia"/>
                <w:color w:val="auto"/>
              </w:rPr>
            </w:pPr>
            <w:r>
              <w:rPr>
                <w:rFonts w:hint="eastAsia"/>
                <w:color w:val="auto"/>
              </w:rPr>
              <w:t>手术室：主要开展宠物常规骨科手术和绝育手术等，产生的污染物主要为宠物病理组织、棉球、纱布等医疗废物和手术过程产生的医疗废水。</w:t>
            </w:r>
          </w:p>
          <w:p>
            <w:pPr>
              <w:ind w:firstLine="480"/>
              <w:rPr>
                <w:rFonts w:hint="eastAsia"/>
                <w:color w:val="auto"/>
              </w:rPr>
            </w:pPr>
            <w:r>
              <w:rPr>
                <w:rFonts w:hint="eastAsia"/>
                <w:color w:val="auto"/>
              </w:rPr>
              <w:t>住院室：主要是短期住院，骨骼损伤需要恢复的宠物等，产生的污染物主要为棉球、纱布等医疗废物、医疗废水、生活污水。</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96" w:type="pct"/>
            <w:noWrap w:val="0"/>
            <w:vAlign w:val="center"/>
          </w:tcPr>
          <w:p>
            <w:pPr>
              <w:pStyle w:val="33"/>
              <w:spacing w:beforeAutospacing="0" w:afterAutospacing="0"/>
              <w:ind w:firstLine="0" w:firstLineChars="0"/>
              <w:rPr>
                <w:rFonts w:cs="宋体"/>
                <w:color w:val="auto"/>
                <w:szCs w:val="24"/>
              </w:rPr>
            </w:pPr>
            <w:r>
              <w:rPr>
                <w:rFonts w:hint="eastAsia" w:cs="宋体"/>
                <w:bCs/>
                <w:color w:val="auto"/>
                <w:kern w:val="2"/>
                <w:szCs w:val="24"/>
              </w:rPr>
              <w:t>与项目有关的原有环境污染问题</w:t>
            </w:r>
          </w:p>
        </w:tc>
        <w:tc>
          <w:tcPr>
            <w:tcW w:w="4503" w:type="pct"/>
            <w:noWrap w:val="0"/>
            <w:vAlign w:val="top"/>
          </w:tcPr>
          <w:p>
            <w:pPr>
              <w:pStyle w:val="101"/>
              <w:ind w:firstLine="480"/>
              <w:rPr>
                <w:rFonts w:hint="eastAsia"/>
                <w:color w:val="auto"/>
              </w:rPr>
            </w:pPr>
            <w:r>
              <w:rPr>
                <w:rFonts w:hint="eastAsia"/>
                <w:color w:val="auto"/>
              </w:rPr>
              <w:t>本项目为新建补评，项目无历史环境遗留问题。环评工作开展之前，针对项目已建成的现场情况进行了详细调查，项目建设地址无环境遗留问题。本次环评为补评手续，项目现状污染物排放及治理情况如下：</w:t>
            </w:r>
          </w:p>
          <w:p>
            <w:pPr>
              <w:pStyle w:val="6"/>
              <w:numPr>
                <w:ilvl w:val="0"/>
                <w:numId w:val="14"/>
              </w:numPr>
              <w:ind w:firstLine="482"/>
              <w:rPr>
                <w:rFonts w:hint="eastAsia"/>
                <w:color w:val="auto"/>
              </w:rPr>
            </w:pPr>
            <w:r>
              <w:rPr>
                <w:rFonts w:hint="eastAsia"/>
                <w:color w:val="auto"/>
              </w:rPr>
              <w:t>本次环评之前项目现状污染物排放及治理情况</w:t>
            </w:r>
          </w:p>
          <w:p>
            <w:pPr>
              <w:pStyle w:val="104"/>
              <w:numPr>
                <w:ilvl w:val="0"/>
                <w:numId w:val="15"/>
              </w:numPr>
              <w:ind w:firstLine="480" w:firstLineChars="0"/>
              <w:rPr>
                <w:rFonts w:hint="eastAsia"/>
                <w:color w:val="auto"/>
              </w:rPr>
            </w:pPr>
            <w:r>
              <w:rPr>
                <w:rFonts w:hint="eastAsia"/>
                <w:color w:val="auto"/>
              </w:rPr>
              <w:t>现状废水排放情况分析</w:t>
            </w:r>
          </w:p>
          <w:p>
            <w:pPr>
              <w:ind w:firstLine="480"/>
              <w:rPr>
                <w:rFonts w:hint="eastAsia"/>
                <w:color w:val="auto"/>
              </w:rPr>
            </w:pPr>
            <w:r>
              <w:rPr>
                <w:rFonts w:hint="eastAsia"/>
                <w:color w:val="auto"/>
              </w:rPr>
              <w:t>项目现状产生的废水主要为医护人员生活污水（0.2m</w:t>
            </w:r>
            <w:r>
              <w:rPr>
                <w:rFonts w:hint="eastAsia"/>
                <w:color w:val="auto"/>
                <w:vertAlign w:val="superscript"/>
              </w:rPr>
              <w:t>3</w:t>
            </w:r>
            <w:r>
              <w:rPr>
                <w:rFonts w:hint="eastAsia"/>
                <w:color w:val="auto"/>
              </w:rPr>
              <w:t>/d）、顾客生活污水（0.16m</w:t>
            </w:r>
            <w:r>
              <w:rPr>
                <w:rFonts w:hint="eastAsia"/>
                <w:color w:val="auto"/>
                <w:vertAlign w:val="superscript"/>
              </w:rPr>
              <w:t>3</w:t>
            </w:r>
            <w:r>
              <w:rPr>
                <w:rFonts w:hint="eastAsia"/>
                <w:color w:val="auto"/>
              </w:rPr>
              <w:t>/d）、医疗废水（0.96m</w:t>
            </w:r>
            <w:r>
              <w:rPr>
                <w:rFonts w:hint="eastAsia"/>
                <w:color w:val="auto"/>
                <w:vertAlign w:val="superscript"/>
              </w:rPr>
              <w:t>3</w:t>
            </w:r>
            <w:r>
              <w:rPr>
                <w:rFonts w:hint="eastAsia"/>
                <w:color w:val="auto"/>
              </w:rPr>
              <w:t>/d），其中医疗废水包括了宠物诊疗废水、住院废水、院内地面清洁废水，由项目水平衡可知，项目建成后废水总的排放量为1.32m</w:t>
            </w:r>
            <w:r>
              <w:rPr>
                <w:rFonts w:hint="eastAsia"/>
                <w:color w:val="auto"/>
                <w:vertAlign w:val="superscript"/>
              </w:rPr>
              <w:t>3</w:t>
            </w:r>
            <w:r>
              <w:rPr>
                <w:rFonts w:hint="eastAsia"/>
                <w:color w:val="auto"/>
              </w:rPr>
              <w:t>/d（396m</w:t>
            </w:r>
            <w:r>
              <w:rPr>
                <w:rFonts w:hint="eastAsia"/>
                <w:color w:val="auto"/>
                <w:vertAlign w:val="superscript"/>
              </w:rPr>
              <w:t>3</w:t>
            </w:r>
            <w:r>
              <w:rPr>
                <w:rFonts w:hint="eastAsia"/>
                <w:color w:val="auto"/>
              </w:rPr>
              <w:t>/a）。</w:t>
            </w:r>
          </w:p>
          <w:p>
            <w:pPr>
              <w:ind w:firstLine="480"/>
              <w:rPr>
                <w:rFonts w:hint="eastAsia"/>
                <w:color w:val="auto"/>
              </w:rPr>
            </w:pPr>
            <w:r>
              <w:rPr>
                <w:rFonts w:hint="eastAsia"/>
                <w:color w:val="auto"/>
              </w:rPr>
              <w:t>项目医疗废水通过一体化污水处理设备收集后采用“过滤沉淀+消毒”处理，消毒采用的二氧化氯泡腾片，处理后排入满芳庭锦邻小区预处理池，经市政管网流入乐山第一污水处理厂。</w:t>
            </w:r>
            <w:r>
              <w:rPr>
                <w:color w:val="auto"/>
              </w:rPr>
              <w:t>处理达到《四川省岷江、沱江流域水污染物排放标准》（DB51/2311-2016）</w:t>
            </w:r>
            <w:r>
              <w:rPr>
                <w:rFonts w:hint="eastAsia"/>
                <w:color w:val="auto"/>
              </w:rPr>
              <w:t>的</w:t>
            </w:r>
            <w:r>
              <w:rPr>
                <w:color w:val="auto"/>
              </w:rPr>
              <w:t>要求后排入</w:t>
            </w:r>
            <w:r>
              <w:rPr>
                <w:rFonts w:hint="eastAsia"/>
                <w:color w:val="auto"/>
              </w:rPr>
              <w:t>岷江。</w:t>
            </w:r>
          </w:p>
          <w:p>
            <w:pPr>
              <w:ind w:firstLine="480"/>
              <w:rPr>
                <w:rFonts w:hint="eastAsia"/>
                <w:color w:val="auto"/>
              </w:rPr>
            </w:pPr>
            <w:r>
              <w:rPr>
                <w:rFonts w:hint="eastAsia"/>
                <w:color w:val="auto"/>
              </w:rPr>
              <w:t>（2）现状废气排放情况分析</w:t>
            </w:r>
          </w:p>
          <w:p>
            <w:pPr>
              <w:ind w:firstLine="480"/>
              <w:rPr>
                <w:color w:val="auto"/>
              </w:rPr>
            </w:pPr>
            <w:r>
              <w:rPr>
                <w:color w:val="auto"/>
              </w:rPr>
              <w:t>项目运营期产生的废气主要来源于就诊区域宠物散发的异味、</w:t>
            </w:r>
            <w:r>
              <w:rPr>
                <w:rFonts w:hint="eastAsia"/>
                <w:color w:val="auto"/>
              </w:rPr>
              <w:t>医废暂存间废气、</w:t>
            </w:r>
            <w:r>
              <w:rPr>
                <w:color w:val="auto"/>
              </w:rPr>
              <w:t>院内带菌空气，均为无组织形式排放。</w:t>
            </w:r>
            <w:r>
              <w:rPr>
                <w:rFonts w:hint="eastAsia"/>
                <w:color w:val="auto"/>
              </w:rPr>
              <w:t>其中</w:t>
            </w:r>
            <w:r>
              <w:rPr>
                <w:color w:val="auto"/>
              </w:rPr>
              <w:t>就诊区域宠物散发的异味</w:t>
            </w:r>
            <w:r>
              <w:rPr>
                <w:rFonts w:hint="eastAsia"/>
                <w:color w:val="auto"/>
              </w:rPr>
              <w:t>通过</w:t>
            </w:r>
            <w:r>
              <w:rPr>
                <w:color w:val="auto"/>
              </w:rPr>
              <w:t>定时清洁、消毒，</w:t>
            </w:r>
            <w:r>
              <w:rPr>
                <w:rFonts w:hint="eastAsia"/>
                <w:color w:val="auto"/>
              </w:rPr>
              <w:t>通过紫外线灯照射+环境空气消毒（用过硫酸氢钾复合粉兑水喷洒）+新风系统净化空气，日常开窗通风等措施对废气进行处理。</w:t>
            </w:r>
            <w:r>
              <w:rPr>
                <w:color w:val="auto"/>
              </w:rPr>
              <w:t>可以消除难闻、有害的气体，预防由细菌和寄生虫引起的疾病。</w:t>
            </w:r>
          </w:p>
          <w:p>
            <w:pPr>
              <w:ind w:firstLine="480"/>
              <w:rPr>
                <w:rFonts w:hint="eastAsia"/>
                <w:color w:val="auto"/>
              </w:rPr>
            </w:pPr>
            <w:r>
              <w:rPr>
                <w:rFonts w:hint="eastAsia"/>
                <w:color w:val="auto"/>
              </w:rPr>
              <w:t>（3）现状噪声排放情况分析</w:t>
            </w:r>
          </w:p>
          <w:p>
            <w:pPr>
              <w:ind w:firstLine="480"/>
              <w:rPr>
                <w:rFonts w:hint="eastAsia"/>
                <w:color w:val="auto"/>
              </w:rPr>
            </w:pPr>
            <w:r>
              <w:rPr>
                <w:rFonts w:hint="eastAsia"/>
                <w:color w:val="auto"/>
              </w:rPr>
              <w:t>本项目运营过程中产生的噪声主要为空调外机噪声和宠物叫声，项目噪声源强约60~75dB（A），通过对厂界噪声监测结果表明，</w:t>
            </w:r>
            <w:r>
              <w:rPr>
                <w:color w:val="auto"/>
              </w:rPr>
              <w:t>本项目</w:t>
            </w:r>
            <w:r>
              <w:rPr>
                <w:rFonts w:hint="eastAsia"/>
                <w:color w:val="auto"/>
              </w:rPr>
              <w:t>厂界及周边敏感点处声环境质量满足《声环境质量标准》（GB3096-2008）中2类标准限值要求，区域声环境质量现状良好。</w:t>
            </w:r>
          </w:p>
          <w:p>
            <w:pPr>
              <w:ind w:firstLine="480"/>
              <w:rPr>
                <w:rFonts w:hint="eastAsia"/>
                <w:color w:val="auto"/>
              </w:rPr>
            </w:pPr>
            <w:r>
              <w:rPr>
                <w:rFonts w:hint="eastAsia"/>
                <w:color w:val="auto"/>
              </w:rPr>
              <w:t>（4）现状固废排放情况分析</w:t>
            </w:r>
          </w:p>
          <w:p>
            <w:pPr>
              <w:ind w:firstLine="480"/>
              <w:rPr>
                <w:rFonts w:hint="eastAsia"/>
                <w:color w:val="auto"/>
              </w:rPr>
            </w:pPr>
            <w:r>
              <w:rPr>
                <w:color w:val="auto"/>
              </w:rPr>
              <w:t>项目</w:t>
            </w:r>
            <w:r>
              <w:rPr>
                <w:rFonts w:hint="eastAsia"/>
                <w:color w:val="auto"/>
              </w:rPr>
              <w:t>现状</w:t>
            </w:r>
            <w:r>
              <w:rPr>
                <w:color w:val="auto"/>
              </w:rPr>
              <w:t>所产生的固废主要为生活垃圾、宠物粪便、宠物尸体、宠物毛发、医疗垃圾</w:t>
            </w:r>
            <w:r>
              <w:rPr>
                <w:rFonts w:hint="eastAsia"/>
                <w:color w:val="auto"/>
              </w:rPr>
              <w:t>。其中生活垃圾统一收集后放置于社区生活垃圾暂存点待环卫部门转运处置；宠物粪便进行消毒灭活后交由环卫部门收运处置；宠物毛发经喷洒消毒剂处理后可作为一般固废与生活垃圾一起交由环卫部门处理；危险废物医疗废物暂存医废暂存间，暂存时间（常温下不得超过1天，5℃以下冷藏不得超过7天），然后交由成都市科农动物无害化处置有限公司处置。病理组织暂存在专用冰柜内，与其它医疗废物一起交由有资质的单位进行统一处置；宠物尸体经消毒后采用密封袋封存，当天通知并交由资质单位处置，不在院内储存</w:t>
            </w:r>
          </w:p>
          <w:p>
            <w:pPr>
              <w:pStyle w:val="5"/>
              <w:ind w:firstLine="482"/>
              <w:rPr>
                <w:color w:val="auto"/>
              </w:rPr>
            </w:pPr>
            <w:r>
              <w:rPr>
                <w:color w:val="auto"/>
              </w:rPr>
              <w:t>2、本次环评之前存在的主要环境问题及整改要求</w:t>
            </w:r>
          </w:p>
          <w:p>
            <w:pPr>
              <w:pStyle w:val="101"/>
              <w:ind w:firstLine="480"/>
              <w:rPr>
                <w:rFonts w:hint="eastAsia"/>
                <w:color w:val="auto"/>
              </w:rPr>
            </w:pPr>
            <w:r>
              <w:rPr>
                <w:rFonts w:hint="eastAsia"/>
                <w:color w:val="auto"/>
              </w:rPr>
              <w:t>根据现场调查，本项目存在的主要环境问题及整改要求：</w:t>
            </w:r>
          </w:p>
          <w:p>
            <w:pPr>
              <w:pStyle w:val="117"/>
              <w:rPr>
                <w:rFonts w:hint="eastAsia"/>
                <w:color w:val="auto"/>
              </w:rPr>
            </w:pPr>
            <w:r>
              <w:rPr>
                <w:rFonts w:hint="eastAsia"/>
                <w:color w:val="auto"/>
              </w:rPr>
              <w:t>表2-6  本项目整改问题一览表</w:t>
            </w:r>
          </w:p>
          <w:tbl>
            <w:tblPr>
              <w:tblStyle w:val="3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8"/>
              <w:gridCol w:w="2610"/>
              <w:gridCol w:w="47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08" w:type="dxa"/>
                  <w:noWrap w:val="0"/>
                  <w:vAlign w:val="center"/>
                </w:tcPr>
                <w:p>
                  <w:pPr>
                    <w:pStyle w:val="170"/>
                    <w:rPr>
                      <w:rFonts w:hint="eastAsia"/>
                      <w:b/>
                      <w:bCs/>
                      <w:color w:val="auto"/>
                    </w:rPr>
                  </w:pPr>
                  <w:r>
                    <w:rPr>
                      <w:rFonts w:hint="eastAsia"/>
                      <w:b/>
                      <w:bCs/>
                      <w:color w:val="auto"/>
                    </w:rPr>
                    <w:t>序号</w:t>
                  </w:r>
                </w:p>
              </w:tc>
              <w:tc>
                <w:tcPr>
                  <w:tcW w:w="2610" w:type="dxa"/>
                  <w:noWrap w:val="0"/>
                  <w:vAlign w:val="center"/>
                </w:tcPr>
                <w:p>
                  <w:pPr>
                    <w:pStyle w:val="170"/>
                    <w:rPr>
                      <w:rFonts w:hint="eastAsia"/>
                      <w:b/>
                      <w:bCs/>
                      <w:color w:val="auto"/>
                    </w:rPr>
                  </w:pPr>
                  <w:r>
                    <w:rPr>
                      <w:rFonts w:hint="eastAsia"/>
                      <w:b/>
                      <w:bCs/>
                      <w:color w:val="auto"/>
                    </w:rPr>
                    <w:t>现存问题</w:t>
                  </w:r>
                </w:p>
              </w:tc>
              <w:tc>
                <w:tcPr>
                  <w:tcW w:w="4798" w:type="dxa"/>
                  <w:noWrap w:val="0"/>
                  <w:vAlign w:val="center"/>
                </w:tcPr>
                <w:p>
                  <w:pPr>
                    <w:pStyle w:val="170"/>
                    <w:rPr>
                      <w:rFonts w:hint="eastAsia"/>
                      <w:b/>
                      <w:bCs/>
                      <w:color w:val="auto"/>
                    </w:rPr>
                  </w:pPr>
                  <w:r>
                    <w:rPr>
                      <w:rFonts w:hint="eastAsia"/>
                      <w:b/>
                      <w:bCs/>
                      <w:color w:val="auto"/>
                    </w:rPr>
                    <w:t>整改措施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8" w:type="dxa"/>
                  <w:noWrap w:val="0"/>
                  <w:vAlign w:val="center"/>
                </w:tcPr>
                <w:p>
                  <w:pPr>
                    <w:pStyle w:val="170"/>
                    <w:rPr>
                      <w:rFonts w:hint="eastAsia"/>
                      <w:color w:val="auto"/>
                    </w:rPr>
                  </w:pPr>
                  <w:r>
                    <w:rPr>
                      <w:rFonts w:hint="eastAsia"/>
                      <w:color w:val="auto"/>
                    </w:rPr>
                    <w:t>1</w:t>
                  </w:r>
                </w:p>
              </w:tc>
              <w:tc>
                <w:tcPr>
                  <w:tcW w:w="2610" w:type="dxa"/>
                  <w:noWrap w:val="0"/>
                  <w:vAlign w:val="center"/>
                </w:tcPr>
                <w:p>
                  <w:pPr>
                    <w:pStyle w:val="170"/>
                    <w:rPr>
                      <w:rFonts w:hint="eastAsia"/>
                      <w:color w:val="auto"/>
                    </w:rPr>
                  </w:pPr>
                  <w:r>
                    <w:rPr>
                      <w:rFonts w:hint="eastAsia"/>
                      <w:color w:val="auto"/>
                    </w:rPr>
                    <w:t>医院内无规范的医废暂存间</w:t>
                  </w:r>
                </w:p>
              </w:tc>
              <w:tc>
                <w:tcPr>
                  <w:tcW w:w="4798" w:type="dxa"/>
                  <w:noWrap w:val="0"/>
                  <w:vAlign w:val="center"/>
                </w:tcPr>
                <w:p>
                  <w:pPr>
                    <w:pStyle w:val="170"/>
                    <w:rPr>
                      <w:rFonts w:hint="eastAsia"/>
                      <w:color w:val="auto"/>
                    </w:rPr>
                  </w:pPr>
                  <w:r>
                    <w:rPr>
                      <w:rFonts w:hint="eastAsia"/>
                      <w:color w:val="auto"/>
                    </w:rPr>
                    <w:t>按照《危险废物贮存污染控制标准》（GB18597-2001）要求进行设置医废暂存间，张贴标示标牌，采取重点防渗措施：在原有地面硬化的基础上，铺设2mm厚环氧树脂地坪漆+不锈钢金属托盘进行防渗，满足等效黏土层Mb≥6.0m，渗透系数 K≤1.0×10</w:t>
                  </w:r>
                  <w:r>
                    <w:rPr>
                      <w:rFonts w:hint="eastAsia"/>
                      <w:color w:val="auto"/>
                      <w:vertAlign w:val="superscript"/>
                    </w:rPr>
                    <w:t>-10</w:t>
                  </w:r>
                  <w:r>
                    <w:rPr>
                      <w:rFonts w:hint="eastAsia"/>
                      <w:color w:val="auto"/>
                    </w:rPr>
                    <w:t>cm/s的要求。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8" w:type="dxa"/>
                  <w:noWrap w:val="0"/>
                  <w:vAlign w:val="center"/>
                </w:tcPr>
                <w:p>
                  <w:pPr>
                    <w:pStyle w:val="170"/>
                    <w:rPr>
                      <w:color w:val="auto"/>
                    </w:rPr>
                  </w:pPr>
                  <w:r>
                    <w:rPr>
                      <w:rFonts w:hint="eastAsia"/>
                      <w:color w:val="auto"/>
                    </w:rPr>
                    <w:t>2</w:t>
                  </w:r>
                </w:p>
              </w:tc>
              <w:tc>
                <w:tcPr>
                  <w:tcW w:w="2610" w:type="dxa"/>
                  <w:noWrap w:val="0"/>
                  <w:vAlign w:val="center"/>
                </w:tcPr>
                <w:p>
                  <w:pPr>
                    <w:pStyle w:val="170"/>
                    <w:rPr>
                      <w:rFonts w:hint="eastAsia"/>
                      <w:color w:val="auto"/>
                    </w:rPr>
                  </w:pPr>
                  <w:r>
                    <w:rPr>
                      <w:rFonts w:hint="eastAsia"/>
                      <w:color w:val="auto"/>
                    </w:rPr>
                    <w:t>医疗废物的转运台账</w:t>
                  </w:r>
                </w:p>
              </w:tc>
              <w:tc>
                <w:tcPr>
                  <w:tcW w:w="4798" w:type="dxa"/>
                  <w:noWrap w:val="0"/>
                  <w:vAlign w:val="center"/>
                </w:tcPr>
                <w:p>
                  <w:pPr>
                    <w:pStyle w:val="170"/>
                    <w:rPr>
                      <w:rFonts w:hint="eastAsia"/>
                      <w:color w:val="auto"/>
                    </w:rPr>
                  </w:pPr>
                  <w:r>
                    <w:rPr>
                      <w:rFonts w:hint="eastAsia"/>
                      <w:color w:val="auto"/>
                    </w:rPr>
                    <w:t>对每一批次转运处置的医疗废物做好台账记录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8" w:type="dxa"/>
                  <w:noWrap w:val="0"/>
                  <w:vAlign w:val="center"/>
                </w:tcPr>
                <w:p>
                  <w:pPr>
                    <w:pStyle w:val="170"/>
                    <w:rPr>
                      <w:color w:val="auto"/>
                    </w:rPr>
                  </w:pPr>
                  <w:r>
                    <w:rPr>
                      <w:rFonts w:hint="eastAsia"/>
                      <w:color w:val="auto"/>
                    </w:rPr>
                    <w:t>3</w:t>
                  </w:r>
                </w:p>
              </w:tc>
              <w:tc>
                <w:tcPr>
                  <w:tcW w:w="2610" w:type="dxa"/>
                  <w:noWrap w:val="0"/>
                  <w:vAlign w:val="center"/>
                </w:tcPr>
                <w:p>
                  <w:pPr>
                    <w:pStyle w:val="170"/>
                    <w:rPr>
                      <w:rFonts w:hint="eastAsia"/>
                      <w:color w:val="auto"/>
                    </w:rPr>
                  </w:pPr>
                  <w:r>
                    <w:rPr>
                      <w:rFonts w:hint="eastAsia"/>
                      <w:color w:val="auto"/>
                    </w:rPr>
                    <w:t>无废水事故收集设施</w:t>
                  </w:r>
                </w:p>
              </w:tc>
              <w:tc>
                <w:tcPr>
                  <w:tcW w:w="4798" w:type="dxa"/>
                  <w:noWrap w:val="0"/>
                  <w:vAlign w:val="center"/>
                </w:tcPr>
                <w:p>
                  <w:pPr>
                    <w:pStyle w:val="170"/>
                    <w:rPr>
                      <w:rFonts w:hint="eastAsia"/>
                      <w:color w:val="auto"/>
                    </w:rPr>
                  </w:pPr>
                  <w:r>
                    <w:rPr>
                      <w:rFonts w:hint="eastAsia"/>
                      <w:color w:val="auto"/>
                    </w:rPr>
                    <w:t>设置事故废水应急收集池（桶）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8" w:type="dxa"/>
                  <w:noWrap w:val="0"/>
                  <w:vAlign w:val="center"/>
                </w:tcPr>
                <w:p>
                  <w:pPr>
                    <w:pStyle w:val="170"/>
                    <w:rPr>
                      <w:rFonts w:hint="eastAsia"/>
                      <w:color w:val="auto"/>
                    </w:rPr>
                  </w:pPr>
                  <w:r>
                    <w:rPr>
                      <w:rFonts w:hint="eastAsia"/>
                      <w:color w:val="auto"/>
                    </w:rPr>
                    <w:t>4</w:t>
                  </w:r>
                </w:p>
              </w:tc>
              <w:tc>
                <w:tcPr>
                  <w:tcW w:w="2610" w:type="dxa"/>
                  <w:noWrap w:val="0"/>
                  <w:vAlign w:val="center"/>
                </w:tcPr>
                <w:p>
                  <w:pPr>
                    <w:pStyle w:val="170"/>
                    <w:rPr>
                      <w:rFonts w:hint="eastAsia"/>
                      <w:color w:val="auto"/>
                    </w:rPr>
                  </w:pPr>
                  <w:r>
                    <w:rPr>
                      <w:rFonts w:hint="eastAsia"/>
                      <w:color w:val="auto"/>
                    </w:rPr>
                    <w:t>废紫外线灯管的处置去向不明确</w:t>
                  </w:r>
                </w:p>
              </w:tc>
              <w:tc>
                <w:tcPr>
                  <w:tcW w:w="4798" w:type="dxa"/>
                  <w:noWrap w:val="0"/>
                  <w:vAlign w:val="center"/>
                </w:tcPr>
                <w:p>
                  <w:pPr>
                    <w:pStyle w:val="170"/>
                    <w:rPr>
                      <w:rFonts w:hint="eastAsia"/>
                      <w:color w:val="auto"/>
                    </w:rPr>
                  </w:pPr>
                  <w:r>
                    <w:rPr>
                      <w:rFonts w:hint="eastAsia"/>
                      <w:color w:val="auto"/>
                    </w:rPr>
                    <w:t>补充废紫外线灯管的危废处置协议</w:t>
                  </w:r>
                </w:p>
              </w:tc>
            </w:tr>
          </w:tbl>
          <w:p>
            <w:pPr>
              <w:ind w:firstLine="482"/>
              <w:rPr>
                <w:rFonts w:hint="eastAsia" w:ascii="宋体" w:hAnsi="宋体"/>
                <w:b/>
                <w:bCs/>
                <w:color w:val="auto"/>
              </w:rPr>
            </w:pPr>
          </w:p>
        </w:tc>
      </w:tr>
    </w:tbl>
    <w:p>
      <w:pPr>
        <w:pStyle w:val="33"/>
        <w:jc w:val="center"/>
        <w:rPr>
          <w:rFonts w:ascii="黑体" w:hAnsi="黑体" w:eastAsia="黑体"/>
          <w:snapToGrid w:val="0"/>
          <w:color w:val="auto"/>
          <w:sz w:val="36"/>
          <w:szCs w:val="36"/>
        </w:rPr>
        <w:sectPr>
          <w:headerReference r:id="rId41" w:type="default"/>
          <w:pgSz w:w="11906" w:h="16838"/>
          <w:pgMar w:top="1701" w:right="1531" w:bottom="1701" w:left="1531" w:header="851" w:footer="851" w:gutter="0"/>
          <w:pgNumType w:fmt="decimal"/>
          <w:cols w:space="720" w:num="1"/>
          <w:docGrid w:linePitch="312" w:charSpace="0"/>
        </w:sectPr>
      </w:pPr>
    </w:p>
    <w:p>
      <w:pPr>
        <w:pStyle w:val="3"/>
        <w:rPr>
          <w:color w:val="auto"/>
        </w:rPr>
      </w:pPr>
      <w:bookmarkStart w:id="105" w:name="_Toc32256"/>
      <w:bookmarkStart w:id="106" w:name="_Toc20965"/>
      <w:bookmarkStart w:id="107" w:name="_Toc7025"/>
      <w:bookmarkStart w:id="108" w:name="_Toc23449"/>
      <w:r>
        <w:rPr>
          <w:rFonts w:hint="eastAsia"/>
          <w:color w:val="auto"/>
        </w:rPr>
        <w:t>三、区域环境质量现状、环境保护目标及评价标准</w:t>
      </w:r>
      <w:bookmarkEnd w:id="105"/>
      <w:bookmarkEnd w:id="106"/>
      <w:bookmarkEnd w:id="107"/>
      <w:bookmarkEnd w:id="108"/>
    </w:p>
    <w:tbl>
      <w:tblPr>
        <w:tblStyle w:val="38"/>
        <w:tblW w:w="9139"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456"/>
        <w:gridCol w:w="868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543" w:hRule="atLeast"/>
          <w:jc w:val="center"/>
        </w:trPr>
        <w:tc>
          <w:tcPr>
            <w:tcW w:w="456" w:type="dxa"/>
            <w:noWrap w:val="0"/>
            <w:vAlign w:val="center"/>
          </w:tcPr>
          <w:p>
            <w:pPr>
              <w:ind w:firstLine="0" w:firstLineChars="0"/>
              <w:jc w:val="center"/>
              <w:rPr>
                <w:rFonts w:hint="eastAsia" w:ascii="宋体" w:hAnsi="宋体" w:cs="宋体"/>
                <w:color w:val="auto"/>
                <w:kern w:val="0"/>
              </w:rPr>
            </w:pPr>
            <w:r>
              <w:rPr>
                <w:rFonts w:hint="eastAsia" w:ascii="宋体" w:hAnsi="宋体" w:cs="宋体"/>
                <w:color w:val="auto"/>
                <w:kern w:val="0"/>
              </w:rPr>
              <w:t>区域</w:t>
            </w:r>
          </w:p>
          <w:p>
            <w:pPr>
              <w:ind w:firstLine="0" w:firstLineChars="0"/>
              <w:jc w:val="center"/>
              <w:rPr>
                <w:rFonts w:hint="eastAsia" w:ascii="宋体" w:hAnsi="宋体" w:cs="宋体"/>
                <w:color w:val="auto"/>
                <w:kern w:val="0"/>
              </w:rPr>
            </w:pPr>
            <w:r>
              <w:rPr>
                <w:rFonts w:hint="eastAsia" w:ascii="宋体" w:hAnsi="宋体" w:cs="宋体"/>
                <w:color w:val="auto"/>
                <w:kern w:val="0"/>
              </w:rPr>
              <w:t>环境</w:t>
            </w:r>
          </w:p>
          <w:p>
            <w:pPr>
              <w:ind w:firstLine="0" w:firstLineChars="0"/>
              <w:jc w:val="center"/>
              <w:rPr>
                <w:rFonts w:hint="eastAsia" w:ascii="宋体" w:hAnsi="宋体" w:cs="宋体"/>
                <w:color w:val="auto"/>
                <w:kern w:val="0"/>
              </w:rPr>
            </w:pPr>
            <w:r>
              <w:rPr>
                <w:rFonts w:hint="eastAsia" w:ascii="宋体" w:hAnsi="宋体" w:cs="宋体"/>
                <w:color w:val="auto"/>
                <w:kern w:val="0"/>
              </w:rPr>
              <w:t>质量</w:t>
            </w:r>
          </w:p>
          <w:p>
            <w:pPr>
              <w:ind w:firstLine="0" w:firstLineChars="0"/>
              <w:jc w:val="center"/>
              <w:rPr>
                <w:rFonts w:ascii="宋体" w:hAnsi="宋体" w:cs="宋体"/>
                <w:color w:val="auto"/>
                <w:kern w:val="0"/>
              </w:rPr>
            </w:pPr>
            <w:r>
              <w:rPr>
                <w:rFonts w:hint="eastAsia" w:ascii="宋体" w:hAnsi="宋体" w:cs="宋体"/>
                <w:color w:val="auto"/>
                <w:kern w:val="0"/>
              </w:rPr>
              <w:t>现状</w:t>
            </w:r>
          </w:p>
        </w:tc>
        <w:tc>
          <w:tcPr>
            <w:tcW w:w="8683" w:type="dxa"/>
            <w:noWrap w:val="0"/>
            <w:vAlign w:val="center"/>
          </w:tcPr>
          <w:p>
            <w:pPr>
              <w:pStyle w:val="104"/>
              <w:ind w:firstLine="480"/>
              <w:rPr>
                <w:rFonts w:hint="eastAsia"/>
                <w:color w:val="auto"/>
              </w:rPr>
            </w:pPr>
            <w:r>
              <w:rPr>
                <w:color w:val="auto"/>
              </w:rPr>
              <w:t>本项目为</w:t>
            </w:r>
            <w:r>
              <w:rPr>
                <w:rFonts w:hint="eastAsia"/>
                <w:color w:val="auto"/>
              </w:rPr>
              <w:t>新</w:t>
            </w:r>
            <w:r>
              <w:rPr>
                <w:color w:val="auto"/>
              </w:rPr>
              <w:t>建项目，</w:t>
            </w:r>
            <w:r>
              <w:rPr>
                <w:rFonts w:hint="eastAsia"/>
                <w:color w:val="auto"/>
              </w:rPr>
              <w:t>建设地点</w:t>
            </w:r>
            <w:r>
              <w:rPr>
                <w:color w:val="auto"/>
              </w:rPr>
              <w:t>位于</w:t>
            </w:r>
            <w:r>
              <w:rPr>
                <w:rFonts w:hint="eastAsia"/>
                <w:color w:val="auto"/>
              </w:rPr>
              <w:t>四川省乐山市市中区肖坝路796号</w:t>
            </w:r>
            <w:r>
              <w:rPr>
                <w:color w:val="auto"/>
              </w:rPr>
              <w:t>，</w:t>
            </w:r>
            <w:r>
              <w:rPr>
                <w:rFonts w:hint="eastAsia"/>
                <w:color w:val="auto"/>
              </w:rPr>
              <w:t>为了解当地空气环境质量现状，本次评价采用现场监测与资料复用法相结合的方式，对本项目所在区域地块的环境质量现状进行分析。项目特委托四川清蓝检测科技有限责任公司对项目建设所在地进行了环境现状监测。</w:t>
            </w:r>
          </w:p>
          <w:p>
            <w:pPr>
              <w:pStyle w:val="5"/>
              <w:rPr>
                <w:color w:val="auto"/>
              </w:rPr>
            </w:pPr>
            <w:r>
              <w:rPr>
                <w:color w:val="auto"/>
              </w:rPr>
              <w:t>一、大气环境质量现状</w:t>
            </w:r>
          </w:p>
          <w:p>
            <w:pPr>
              <w:ind w:firstLine="480"/>
              <w:jc w:val="left"/>
              <w:rPr>
                <w:rFonts w:hint="eastAsia"/>
                <w:color w:val="auto"/>
              </w:rPr>
            </w:pPr>
            <w:r>
              <w:rPr>
                <w:rFonts w:hint="eastAsia"/>
                <w:color w:val="auto"/>
              </w:rPr>
              <w:t>（1）根据乐山市生态环境局2020年乐山市环境质量公报，2020年乐山市环境空气中二氧化硫、二氧化氮、可吸入颗粒物和细颗粒物年均浓度分别为11ug/m³、23ug/m³、55ug/m³和34ug/m³，均达到国家环境空气质量二级标准；一氧化碳24小时平均第95百分位数浓度均值为1.1mg/m³，达到国家环境空气质量二级标准；臭氧日最大8小时滑动平均浓度为126ug/m³，达到国家环境空气质量二级标准。</w:t>
            </w:r>
          </w:p>
          <w:p>
            <w:pPr>
              <w:ind w:firstLine="480"/>
              <w:jc w:val="left"/>
              <w:rPr>
                <w:rFonts w:hint="eastAsia"/>
                <w:color w:val="auto"/>
              </w:rPr>
            </w:pPr>
            <w:r>
              <w:rPr>
                <w:rFonts w:hint="eastAsia"/>
                <w:color w:val="auto"/>
              </w:rPr>
              <w:t>环境空气质量报告数据见下表：</w:t>
            </w:r>
          </w:p>
          <w:p>
            <w:pPr>
              <w:pStyle w:val="102"/>
              <w:rPr>
                <w:color w:val="auto"/>
              </w:rPr>
            </w:pPr>
            <w:r>
              <w:rPr>
                <w:rFonts w:hint="eastAsia"/>
                <w:color w:val="auto"/>
              </w:rPr>
              <w:t>表</w:t>
            </w:r>
            <w:r>
              <w:rPr>
                <w:color w:val="auto"/>
              </w:rPr>
              <w:t>3-1</w:t>
            </w:r>
            <w:r>
              <w:rPr>
                <w:rFonts w:hint="eastAsia"/>
                <w:color w:val="auto"/>
              </w:rPr>
              <w:t xml:space="preserve">  2020年环境空气质量现状评价表  单位：ug/m³</w:t>
            </w:r>
          </w:p>
          <w:tbl>
            <w:tblPr>
              <w:tblStyle w:val="38"/>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7"/>
              <w:gridCol w:w="2103"/>
              <w:gridCol w:w="1440"/>
              <w:gridCol w:w="1339"/>
              <w:gridCol w:w="1289"/>
              <w:gridCol w:w="1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4" w:type="pct"/>
                  <w:noWrap w:val="0"/>
                  <w:vAlign w:val="center"/>
                </w:tcPr>
                <w:p>
                  <w:pPr>
                    <w:pStyle w:val="69"/>
                    <w:rPr>
                      <w:rFonts w:hint="eastAsia"/>
                      <w:color w:val="auto"/>
                    </w:rPr>
                  </w:pPr>
                  <w:r>
                    <w:rPr>
                      <w:rFonts w:hint="eastAsia"/>
                      <w:color w:val="auto"/>
                    </w:rPr>
                    <w:t>污染物</w:t>
                  </w:r>
                </w:p>
              </w:tc>
              <w:tc>
                <w:tcPr>
                  <w:tcW w:w="1243" w:type="pct"/>
                  <w:noWrap w:val="0"/>
                  <w:vAlign w:val="center"/>
                </w:tcPr>
                <w:p>
                  <w:pPr>
                    <w:pStyle w:val="69"/>
                    <w:rPr>
                      <w:rFonts w:hint="eastAsia"/>
                      <w:color w:val="auto"/>
                    </w:rPr>
                  </w:pPr>
                  <w:r>
                    <w:rPr>
                      <w:rFonts w:hint="eastAsia"/>
                      <w:color w:val="auto"/>
                    </w:rPr>
                    <w:t>年评价指标</w:t>
                  </w:r>
                </w:p>
              </w:tc>
              <w:tc>
                <w:tcPr>
                  <w:tcW w:w="851" w:type="pct"/>
                  <w:noWrap w:val="0"/>
                  <w:vAlign w:val="center"/>
                </w:tcPr>
                <w:p>
                  <w:pPr>
                    <w:pStyle w:val="69"/>
                    <w:rPr>
                      <w:rFonts w:hint="eastAsia"/>
                      <w:color w:val="auto"/>
                    </w:rPr>
                  </w:pPr>
                  <w:r>
                    <w:rPr>
                      <w:rFonts w:hint="eastAsia"/>
                      <w:color w:val="auto"/>
                    </w:rPr>
                    <w:t>现状浓度（</w:t>
                  </w:r>
                  <w:r>
                    <w:rPr>
                      <w:color w:val="auto"/>
                    </w:rPr>
                    <w:t>ug/m³</w:t>
                  </w:r>
                  <w:r>
                    <w:rPr>
                      <w:rFonts w:hint="eastAsia"/>
                      <w:color w:val="auto"/>
                    </w:rPr>
                    <w:t>）</w:t>
                  </w:r>
                </w:p>
              </w:tc>
              <w:tc>
                <w:tcPr>
                  <w:tcW w:w="791" w:type="pct"/>
                  <w:noWrap w:val="0"/>
                  <w:vAlign w:val="center"/>
                </w:tcPr>
                <w:p>
                  <w:pPr>
                    <w:pStyle w:val="69"/>
                    <w:rPr>
                      <w:rFonts w:hint="eastAsia"/>
                      <w:color w:val="auto"/>
                    </w:rPr>
                  </w:pPr>
                  <w:r>
                    <w:rPr>
                      <w:rFonts w:hint="eastAsia"/>
                      <w:color w:val="auto"/>
                    </w:rPr>
                    <w:t>标准值（</w:t>
                  </w:r>
                  <w:r>
                    <w:rPr>
                      <w:color w:val="auto"/>
                    </w:rPr>
                    <w:t>ug/m³</w:t>
                  </w:r>
                  <w:r>
                    <w:rPr>
                      <w:rFonts w:hint="eastAsia"/>
                      <w:color w:val="auto"/>
                    </w:rPr>
                    <w:t>）</w:t>
                  </w:r>
                </w:p>
              </w:tc>
              <w:tc>
                <w:tcPr>
                  <w:tcW w:w="762" w:type="pct"/>
                  <w:noWrap w:val="0"/>
                  <w:vAlign w:val="center"/>
                </w:tcPr>
                <w:p>
                  <w:pPr>
                    <w:pStyle w:val="69"/>
                    <w:rPr>
                      <w:color w:val="auto"/>
                    </w:rPr>
                  </w:pPr>
                  <w:r>
                    <w:rPr>
                      <w:rFonts w:hint="eastAsia"/>
                      <w:color w:val="auto"/>
                    </w:rPr>
                    <w:t>占标率</w:t>
                  </w:r>
                  <w:r>
                    <w:rPr>
                      <w:color w:val="auto"/>
                    </w:rPr>
                    <w:t>%</w:t>
                  </w:r>
                </w:p>
              </w:tc>
              <w:tc>
                <w:tcPr>
                  <w:tcW w:w="695" w:type="pct"/>
                  <w:noWrap w:val="0"/>
                  <w:vAlign w:val="center"/>
                </w:tcPr>
                <w:p>
                  <w:pPr>
                    <w:pStyle w:val="69"/>
                    <w:rPr>
                      <w:rFonts w:hint="eastAsia"/>
                      <w:color w:val="auto"/>
                    </w:rPr>
                  </w:pPr>
                  <w:r>
                    <w:rPr>
                      <w:rFonts w:hint="eastAsia"/>
                      <w:color w:val="auto"/>
                    </w:rPr>
                    <w:t>达标情况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4" w:type="pct"/>
                  <w:noWrap w:val="0"/>
                  <w:vAlign w:val="center"/>
                </w:tcPr>
                <w:p>
                  <w:pPr>
                    <w:pStyle w:val="69"/>
                    <w:rPr>
                      <w:color w:val="auto"/>
                    </w:rPr>
                  </w:pPr>
                  <w:r>
                    <w:rPr>
                      <w:color w:val="auto"/>
                    </w:rPr>
                    <w:t>SO</w:t>
                  </w:r>
                  <w:r>
                    <w:rPr>
                      <w:color w:val="auto"/>
                      <w:vertAlign w:val="subscript"/>
                    </w:rPr>
                    <w:t>2</w:t>
                  </w:r>
                </w:p>
              </w:tc>
              <w:tc>
                <w:tcPr>
                  <w:tcW w:w="1243" w:type="pct"/>
                  <w:noWrap w:val="0"/>
                  <w:vAlign w:val="center"/>
                </w:tcPr>
                <w:p>
                  <w:pPr>
                    <w:pStyle w:val="69"/>
                    <w:rPr>
                      <w:rFonts w:hint="eastAsia"/>
                      <w:color w:val="auto"/>
                    </w:rPr>
                  </w:pPr>
                  <w:r>
                    <w:rPr>
                      <w:rFonts w:hint="eastAsia"/>
                      <w:color w:val="auto"/>
                    </w:rPr>
                    <w:t>年平均浓度</w:t>
                  </w:r>
                </w:p>
              </w:tc>
              <w:tc>
                <w:tcPr>
                  <w:tcW w:w="851" w:type="pct"/>
                  <w:noWrap w:val="0"/>
                  <w:vAlign w:val="center"/>
                </w:tcPr>
                <w:p>
                  <w:pPr>
                    <w:pStyle w:val="69"/>
                    <w:rPr>
                      <w:color w:val="auto"/>
                    </w:rPr>
                  </w:pPr>
                  <w:r>
                    <w:rPr>
                      <w:rFonts w:hint="eastAsia"/>
                      <w:color w:val="auto"/>
                    </w:rPr>
                    <w:t>11</w:t>
                  </w:r>
                </w:p>
              </w:tc>
              <w:tc>
                <w:tcPr>
                  <w:tcW w:w="791" w:type="pct"/>
                  <w:noWrap w:val="0"/>
                  <w:vAlign w:val="center"/>
                </w:tcPr>
                <w:p>
                  <w:pPr>
                    <w:pStyle w:val="69"/>
                    <w:rPr>
                      <w:color w:val="auto"/>
                    </w:rPr>
                  </w:pPr>
                  <w:r>
                    <w:rPr>
                      <w:color w:val="auto"/>
                    </w:rPr>
                    <w:t>60</w:t>
                  </w:r>
                </w:p>
              </w:tc>
              <w:tc>
                <w:tcPr>
                  <w:tcW w:w="762" w:type="pct"/>
                  <w:noWrap w:val="0"/>
                  <w:vAlign w:val="center"/>
                </w:tcPr>
                <w:p>
                  <w:pPr>
                    <w:pStyle w:val="69"/>
                    <w:rPr>
                      <w:color w:val="auto"/>
                    </w:rPr>
                  </w:pPr>
                  <w:r>
                    <w:rPr>
                      <w:rFonts w:hint="eastAsia"/>
                      <w:color w:val="auto"/>
                    </w:rPr>
                    <w:t>18.3</w:t>
                  </w:r>
                </w:p>
              </w:tc>
              <w:tc>
                <w:tcPr>
                  <w:tcW w:w="695" w:type="pct"/>
                  <w:noWrap w:val="0"/>
                  <w:vAlign w:val="center"/>
                </w:tcPr>
                <w:p>
                  <w:pPr>
                    <w:pStyle w:val="69"/>
                    <w:rPr>
                      <w:rFonts w:hint="eastAsia"/>
                      <w:color w:val="auto"/>
                    </w:rPr>
                  </w:pPr>
                  <w:r>
                    <w:rPr>
                      <w:rFonts w:hint="eastAsia"/>
                      <w:color w:val="auto"/>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54" w:type="pct"/>
                  <w:noWrap w:val="0"/>
                  <w:vAlign w:val="center"/>
                </w:tcPr>
                <w:p>
                  <w:pPr>
                    <w:pStyle w:val="69"/>
                    <w:rPr>
                      <w:color w:val="auto"/>
                    </w:rPr>
                  </w:pPr>
                  <w:r>
                    <w:rPr>
                      <w:color w:val="auto"/>
                    </w:rPr>
                    <w:t>NO</w:t>
                  </w:r>
                  <w:r>
                    <w:rPr>
                      <w:color w:val="auto"/>
                      <w:vertAlign w:val="subscript"/>
                    </w:rPr>
                    <w:t>2</w:t>
                  </w:r>
                </w:p>
              </w:tc>
              <w:tc>
                <w:tcPr>
                  <w:tcW w:w="1243" w:type="pct"/>
                  <w:noWrap w:val="0"/>
                  <w:vAlign w:val="center"/>
                </w:tcPr>
                <w:p>
                  <w:pPr>
                    <w:pStyle w:val="69"/>
                    <w:rPr>
                      <w:rFonts w:hint="eastAsia"/>
                      <w:color w:val="auto"/>
                    </w:rPr>
                  </w:pPr>
                  <w:r>
                    <w:rPr>
                      <w:rFonts w:hint="eastAsia"/>
                      <w:color w:val="auto"/>
                    </w:rPr>
                    <w:t>年平均浓度</w:t>
                  </w:r>
                </w:p>
              </w:tc>
              <w:tc>
                <w:tcPr>
                  <w:tcW w:w="851" w:type="pct"/>
                  <w:noWrap w:val="0"/>
                  <w:vAlign w:val="center"/>
                </w:tcPr>
                <w:p>
                  <w:pPr>
                    <w:pStyle w:val="69"/>
                    <w:rPr>
                      <w:color w:val="auto"/>
                    </w:rPr>
                  </w:pPr>
                  <w:r>
                    <w:rPr>
                      <w:rFonts w:hint="eastAsia"/>
                      <w:color w:val="auto"/>
                    </w:rPr>
                    <w:t>23</w:t>
                  </w:r>
                </w:p>
              </w:tc>
              <w:tc>
                <w:tcPr>
                  <w:tcW w:w="791" w:type="pct"/>
                  <w:noWrap w:val="0"/>
                  <w:vAlign w:val="center"/>
                </w:tcPr>
                <w:p>
                  <w:pPr>
                    <w:pStyle w:val="69"/>
                    <w:rPr>
                      <w:color w:val="auto"/>
                    </w:rPr>
                  </w:pPr>
                  <w:r>
                    <w:rPr>
                      <w:color w:val="auto"/>
                    </w:rPr>
                    <w:t>40</w:t>
                  </w:r>
                </w:p>
              </w:tc>
              <w:tc>
                <w:tcPr>
                  <w:tcW w:w="762" w:type="pct"/>
                  <w:noWrap w:val="0"/>
                  <w:vAlign w:val="center"/>
                </w:tcPr>
                <w:p>
                  <w:pPr>
                    <w:pStyle w:val="69"/>
                    <w:rPr>
                      <w:color w:val="auto"/>
                    </w:rPr>
                  </w:pPr>
                  <w:r>
                    <w:rPr>
                      <w:rFonts w:hint="eastAsia"/>
                      <w:color w:val="auto"/>
                    </w:rPr>
                    <w:t>57.5</w:t>
                  </w:r>
                </w:p>
              </w:tc>
              <w:tc>
                <w:tcPr>
                  <w:tcW w:w="695" w:type="pct"/>
                  <w:noWrap w:val="0"/>
                  <w:vAlign w:val="center"/>
                </w:tcPr>
                <w:p>
                  <w:pPr>
                    <w:pStyle w:val="69"/>
                    <w:rPr>
                      <w:rFonts w:hint="eastAsia"/>
                      <w:color w:val="auto"/>
                    </w:rPr>
                  </w:pPr>
                  <w:r>
                    <w:rPr>
                      <w:rFonts w:hint="eastAsia"/>
                      <w:color w:val="auto"/>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4" w:type="pct"/>
                  <w:noWrap w:val="0"/>
                  <w:vAlign w:val="center"/>
                </w:tcPr>
                <w:p>
                  <w:pPr>
                    <w:pStyle w:val="69"/>
                    <w:rPr>
                      <w:color w:val="auto"/>
                    </w:rPr>
                  </w:pPr>
                  <w:r>
                    <w:rPr>
                      <w:color w:val="auto"/>
                    </w:rPr>
                    <w:t>PM</w:t>
                  </w:r>
                  <w:r>
                    <w:rPr>
                      <w:color w:val="auto"/>
                      <w:vertAlign w:val="subscript"/>
                    </w:rPr>
                    <w:t>10</w:t>
                  </w:r>
                </w:p>
              </w:tc>
              <w:tc>
                <w:tcPr>
                  <w:tcW w:w="1243" w:type="pct"/>
                  <w:noWrap w:val="0"/>
                  <w:vAlign w:val="center"/>
                </w:tcPr>
                <w:p>
                  <w:pPr>
                    <w:pStyle w:val="69"/>
                    <w:rPr>
                      <w:rFonts w:hint="eastAsia"/>
                      <w:color w:val="auto"/>
                    </w:rPr>
                  </w:pPr>
                  <w:r>
                    <w:rPr>
                      <w:rFonts w:hint="eastAsia"/>
                      <w:color w:val="auto"/>
                    </w:rPr>
                    <w:t>年平均浓度</w:t>
                  </w:r>
                </w:p>
              </w:tc>
              <w:tc>
                <w:tcPr>
                  <w:tcW w:w="851" w:type="pct"/>
                  <w:noWrap w:val="0"/>
                  <w:vAlign w:val="center"/>
                </w:tcPr>
                <w:p>
                  <w:pPr>
                    <w:pStyle w:val="69"/>
                    <w:rPr>
                      <w:color w:val="auto"/>
                    </w:rPr>
                  </w:pPr>
                  <w:r>
                    <w:rPr>
                      <w:rFonts w:hint="eastAsia"/>
                      <w:color w:val="auto"/>
                    </w:rPr>
                    <w:t>55</w:t>
                  </w:r>
                </w:p>
              </w:tc>
              <w:tc>
                <w:tcPr>
                  <w:tcW w:w="791" w:type="pct"/>
                  <w:noWrap w:val="0"/>
                  <w:vAlign w:val="center"/>
                </w:tcPr>
                <w:p>
                  <w:pPr>
                    <w:pStyle w:val="69"/>
                    <w:rPr>
                      <w:color w:val="auto"/>
                    </w:rPr>
                  </w:pPr>
                  <w:r>
                    <w:rPr>
                      <w:color w:val="auto"/>
                    </w:rPr>
                    <w:t>70</w:t>
                  </w:r>
                </w:p>
              </w:tc>
              <w:tc>
                <w:tcPr>
                  <w:tcW w:w="762" w:type="pct"/>
                  <w:noWrap w:val="0"/>
                  <w:vAlign w:val="center"/>
                </w:tcPr>
                <w:p>
                  <w:pPr>
                    <w:pStyle w:val="69"/>
                    <w:rPr>
                      <w:rFonts w:hint="eastAsia"/>
                      <w:color w:val="auto"/>
                    </w:rPr>
                  </w:pPr>
                  <w:r>
                    <w:rPr>
                      <w:color w:val="auto"/>
                    </w:rPr>
                    <w:t>78.</w:t>
                  </w:r>
                  <w:r>
                    <w:rPr>
                      <w:rFonts w:hint="eastAsia"/>
                      <w:color w:val="auto"/>
                    </w:rPr>
                    <w:t>6</w:t>
                  </w:r>
                </w:p>
              </w:tc>
              <w:tc>
                <w:tcPr>
                  <w:tcW w:w="695" w:type="pct"/>
                  <w:noWrap w:val="0"/>
                  <w:vAlign w:val="center"/>
                </w:tcPr>
                <w:p>
                  <w:pPr>
                    <w:pStyle w:val="69"/>
                    <w:rPr>
                      <w:rFonts w:hint="eastAsia"/>
                      <w:color w:val="auto"/>
                    </w:rPr>
                  </w:pPr>
                  <w:r>
                    <w:rPr>
                      <w:rFonts w:hint="eastAsia"/>
                      <w:color w:val="auto"/>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54" w:type="pct"/>
                  <w:noWrap w:val="0"/>
                  <w:vAlign w:val="center"/>
                </w:tcPr>
                <w:p>
                  <w:pPr>
                    <w:pStyle w:val="69"/>
                    <w:rPr>
                      <w:color w:val="auto"/>
                    </w:rPr>
                  </w:pPr>
                  <w:r>
                    <w:rPr>
                      <w:color w:val="auto"/>
                    </w:rPr>
                    <w:t>PM</w:t>
                  </w:r>
                  <w:r>
                    <w:rPr>
                      <w:color w:val="auto"/>
                      <w:vertAlign w:val="subscript"/>
                    </w:rPr>
                    <w:t>2.5</w:t>
                  </w:r>
                </w:p>
              </w:tc>
              <w:tc>
                <w:tcPr>
                  <w:tcW w:w="1243" w:type="pct"/>
                  <w:noWrap w:val="0"/>
                  <w:vAlign w:val="center"/>
                </w:tcPr>
                <w:p>
                  <w:pPr>
                    <w:pStyle w:val="69"/>
                    <w:rPr>
                      <w:rFonts w:hint="eastAsia"/>
                      <w:color w:val="auto"/>
                    </w:rPr>
                  </w:pPr>
                  <w:r>
                    <w:rPr>
                      <w:rFonts w:hint="eastAsia"/>
                      <w:color w:val="auto"/>
                    </w:rPr>
                    <w:t>年平均浓度</w:t>
                  </w:r>
                </w:p>
              </w:tc>
              <w:tc>
                <w:tcPr>
                  <w:tcW w:w="851" w:type="pct"/>
                  <w:noWrap w:val="0"/>
                  <w:vAlign w:val="center"/>
                </w:tcPr>
                <w:p>
                  <w:pPr>
                    <w:pStyle w:val="69"/>
                    <w:rPr>
                      <w:color w:val="auto"/>
                    </w:rPr>
                  </w:pPr>
                  <w:r>
                    <w:rPr>
                      <w:rFonts w:hint="eastAsia"/>
                      <w:color w:val="auto"/>
                    </w:rPr>
                    <w:t>34</w:t>
                  </w:r>
                </w:p>
              </w:tc>
              <w:tc>
                <w:tcPr>
                  <w:tcW w:w="791" w:type="pct"/>
                  <w:noWrap w:val="0"/>
                  <w:vAlign w:val="center"/>
                </w:tcPr>
                <w:p>
                  <w:pPr>
                    <w:pStyle w:val="69"/>
                    <w:rPr>
                      <w:color w:val="auto"/>
                    </w:rPr>
                  </w:pPr>
                  <w:r>
                    <w:rPr>
                      <w:color w:val="auto"/>
                    </w:rPr>
                    <w:t>35</w:t>
                  </w:r>
                </w:p>
              </w:tc>
              <w:tc>
                <w:tcPr>
                  <w:tcW w:w="762" w:type="pct"/>
                  <w:noWrap w:val="0"/>
                  <w:vAlign w:val="center"/>
                </w:tcPr>
                <w:p>
                  <w:pPr>
                    <w:pStyle w:val="69"/>
                    <w:rPr>
                      <w:color w:val="auto"/>
                    </w:rPr>
                  </w:pPr>
                  <w:r>
                    <w:rPr>
                      <w:rFonts w:hint="eastAsia"/>
                      <w:color w:val="auto"/>
                    </w:rPr>
                    <w:t>97.14</w:t>
                  </w:r>
                </w:p>
              </w:tc>
              <w:tc>
                <w:tcPr>
                  <w:tcW w:w="695" w:type="pct"/>
                  <w:noWrap w:val="0"/>
                  <w:vAlign w:val="center"/>
                </w:tcPr>
                <w:p>
                  <w:pPr>
                    <w:pStyle w:val="69"/>
                    <w:rPr>
                      <w:rFonts w:hint="eastAsia"/>
                      <w:color w:val="auto"/>
                    </w:rPr>
                  </w:pPr>
                  <w:r>
                    <w:rPr>
                      <w:rFonts w:hint="eastAsia"/>
                      <w:color w:val="auto"/>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trPr>
              <w:tc>
                <w:tcPr>
                  <w:tcW w:w="654" w:type="pct"/>
                  <w:noWrap w:val="0"/>
                  <w:vAlign w:val="center"/>
                </w:tcPr>
                <w:p>
                  <w:pPr>
                    <w:pStyle w:val="69"/>
                    <w:rPr>
                      <w:color w:val="auto"/>
                    </w:rPr>
                  </w:pPr>
                  <w:r>
                    <w:rPr>
                      <w:color w:val="auto"/>
                    </w:rPr>
                    <w:t>CO</w:t>
                  </w:r>
                </w:p>
              </w:tc>
              <w:tc>
                <w:tcPr>
                  <w:tcW w:w="1243" w:type="pct"/>
                  <w:noWrap w:val="0"/>
                  <w:vAlign w:val="center"/>
                </w:tcPr>
                <w:p>
                  <w:pPr>
                    <w:pStyle w:val="69"/>
                    <w:rPr>
                      <w:rFonts w:hint="eastAsia"/>
                      <w:color w:val="auto"/>
                    </w:rPr>
                  </w:pPr>
                  <w:r>
                    <w:rPr>
                      <w:color w:val="auto"/>
                    </w:rPr>
                    <w:t>24</w:t>
                  </w:r>
                  <w:r>
                    <w:rPr>
                      <w:rFonts w:hint="eastAsia"/>
                      <w:color w:val="auto"/>
                    </w:rPr>
                    <w:t>小时平均第</w:t>
                  </w:r>
                  <w:r>
                    <w:rPr>
                      <w:color w:val="auto"/>
                    </w:rPr>
                    <w:t>95</w:t>
                  </w:r>
                  <w:r>
                    <w:rPr>
                      <w:rFonts w:hint="eastAsia"/>
                      <w:color w:val="auto"/>
                    </w:rPr>
                    <w:t>百分位数浓度值</w:t>
                  </w:r>
                </w:p>
              </w:tc>
              <w:tc>
                <w:tcPr>
                  <w:tcW w:w="851" w:type="pct"/>
                  <w:noWrap w:val="0"/>
                  <w:vAlign w:val="center"/>
                </w:tcPr>
                <w:p>
                  <w:pPr>
                    <w:pStyle w:val="69"/>
                    <w:rPr>
                      <w:color w:val="auto"/>
                    </w:rPr>
                  </w:pPr>
                  <w:r>
                    <w:rPr>
                      <w:rFonts w:hint="eastAsia"/>
                      <w:color w:val="auto"/>
                    </w:rPr>
                    <w:t>1.1</w:t>
                  </w:r>
                </w:p>
              </w:tc>
              <w:tc>
                <w:tcPr>
                  <w:tcW w:w="791" w:type="pct"/>
                  <w:noWrap w:val="0"/>
                  <w:vAlign w:val="center"/>
                </w:tcPr>
                <w:p>
                  <w:pPr>
                    <w:pStyle w:val="69"/>
                    <w:rPr>
                      <w:color w:val="auto"/>
                    </w:rPr>
                  </w:pPr>
                  <w:r>
                    <w:rPr>
                      <w:color w:val="auto"/>
                    </w:rPr>
                    <w:t>4</w:t>
                  </w:r>
                </w:p>
              </w:tc>
              <w:tc>
                <w:tcPr>
                  <w:tcW w:w="762" w:type="pct"/>
                  <w:noWrap w:val="0"/>
                  <w:vAlign w:val="center"/>
                </w:tcPr>
                <w:p>
                  <w:pPr>
                    <w:pStyle w:val="69"/>
                    <w:rPr>
                      <w:color w:val="auto"/>
                    </w:rPr>
                  </w:pPr>
                  <w:r>
                    <w:rPr>
                      <w:color w:val="auto"/>
                    </w:rPr>
                    <w:t>27.5</w:t>
                  </w:r>
                </w:p>
              </w:tc>
              <w:tc>
                <w:tcPr>
                  <w:tcW w:w="695" w:type="pct"/>
                  <w:noWrap w:val="0"/>
                  <w:vAlign w:val="center"/>
                </w:tcPr>
                <w:p>
                  <w:pPr>
                    <w:pStyle w:val="69"/>
                    <w:rPr>
                      <w:rFonts w:hint="eastAsia"/>
                      <w:color w:val="auto"/>
                    </w:rPr>
                  </w:pPr>
                  <w:r>
                    <w:rPr>
                      <w:rFonts w:hint="eastAsia"/>
                      <w:color w:val="auto"/>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4" w:type="pct"/>
                  <w:noWrap w:val="0"/>
                  <w:vAlign w:val="center"/>
                </w:tcPr>
                <w:p>
                  <w:pPr>
                    <w:pStyle w:val="69"/>
                    <w:rPr>
                      <w:color w:val="auto"/>
                    </w:rPr>
                  </w:pPr>
                  <w:r>
                    <w:rPr>
                      <w:color w:val="auto"/>
                    </w:rPr>
                    <w:t>O</w:t>
                  </w:r>
                  <w:r>
                    <w:rPr>
                      <w:color w:val="auto"/>
                      <w:vertAlign w:val="subscript"/>
                    </w:rPr>
                    <w:t>3</w:t>
                  </w:r>
                </w:p>
              </w:tc>
              <w:tc>
                <w:tcPr>
                  <w:tcW w:w="1243" w:type="pct"/>
                  <w:noWrap w:val="0"/>
                  <w:vAlign w:val="center"/>
                </w:tcPr>
                <w:p>
                  <w:pPr>
                    <w:pStyle w:val="69"/>
                    <w:rPr>
                      <w:rFonts w:hint="eastAsia"/>
                      <w:color w:val="auto"/>
                    </w:rPr>
                  </w:pPr>
                  <w:r>
                    <w:rPr>
                      <w:rFonts w:hint="eastAsia"/>
                      <w:color w:val="auto"/>
                    </w:rPr>
                    <w:t>最大</w:t>
                  </w:r>
                  <w:r>
                    <w:rPr>
                      <w:color w:val="auto"/>
                    </w:rPr>
                    <w:t>8</w:t>
                  </w:r>
                  <w:r>
                    <w:rPr>
                      <w:rFonts w:hint="eastAsia"/>
                      <w:color w:val="auto"/>
                    </w:rPr>
                    <w:t>小时滑动平均浓度值</w:t>
                  </w:r>
                </w:p>
              </w:tc>
              <w:tc>
                <w:tcPr>
                  <w:tcW w:w="851" w:type="pct"/>
                  <w:noWrap w:val="0"/>
                  <w:vAlign w:val="center"/>
                </w:tcPr>
                <w:p>
                  <w:pPr>
                    <w:pStyle w:val="69"/>
                    <w:rPr>
                      <w:color w:val="auto"/>
                    </w:rPr>
                  </w:pPr>
                  <w:r>
                    <w:rPr>
                      <w:rFonts w:hint="eastAsia"/>
                      <w:color w:val="auto"/>
                    </w:rPr>
                    <w:t>126</w:t>
                  </w:r>
                </w:p>
              </w:tc>
              <w:tc>
                <w:tcPr>
                  <w:tcW w:w="791" w:type="pct"/>
                  <w:noWrap w:val="0"/>
                  <w:vAlign w:val="center"/>
                </w:tcPr>
                <w:p>
                  <w:pPr>
                    <w:pStyle w:val="69"/>
                    <w:rPr>
                      <w:color w:val="auto"/>
                    </w:rPr>
                  </w:pPr>
                  <w:r>
                    <w:rPr>
                      <w:color w:val="auto"/>
                    </w:rPr>
                    <w:t>160</w:t>
                  </w:r>
                </w:p>
              </w:tc>
              <w:tc>
                <w:tcPr>
                  <w:tcW w:w="762" w:type="pct"/>
                  <w:noWrap w:val="0"/>
                  <w:vAlign w:val="center"/>
                </w:tcPr>
                <w:p>
                  <w:pPr>
                    <w:pStyle w:val="69"/>
                    <w:rPr>
                      <w:color w:val="auto"/>
                    </w:rPr>
                  </w:pPr>
                  <w:r>
                    <w:rPr>
                      <w:rFonts w:hint="eastAsia"/>
                      <w:color w:val="auto"/>
                    </w:rPr>
                    <w:t>78.75</w:t>
                  </w:r>
                </w:p>
              </w:tc>
              <w:tc>
                <w:tcPr>
                  <w:tcW w:w="695" w:type="pct"/>
                  <w:noWrap w:val="0"/>
                  <w:vAlign w:val="center"/>
                </w:tcPr>
                <w:p>
                  <w:pPr>
                    <w:pStyle w:val="69"/>
                    <w:rPr>
                      <w:rFonts w:hint="eastAsia"/>
                      <w:color w:val="auto"/>
                    </w:rPr>
                  </w:pPr>
                  <w:r>
                    <w:rPr>
                      <w:rFonts w:hint="eastAsia"/>
                      <w:color w:val="auto"/>
                    </w:rPr>
                    <w:t>达标</w:t>
                  </w:r>
                </w:p>
              </w:tc>
            </w:tr>
          </w:tbl>
          <w:p>
            <w:pPr>
              <w:pStyle w:val="104"/>
              <w:ind w:firstLine="480"/>
              <w:rPr>
                <w:rFonts w:hint="eastAsia"/>
                <w:color w:val="auto"/>
              </w:rPr>
            </w:pPr>
            <w:r>
              <w:rPr>
                <w:rFonts w:hint="eastAsia"/>
                <w:color w:val="auto"/>
              </w:rPr>
              <w:t>（2）评价方法和评价标准</w:t>
            </w:r>
          </w:p>
          <w:p>
            <w:pPr>
              <w:pStyle w:val="104"/>
              <w:ind w:firstLine="480"/>
              <w:rPr>
                <w:rFonts w:hint="eastAsia"/>
                <w:color w:val="auto"/>
              </w:rPr>
            </w:pPr>
            <w:r>
              <w:rPr>
                <w:rFonts w:hint="eastAsia"/>
                <w:color w:val="auto"/>
              </w:rPr>
              <w:t>依据《环境空气质量标准》（GB3095-2012）对乐山市2020年二氧化硫(SO</w:t>
            </w:r>
            <w:r>
              <w:rPr>
                <w:rFonts w:hint="eastAsia"/>
                <w:color w:val="auto"/>
                <w:vertAlign w:val="subscript"/>
              </w:rPr>
              <w:t>2</w:t>
            </w:r>
            <w:r>
              <w:rPr>
                <w:rFonts w:hint="eastAsia"/>
                <w:color w:val="auto"/>
              </w:rPr>
              <w:t>)、二氧化氮(NO</w:t>
            </w:r>
            <w:r>
              <w:rPr>
                <w:rFonts w:hint="eastAsia"/>
                <w:color w:val="auto"/>
                <w:vertAlign w:val="subscript"/>
              </w:rPr>
              <w:t>2</w:t>
            </w:r>
            <w:r>
              <w:rPr>
                <w:rFonts w:hint="eastAsia"/>
                <w:color w:val="auto"/>
              </w:rPr>
              <w:t>)、可吸入颗粒物(PM</w:t>
            </w:r>
            <w:r>
              <w:rPr>
                <w:rFonts w:hint="eastAsia"/>
                <w:color w:val="auto"/>
                <w:vertAlign w:val="subscript"/>
              </w:rPr>
              <w:t>10</w:t>
            </w:r>
            <w:r>
              <w:rPr>
                <w:rFonts w:hint="eastAsia"/>
                <w:color w:val="auto"/>
              </w:rPr>
              <w:t>)、细颗粒物(PM</w:t>
            </w:r>
            <w:r>
              <w:rPr>
                <w:rFonts w:hint="eastAsia"/>
                <w:color w:val="auto"/>
                <w:vertAlign w:val="subscript"/>
              </w:rPr>
              <w:t>2.5</w:t>
            </w:r>
            <w:r>
              <w:rPr>
                <w:rFonts w:hint="eastAsia"/>
                <w:color w:val="auto"/>
              </w:rPr>
              <w:t>)、一氧化碳(CO)、臭氧(O</w:t>
            </w:r>
            <w:r>
              <w:rPr>
                <w:rFonts w:hint="eastAsia"/>
                <w:color w:val="auto"/>
                <w:vertAlign w:val="subscript"/>
              </w:rPr>
              <w:t>3</w:t>
            </w:r>
            <w:r>
              <w:rPr>
                <w:rFonts w:hint="eastAsia"/>
                <w:color w:val="auto"/>
              </w:rPr>
              <w:t>)六项污染物进行评价，六项污染物全部达标即为城市环境空气质量达标。SO</w:t>
            </w:r>
            <w:r>
              <w:rPr>
                <w:rFonts w:hint="eastAsia"/>
                <w:color w:val="auto"/>
                <w:vertAlign w:val="subscript"/>
              </w:rPr>
              <w:t>2</w:t>
            </w:r>
            <w:r>
              <w:rPr>
                <w:rFonts w:hint="eastAsia"/>
                <w:color w:val="auto"/>
              </w:rPr>
              <w:t>、NO</w:t>
            </w:r>
            <w:r>
              <w:rPr>
                <w:rFonts w:hint="eastAsia"/>
                <w:color w:val="auto"/>
                <w:vertAlign w:val="subscript"/>
              </w:rPr>
              <w:t>2</w:t>
            </w:r>
            <w:r>
              <w:rPr>
                <w:rFonts w:hint="eastAsia"/>
                <w:color w:val="auto"/>
              </w:rPr>
              <w:t>、PM</w:t>
            </w:r>
            <w:r>
              <w:rPr>
                <w:rFonts w:hint="eastAsia"/>
                <w:color w:val="auto"/>
                <w:vertAlign w:val="subscript"/>
              </w:rPr>
              <w:t>10</w:t>
            </w:r>
            <w:r>
              <w:rPr>
                <w:rFonts w:hint="eastAsia"/>
                <w:color w:val="auto"/>
              </w:rPr>
              <w:t>和PM</w:t>
            </w:r>
            <w:r>
              <w:rPr>
                <w:rFonts w:hint="eastAsia"/>
                <w:color w:val="auto"/>
                <w:vertAlign w:val="subscript"/>
              </w:rPr>
              <w:t>2.5</w:t>
            </w:r>
            <w:r>
              <w:rPr>
                <w:rFonts w:hint="eastAsia"/>
                <w:color w:val="auto"/>
              </w:rPr>
              <w:t>年度达标情况由该项污染物年平均浓度对照年平均标准确定，CO年度达标情况由CO日均值第95百分位数浓度对照24小时平均标准确定，O</w:t>
            </w:r>
            <w:r>
              <w:rPr>
                <w:rFonts w:hint="eastAsia"/>
                <w:color w:val="auto"/>
                <w:vertAlign w:val="subscript"/>
              </w:rPr>
              <w:t>3</w:t>
            </w:r>
            <w:r>
              <w:rPr>
                <w:rFonts w:hint="eastAsia"/>
                <w:color w:val="auto"/>
              </w:rPr>
              <w:t>年度达标情况由O</w:t>
            </w:r>
            <w:r>
              <w:rPr>
                <w:rFonts w:hint="eastAsia"/>
                <w:color w:val="auto"/>
                <w:vertAlign w:val="subscript"/>
              </w:rPr>
              <w:t>3</w:t>
            </w:r>
            <w:r>
              <w:rPr>
                <w:rFonts w:hint="eastAsia"/>
                <w:color w:val="auto"/>
              </w:rPr>
              <w:t>日最大8小时平均第90百分位数浓度对照</w:t>
            </w:r>
            <w:r>
              <w:rPr>
                <w:color w:val="auto"/>
              </w:rPr>
              <w:t>8</w:t>
            </w:r>
            <w:r>
              <w:rPr>
                <w:rFonts w:hint="eastAsia"/>
                <w:color w:val="auto"/>
              </w:rPr>
              <w:t>小时平均标准确定。达到或好于国家</w:t>
            </w:r>
            <w:r>
              <w:rPr>
                <w:color w:val="auto"/>
              </w:rPr>
              <w:t>环境空气质量二级标准为达标，超过二级标准为超标。</w:t>
            </w:r>
            <w:r>
              <w:rPr>
                <w:rFonts w:hint="eastAsia"/>
                <w:color w:val="auto"/>
              </w:rPr>
              <w:t>由表3-1统计结果可知，六项污染物全部达标。</w:t>
            </w:r>
          </w:p>
          <w:p>
            <w:pPr>
              <w:pStyle w:val="104"/>
              <w:ind w:firstLine="480"/>
              <w:rPr>
                <w:rFonts w:hint="eastAsia"/>
                <w:color w:val="auto"/>
              </w:rPr>
            </w:pPr>
            <w:r>
              <w:rPr>
                <w:rFonts w:hint="eastAsia"/>
                <w:color w:val="auto"/>
              </w:rPr>
              <w:t>根据以上分析，项目所在区域为环境空气质量达标区。</w:t>
            </w:r>
          </w:p>
          <w:p>
            <w:pPr>
              <w:ind w:firstLine="480"/>
              <w:jc w:val="left"/>
              <w:rPr>
                <w:rFonts w:hint="eastAsia"/>
                <w:color w:val="auto"/>
              </w:rPr>
            </w:pPr>
            <w:r>
              <w:rPr>
                <w:rFonts w:hint="eastAsia"/>
                <w:color w:val="auto"/>
              </w:rPr>
              <w:t>项目区域为达标区，区域环境空气质量良好。</w:t>
            </w:r>
          </w:p>
          <w:p>
            <w:pPr>
              <w:pStyle w:val="5"/>
              <w:rPr>
                <w:color w:val="auto"/>
              </w:rPr>
            </w:pPr>
            <w:r>
              <w:rPr>
                <w:color w:val="auto"/>
              </w:rPr>
              <w:t>二、地表水环境质量现状</w:t>
            </w:r>
          </w:p>
          <w:p>
            <w:pPr>
              <w:ind w:firstLine="480"/>
              <w:rPr>
                <w:rFonts w:hint="eastAsia"/>
                <w:color w:val="auto"/>
              </w:rPr>
            </w:pPr>
            <w:r>
              <w:rPr>
                <w:rFonts w:hint="eastAsia"/>
                <w:color w:val="auto"/>
              </w:rPr>
              <w:t>根据乐山市生态环境局公布的《乐山市2021年环境质量公报》数据显示“</w:t>
            </w:r>
            <w:r>
              <w:rPr>
                <w:rFonts w:hint="eastAsia" w:ascii="宋体" w:hAnsi="宋体" w:cs="宋体"/>
                <w:color w:val="auto"/>
                <w:shd w:val="clear" w:color="auto" w:fill="FFFFFF"/>
              </w:rPr>
              <w:t>乐山市岷江干流及主要支流共设置国考断面6个、省考断面8个。6个国考监测断面水质达标率为100％，Ⅱ类水质断面为4个，占66．7％；Ⅲ类水质断面为2个，占33</w:t>
            </w:r>
            <w:r>
              <w:rPr>
                <w:rFonts w:hint="eastAsia"/>
                <w:color w:val="auto"/>
              </w:rPr>
              <w:t>.3％。8个省考监测断面水质达标率为87.5％。Ⅱ类水质断面为5个，占62．5％；Ⅲ类水质断面为2个，占25.0％；Ⅳ类水质断面为1个，占12.5％。”</w:t>
            </w:r>
          </w:p>
          <w:p>
            <w:pPr>
              <w:ind w:firstLine="480"/>
              <w:rPr>
                <w:rFonts w:hint="eastAsia"/>
                <w:color w:val="auto"/>
              </w:rPr>
            </w:pPr>
            <w:r>
              <w:rPr>
                <w:rFonts w:hint="eastAsia"/>
                <w:color w:val="auto"/>
              </w:rPr>
              <w:t>此外，本项目受纳水体岷江，根据乐山市生态环境局公布的2021年1-12月乐山市地表水质量状况（http://ssthjj.leshan.gov.cn/shbj/szzlyb/list.shtml）,青衣坝断面在2021年年度水质建监测数据，水质状况如下表所示：</w:t>
            </w:r>
          </w:p>
          <w:p>
            <w:pPr>
              <w:pStyle w:val="102"/>
              <w:rPr>
                <w:color w:val="auto"/>
              </w:rPr>
            </w:pPr>
            <w:r>
              <w:rPr>
                <w:rFonts w:hint="eastAsia"/>
                <w:color w:val="auto"/>
              </w:rPr>
              <w:t>表3-2  2021年1-12月乐山市地表水水质评价结果一览表</w:t>
            </w:r>
          </w:p>
          <w:tbl>
            <w:tblPr>
              <w:tblStyle w:val="38"/>
              <w:tblW w:w="4997" w:type="pct"/>
              <w:tblInd w:w="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509"/>
              <w:gridCol w:w="1228"/>
              <w:gridCol w:w="2131"/>
              <w:gridCol w:w="1187"/>
              <w:gridCol w:w="1204"/>
              <w:gridCol w:w="1198"/>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5" w:hRule="atLeast"/>
              </w:trPr>
              <w:tc>
                <w:tcPr>
                  <w:tcW w:w="892" w:type="pct"/>
                  <w:tcBorders>
                    <w:top w:val="single" w:color="000000" w:sz="10" w:space="0"/>
                  </w:tcBorders>
                  <w:noWrap w:val="0"/>
                  <w:vAlign w:val="top"/>
                </w:tcPr>
                <w:p>
                  <w:pPr>
                    <w:pStyle w:val="69"/>
                    <w:rPr>
                      <w:rFonts w:hint="eastAsia"/>
                      <w:color w:val="auto"/>
                    </w:rPr>
                  </w:pPr>
                  <w:r>
                    <w:rPr>
                      <w:rFonts w:hint="eastAsia"/>
                      <w:color w:val="auto"/>
                    </w:rPr>
                    <w:t>月份</w:t>
                  </w:r>
                </w:p>
              </w:tc>
              <w:tc>
                <w:tcPr>
                  <w:tcW w:w="726" w:type="pct"/>
                  <w:tcBorders>
                    <w:top w:val="single" w:color="000000" w:sz="10" w:space="0"/>
                  </w:tcBorders>
                  <w:noWrap w:val="0"/>
                  <w:vAlign w:val="top"/>
                </w:tcPr>
                <w:p>
                  <w:pPr>
                    <w:pStyle w:val="69"/>
                    <w:rPr>
                      <w:rFonts w:hint="eastAsia"/>
                      <w:color w:val="auto"/>
                    </w:rPr>
                  </w:pPr>
                  <w:r>
                    <w:rPr>
                      <w:rFonts w:hint="eastAsia"/>
                      <w:color w:val="auto"/>
                    </w:rPr>
                    <w:t>断面名称</w:t>
                  </w:r>
                </w:p>
              </w:tc>
              <w:tc>
                <w:tcPr>
                  <w:tcW w:w="1260" w:type="pct"/>
                  <w:tcBorders>
                    <w:top w:val="single" w:color="000000" w:sz="10" w:space="0"/>
                  </w:tcBorders>
                  <w:noWrap w:val="0"/>
                  <w:vAlign w:val="top"/>
                </w:tcPr>
                <w:p>
                  <w:pPr>
                    <w:pStyle w:val="69"/>
                    <w:rPr>
                      <w:rFonts w:hint="eastAsia"/>
                      <w:color w:val="auto"/>
                    </w:rPr>
                  </w:pPr>
                  <w:r>
                    <w:rPr>
                      <w:rFonts w:hint="eastAsia"/>
                      <w:color w:val="auto"/>
                    </w:rPr>
                    <w:t>所在地</w:t>
                  </w:r>
                </w:p>
              </w:tc>
              <w:tc>
                <w:tcPr>
                  <w:tcW w:w="702" w:type="pct"/>
                  <w:tcBorders>
                    <w:top w:val="single" w:color="000000" w:sz="10" w:space="0"/>
                  </w:tcBorders>
                  <w:noWrap w:val="0"/>
                  <w:vAlign w:val="top"/>
                </w:tcPr>
                <w:p>
                  <w:pPr>
                    <w:pStyle w:val="69"/>
                    <w:rPr>
                      <w:rFonts w:hint="eastAsia"/>
                      <w:color w:val="auto"/>
                    </w:rPr>
                  </w:pPr>
                  <w:r>
                    <w:rPr>
                      <w:rFonts w:hint="eastAsia"/>
                      <w:color w:val="auto"/>
                    </w:rPr>
                    <w:t>规定类别</w:t>
                  </w:r>
                </w:p>
              </w:tc>
              <w:tc>
                <w:tcPr>
                  <w:tcW w:w="712" w:type="pct"/>
                  <w:tcBorders>
                    <w:top w:val="single" w:color="000000" w:sz="10" w:space="0"/>
                  </w:tcBorders>
                  <w:noWrap w:val="0"/>
                  <w:vAlign w:val="top"/>
                </w:tcPr>
                <w:p>
                  <w:pPr>
                    <w:pStyle w:val="69"/>
                    <w:rPr>
                      <w:rFonts w:hint="eastAsia"/>
                      <w:color w:val="auto"/>
                    </w:rPr>
                  </w:pPr>
                  <w:r>
                    <w:rPr>
                      <w:rFonts w:hint="eastAsia"/>
                      <w:color w:val="auto"/>
                    </w:rPr>
                    <w:t>监测结果</w:t>
                  </w:r>
                </w:p>
              </w:tc>
              <w:tc>
                <w:tcPr>
                  <w:tcW w:w="706" w:type="pct"/>
                  <w:tcBorders>
                    <w:top w:val="single" w:color="000000" w:sz="10" w:space="0"/>
                  </w:tcBorders>
                  <w:noWrap w:val="0"/>
                  <w:vAlign w:val="top"/>
                </w:tcPr>
                <w:p>
                  <w:pPr>
                    <w:pStyle w:val="69"/>
                    <w:rPr>
                      <w:rFonts w:hint="eastAsia"/>
                      <w:color w:val="auto"/>
                    </w:rPr>
                  </w:pPr>
                  <w:r>
                    <w:rPr>
                      <w:rFonts w:hint="eastAsia"/>
                      <w:color w:val="auto"/>
                    </w:rPr>
                    <w:t>是否达标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892" w:type="pct"/>
                  <w:noWrap w:val="0"/>
                  <w:vAlign w:val="top"/>
                </w:tcPr>
                <w:p>
                  <w:pPr>
                    <w:pStyle w:val="69"/>
                    <w:rPr>
                      <w:color w:val="auto"/>
                    </w:rPr>
                  </w:pPr>
                  <w:r>
                    <w:rPr>
                      <w:rFonts w:hint="eastAsia"/>
                      <w:color w:val="auto"/>
                    </w:rPr>
                    <w:t>1</w:t>
                  </w:r>
                </w:p>
              </w:tc>
              <w:tc>
                <w:tcPr>
                  <w:tcW w:w="726" w:type="pct"/>
                  <w:noWrap w:val="0"/>
                  <w:vAlign w:val="top"/>
                </w:tcPr>
                <w:p>
                  <w:pPr>
                    <w:pStyle w:val="69"/>
                    <w:rPr>
                      <w:rFonts w:hint="eastAsia"/>
                      <w:color w:val="auto"/>
                    </w:rPr>
                  </w:pPr>
                  <w:r>
                    <w:rPr>
                      <w:rFonts w:hint="eastAsia"/>
                      <w:color w:val="auto"/>
                    </w:rPr>
                    <w:t>青衣坝断面</w:t>
                  </w:r>
                </w:p>
              </w:tc>
              <w:tc>
                <w:tcPr>
                  <w:tcW w:w="1260" w:type="pct"/>
                  <w:noWrap w:val="0"/>
                  <w:vAlign w:val="top"/>
                </w:tcPr>
                <w:p>
                  <w:pPr>
                    <w:pStyle w:val="69"/>
                    <w:rPr>
                      <w:rFonts w:hint="eastAsia"/>
                      <w:color w:val="auto"/>
                    </w:rPr>
                  </w:pPr>
                  <w:r>
                    <w:rPr>
                      <w:rFonts w:hint="eastAsia"/>
                      <w:color w:val="auto"/>
                    </w:rPr>
                    <w:t>岷江</w:t>
                  </w:r>
                </w:p>
              </w:tc>
              <w:tc>
                <w:tcPr>
                  <w:tcW w:w="702" w:type="pct"/>
                  <w:noWrap w:val="0"/>
                  <w:vAlign w:val="top"/>
                </w:tcPr>
                <w:p>
                  <w:pPr>
                    <w:pStyle w:val="69"/>
                    <w:rPr>
                      <w:color w:val="auto"/>
                    </w:rPr>
                  </w:pPr>
                  <w:r>
                    <w:rPr>
                      <w:rFonts w:hint="eastAsia"/>
                      <w:color w:val="auto"/>
                    </w:rPr>
                    <w:t>Ⅲ</w:t>
                  </w:r>
                </w:p>
              </w:tc>
              <w:tc>
                <w:tcPr>
                  <w:tcW w:w="712" w:type="pct"/>
                  <w:noWrap w:val="0"/>
                  <w:vAlign w:val="top"/>
                </w:tcPr>
                <w:p>
                  <w:pPr>
                    <w:pStyle w:val="69"/>
                    <w:rPr>
                      <w:rFonts w:hint="eastAsia"/>
                      <w:color w:val="auto"/>
                    </w:rPr>
                  </w:pPr>
                  <w:r>
                    <w:rPr>
                      <w:rFonts w:hint="eastAsia"/>
                      <w:color w:val="auto"/>
                    </w:rPr>
                    <w:t>Ⅱ</w:t>
                  </w:r>
                </w:p>
              </w:tc>
              <w:tc>
                <w:tcPr>
                  <w:tcW w:w="706" w:type="pct"/>
                  <w:noWrap w:val="0"/>
                  <w:vAlign w:val="top"/>
                </w:tcPr>
                <w:p>
                  <w:pPr>
                    <w:pStyle w:val="69"/>
                    <w:rPr>
                      <w:rFonts w:hint="eastAsia"/>
                      <w:color w:val="auto"/>
                    </w:rPr>
                  </w:pPr>
                  <w:r>
                    <w:rPr>
                      <w:rFonts w:hint="eastAsia"/>
                      <w:color w:val="auto"/>
                    </w:rPr>
                    <w:t>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892" w:type="pct"/>
                  <w:noWrap w:val="0"/>
                  <w:vAlign w:val="top"/>
                </w:tcPr>
                <w:p>
                  <w:pPr>
                    <w:pStyle w:val="69"/>
                    <w:rPr>
                      <w:color w:val="auto"/>
                    </w:rPr>
                  </w:pPr>
                  <w:r>
                    <w:rPr>
                      <w:rFonts w:hint="eastAsia"/>
                      <w:color w:val="auto"/>
                    </w:rPr>
                    <w:t>2</w:t>
                  </w:r>
                </w:p>
              </w:tc>
              <w:tc>
                <w:tcPr>
                  <w:tcW w:w="726" w:type="pct"/>
                  <w:noWrap w:val="0"/>
                  <w:vAlign w:val="top"/>
                </w:tcPr>
                <w:p>
                  <w:pPr>
                    <w:pStyle w:val="69"/>
                    <w:rPr>
                      <w:rFonts w:hint="eastAsia"/>
                      <w:color w:val="auto"/>
                    </w:rPr>
                  </w:pPr>
                  <w:r>
                    <w:rPr>
                      <w:rFonts w:hint="eastAsia"/>
                      <w:color w:val="auto"/>
                    </w:rPr>
                    <w:t>青衣坝断面</w:t>
                  </w:r>
                </w:p>
              </w:tc>
              <w:tc>
                <w:tcPr>
                  <w:tcW w:w="1260" w:type="pct"/>
                  <w:noWrap w:val="0"/>
                  <w:vAlign w:val="top"/>
                </w:tcPr>
                <w:p>
                  <w:pPr>
                    <w:pStyle w:val="69"/>
                    <w:rPr>
                      <w:rFonts w:hint="eastAsia"/>
                      <w:color w:val="auto"/>
                    </w:rPr>
                  </w:pPr>
                  <w:r>
                    <w:rPr>
                      <w:rFonts w:hint="eastAsia"/>
                      <w:color w:val="auto"/>
                    </w:rPr>
                    <w:t>岷江</w:t>
                  </w:r>
                </w:p>
              </w:tc>
              <w:tc>
                <w:tcPr>
                  <w:tcW w:w="702" w:type="pct"/>
                  <w:noWrap w:val="0"/>
                  <w:vAlign w:val="top"/>
                </w:tcPr>
                <w:p>
                  <w:pPr>
                    <w:pStyle w:val="69"/>
                    <w:rPr>
                      <w:color w:val="auto"/>
                    </w:rPr>
                  </w:pPr>
                  <w:r>
                    <w:rPr>
                      <w:rFonts w:hint="eastAsia"/>
                      <w:color w:val="auto"/>
                    </w:rPr>
                    <w:t>Ⅲ</w:t>
                  </w:r>
                </w:p>
              </w:tc>
              <w:tc>
                <w:tcPr>
                  <w:tcW w:w="712" w:type="pct"/>
                  <w:noWrap w:val="0"/>
                  <w:vAlign w:val="top"/>
                </w:tcPr>
                <w:p>
                  <w:pPr>
                    <w:pStyle w:val="69"/>
                    <w:rPr>
                      <w:rFonts w:hint="eastAsia"/>
                      <w:color w:val="auto"/>
                    </w:rPr>
                  </w:pPr>
                  <w:r>
                    <w:rPr>
                      <w:rFonts w:hint="eastAsia"/>
                      <w:color w:val="auto"/>
                    </w:rPr>
                    <w:t>Ⅱ</w:t>
                  </w:r>
                </w:p>
              </w:tc>
              <w:tc>
                <w:tcPr>
                  <w:tcW w:w="706" w:type="pct"/>
                  <w:noWrap w:val="0"/>
                  <w:vAlign w:val="top"/>
                </w:tcPr>
                <w:p>
                  <w:pPr>
                    <w:pStyle w:val="69"/>
                    <w:rPr>
                      <w:rFonts w:hint="eastAsia"/>
                      <w:color w:val="auto"/>
                    </w:rPr>
                  </w:pPr>
                  <w:r>
                    <w:rPr>
                      <w:rFonts w:hint="eastAsia"/>
                      <w:color w:val="auto"/>
                    </w:rPr>
                    <w:t>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892" w:type="pct"/>
                  <w:noWrap w:val="0"/>
                  <w:vAlign w:val="top"/>
                </w:tcPr>
                <w:p>
                  <w:pPr>
                    <w:pStyle w:val="69"/>
                    <w:rPr>
                      <w:color w:val="auto"/>
                    </w:rPr>
                  </w:pPr>
                  <w:r>
                    <w:rPr>
                      <w:rFonts w:hint="eastAsia"/>
                      <w:color w:val="auto"/>
                    </w:rPr>
                    <w:t>3</w:t>
                  </w:r>
                </w:p>
              </w:tc>
              <w:tc>
                <w:tcPr>
                  <w:tcW w:w="726" w:type="pct"/>
                  <w:noWrap w:val="0"/>
                  <w:vAlign w:val="top"/>
                </w:tcPr>
                <w:p>
                  <w:pPr>
                    <w:pStyle w:val="69"/>
                    <w:rPr>
                      <w:rFonts w:hint="eastAsia"/>
                      <w:color w:val="auto"/>
                    </w:rPr>
                  </w:pPr>
                  <w:r>
                    <w:rPr>
                      <w:rFonts w:hint="eastAsia"/>
                      <w:color w:val="auto"/>
                    </w:rPr>
                    <w:t>青衣坝断面</w:t>
                  </w:r>
                </w:p>
              </w:tc>
              <w:tc>
                <w:tcPr>
                  <w:tcW w:w="1260" w:type="pct"/>
                  <w:noWrap w:val="0"/>
                  <w:vAlign w:val="top"/>
                </w:tcPr>
                <w:p>
                  <w:pPr>
                    <w:pStyle w:val="69"/>
                    <w:rPr>
                      <w:rFonts w:hint="eastAsia"/>
                      <w:color w:val="auto"/>
                    </w:rPr>
                  </w:pPr>
                  <w:r>
                    <w:rPr>
                      <w:rFonts w:hint="eastAsia"/>
                      <w:color w:val="auto"/>
                    </w:rPr>
                    <w:t>岷江</w:t>
                  </w:r>
                </w:p>
              </w:tc>
              <w:tc>
                <w:tcPr>
                  <w:tcW w:w="702" w:type="pct"/>
                  <w:noWrap w:val="0"/>
                  <w:vAlign w:val="top"/>
                </w:tcPr>
                <w:p>
                  <w:pPr>
                    <w:pStyle w:val="69"/>
                    <w:rPr>
                      <w:rFonts w:hint="eastAsia"/>
                      <w:color w:val="auto"/>
                    </w:rPr>
                  </w:pPr>
                  <w:r>
                    <w:rPr>
                      <w:rFonts w:hint="eastAsia"/>
                      <w:color w:val="auto"/>
                    </w:rPr>
                    <w:t>Ⅲ</w:t>
                  </w:r>
                </w:p>
              </w:tc>
              <w:tc>
                <w:tcPr>
                  <w:tcW w:w="712" w:type="pct"/>
                  <w:noWrap w:val="0"/>
                  <w:vAlign w:val="top"/>
                </w:tcPr>
                <w:p>
                  <w:pPr>
                    <w:pStyle w:val="69"/>
                    <w:rPr>
                      <w:rFonts w:hint="eastAsia"/>
                      <w:color w:val="auto"/>
                    </w:rPr>
                  </w:pPr>
                  <w:r>
                    <w:rPr>
                      <w:rFonts w:hint="eastAsia"/>
                      <w:color w:val="auto"/>
                    </w:rPr>
                    <w:t>Ⅱ</w:t>
                  </w:r>
                </w:p>
              </w:tc>
              <w:tc>
                <w:tcPr>
                  <w:tcW w:w="706" w:type="pct"/>
                  <w:noWrap w:val="0"/>
                  <w:vAlign w:val="top"/>
                </w:tcPr>
                <w:p>
                  <w:pPr>
                    <w:pStyle w:val="69"/>
                    <w:rPr>
                      <w:rFonts w:hint="eastAsia"/>
                      <w:color w:val="auto"/>
                    </w:rPr>
                  </w:pPr>
                  <w:r>
                    <w:rPr>
                      <w:rFonts w:hint="eastAsia"/>
                      <w:color w:val="auto"/>
                    </w:rPr>
                    <w:t>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892" w:type="pct"/>
                  <w:noWrap w:val="0"/>
                  <w:vAlign w:val="top"/>
                </w:tcPr>
                <w:p>
                  <w:pPr>
                    <w:pStyle w:val="69"/>
                    <w:rPr>
                      <w:color w:val="auto"/>
                    </w:rPr>
                  </w:pPr>
                  <w:r>
                    <w:rPr>
                      <w:rFonts w:hint="eastAsia"/>
                      <w:color w:val="auto"/>
                    </w:rPr>
                    <w:t>4</w:t>
                  </w:r>
                </w:p>
              </w:tc>
              <w:tc>
                <w:tcPr>
                  <w:tcW w:w="726" w:type="pct"/>
                  <w:noWrap w:val="0"/>
                  <w:vAlign w:val="top"/>
                </w:tcPr>
                <w:p>
                  <w:pPr>
                    <w:pStyle w:val="69"/>
                    <w:rPr>
                      <w:rFonts w:hint="eastAsia"/>
                      <w:color w:val="auto"/>
                    </w:rPr>
                  </w:pPr>
                  <w:r>
                    <w:rPr>
                      <w:rFonts w:hint="eastAsia"/>
                      <w:color w:val="auto"/>
                    </w:rPr>
                    <w:t>青衣坝断面</w:t>
                  </w:r>
                </w:p>
              </w:tc>
              <w:tc>
                <w:tcPr>
                  <w:tcW w:w="1260" w:type="pct"/>
                  <w:noWrap w:val="0"/>
                  <w:vAlign w:val="top"/>
                </w:tcPr>
                <w:p>
                  <w:pPr>
                    <w:pStyle w:val="69"/>
                    <w:rPr>
                      <w:rFonts w:hint="eastAsia"/>
                      <w:color w:val="auto"/>
                    </w:rPr>
                  </w:pPr>
                  <w:r>
                    <w:rPr>
                      <w:rFonts w:hint="eastAsia"/>
                      <w:color w:val="auto"/>
                    </w:rPr>
                    <w:t>岷江</w:t>
                  </w:r>
                </w:p>
              </w:tc>
              <w:tc>
                <w:tcPr>
                  <w:tcW w:w="702" w:type="pct"/>
                  <w:noWrap w:val="0"/>
                  <w:vAlign w:val="top"/>
                </w:tcPr>
                <w:p>
                  <w:pPr>
                    <w:pStyle w:val="69"/>
                    <w:rPr>
                      <w:rFonts w:hint="eastAsia"/>
                      <w:color w:val="auto"/>
                    </w:rPr>
                  </w:pPr>
                  <w:r>
                    <w:rPr>
                      <w:rFonts w:hint="eastAsia"/>
                      <w:color w:val="auto"/>
                    </w:rPr>
                    <w:t>Ⅲ</w:t>
                  </w:r>
                </w:p>
              </w:tc>
              <w:tc>
                <w:tcPr>
                  <w:tcW w:w="712" w:type="pct"/>
                  <w:noWrap w:val="0"/>
                  <w:vAlign w:val="top"/>
                </w:tcPr>
                <w:p>
                  <w:pPr>
                    <w:pStyle w:val="69"/>
                    <w:rPr>
                      <w:rFonts w:hint="eastAsia"/>
                      <w:color w:val="auto"/>
                    </w:rPr>
                  </w:pPr>
                  <w:r>
                    <w:rPr>
                      <w:rFonts w:hint="eastAsia"/>
                      <w:color w:val="auto"/>
                    </w:rPr>
                    <w:t>Ⅱ</w:t>
                  </w:r>
                </w:p>
              </w:tc>
              <w:tc>
                <w:tcPr>
                  <w:tcW w:w="706" w:type="pct"/>
                  <w:noWrap w:val="0"/>
                  <w:vAlign w:val="top"/>
                </w:tcPr>
                <w:p>
                  <w:pPr>
                    <w:pStyle w:val="69"/>
                    <w:rPr>
                      <w:rFonts w:hint="eastAsia"/>
                      <w:color w:val="auto"/>
                    </w:rPr>
                  </w:pPr>
                  <w:r>
                    <w:rPr>
                      <w:rFonts w:hint="eastAsia"/>
                      <w:color w:val="auto"/>
                    </w:rPr>
                    <w:t>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892" w:type="pct"/>
                  <w:noWrap w:val="0"/>
                  <w:vAlign w:val="top"/>
                </w:tcPr>
                <w:p>
                  <w:pPr>
                    <w:pStyle w:val="69"/>
                    <w:rPr>
                      <w:color w:val="auto"/>
                    </w:rPr>
                  </w:pPr>
                  <w:r>
                    <w:rPr>
                      <w:rFonts w:hint="eastAsia"/>
                      <w:color w:val="auto"/>
                    </w:rPr>
                    <w:t>5</w:t>
                  </w:r>
                </w:p>
              </w:tc>
              <w:tc>
                <w:tcPr>
                  <w:tcW w:w="726" w:type="pct"/>
                  <w:noWrap w:val="0"/>
                  <w:vAlign w:val="top"/>
                </w:tcPr>
                <w:p>
                  <w:pPr>
                    <w:pStyle w:val="69"/>
                    <w:rPr>
                      <w:rFonts w:hint="eastAsia"/>
                      <w:color w:val="auto"/>
                    </w:rPr>
                  </w:pPr>
                  <w:r>
                    <w:rPr>
                      <w:rFonts w:hint="eastAsia"/>
                      <w:color w:val="auto"/>
                    </w:rPr>
                    <w:t>青衣坝断面</w:t>
                  </w:r>
                </w:p>
              </w:tc>
              <w:tc>
                <w:tcPr>
                  <w:tcW w:w="1260" w:type="pct"/>
                  <w:noWrap w:val="0"/>
                  <w:vAlign w:val="top"/>
                </w:tcPr>
                <w:p>
                  <w:pPr>
                    <w:pStyle w:val="69"/>
                    <w:rPr>
                      <w:rFonts w:hint="eastAsia"/>
                      <w:color w:val="auto"/>
                    </w:rPr>
                  </w:pPr>
                  <w:r>
                    <w:rPr>
                      <w:rFonts w:hint="eastAsia"/>
                      <w:color w:val="auto"/>
                    </w:rPr>
                    <w:t>岷江</w:t>
                  </w:r>
                </w:p>
              </w:tc>
              <w:tc>
                <w:tcPr>
                  <w:tcW w:w="702" w:type="pct"/>
                  <w:noWrap w:val="0"/>
                  <w:vAlign w:val="top"/>
                </w:tcPr>
                <w:p>
                  <w:pPr>
                    <w:pStyle w:val="69"/>
                    <w:rPr>
                      <w:rFonts w:hint="eastAsia"/>
                      <w:color w:val="auto"/>
                    </w:rPr>
                  </w:pPr>
                  <w:r>
                    <w:rPr>
                      <w:rFonts w:hint="eastAsia"/>
                      <w:color w:val="auto"/>
                    </w:rPr>
                    <w:t>Ⅲ</w:t>
                  </w:r>
                </w:p>
              </w:tc>
              <w:tc>
                <w:tcPr>
                  <w:tcW w:w="712" w:type="pct"/>
                  <w:noWrap w:val="0"/>
                  <w:vAlign w:val="top"/>
                </w:tcPr>
                <w:p>
                  <w:pPr>
                    <w:pStyle w:val="69"/>
                    <w:rPr>
                      <w:rFonts w:hint="eastAsia"/>
                      <w:color w:val="auto"/>
                    </w:rPr>
                  </w:pPr>
                  <w:r>
                    <w:rPr>
                      <w:rFonts w:hint="eastAsia"/>
                      <w:color w:val="auto"/>
                    </w:rPr>
                    <w:t>Ⅲ</w:t>
                  </w:r>
                </w:p>
              </w:tc>
              <w:tc>
                <w:tcPr>
                  <w:tcW w:w="706" w:type="pct"/>
                  <w:noWrap w:val="0"/>
                  <w:vAlign w:val="top"/>
                </w:tcPr>
                <w:p>
                  <w:pPr>
                    <w:pStyle w:val="69"/>
                    <w:rPr>
                      <w:rFonts w:hint="eastAsia"/>
                      <w:color w:val="auto"/>
                    </w:rPr>
                  </w:pPr>
                  <w:r>
                    <w:rPr>
                      <w:rFonts w:hint="eastAsia"/>
                      <w:color w:val="auto"/>
                    </w:rPr>
                    <w:t>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892" w:type="pct"/>
                  <w:noWrap w:val="0"/>
                  <w:vAlign w:val="top"/>
                </w:tcPr>
                <w:p>
                  <w:pPr>
                    <w:pStyle w:val="69"/>
                    <w:rPr>
                      <w:color w:val="auto"/>
                    </w:rPr>
                  </w:pPr>
                  <w:r>
                    <w:rPr>
                      <w:rFonts w:hint="eastAsia"/>
                      <w:color w:val="auto"/>
                    </w:rPr>
                    <w:t>6</w:t>
                  </w:r>
                </w:p>
              </w:tc>
              <w:tc>
                <w:tcPr>
                  <w:tcW w:w="726" w:type="pct"/>
                  <w:noWrap w:val="0"/>
                  <w:vAlign w:val="top"/>
                </w:tcPr>
                <w:p>
                  <w:pPr>
                    <w:pStyle w:val="69"/>
                    <w:rPr>
                      <w:rFonts w:hint="eastAsia"/>
                      <w:color w:val="auto"/>
                    </w:rPr>
                  </w:pPr>
                  <w:r>
                    <w:rPr>
                      <w:rFonts w:hint="eastAsia"/>
                      <w:color w:val="auto"/>
                    </w:rPr>
                    <w:t>青衣坝断面</w:t>
                  </w:r>
                </w:p>
              </w:tc>
              <w:tc>
                <w:tcPr>
                  <w:tcW w:w="1260" w:type="pct"/>
                  <w:noWrap w:val="0"/>
                  <w:vAlign w:val="top"/>
                </w:tcPr>
                <w:p>
                  <w:pPr>
                    <w:pStyle w:val="69"/>
                    <w:rPr>
                      <w:rFonts w:hint="eastAsia"/>
                      <w:color w:val="auto"/>
                    </w:rPr>
                  </w:pPr>
                  <w:r>
                    <w:rPr>
                      <w:rFonts w:hint="eastAsia"/>
                      <w:color w:val="auto"/>
                    </w:rPr>
                    <w:t>岷江</w:t>
                  </w:r>
                </w:p>
              </w:tc>
              <w:tc>
                <w:tcPr>
                  <w:tcW w:w="702" w:type="pct"/>
                  <w:noWrap w:val="0"/>
                  <w:vAlign w:val="top"/>
                </w:tcPr>
                <w:p>
                  <w:pPr>
                    <w:pStyle w:val="69"/>
                    <w:rPr>
                      <w:rFonts w:hint="eastAsia"/>
                      <w:color w:val="auto"/>
                    </w:rPr>
                  </w:pPr>
                  <w:r>
                    <w:rPr>
                      <w:rFonts w:hint="eastAsia"/>
                      <w:color w:val="auto"/>
                    </w:rPr>
                    <w:t>Ⅲ</w:t>
                  </w:r>
                </w:p>
              </w:tc>
              <w:tc>
                <w:tcPr>
                  <w:tcW w:w="712" w:type="pct"/>
                  <w:noWrap w:val="0"/>
                  <w:vAlign w:val="top"/>
                </w:tcPr>
                <w:p>
                  <w:pPr>
                    <w:pStyle w:val="69"/>
                    <w:rPr>
                      <w:rFonts w:hint="eastAsia"/>
                      <w:color w:val="auto"/>
                    </w:rPr>
                  </w:pPr>
                  <w:r>
                    <w:rPr>
                      <w:rFonts w:hint="eastAsia"/>
                      <w:color w:val="auto"/>
                    </w:rPr>
                    <w:t>Ⅱ</w:t>
                  </w:r>
                </w:p>
              </w:tc>
              <w:tc>
                <w:tcPr>
                  <w:tcW w:w="706" w:type="pct"/>
                  <w:noWrap w:val="0"/>
                  <w:vAlign w:val="top"/>
                </w:tcPr>
                <w:p>
                  <w:pPr>
                    <w:pStyle w:val="69"/>
                    <w:rPr>
                      <w:rFonts w:hint="eastAsia"/>
                      <w:color w:val="auto"/>
                    </w:rPr>
                  </w:pPr>
                  <w:r>
                    <w:rPr>
                      <w:rFonts w:hint="eastAsia"/>
                      <w:color w:val="auto"/>
                    </w:rPr>
                    <w:t>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90" w:hRule="atLeast"/>
              </w:trPr>
              <w:tc>
                <w:tcPr>
                  <w:tcW w:w="892" w:type="pct"/>
                  <w:noWrap w:val="0"/>
                  <w:vAlign w:val="top"/>
                </w:tcPr>
                <w:p>
                  <w:pPr>
                    <w:pStyle w:val="69"/>
                    <w:rPr>
                      <w:color w:val="auto"/>
                    </w:rPr>
                  </w:pPr>
                  <w:r>
                    <w:rPr>
                      <w:rFonts w:hint="eastAsia"/>
                      <w:color w:val="auto"/>
                    </w:rPr>
                    <w:t>7</w:t>
                  </w:r>
                </w:p>
              </w:tc>
              <w:tc>
                <w:tcPr>
                  <w:tcW w:w="726" w:type="pct"/>
                  <w:noWrap w:val="0"/>
                  <w:vAlign w:val="top"/>
                </w:tcPr>
                <w:p>
                  <w:pPr>
                    <w:pStyle w:val="69"/>
                    <w:rPr>
                      <w:rFonts w:hint="eastAsia"/>
                      <w:color w:val="auto"/>
                    </w:rPr>
                  </w:pPr>
                  <w:r>
                    <w:rPr>
                      <w:rFonts w:hint="eastAsia"/>
                      <w:color w:val="auto"/>
                    </w:rPr>
                    <w:t>青衣坝断面</w:t>
                  </w:r>
                </w:p>
              </w:tc>
              <w:tc>
                <w:tcPr>
                  <w:tcW w:w="1260" w:type="pct"/>
                  <w:noWrap w:val="0"/>
                  <w:vAlign w:val="top"/>
                </w:tcPr>
                <w:p>
                  <w:pPr>
                    <w:pStyle w:val="69"/>
                    <w:rPr>
                      <w:rFonts w:hint="eastAsia"/>
                      <w:color w:val="auto"/>
                    </w:rPr>
                  </w:pPr>
                  <w:r>
                    <w:rPr>
                      <w:rFonts w:hint="eastAsia"/>
                      <w:color w:val="auto"/>
                    </w:rPr>
                    <w:t>岷江</w:t>
                  </w:r>
                </w:p>
              </w:tc>
              <w:tc>
                <w:tcPr>
                  <w:tcW w:w="702" w:type="pct"/>
                  <w:noWrap w:val="0"/>
                  <w:vAlign w:val="top"/>
                </w:tcPr>
                <w:p>
                  <w:pPr>
                    <w:pStyle w:val="69"/>
                    <w:rPr>
                      <w:rFonts w:hint="eastAsia"/>
                      <w:color w:val="auto"/>
                    </w:rPr>
                  </w:pPr>
                  <w:r>
                    <w:rPr>
                      <w:rFonts w:hint="eastAsia"/>
                      <w:color w:val="auto"/>
                    </w:rPr>
                    <w:t>Ⅲ</w:t>
                  </w:r>
                </w:p>
              </w:tc>
              <w:tc>
                <w:tcPr>
                  <w:tcW w:w="712" w:type="pct"/>
                  <w:noWrap w:val="0"/>
                  <w:vAlign w:val="top"/>
                </w:tcPr>
                <w:p>
                  <w:pPr>
                    <w:pStyle w:val="69"/>
                    <w:rPr>
                      <w:rFonts w:hint="eastAsia"/>
                      <w:color w:val="auto"/>
                    </w:rPr>
                  </w:pPr>
                  <w:r>
                    <w:rPr>
                      <w:rFonts w:hint="eastAsia"/>
                      <w:color w:val="auto"/>
                    </w:rPr>
                    <w:t>Ⅱ</w:t>
                  </w:r>
                </w:p>
              </w:tc>
              <w:tc>
                <w:tcPr>
                  <w:tcW w:w="706" w:type="pct"/>
                  <w:noWrap w:val="0"/>
                  <w:vAlign w:val="top"/>
                </w:tcPr>
                <w:p>
                  <w:pPr>
                    <w:pStyle w:val="69"/>
                    <w:rPr>
                      <w:rFonts w:hint="eastAsia"/>
                      <w:color w:val="auto"/>
                    </w:rPr>
                  </w:pPr>
                  <w:r>
                    <w:rPr>
                      <w:rFonts w:hint="eastAsia"/>
                      <w:color w:val="auto"/>
                    </w:rPr>
                    <w:t>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892" w:type="pct"/>
                  <w:noWrap w:val="0"/>
                  <w:vAlign w:val="top"/>
                </w:tcPr>
                <w:p>
                  <w:pPr>
                    <w:pStyle w:val="69"/>
                    <w:rPr>
                      <w:color w:val="auto"/>
                    </w:rPr>
                  </w:pPr>
                  <w:r>
                    <w:rPr>
                      <w:rFonts w:hint="eastAsia"/>
                      <w:color w:val="auto"/>
                    </w:rPr>
                    <w:t>8</w:t>
                  </w:r>
                </w:p>
              </w:tc>
              <w:tc>
                <w:tcPr>
                  <w:tcW w:w="726" w:type="pct"/>
                  <w:noWrap w:val="0"/>
                  <w:vAlign w:val="top"/>
                </w:tcPr>
                <w:p>
                  <w:pPr>
                    <w:pStyle w:val="69"/>
                    <w:rPr>
                      <w:rFonts w:hint="eastAsia"/>
                      <w:color w:val="auto"/>
                    </w:rPr>
                  </w:pPr>
                  <w:r>
                    <w:rPr>
                      <w:rFonts w:hint="eastAsia"/>
                      <w:color w:val="auto"/>
                    </w:rPr>
                    <w:t>青衣坝断面</w:t>
                  </w:r>
                </w:p>
              </w:tc>
              <w:tc>
                <w:tcPr>
                  <w:tcW w:w="1260" w:type="pct"/>
                  <w:noWrap w:val="0"/>
                  <w:vAlign w:val="top"/>
                </w:tcPr>
                <w:p>
                  <w:pPr>
                    <w:pStyle w:val="69"/>
                    <w:rPr>
                      <w:rFonts w:hint="eastAsia"/>
                      <w:color w:val="auto"/>
                    </w:rPr>
                  </w:pPr>
                  <w:r>
                    <w:rPr>
                      <w:rFonts w:hint="eastAsia"/>
                      <w:color w:val="auto"/>
                    </w:rPr>
                    <w:t>岷江</w:t>
                  </w:r>
                </w:p>
              </w:tc>
              <w:tc>
                <w:tcPr>
                  <w:tcW w:w="702" w:type="pct"/>
                  <w:noWrap w:val="0"/>
                  <w:vAlign w:val="top"/>
                </w:tcPr>
                <w:p>
                  <w:pPr>
                    <w:pStyle w:val="69"/>
                    <w:rPr>
                      <w:rFonts w:hint="eastAsia"/>
                      <w:color w:val="auto"/>
                    </w:rPr>
                  </w:pPr>
                  <w:r>
                    <w:rPr>
                      <w:rFonts w:hint="eastAsia"/>
                      <w:color w:val="auto"/>
                    </w:rPr>
                    <w:t>Ⅲ</w:t>
                  </w:r>
                </w:p>
              </w:tc>
              <w:tc>
                <w:tcPr>
                  <w:tcW w:w="712" w:type="pct"/>
                  <w:noWrap w:val="0"/>
                  <w:vAlign w:val="top"/>
                </w:tcPr>
                <w:p>
                  <w:pPr>
                    <w:pStyle w:val="69"/>
                    <w:rPr>
                      <w:rFonts w:hint="eastAsia"/>
                      <w:color w:val="auto"/>
                    </w:rPr>
                  </w:pPr>
                  <w:r>
                    <w:rPr>
                      <w:rFonts w:hint="eastAsia"/>
                      <w:color w:val="auto"/>
                    </w:rPr>
                    <w:t>Ⅲ</w:t>
                  </w:r>
                </w:p>
              </w:tc>
              <w:tc>
                <w:tcPr>
                  <w:tcW w:w="706" w:type="pct"/>
                  <w:noWrap w:val="0"/>
                  <w:vAlign w:val="top"/>
                </w:tcPr>
                <w:p>
                  <w:pPr>
                    <w:pStyle w:val="69"/>
                    <w:rPr>
                      <w:rFonts w:hint="eastAsia"/>
                      <w:color w:val="auto"/>
                    </w:rPr>
                  </w:pPr>
                  <w:r>
                    <w:rPr>
                      <w:rFonts w:hint="eastAsia"/>
                      <w:color w:val="auto"/>
                    </w:rPr>
                    <w:t>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892" w:type="pct"/>
                  <w:noWrap w:val="0"/>
                  <w:vAlign w:val="top"/>
                </w:tcPr>
                <w:p>
                  <w:pPr>
                    <w:pStyle w:val="69"/>
                    <w:rPr>
                      <w:color w:val="auto"/>
                    </w:rPr>
                  </w:pPr>
                  <w:r>
                    <w:rPr>
                      <w:rFonts w:hint="eastAsia"/>
                      <w:color w:val="auto"/>
                    </w:rPr>
                    <w:t>9</w:t>
                  </w:r>
                </w:p>
              </w:tc>
              <w:tc>
                <w:tcPr>
                  <w:tcW w:w="726" w:type="pct"/>
                  <w:noWrap w:val="0"/>
                  <w:vAlign w:val="top"/>
                </w:tcPr>
                <w:p>
                  <w:pPr>
                    <w:pStyle w:val="69"/>
                    <w:rPr>
                      <w:rFonts w:hint="eastAsia"/>
                      <w:color w:val="auto"/>
                    </w:rPr>
                  </w:pPr>
                  <w:r>
                    <w:rPr>
                      <w:rFonts w:hint="eastAsia"/>
                      <w:color w:val="auto"/>
                    </w:rPr>
                    <w:t>青衣坝断面</w:t>
                  </w:r>
                </w:p>
              </w:tc>
              <w:tc>
                <w:tcPr>
                  <w:tcW w:w="1260" w:type="pct"/>
                  <w:noWrap w:val="0"/>
                  <w:vAlign w:val="top"/>
                </w:tcPr>
                <w:p>
                  <w:pPr>
                    <w:pStyle w:val="69"/>
                    <w:rPr>
                      <w:rFonts w:hint="eastAsia"/>
                      <w:color w:val="auto"/>
                    </w:rPr>
                  </w:pPr>
                  <w:r>
                    <w:rPr>
                      <w:rFonts w:hint="eastAsia"/>
                      <w:color w:val="auto"/>
                    </w:rPr>
                    <w:t>岷江</w:t>
                  </w:r>
                </w:p>
              </w:tc>
              <w:tc>
                <w:tcPr>
                  <w:tcW w:w="702" w:type="pct"/>
                  <w:noWrap w:val="0"/>
                  <w:vAlign w:val="top"/>
                </w:tcPr>
                <w:p>
                  <w:pPr>
                    <w:pStyle w:val="69"/>
                    <w:rPr>
                      <w:rFonts w:hint="eastAsia"/>
                      <w:color w:val="auto"/>
                    </w:rPr>
                  </w:pPr>
                  <w:r>
                    <w:rPr>
                      <w:rFonts w:hint="eastAsia"/>
                      <w:color w:val="auto"/>
                    </w:rPr>
                    <w:t>Ⅲ</w:t>
                  </w:r>
                </w:p>
              </w:tc>
              <w:tc>
                <w:tcPr>
                  <w:tcW w:w="712" w:type="pct"/>
                  <w:noWrap w:val="0"/>
                  <w:vAlign w:val="top"/>
                </w:tcPr>
                <w:p>
                  <w:pPr>
                    <w:pStyle w:val="69"/>
                    <w:rPr>
                      <w:rFonts w:hint="eastAsia"/>
                      <w:color w:val="auto"/>
                    </w:rPr>
                  </w:pPr>
                  <w:r>
                    <w:rPr>
                      <w:rFonts w:hint="eastAsia"/>
                      <w:color w:val="auto"/>
                    </w:rPr>
                    <w:t>Ⅱ</w:t>
                  </w:r>
                </w:p>
              </w:tc>
              <w:tc>
                <w:tcPr>
                  <w:tcW w:w="706" w:type="pct"/>
                  <w:noWrap w:val="0"/>
                  <w:vAlign w:val="top"/>
                </w:tcPr>
                <w:p>
                  <w:pPr>
                    <w:pStyle w:val="69"/>
                    <w:rPr>
                      <w:rFonts w:hint="eastAsia"/>
                      <w:color w:val="auto"/>
                    </w:rPr>
                  </w:pPr>
                  <w:r>
                    <w:rPr>
                      <w:rFonts w:hint="eastAsia"/>
                      <w:color w:val="auto"/>
                    </w:rPr>
                    <w:t>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286" w:hRule="atLeast"/>
              </w:trPr>
              <w:tc>
                <w:tcPr>
                  <w:tcW w:w="892" w:type="pct"/>
                  <w:noWrap w:val="0"/>
                  <w:vAlign w:val="top"/>
                </w:tcPr>
                <w:p>
                  <w:pPr>
                    <w:pStyle w:val="69"/>
                    <w:rPr>
                      <w:color w:val="auto"/>
                    </w:rPr>
                  </w:pPr>
                  <w:r>
                    <w:rPr>
                      <w:rFonts w:hint="eastAsia"/>
                      <w:color w:val="auto"/>
                    </w:rPr>
                    <w:t>10</w:t>
                  </w:r>
                </w:p>
              </w:tc>
              <w:tc>
                <w:tcPr>
                  <w:tcW w:w="726" w:type="pct"/>
                  <w:noWrap w:val="0"/>
                  <w:vAlign w:val="top"/>
                </w:tcPr>
                <w:p>
                  <w:pPr>
                    <w:pStyle w:val="69"/>
                    <w:rPr>
                      <w:rFonts w:hint="eastAsia"/>
                      <w:color w:val="auto"/>
                    </w:rPr>
                  </w:pPr>
                  <w:r>
                    <w:rPr>
                      <w:rFonts w:hint="eastAsia"/>
                      <w:color w:val="auto"/>
                    </w:rPr>
                    <w:t>青衣坝断面</w:t>
                  </w:r>
                </w:p>
              </w:tc>
              <w:tc>
                <w:tcPr>
                  <w:tcW w:w="1260" w:type="pct"/>
                  <w:noWrap w:val="0"/>
                  <w:vAlign w:val="top"/>
                </w:tcPr>
                <w:p>
                  <w:pPr>
                    <w:pStyle w:val="69"/>
                    <w:rPr>
                      <w:rFonts w:hint="eastAsia"/>
                      <w:color w:val="auto"/>
                    </w:rPr>
                  </w:pPr>
                  <w:r>
                    <w:rPr>
                      <w:rFonts w:hint="eastAsia"/>
                      <w:color w:val="auto"/>
                    </w:rPr>
                    <w:t>岷江</w:t>
                  </w:r>
                </w:p>
              </w:tc>
              <w:tc>
                <w:tcPr>
                  <w:tcW w:w="702" w:type="pct"/>
                  <w:noWrap w:val="0"/>
                  <w:vAlign w:val="top"/>
                </w:tcPr>
                <w:p>
                  <w:pPr>
                    <w:pStyle w:val="69"/>
                    <w:rPr>
                      <w:rFonts w:hint="eastAsia"/>
                      <w:color w:val="auto"/>
                    </w:rPr>
                  </w:pPr>
                  <w:r>
                    <w:rPr>
                      <w:rFonts w:hint="eastAsia"/>
                      <w:color w:val="auto"/>
                    </w:rPr>
                    <w:t>Ⅲ</w:t>
                  </w:r>
                </w:p>
              </w:tc>
              <w:tc>
                <w:tcPr>
                  <w:tcW w:w="712" w:type="pct"/>
                  <w:noWrap w:val="0"/>
                  <w:vAlign w:val="top"/>
                </w:tcPr>
                <w:p>
                  <w:pPr>
                    <w:pStyle w:val="69"/>
                    <w:rPr>
                      <w:rFonts w:hint="eastAsia"/>
                      <w:color w:val="auto"/>
                    </w:rPr>
                  </w:pPr>
                  <w:r>
                    <w:rPr>
                      <w:rFonts w:hint="eastAsia"/>
                      <w:color w:val="auto"/>
                    </w:rPr>
                    <w:t>Ⅲ</w:t>
                  </w:r>
                </w:p>
              </w:tc>
              <w:tc>
                <w:tcPr>
                  <w:tcW w:w="706" w:type="pct"/>
                  <w:noWrap w:val="0"/>
                  <w:vAlign w:val="top"/>
                </w:tcPr>
                <w:p>
                  <w:pPr>
                    <w:pStyle w:val="69"/>
                    <w:rPr>
                      <w:rFonts w:hint="eastAsia"/>
                      <w:color w:val="auto"/>
                    </w:rPr>
                  </w:pPr>
                  <w:r>
                    <w:rPr>
                      <w:rFonts w:hint="eastAsia"/>
                      <w:color w:val="auto"/>
                    </w:rPr>
                    <w:t>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892" w:type="pct"/>
                  <w:noWrap w:val="0"/>
                  <w:vAlign w:val="top"/>
                </w:tcPr>
                <w:p>
                  <w:pPr>
                    <w:pStyle w:val="69"/>
                    <w:rPr>
                      <w:color w:val="auto"/>
                    </w:rPr>
                  </w:pPr>
                  <w:r>
                    <w:rPr>
                      <w:rFonts w:hint="eastAsia"/>
                      <w:color w:val="auto"/>
                    </w:rPr>
                    <w:t>11</w:t>
                  </w:r>
                </w:p>
              </w:tc>
              <w:tc>
                <w:tcPr>
                  <w:tcW w:w="726" w:type="pct"/>
                  <w:noWrap w:val="0"/>
                  <w:vAlign w:val="top"/>
                </w:tcPr>
                <w:p>
                  <w:pPr>
                    <w:pStyle w:val="69"/>
                    <w:rPr>
                      <w:rFonts w:hint="eastAsia"/>
                      <w:color w:val="auto"/>
                    </w:rPr>
                  </w:pPr>
                  <w:r>
                    <w:rPr>
                      <w:rFonts w:hint="eastAsia"/>
                      <w:color w:val="auto"/>
                    </w:rPr>
                    <w:t>青衣坝断面</w:t>
                  </w:r>
                </w:p>
              </w:tc>
              <w:tc>
                <w:tcPr>
                  <w:tcW w:w="1260" w:type="pct"/>
                  <w:noWrap w:val="0"/>
                  <w:vAlign w:val="top"/>
                </w:tcPr>
                <w:p>
                  <w:pPr>
                    <w:pStyle w:val="69"/>
                    <w:rPr>
                      <w:rFonts w:hint="eastAsia"/>
                      <w:color w:val="auto"/>
                    </w:rPr>
                  </w:pPr>
                  <w:r>
                    <w:rPr>
                      <w:rFonts w:hint="eastAsia"/>
                      <w:color w:val="auto"/>
                    </w:rPr>
                    <w:t>岷江</w:t>
                  </w:r>
                </w:p>
              </w:tc>
              <w:tc>
                <w:tcPr>
                  <w:tcW w:w="702" w:type="pct"/>
                  <w:noWrap w:val="0"/>
                  <w:vAlign w:val="top"/>
                </w:tcPr>
                <w:p>
                  <w:pPr>
                    <w:pStyle w:val="69"/>
                    <w:rPr>
                      <w:rFonts w:hint="eastAsia"/>
                      <w:color w:val="auto"/>
                    </w:rPr>
                  </w:pPr>
                  <w:r>
                    <w:rPr>
                      <w:rFonts w:hint="eastAsia"/>
                      <w:color w:val="auto"/>
                    </w:rPr>
                    <w:t>Ⅲ</w:t>
                  </w:r>
                </w:p>
              </w:tc>
              <w:tc>
                <w:tcPr>
                  <w:tcW w:w="712" w:type="pct"/>
                  <w:noWrap w:val="0"/>
                  <w:vAlign w:val="top"/>
                </w:tcPr>
                <w:p>
                  <w:pPr>
                    <w:pStyle w:val="69"/>
                    <w:rPr>
                      <w:rFonts w:hint="eastAsia"/>
                      <w:color w:val="auto"/>
                    </w:rPr>
                  </w:pPr>
                  <w:r>
                    <w:rPr>
                      <w:rFonts w:hint="eastAsia"/>
                      <w:color w:val="auto"/>
                    </w:rPr>
                    <w:t>Ⅱ</w:t>
                  </w:r>
                </w:p>
              </w:tc>
              <w:tc>
                <w:tcPr>
                  <w:tcW w:w="706" w:type="pct"/>
                  <w:noWrap w:val="0"/>
                  <w:vAlign w:val="top"/>
                </w:tcPr>
                <w:p>
                  <w:pPr>
                    <w:pStyle w:val="69"/>
                    <w:rPr>
                      <w:rFonts w:hint="eastAsia"/>
                      <w:color w:val="auto"/>
                    </w:rPr>
                  </w:pPr>
                  <w:r>
                    <w:rPr>
                      <w:rFonts w:hint="eastAsia"/>
                      <w:color w:val="auto"/>
                    </w:rPr>
                    <w:t>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892" w:type="pct"/>
                  <w:noWrap w:val="0"/>
                  <w:vAlign w:val="top"/>
                </w:tcPr>
                <w:p>
                  <w:pPr>
                    <w:pStyle w:val="69"/>
                    <w:rPr>
                      <w:color w:val="auto"/>
                    </w:rPr>
                  </w:pPr>
                  <w:r>
                    <w:rPr>
                      <w:rFonts w:hint="eastAsia"/>
                      <w:color w:val="auto"/>
                    </w:rPr>
                    <w:t>12</w:t>
                  </w:r>
                </w:p>
              </w:tc>
              <w:tc>
                <w:tcPr>
                  <w:tcW w:w="726" w:type="pct"/>
                  <w:noWrap w:val="0"/>
                  <w:vAlign w:val="top"/>
                </w:tcPr>
                <w:p>
                  <w:pPr>
                    <w:pStyle w:val="69"/>
                    <w:rPr>
                      <w:rFonts w:hint="eastAsia"/>
                      <w:color w:val="auto"/>
                    </w:rPr>
                  </w:pPr>
                  <w:r>
                    <w:rPr>
                      <w:rFonts w:hint="eastAsia"/>
                      <w:color w:val="auto"/>
                    </w:rPr>
                    <w:t>青衣坝断面</w:t>
                  </w:r>
                </w:p>
              </w:tc>
              <w:tc>
                <w:tcPr>
                  <w:tcW w:w="1260" w:type="pct"/>
                  <w:noWrap w:val="0"/>
                  <w:vAlign w:val="top"/>
                </w:tcPr>
                <w:p>
                  <w:pPr>
                    <w:pStyle w:val="69"/>
                    <w:rPr>
                      <w:rFonts w:hint="eastAsia"/>
                      <w:color w:val="auto"/>
                    </w:rPr>
                  </w:pPr>
                  <w:r>
                    <w:rPr>
                      <w:rFonts w:hint="eastAsia"/>
                      <w:color w:val="auto"/>
                    </w:rPr>
                    <w:t>岷江</w:t>
                  </w:r>
                </w:p>
              </w:tc>
              <w:tc>
                <w:tcPr>
                  <w:tcW w:w="702" w:type="pct"/>
                  <w:noWrap w:val="0"/>
                  <w:vAlign w:val="top"/>
                </w:tcPr>
                <w:p>
                  <w:pPr>
                    <w:pStyle w:val="69"/>
                    <w:rPr>
                      <w:rFonts w:hint="eastAsia"/>
                      <w:color w:val="auto"/>
                    </w:rPr>
                  </w:pPr>
                  <w:r>
                    <w:rPr>
                      <w:rFonts w:hint="eastAsia"/>
                      <w:color w:val="auto"/>
                    </w:rPr>
                    <w:t>Ⅲ</w:t>
                  </w:r>
                </w:p>
              </w:tc>
              <w:tc>
                <w:tcPr>
                  <w:tcW w:w="712" w:type="pct"/>
                  <w:noWrap w:val="0"/>
                  <w:vAlign w:val="top"/>
                </w:tcPr>
                <w:p>
                  <w:pPr>
                    <w:pStyle w:val="69"/>
                    <w:rPr>
                      <w:rFonts w:hint="eastAsia"/>
                      <w:color w:val="auto"/>
                    </w:rPr>
                  </w:pPr>
                  <w:r>
                    <w:rPr>
                      <w:rFonts w:hint="eastAsia"/>
                      <w:color w:val="auto"/>
                    </w:rPr>
                    <w:t>Ⅱ</w:t>
                  </w:r>
                </w:p>
              </w:tc>
              <w:tc>
                <w:tcPr>
                  <w:tcW w:w="706" w:type="pct"/>
                  <w:noWrap w:val="0"/>
                  <w:vAlign w:val="top"/>
                </w:tcPr>
                <w:p>
                  <w:pPr>
                    <w:pStyle w:val="69"/>
                    <w:rPr>
                      <w:rFonts w:hint="eastAsia"/>
                      <w:color w:val="auto"/>
                    </w:rPr>
                  </w:pPr>
                  <w:r>
                    <w:rPr>
                      <w:rFonts w:hint="eastAsia"/>
                      <w:color w:val="auto"/>
                    </w:rPr>
                    <w:t>是</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5000" w:type="pct"/>
                  <w:gridSpan w:val="6"/>
                  <w:noWrap w:val="0"/>
                  <w:vAlign w:val="top"/>
                </w:tcPr>
                <w:p>
                  <w:pPr>
                    <w:pStyle w:val="69"/>
                    <w:jc w:val="left"/>
                    <w:rPr>
                      <w:rFonts w:hint="eastAsia"/>
                      <w:color w:val="auto"/>
                    </w:rPr>
                  </w:pPr>
                  <w:r>
                    <w:rPr>
                      <w:rFonts w:hint="eastAsia"/>
                      <w:color w:val="auto"/>
                    </w:rPr>
                    <w:t>注：1.地表水执行《地表水环境质量标准》（GB3838-2002）和《地表水环境质量评价办法（试行）》。</w:t>
                  </w:r>
                </w:p>
                <w:p>
                  <w:pPr>
                    <w:pStyle w:val="69"/>
                    <w:numPr>
                      <w:ilvl w:val="0"/>
                      <w:numId w:val="27"/>
                    </w:numPr>
                    <w:tabs>
                      <w:tab w:val="clear" w:pos="7590"/>
                    </w:tabs>
                    <w:jc w:val="left"/>
                    <w:rPr>
                      <w:rFonts w:hint="eastAsia"/>
                      <w:color w:val="auto"/>
                    </w:rPr>
                  </w:pPr>
                  <w:r>
                    <w:rPr>
                      <w:rFonts w:hint="eastAsia"/>
                      <w:color w:val="auto"/>
                    </w:rPr>
                    <w:t>评价指标为：PH、溶解氧、高锰酸盐指数、五日生化需氧量、氨氮、石油类、酚、汞、铅、镉、阴离子表面活性剂、铬（六价）、氟化物、总磷、氰化物、硫化物、砷、花絮需氧量、铜、锌、硒。</w:t>
                  </w:r>
                </w:p>
                <w:p>
                  <w:pPr>
                    <w:pStyle w:val="69"/>
                    <w:numPr>
                      <w:ilvl w:val="0"/>
                      <w:numId w:val="27"/>
                    </w:numPr>
                    <w:tabs>
                      <w:tab w:val="clear" w:pos="7590"/>
                    </w:tabs>
                    <w:jc w:val="left"/>
                    <w:rPr>
                      <w:color w:val="auto"/>
                    </w:rPr>
                  </w:pPr>
                  <w:r>
                    <w:rPr>
                      <w:rFonts w:hint="eastAsia"/>
                      <w:color w:val="auto"/>
                    </w:rPr>
                    <w:t>规定类别按《四川省生态环境厅关于征求“十四五”国考断面和省考断面目标意见的函》执行</w:t>
                  </w:r>
                </w:p>
              </w:tc>
            </w:tr>
          </w:tbl>
          <w:p>
            <w:pPr>
              <w:pStyle w:val="104"/>
              <w:ind w:firstLine="480"/>
              <w:rPr>
                <w:rFonts w:hint="eastAsia"/>
                <w:color w:val="auto"/>
              </w:rPr>
            </w:pPr>
            <w:r>
              <w:rPr>
                <w:rFonts w:hint="eastAsia"/>
                <w:color w:val="auto"/>
              </w:rPr>
              <w:t>本项目生活污水经满芳庭锦邻小区预处理池收集预处理后直接进入市政污水管网；动物诊疗过程中产生的医疗废水（包含院内地面清洁废水）收集后经一体化污水处理设备采用“过滤沉淀+消毒（二氧化氯泡腾片）”工艺处理，处理后的医疗废水进入满芳庭锦邻小区预处理池，再进入市政污水管网，最终排入乐山市第一污水处理厂。本项目最终的受纳水体为岷江。</w:t>
            </w:r>
          </w:p>
          <w:p>
            <w:pPr>
              <w:ind w:firstLine="480"/>
              <w:rPr>
                <w:color w:val="auto"/>
              </w:rPr>
            </w:pPr>
            <w:r>
              <w:rPr>
                <w:rFonts w:hint="eastAsia"/>
                <w:color w:val="auto"/>
              </w:rPr>
              <w:t>因此，由上表可知，根据岷江青衣坝断面水质监测结果显示，评价河段水质现状满足《地表水环境质量标准》（GB3838-2002）中Ⅲ类水域标准要求</w:t>
            </w:r>
            <w:r>
              <w:rPr>
                <w:color w:val="auto"/>
              </w:rPr>
              <w:t>，区域地表水水质状况良好。</w:t>
            </w:r>
          </w:p>
          <w:p>
            <w:pPr>
              <w:pStyle w:val="5"/>
              <w:rPr>
                <w:color w:val="auto"/>
              </w:rPr>
            </w:pPr>
            <w:r>
              <w:rPr>
                <w:color w:val="auto"/>
              </w:rPr>
              <w:t>三、声环境质量现状</w:t>
            </w:r>
          </w:p>
          <w:p>
            <w:pPr>
              <w:pStyle w:val="101"/>
              <w:ind w:firstLine="480"/>
              <w:rPr>
                <w:color w:val="auto"/>
              </w:rPr>
            </w:pPr>
            <w:r>
              <w:rPr>
                <w:color w:val="auto"/>
              </w:rPr>
              <w:t>监测项目：各测声点昼间及夜间的等效连续A声级。</w:t>
            </w:r>
          </w:p>
          <w:p>
            <w:pPr>
              <w:pStyle w:val="101"/>
              <w:ind w:firstLine="480"/>
              <w:rPr>
                <w:color w:val="auto"/>
              </w:rPr>
            </w:pPr>
            <w:r>
              <w:rPr>
                <w:color w:val="auto"/>
              </w:rPr>
              <w:t>监测点位：1#项目</w:t>
            </w:r>
            <w:r>
              <w:rPr>
                <w:rFonts w:hint="eastAsia"/>
                <w:color w:val="auto"/>
              </w:rPr>
              <w:t>北</w:t>
            </w:r>
            <w:r>
              <w:rPr>
                <w:color w:val="auto"/>
              </w:rPr>
              <w:t>侧</w:t>
            </w:r>
            <w:r>
              <w:rPr>
                <w:rFonts w:hint="eastAsia"/>
                <w:color w:val="auto"/>
              </w:rPr>
              <w:t>平台高层3层处</w:t>
            </w:r>
            <w:r>
              <w:rPr>
                <w:color w:val="auto"/>
              </w:rPr>
              <w:t>，2#项目场界南侧</w:t>
            </w:r>
            <w:r>
              <w:rPr>
                <w:rFonts w:hint="eastAsia"/>
                <w:color w:val="auto"/>
              </w:rPr>
              <w:t>南门前</w:t>
            </w:r>
            <w:r>
              <w:rPr>
                <w:color w:val="auto"/>
              </w:rPr>
              <w:t>。</w:t>
            </w:r>
          </w:p>
          <w:p>
            <w:pPr>
              <w:pStyle w:val="101"/>
              <w:ind w:firstLine="480"/>
              <w:rPr>
                <w:color w:val="auto"/>
              </w:rPr>
            </w:pPr>
            <w:r>
              <w:rPr>
                <w:color w:val="auto"/>
              </w:rPr>
              <w:t>监测频次：监测</w:t>
            </w:r>
            <w:r>
              <w:rPr>
                <w:rFonts w:hint="eastAsia"/>
                <w:color w:val="auto"/>
              </w:rPr>
              <w:t>1</w:t>
            </w:r>
            <w:r>
              <w:rPr>
                <w:color w:val="auto"/>
              </w:rPr>
              <w:t>天，昼间、夜间各测一次，昼间：6：00~22：00，夜间：22:00~6:00。</w:t>
            </w:r>
          </w:p>
          <w:p>
            <w:pPr>
              <w:pStyle w:val="102"/>
              <w:rPr>
                <w:color w:val="auto"/>
              </w:rPr>
            </w:pPr>
            <w:r>
              <w:rPr>
                <w:color w:val="auto"/>
              </w:rPr>
              <w:t>表3-</w:t>
            </w:r>
            <w:r>
              <w:rPr>
                <w:rFonts w:hint="eastAsia"/>
                <w:color w:val="auto"/>
              </w:rPr>
              <w:t xml:space="preserve">3  </w:t>
            </w:r>
            <w:r>
              <w:rPr>
                <w:color w:val="auto"/>
              </w:rPr>
              <w:t>检测点位、项目及频次信息</w:t>
            </w:r>
          </w:p>
          <w:tbl>
            <w:tblPr>
              <w:tblStyle w:val="38"/>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34"/>
              <w:gridCol w:w="1218"/>
              <w:gridCol w:w="3532"/>
              <w:gridCol w:w="1304"/>
              <w:gridCol w:w="12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pct"/>
                  <w:noWrap w:val="0"/>
                  <w:vAlign w:val="center"/>
                </w:tcPr>
                <w:p>
                  <w:pPr>
                    <w:pStyle w:val="69"/>
                    <w:rPr>
                      <w:color w:val="auto"/>
                    </w:rPr>
                  </w:pPr>
                  <w:r>
                    <w:rPr>
                      <w:color w:val="auto"/>
                    </w:rPr>
                    <w:t>检测类别</w:t>
                  </w:r>
                </w:p>
              </w:tc>
              <w:tc>
                <w:tcPr>
                  <w:tcW w:w="720" w:type="pct"/>
                  <w:noWrap w:val="0"/>
                  <w:vAlign w:val="center"/>
                </w:tcPr>
                <w:p>
                  <w:pPr>
                    <w:pStyle w:val="69"/>
                    <w:rPr>
                      <w:color w:val="auto"/>
                    </w:rPr>
                  </w:pPr>
                  <w:r>
                    <w:rPr>
                      <w:color w:val="auto"/>
                    </w:rPr>
                    <w:t>点位编号</w:t>
                  </w:r>
                </w:p>
              </w:tc>
              <w:tc>
                <w:tcPr>
                  <w:tcW w:w="2088" w:type="pct"/>
                  <w:noWrap w:val="0"/>
                  <w:vAlign w:val="center"/>
                </w:tcPr>
                <w:p>
                  <w:pPr>
                    <w:pStyle w:val="69"/>
                    <w:rPr>
                      <w:color w:val="auto"/>
                    </w:rPr>
                  </w:pPr>
                  <w:r>
                    <w:rPr>
                      <w:color w:val="auto"/>
                    </w:rPr>
                    <w:t>点位名称</w:t>
                  </w:r>
                </w:p>
              </w:tc>
              <w:tc>
                <w:tcPr>
                  <w:tcW w:w="771" w:type="pct"/>
                  <w:noWrap w:val="0"/>
                  <w:vAlign w:val="center"/>
                </w:tcPr>
                <w:p>
                  <w:pPr>
                    <w:pStyle w:val="69"/>
                    <w:rPr>
                      <w:color w:val="auto"/>
                    </w:rPr>
                  </w:pPr>
                  <w:r>
                    <w:rPr>
                      <w:color w:val="auto"/>
                    </w:rPr>
                    <w:t>检测项目</w:t>
                  </w:r>
                </w:p>
              </w:tc>
              <w:tc>
                <w:tcPr>
                  <w:tcW w:w="748" w:type="pct"/>
                  <w:noWrap w:val="0"/>
                  <w:vAlign w:val="center"/>
                </w:tcPr>
                <w:p>
                  <w:pPr>
                    <w:pStyle w:val="69"/>
                    <w:rPr>
                      <w:color w:val="auto"/>
                    </w:rPr>
                  </w:pPr>
                  <w:r>
                    <w:rPr>
                      <w:color w:val="auto"/>
                    </w:rPr>
                    <w:t>检测频次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2" w:hRule="atLeast"/>
              </w:trPr>
              <w:tc>
                <w:tcPr>
                  <w:tcW w:w="670" w:type="pct"/>
                  <w:vMerge w:val="restart"/>
                  <w:noWrap w:val="0"/>
                  <w:vAlign w:val="center"/>
                </w:tcPr>
                <w:p>
                  <w:pPr>
                    <w:pStyle w:val="69"/>
                    <w:rPr>
                      <w:color w:val="auto"/>
                    </w:rPr>
                  </w:pPr>
                  <w:r>
                    <w:rPr>
                      <w:color w:val="auto"/>
                    </w:rPr>
                    <w:t>噪声</w:t>
                  </w:r>
                </w:p>
              </w:tc>
              <w:tc>
                <w:tcPr>
                  <w:tcW w:w="720" w:type="pct"/>
                  <w:noWrap w:val="0"/>
                  <w:vAlign w:val="center"/>
                </w:tcPr>
                <w:p>
                  <w:pPr>
                    <w:pStyle w:val="69"/>
                    <w:rPr>
                      <w:color w:val="auto"/>
                    </w:rPr>
                  </w:pPr>
                  <w:r>
                    <w:rPr>
                      <w:color w:val="auto"/>
                    </w:rPr>
                    <w:t>1#</w:t>
                  </w:r>
                </w:p>
              </w:tc>
              <w:tc>
                <w:tcPr>
                  <w:tcW w:w="2088" w:type="pct"/>
                  <w:noWrap w:val="0"/>
                  <w:vAlign w:val="center"/>
                </w:tcPr>
                <w:p>
                  <w:pPr>
                    <w:pStyle w:val="69"/>
                    <w:rPr>
                      <w:color w:val="auto"/>
                    </w:rPr>
                  </w:pPr>
                  <w:r>
                    <w:rPr>
                      <w:color w:val="auto"/>
                    </w:rPr>
                    <w:t>项目北侧平台高层3层处</w:t>
                  </w:r>
                </w:p>
              </w:tc>
              <w:tc>
                <w:tcPr>
                  <w:tcW w:w="771" w:type="pct"/>
                  <w:vMerge w:val="restart"/>
                  <w:noWrap w:val="0"/>
                  <w:vAlign w:val="center"/>
                </w:tcPr>
                <w:p>
                  <w:pPr>
                    <w:pStyle w:val="69"/>
                    <w:rPr>
                      <w:color w:val="auto"/>
                    </w:rPr>
                  </w:pPr>
                  <w:r>
                    <w:rPr>
                      <w:color w:val="auto"/>
                    </w:rPr>
                    <w:t>环境噪声（等效连续A声级</w:t>
                  </w:r>
                </w:p>
              </w:tc>
              <w:tc>
                <w:tcPr>
                  <w:tcW w:w="748" w:type="pct"/>
                  <w:vMerge w:val="restart"/>
                  <w:noWrap w:val="0"/>
                  <w:vAlign w:val="center"/>
                </w:tcPr>
                <w:p>
                  <w:pPr>
                    <w:pStyle w:val="69"/>
                    <w:rPr>
                      <w:color w:val="auto"/>
                    </w:rPr>
                  </w:pPr>
                  <w:r>
                    <w:rPr>
                      <w:color w:val="auto"/>
                    </w:rPr>
                    <w:t>昼间一次</w:t>
                  </w:r>
                  <w:r>
                    <w:rPr>
                      <w:rFonts w:hint="eastAsia"/>
                      <w:color w:val="auto"/>
                    </w:rPr>
                    <w:t>，夜间一次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0" w:type="pct"/>
                  <w:vMerge w:val="continue"/>
                  <w:noWrap w:val="0"/>
                  <w:vAlign w:val="center"/>
                </w:tcPr>
                <w:p>
                  <w:pPr>
                    <w:pStyle w:val="69"/>
                    <w:rPr>
                      <w:color w:val="auto"/>
                    </w:rPr>
                  </w:pPr>
                </w:p>
              </w:tc>
              <w:tc>
                <w:tcPr>
                  <w:tcW w:w="720" w:type="pct"/>
                  <w:noWrap w:val="0"/>
                  <w:vAlign w:val="center"/>
                </w:tcPr>
                <w:p>
                  <w:pPr>
                    <w:pStyle w:val="69"/>
                    <w:rPr>
                      <w:color w:val="auto"/>
                    </w:rPr>
                  </w:pPr>
                  <w:r>
                    <w:rPr>
                      <w:color w:val="auto"/>
                    </w:rPr>
                    <w:t>2#</w:t>
                  </w:r>
                </w:p>
              </w:tc>
              <w:tc>
                <w:tcPr>
                  <w:tcW w:w="2088" w:type="pct"/>
                  <w:noWrap w:val="0"/>
                  <w:vAlign w:val="center"/>
                </w:tcPr>
                <w:p>
                  <w:pPr>
                    <w:pStyle w:val="69"/>
                    <w:rPr>
                      <w:color w:val="auto"/>
                    </w:rPr>
                  </w:pPr>
                  <w:r>
                    <w:rPr>
                      <w:color w:val="auto"/>
                    </w:rPr>
                    <w:t>项目场界南侧南门前</w:t>
                  </w:r>
                </w:p>
              </w:tc>
              <w:tc>
                <w:tcPr>
                  <w:tcW w:w="771" w:type="pct"/>
                  <w:vMerge w:val="continue"/>
                  <w:noWrap w:val="0"/>
                  <w:vAlign w:val="center"/>
                </w:tcPr>
                <w:p>
                  <w:pPr>
                    <w:pStyle w:val="69"/>
                    <w:rPr>
                      <w:color w:val="auto"/>
                    </w:rPr>
                  </w:pPr>
                </w:p>
              </w:tc>
              <w:tc>
                <w:tcPr>
                  <w:tcW w:w="748" w:type="pct"/>
                  <w:vMerge w:val="continue"/>
                  <w:noWrap w:val="0"/>
                  <w:vAlign w:val="center"/>
                </w:tcPr>
                <w:p>
                  <w:pPr>
                    <w:pStyle w:val="69"/>
                    <w:rPr>
                      <w:color w:val="auto"/>
                    </w:rPr>
                  </w:pPr>
                </w:p>
              </w:tc>
            </w:tr>
          </w:tbl>
          <w:p>
            <w:pPr>
              <w:ind w:firstLine="480"/>
              <w:rPr>
                <w:color w:val="auto"/>
              </w:rPr>
            </w:pPr>
            <w:r>
              <w:rPr>
                <w:color w:val="auto"/>
              </w:rPr>
              <w:t>监测结果及评价结果</w:t>
            </w:r>
          </w:p>
          <w:p>
            <w:pPr>
              <w:pStyle w:val="102"/>
              <w:rPr>
                <w:color w:val="auto"/>
              </w:rPr>
            </w:pPr>
            <w:r>
              <w:rPr>
                <w:color w:val="auto"/>
              </w:rPr>
              <w:t>表3-</w:t>
            </w:r>
            <w:r>
              <w:rPr>
                <w:rFonts w:hint="eastAsia"/>
                <w:color w:val="auto"/>
              </w:rPr>
              <w:t xml:space="preserve">4  </w:t>
            </w:r>
            <w:r>
              <w:rPr>
                <w:color w:val="auto"/>
              </w:rPr>
              <w:t>噪声检测结果</w:t>
            </w:r>
            <w:r>
              <w:rPr>
                <w:rFonts w:hint="eastAsia"/>
                <w:color w:val="auto"/>
              </w:rPr>
              <w:t xml:space="preserve">    </w:t>
            </w:r>
            <w:r>
              <w:rPr>
                <w:color w:val="auto"/>
              </w:rPr>
              <w:t>单位dB（A）</w:t>
            </w:r>
          </w:p>
          <w:tbl>
            <w:tblPr>
              <w:tblStyle w:val="38"/>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58"/>
              <w:gridCol w:w="1575"/>
              <w:gridCol w:w="1614"/>
              <w:gridCol w:w="1274"/>
              <w:gridCol w:w="13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trPr>
              <w:tc>
                <w:tcPr>
                  <w:tcW w:w="1572" w:type="pct"/>
                  <w:vMerge w:val="restart"/>
                  <w:noWrap w:val="0"/>
                  <w:vAlign w:val="center"/>
                </w:tcPr>
                <w:p>
                  <w:pPr>
                    <w:pStyle w:val="69"/>
                    <w:rPr>
                      <w:rFonts w:hint="eastAsia"/>
                      <w:color w:val="auto"/>
                    </w:rPr>
                  </w:pPr>
                  <w:r>
                    <w:rPr>
                      <w:rFonts w:hint="eastAsia"/>
                      <w:color w:val="auto"/>
                    </w:rPr>
                    <w:t>测点编号</w:t>
                  </w:r>
                </w:p>
              </w:tc>
              <w:tc>
                <w:tcPr>
                  <w:tcW w:w="1885" w:type="pct"/>
                  <w:gridSpan w:val="2"/>
                  <w:noWrap w:val="0"/>
                  <w:vAlign w:val="center"/>
                </w:tcPr>
                <w:p>
                  <w:pPr>
                    <w:pStyle w:val="69"/>
                    <w:rPr>
                      <w:rFonts w:hint="eastAsia"/>
                      <w:color w:val="auto"/>
                    </w:rPr>
                  </w:pPr>
                  <w:r>
                    <w:rPr>
                      <w:color w:val="auto"/>
                    </w:rPr>
                    <w:t>20</w:t>
                  </w:r>
                  <w:r>
                    <w:rPr>
                      <w:rFonts w:hint="eastAsia"/>
                      <w:color w:val="auto"/>
                    </w:rPr>
                    <w:t>22</w:t>
                  </w:r>
                  <w:r>
                    <w:rPr>
                      <w:color w:val="auto"/>
                    </w:rPr>
                    <w:t>年</w:t>
                  </w:r>
                  <w:r>
                    <w:rPr>
                      <w:rFonts w:hint="eastAsia"/>
                      <w:color w:val="auto"/>
                    </w:rPr>
                    <w:t>1</w:t>
                  </w:r>
                  <w:r>
                    <w:rPr>
                      <w:color w:val="auto"/>
                    </w:rPr>
                    <w:t>月</w:t>
                  </w:r>
                  <w:r>
                    <w:rPr>
                      <w:rFonts w:hint="eastAsia"/>
                      <w:color w:val="auto"/>
                    </w:rPr>
                    <w:t>4</w:t>
                  </w:r>
                  <w:r>
                    <w:rPr>
                      <w:color w:val="auto"/>
                    </w:rPr>
                    <w:t>日</w:t>
                  </w:r>
                </w:p>
              </w:tc>
              <w:tc>
                <w:tcPr>
                  <w:tcW w:w="1541" w:type="pct"/>
                  <w:gridSpan w:val="2"/>
                  <w:noWrap w:val="0"/>
                  <w:vAlign w:val="center"/>
                </w:tcPr>
                <w:p>
                  <w:pPr>
                    <w:pStyle w:val="69"/>
                    <w:rPr>
                      <w:color w:val="auto"/>
                    </w:rPr>
                  </w:pPr>
                  <w:r>
                    <w:rPr>
                      <w:color w:val="auto"/>
                    </w:rPr>
                    <w:t>20</w:t>
                  </w:r>
                  <w:r>
                    <w:rPr>
                      <w:rFonts w:hint="eastAsia"/>
                      <w:color w:val="auto"/>
                    </w:rPr>
                    <w:t>22</w:t>
                  </w:r>
                  <w:r>
                    <w:rPr>
                      <w:color w:val="auto"/>
                    </w:rPr>
                    <w:t>年</w:t>
                  </w:r>
                  <w:r>
                    <w:rPr>
                      <w:rFonts w:hint="eastAsia"/>
                      <w:color w:val="auto"/>
                    </w:rPr>
                    <w:t>1月5</w:t>
                  </w:r>
                  <w:r>
                    <w:rPr>
                      <w:color w:val="auto"/>
                    </w:rPr>
                    <w:t>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0" w:hRule="atLeast"/>
              </w:trPr>
              <w:tc>
                <w:tcPr>
                  <w:tcW w:w="1572" w:type="pct"/>
                  <w:vMerge w:val="continue"/>
                  <w:noWrap w:val="0"/>
                  <w:vAlign w:val="center"/>
                </w:tcPr>
                <w:p>
                  <w:pPr>
                    <w:pStyle w:val="69"/>
                    <w:rPr>
                      <w:color w:val="auto"/>
                    </w:rPr>
                  </w:pPr>
                </w:p>
              </w:tc>
              <w:tc>
                <w:tcPr>
                  <w:tcW w:w="931" w:type="pct"/>
                  <w:noWrap w:val="0"/>
                  <w:vAlign w:val="center"/>
                </w:tcPr>
                <w:p>
                  <w:pPr>
                    <w:pStyle w:val="69"/>
                    <w:rPr>
                      <w:color w:val="auto"/>
                    </w:rPr>
                  </w:pPr>
                  <w:r>
                    <w:rPr>
                      <w:color w:val="auto"/>
                    </w:rPr>
                    <w:t>昼间</w:t>
                  </w:r>
                </w:p>
              </w:tc>
              <w:tc>
                <w:tcPr>
                  <w:tcW w:w="953" w:type="pct"/>
                  <w:noWrap w:val="0"/>
                  <w:vAlign w:val="center"/>
                </w:tcPr>
                <w:p>
                  <w:pPr>
                    <w:pStyle w:val="69"/>
                    <w:rPr>
                      <w:color w:val="auto"/>
                    </w:rPr>
                  </w:pPr>
                  <w:r>
                    <w:rPr>
                      <w:color w:val="auto"/>
                    </w:rPr>
                    <w:t>夜间</w:t>
                  </w:r>
                </w:p>
              </w:tc>
              <w:tc>
                <w:tcPr>
                  <w:tcW w:w="753" w:type="pct"/>
                  <w:noWrap w:val="0"/>
                  <w:vAlign w:val="center"/>
                </w:tcPr>
                <w:p>
                  <w:pPr>
                    <w:pStyle w:val="69"/>
                    <w:rPr>
                      <w:color w:val="auto"/>
                    </w:rPr>
                  </w:pPr>
                  <w:r>
                    <w:rPr>
                      <w:color w:val="auto"/>
                    </w:rPr>
                    <w:t>昼</w:t>
                  </w:r>
                  <w:r>
                    <w:rPr>
                      <w:rFonts w:hint="eastAsia"/>
                      <w:color w:val="auto"/>
                    </w:rPr>
                    <w:t>间</w:t>
                  </w:r>
                </w:p>
              </w:tc>
              <w:tc>
                <w:tcPr>
                  <w:tcW w:w="788" w:type="pct"/>
                  <w:noWrap w:val="0"/>
                  <w:vAlign w:val="center"/>
                </w:tcPr>
                <w:p>
                  <w:pPr>
                    <w:pStyle w:val="69"/>
                    <w:rPr>
                      <w:color w:val="auto"/>
                    </w:rPr>
                  </w:pPr>
                  <w:r>
                    <w:rPr>
                      <w:color w:val="auto"/>
                    </w:rPr>
                    <w:t>夜</w:t>
                  </w:r>
                  <w:r>
                    <w:rPr>
                      <w:rFonts w:hint="eastAsia"/>
                      <w:color w:val="auto"/>
                    </w:rPr>
                    <w:t>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1572" w:type="pct"/>
                  <w:tcBorders>
                    <w:top w:val="single" w:color="auto" w:sz="4" w:space="0"/>
                    <w:bottom w:val="single" w:color="auto" w:sz="4" w:space="0"/>
                  </w:tcBorders>
                  <w:noWrap w:val="0"/>
                  <w:vAlign w:val="center"/>
                </w:tcPr>
                <w:p>
                  <w:pPr>
                    <w:pStyle w:val="69"/>
                    <w:rPr>
                      <w:color w:val="auto"/>
                    </w:rPr>
                  </w:pPr>
                  <w:r>
                    <w:rPr>
                      <w:color w:val="auto"/>
                    </w:rPr>
                    <w:t>1#</w:t>
                  </w:r>
                </w:p>
              </w:tc>
              <w:tc>
                <w:tcPr>
                  <w:tcW w:w="931" w:type="pct"/>
                  <w:noWrap w:val="0"/>
                  <w:vAlign w:val="center"/>
                </w:tcPr>
                <w:p>
                  <w:pPr>
                    <w:pStyle w:val="69"/>
                    <w:rPr>
                      <w:color w:val="auto"/>
                    </w:rPr>
                  </w:pPr>
                  <w:r>
                    <w:rPr>
                      <w:rFonts w:hint="eastAsia"/>
                      <w:color w:val="auto"/>
                    </w:rPr>
                    <w:t>56</w:t>
                  </w:r>
                </w:p>
              </w:tc>
              <w:tc>
                <w:tcPr>
                  <w:tcW w:w="953" w:type="pct"/>
                  <w:noWrap w:val="0"/>
                  <w:vAlign w:val="center"/>
                </w:tcPr>
                <w:p>
                  <w:pPr>
                    <w:pStyle w:val="69"/>
                    <w:rPr>
                      <w:color w:val="auto"/>
                    </w:rPr>
                  </w:pPr>
                  <w:r>
                    <w:rPr>
                      <w:rFonts w:hint="eastAsia"/>
                      <w:color w:val="auto"/>
                    </w:rPr>
                    <w:t>47</w:t>
                  </w:r>
                </w:p>
              </w:tc>
              <w:tc>
                <w:tcPr>
                  <w:tcW w:w="753" w:type="pct"/>
                  <w:noWrap w:val="0"/>
                  <w:vAlign w:val="center"/>
                </w:tcPr>
                <w:p>
                  <w:pPr>
                    <w:pStyle w:val="69"/>
                    <w:rPr>
                      <w:color w:val="auto"/>
                    </w:rPr>
                  </w:pPr>
                  <w:r>
                    <w:rPr>
                      <w:rFonts w:hint="eastAsia"/>
                      <w:color w:val="auto"/>
                    </w:rPr>
                    <w:t>50</w:t>
                  </w:r>
                </w:p>
              </w:tc>
              <w:tc>
                <w:tcPr>
                  <w:tcW w:w="788" w:type="pct"/>
                  <w:noWrap w:val="0"/>
                  <w:vAlign w:val="center"/>
                </w:tcPr>
                <w:p>
                  <w:pPr>
                    <w:pStyle w:val="69"/>
                    <w:rPr>
                      <w:color w:val="auto"/>
                    </w:rPr>
                  </w:pPr>
                  <w:r>
                    <w:rPr>
                      <w:rFonts w:hint="eastAsia"/>
                      <w:color w:val="auto"/>
                    </w:rPr>
                    <w:t>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7" w:hRule="atLeast"/>
              </w:trPr>
              <w:tc>
                <w:tcPr>
                  <w:tcW w:w="1572" w:type="pct"/>
                  <w:tcBorders>
                    <w:top w:val="single" w:color="auto" w:sz="4" w:space="0"/>
                    <w:bottom w:val="single" w:color="auto" w:sz="4" w:space="0"/>
                  </w:tcBorders>
                  <w:noWrap w:val="0"/>
                  <w:vAlign w:val="center"/>
                </w:tcPr>
                <w:p>
                  <w:pPr>
                    <w:pStyle w:val="69"/>
                    <w:rPr>
                      <w:color w:val="auto"/>
                    </w:rPr>
                  </w:pPr>
                  <w:r>
                    <w:rPr>
                      <w:color w:val="auto"/>
                    </w:rPr>
                    <w:t>2#</w:t>
                  </w:r>
                </w:p>
              </w:tc>
              <w:tc>
                <w:tcPr>
                  <w:tcW w:w="931" w:type="pct"/>
                  <w:noWrap w:val="0"/>
                  <w:vAlign w:val="center"/>
                </w:tcPr>
                <w:p>
                  <w:pPr>
                    <w:pStyle w:val="69"/>
                    <w:rPr>
                      <w:color w:val="auto"/>
                    </w:rPr>
                  </w:pPr>
                  <w:r>
                    <w:rPr>
                      <w:rFonts w:hint="eastAsia"/>
                      <w:color w:val="auto"/>
                    </w:rPr>
                    <w:t>57</w:t>
                  </w:r>
                </w:p>
              </w:tc>
              <w:tc>
                <w:tcPr>
                  <w:tcW w:w="953" w:type="pct"/>
                  <w:noWrap w:val="0"/>
                  <w:vAlign w:val="center"/>
                </w:tcPr>
                <w:p>
                  <w:pPr>
                    <w:pStyle w:val="69"/>
                    <w:rPr>
                      <w:color w:val="auto"/>
                    </w:rPr>
                  </w:pPr>
                  <w:r>
                    <w:rPr>
                      <w:rFonts w:hint="eastAsia"/>
                      <w:color w:val="auto"/>
                    </w:rPr>
                    <w:t>48</w:t>
                  </w:r>
                </w:p>
              </w:tc>
              <w:tc>
                <w:tcPr>
                  <w:tcW w:w="753" w:type="pct"/>
                  <w:noWrap w:val="0"/>
                  <w:vAlign w:val="center"/>
                </w:tcPr>
                <w:p>
                  <w:pPr>
                    <w:pStyle w:val="69"/>
                    <w:rPr>
                      <w:color w:val="auto"/>
                    </w:rPr>
                  </w:pPr>
                  <w:r>
                    <w:rPr>
                      <w:rFonts w:hint="eastAsia"/>
                      <w:color w:val="auto"/>
                    </w:rPr>
                    <w:t>58</w:t>
                  </w:r>
                </w:p>
              </w:tc>
              <w:tc>
                <w:tcPr>
                  <w:tcW w:w="788" w:type="pct"/>
                  <w:noWrap w:val="0"/>
                  <w:vAlign w:val="center"/>
                </w:tcPr>
                <w:p>
                  <w:pPr>
                    <w:pStyle w:val="69"/>
                    <w:rPr>
                      <w:color w:val="auto"/>
                    </w:rPr>
                  </w:pPr>
                  <w:r>
                    <w:rPr>
                      <w:rFonts w:hint="eastAsia"/>
                      <w:color w:val="auto"/>
                    </w:rPr>
                    <w:t>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1" w:hRule="atLeast"/>
              </w:trPr>
              <w:tc>
                <w:tcPr>
                  <w:tcW w:w="1572" w:type="pct"/>
                  <w:tcBorders>
                    <w:top w:val="single" w:color="auto" w:sz="4" w:space="0"/>
                    <w:bottom w:val="single" w:color="auto" w:sz="4" w:space="0"/>
                  </w:tcBorders>
                  <w:noWrap w:val="0"/>
                  <w:vAlign w:val="center"/>
                </w:tcPr>
                <w:p>
                  <w:pPr>
                    <w:pStyle w:val="69"/>
                    <w:rPr>
                      <w:color w:val="auto"/>
                    </w:rPr>
                  </w:pPr>
                  <w:r>
                    <w:rPr>
                      <w:rFonts w:hint="eastAsia"/>
                      <w:color w:val="auto"/>
                    </w:rPr>
                    <w:t>《声环境质量标准》</w:t>
                  </w:r>
                  <w:r>
                    <w:rPr>
                      <w:color w:val="auto"/>
                    </w:rPr>
                    <w:t>（GB3096</w:t>
                  </w:r>
                  <w:r>
                    <w:rPr>
                      <w:rFonts w:hint="eastAsia"/>
                      <w:color w:val="auto"/>
                    </w:rPr>
                    <w:t>-</w:t>
                  </w:r>
                  <w:r>
                    <w:rPr>
                      <w:color w:val="auto"/>
                    </w:rPr>
                    <w:t>2008）</w:t>
                  </w:r>
                </w:p>
              </w:tc>
              <w:tc>
                <w:tcPr>
                  <w:tcW w:w="931" w:type="pct"/>
                  <w:tcBorders>
                    <w:top w:val="single" w:color="auto" w:sz="4" w:space="0"/>
                    <w:bottom w:val="single" w:color="auto" w:sz="4" w:space="0"/>
                  </w:tcBorders>
                  <w:noWrap w:val="0"/>
                  <w:vAlign w:val="center"/>
                </w:tcPr>
                <w:p>
                  <w:pPr>
                    <w:pStyle w:val="69"/>
                    <w:rPr>
                      <w:rFonts w:hint="eastAsia"/>
                      <w:color w:val="auto"/>
                    </w:rPr>
                  </w:pPr>
                  <w:r>
                    <w:rPr>
                      <w:rFonts w:hint="eastAsia"/>
                      <w:color w:val="auto"/>
                    </w:rPr>
                    <w:t>60</w:t>
                  </w:r>
                </w:p>
              </w:tc>
              <w:tc>
                <w:tcPr>
                  <w:tcW w:w="953" w:type="pct"/>
                  <w:tcBorders>
                    <w:top w:val="single" w:color="auto" w:sz="4" w:space="0"/>
                    <w:bottom w:val="single" w:color="auto" w:sz="4" w:space="0"/>
                  </w:tcBorders>
                  <w:noWrap w:val="0"/>
                  <w:vAlign w:val="center"/>
                </w:tcPr>
                <w:p>
                  <w:pPr>
                    <w:pStyle w:val="69"/>
                    <w:rPr>
                      <w:rFonts w:hint="eastAsia"/>
                      <w:color w:val="auto"/>
                    </w:rPr>
                  </w:pPr>
                  <w:r>
                    <w:rPr>
                      <w:rFonts w:hint="eastAsia"/>
                      <w:color w:val="auto"/>
                    </w:rPr>
                    <w:t>50</w:t>
                  </w:r>
                </w:p>
              </w:tc>
              <w:tc>
                <w:tcPr>
                  <w:tcW w:w="753" w:type="pct"/>
                  <w:tcBorders>
                    <w:top w:val="single" w:color="auto" w:sz="4" w:space="0"/>
                    <w:bottom w:val="single" w:color="auto" w:sz="4" w:space="0"/>
                  </w:tcBorders>
                  <w:noWrap w:val="0"/>
                  <w:vAlign w:val="center"/>
                </w:tcPr>
                <w:p>
                  <w:pPr>
                    <w:pStyle w:val="69"/>
                    <w:rPr>
                      <w:color w:val="auto"/>
                    </w:rPr>
                  </w:pPr>
                  <w:r>
                    <w:rPr>
                      <w:rFonts w:hint="eastAsia"/>
                      <w:color w:val="auto"/>
                    </w:rPr>
                    <w:t>60</w:t>
                  </w:r>
                </w:p>
              </w:tc>
              <w:tc>
                <w:tcPr>
                  <w:tcW w:w="788" w:type="pct"/>
                  <w:tcBorders>
                    <w:top w:val="single" w:color="auto" w:sz="4" w:space="0"/>
                    <w:bottom w:val="single" w:color="auto" w:sz="4" w:space="0"/>
                  </w:tcBorders>
                  <w:noWrap w:val="0"/>
                  <w:vAlign w:val="center"/>
                </w:tcPr>
                <w:p>
                  <w:pPr>
                    <w:pStyle w:val="69"/>
                    <w:rPr>
                      <w:color w:val="auto"/>
                    </w:rPr>
                  </w:pPr>
                  <w:r>
                    <w:rPr>
                      <w:rFonts w:hint="eastAsia"/>
                      <w:color w:val="auto"/>
                    </w:rPr>
                    <w:t>50</w:t>
                  </w:r>
                </w:p>
              </w:tc>
            </w:tr>
          </w:tbl>
          <w:p>
            <w:pPr>
              <w:pStyle w:val="101"/>
              <w:ind w:firstLine="480"/>
              <w:rPr>
                <w:color w:val="auto"/>
              </w:rPr>
            </w:pPr>
            <w:r>
              <w:rPr>
                <w:color w:val="auto"/>
              </w:rPr>
              <w:t>根据监测结果，本项目</w:t>
            </w:r>
            <w:r>
              <w:rPr>
                <w:rFonts w:hint="eastAsia"/>
                <w:color w:val="auto"/>
              </w:rPr>
              <w:t>厂界及周边敏感点处声环境质量满足《声环境质量标准》（GB3096-2008）中2类标准限值要求</w:t>
            </w:r>
            <w:r>
              <w:rPr>
                <w:color w:val="auto"/>
              </w:rPr>
              <w:t>，</w:t>
            </w:r>
            <w:r>
              <w:rPr>
                <w:rFonts w:hint="eastAsia"/>
                <w:color w:val="auto"/>
              </w:rPr>
              <w:t>昼间≤60dB（A），夜间≤50dB（A），</w:t>
            </w:r>
            <w:r>
              <w:rPr>
                <w:color w:val="auto"/>
              </w:rPr>
              <w:t>周边声环境质量现状较好。</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01" w:hRule="atLeast"/>
          <w:jc w:val="center"/>
        </w:trPr>
        <w:tc>
          <w:tcPr>
            <w:tcW w:w="456" w:type="dxa"/>
            <w:noWrap w:val="0"/>
            <w:vAlign w:val="center"/>
          </w:tcPr>
          <w:p>
            <w:pPr>
              <w:ind w:firstLine="0" w:firstLineChars="0"/>
              <w:jc w:val="center"/>
              <w:rPr>
                <w:rFonts w:hint="eastAsia" w:ascii="宋体" w:hAnsi="宋体" w:cs="宋体"/>
                <w:color w:val="auto"/>
                <w:kern w:val="0"/>
              </w:rPr>
            </w:pPr>
            <w:r>
              <w:rPr>
                <w:rFonts w:hint="eastAsia" w:ascii="宋体" w:hAnsi="宋体" w:cs="宋体"/>
                <w:color w:val="auto"/>
                <w:kern w:val="0"/>
              </w:rPr>
              <w:t>环境</w:t>
            </w:r>
          </w:p>
          <w:p>
            <w:pPr>
              <w:ind w:firstLine="0" w:firstLineChars="0"/>
              <w:jc w:val="center"/>
              <w:rPr>
                <w:rFonts w:hint="eastAsia" w:ascii="宋体" w:hAnsi="宋体" w:cs="宋体"/>
                <w:color w:val="auto"/>
                <w:kern w:val="0"/>
              </w:rPr>
            </w:pPr>
            <w:r>
              <w:rPr>
                <w:rFonts w:hint="eastAsia" w:ascii="宋体" w:hAnsi="宋体" w:cs="宋体"/>
                <w:color w:val="auto"/>
                <w:kern w:val="0"/>
              </w:rPr>
              <w:t>保护</w:t>
            </w:r>
          </w:p>
          <w:p>
            <w:pPr>
              <w:ind w:firstLine="0" w:firstLineChars="0"/>
              <w:jc w:val="center"/>
              <w:rPr>
                <w:rFonts w:hint="eastAsia" w:ascii="宋体" w:hAnsi="宋体" w:cs="宋体"/>
                <w:color w:val="auto"/>
                <w:kern w:val="0"/>
              </w:rPr>
            </w:pPr>
            <w:r>
              <w:rPr>
                <w:rFonts w:hint="eastAsia" w:ascii="宋体" w:hAnsi="宋体" w:cs="宋体"/>
                <w:color w:val="auto"/>
                <w:kern w:val="0"/>
              </w:rPr>
              <w:t>目标</w:t>
            </w:r>
          </w:p>
        </w:tc>
        <w:tc>
          <w:tcPr>
            <w:tcW w:w="8683" w:type="dxa"/>
            <w:noWrap w:val="0"/>
            <w:vAlign w:val="center"/>
          </w:tcPr>
          <w:p>
            <w:pPr>
              <w:pStyle w:val="101"/>
              <w:ind w:firstLine="480"/>
              <w:rPr>
                <w:color w:val="auto"/>
              </w:rPr>
            </w:pPr>
            <w:r>
              <w:rPr>
                <w:color w:val="auto"/>
              </w:rPr>
              <w:t>根据本项目排污特点和外环境特征确定环境保护目标如下：</w:t>
            </w:r>
          </w:p>
          <w:p>
            <w:pPr>
              <w:pStyle w:val="5"/>
              <w:rPr>
                <w:color w:val="auto"/>
              </w:rPr>
            </w:pPr>
            <w:r>
              <w:rPr>
                <w:color w:val="auto"/>
              </w:rPr>
              <w:t>一、大气环境保护目标</w:t>
            </w:r>
          </w:p>
          <w:p>
            <w:pPr>
              <w:pStyle w:val="101"/>
              <w:ind w:firstLine="480"/>
              <w:rPr>
                <w:rFonts w:hint="eastAsia"/>
                <w:color w:val="auto"/>
              </w:rPr>
            </w:pPr>
            <w:r>
              <w:rPr>
                <w:rFonts w:hint="eastAsia"/>
                <w:color w:val="auto"/>
              </w:rPr>
              <w:t>主要指项目场界外500m范围内的自然保护区、风景名胜区、居住区、文化区和农村地区中人群较集中的区域等保护目标。根据现场踏勘，本项目周围不涉及名胜古迹和重点文物保护单位，无自然保护区、风景名胜区等特殊需要保护的对象。本项目涉及的大气环境保护目标主要为西北侧145m为成都理工大学工程技术学院（约20000人）；北侧紧邻为满芳庭锦邻（约100人）；东侧50m为花城小区（约200人），东侧150m为嘉州新城满芳庭（约1000人），东侧200m为加气站（约10人）；南侧20m为肖坝路，南侧100m嘉州新城嘉州水岸小区（约2000人）；东南侧150m为西南侧200m为乐山外国语学校（约3000人），东南侧150m为佛伦堡水岸别墅；东南侧400m为乐山肖坝旅游车站（约2000人）等。</w:t>
            </w:r>
          </w:p>
          <w:p>
            <w:pPr>
              <w:pStyle w:val="5"/>
              <w:rPr>
                <w:color w:val="auto"/>
              </w:rPr>
            </w:pPr>
            <w:r>
              <w:rPr>
                <w:color w:val="auto"/>
              </w:rPr>
              <w:t>二、声环境保护目标</w:t>
            </w:r>
          </w:p>
          <w:p>
            <w:pPr>
              <w:pStyle w:val="104"/>
              <w:ind w:firstLine="480"/>
              <w:rPr>
                <w:rFonts w:hint="eastAsia"/>
                <w:color w:val="auto"/>
              </w:rPr>
            </w:pPr>
            <w:r>
              <w:rPr>
                <w:rFonts w:hint="eastAsia"/>
                <w:color w:val="auto"/>
              </w:rPr>
              <w:t>主要指场界外50m范围内声环境保护目标。</w:t>
            </w:r>
          </w:p>
          <w:p>
            <w:pPr>
              <w:pStyle w:val="101"/>
              <w:ind w:firstLine="480"/>
              <w:rPr>
                <w:color w:val="auto"/>
              </w:rPr>
            </w:pPr>
            <w:r>
              <w:rPr>
                <w:color w:val="auto"/>
              </w:rPr>
              <w:t>项目</w:t>
            </w:r>
            <w:r>
              <w:rPr>
                <w:rFonts w:hint="eastAsia"/>
                <w:color w:val="auto"/>
              </w:rPr>
              <w:t>500m范围内</w:t>
            </w:r>
            <w:r>
              <w:rPr>
                <w:color w:val="auto"/>
              </w:rPr>
              <w:t>主要环境保护目标见下表：</w:t>
            </w:r>
          </w:p>
          <w:p>
            <w:pPr>
              <w:pStyle w:val="102"/>
              <w:rPr>
                <w:rFonts w:hint="eastAsia" w:ascii="Arial" w:hAnsi="Arial" w:cs="Arial"/>
                <w:snapToGrid w:val="0"/>
                <w:color w:val="auto"/>
                <w:kern w:val="0"/>
                <w:szCs w:val="21"/>
              </w:rPr>
            </w:pPr>
            <w:r>
              <w:rPr>
                <w:rFonts w:ascii="宋体" w:hAnsi="宋体"/>
                <w:snapToGrid w:val="0"/>
                <w:color w:val="auto"/>
                <w:spacing w:val="-2"/>
                <w:kern w:val="0"/>
                <w:szCs w:val="21"/>
              </w:rPr>
              <w:t>表</w:t>
            </w:r>
            <w:r>
              <w:rPr>
                <w:rFonts w:ascii="宋体" w:hAnsi="宋体"/>
                <w:snapToGrid w:val="0"/>
                <w:color w:val="auto"/>
                <w:spacing w:val="-33"/>
                <w:kern w:val="0"/>
                <w:szCs w:val="21"/>
              </w:rPr>
              <w:t xml:space="preserve"> </w:t>
            </w:r>
            <w:r>
              <w:rPr>
                <w:rFonts w:eastAsia="Times New Roman"/>
                <w:bCs w:val="0"/>
                <w:snapToGrid w:val="0"/>
                <w:color w:val="auto"/>
                <w:spacing w:val="-2"/>
                <w:kern w:val="0"/>
                <w:szCs w:val="21"/>
              </w:rPr>
              <w:t>3-</w:t>
            </w:r>
            <w:r>
              <w:rPr>
                <w:rFonts w:hint="eastAsia"/>
                <w:bCs w:val="0"/>
                <w:snapToGrid w:val="0"/>
                <w:color w:val="auto"/>
                <w:spacing w:val="-2"/>
                <w:kern w:val="0"/>
                <w:szCs w:val="21"/>
              </w:rPr>
              <w:t>5</w:t>
            </w:r>
            <w:r>
              <w:rPr>
                <w:rFonts w:eastAsia="Times New Roman"/>
                <w:snapToGrid w:val="0"/>
                <w:color w:val="auto"/>
                <w:spacing w:val="9"/>
                <w:w w:val="101"/>
                <w:kern w:val="0"/>
                <w:szCs w:val="21"/>
              </w:rPr>
              <w:t xml:space="preserve">  </w:t>
            </w:r>
            <w:r>
              <w:rPr>
                <w:color w:val="auto"/>
              </w:rPr>
              <w:t xml:space="preserve"> 本项目主要环境敏感点</w:t>
            </w:r>
            <w:r>
              <w:rPr>
                <w:rFonts w:hint="eastAsia"/>
                <w:color w:val="auto"/>
              </w:rPr>
              <w:t>保护目标</w:t>
            </w:r>
          </w:p>
          <w:tbl>
            <w:tblPr>
              <w:tblStyle w:val="38"/>
              <w:tblW w:w="4986" w:type="pct"/>
              <w:tblInd w:w="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942"/>
              <w:gridCol w:w="2324"/>
              <w:gridCol w:w="1515"/>
              <w:gridCol w:w="641"/>
              <w:gridCol w:w="440"/>
              <w:gridCol w:w="948"/>
              <w:gridCol w:w="1628"/>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4" w:hRule="atLeast"/>
              </w:trPr>
              <w:tc>
                <w:tcPr>
                  <w:tcW w:w="558" w:type="pct"/>
                  <w:noWrap w:val="0"/>
                  <w:vAlign w:val="center"/>
                </w:tcPr>
                <w:p>
                  <w:pPr>
                    <w:pStyle w:val="69"/>
                    <w:rPr>
                      <w:rFonts w:hint="eastAsia"/>
                      <w:color w:val="auto"/>
                    </w:rPr>
                  </w:pPr>
                  <w:r>
                    <w:rPr>
                      <w:rFonts w:hint="eastAsia"/>
                      <w:color w:val="auto"/>
                    </w:rPr>
                    <w:t>环境影响类别</w:t>
                  </w:r>
                </w:p>
              </w:tc>
              <w:tc>
                <w:tcPr>
                  <w:tcW w:w="1377" w:type="pct"/>
                  <w:noWrap w:val="0"/>
                  <w:vAlign w:val="center"/>
                </w:tcPr>
                <w:p>
                  <w:pPr>
                    <w:pStyle w:val="69"/>
                    <w:rPr>
                      <w:rFonts w:hint="eastAsia"/>
                      <w:color w:val="auto"/>
                    </w:rPr>
                  </w:pPr>
                  <w:r>
                    <w:rPr>
                      <w:color w:val="auto"/>
                    </w:rPr>
                    <w:t>环境敏感目标</w:t>
                  </w:r>
                </w:p>
              </w:tc>
              <w:tc>
                <w:tcPr>
                  <w:tcW w:w="898" w:type="pct"/>
                  <w:noWrap w:val="0"/>
                  <w:vAlign w:val="center"/>
                </w:tcPr>
                <w:p>
                  <w:pPr>
                    <w:pStyle w:val="69"/>
                    <w:rPr>
                      <w:rFonts w:hint="eastAsia"/>
                      <w:color w:val="auto"/>
                    </w:rPr>
                  </w:pPr>
                  <w:r>
                    <w:rPr>
                      <w:rFonts w:hint="eastAsia"/>
                      <w:color w:val="auto"/>
                    </w:rPr>
                    <w:t>性质</w:t>
                  </w:r>
                </w:p>
              </w:tc>
              <w:tc>
                <w:tcPr>
                  <w:tcW w:w="380" w:type="pct"/>
                  <w:noWrap w:val="0"/>
                  <w:vAlign w:val="center"/>
                </w:tcPr>
                <w:p>
                  <w:pPr>
                    <w:pStyle w:val="69"/>
                    <w:rPr>
                      <w:rFonts w:hint="eastAsia"/>
                      <w:color w:val="auto"/>
                    </w:rPr>
                  </w:pPr>
                  <w:r>
                    <w:rPr>
                      <w:rFonts w:hint="eastAsia"/>
                      <w:color w:val="auto"/>
                    </w:rPr>
                    <w:t>规模</w:t>
                  </w:r>
                </w:p>
              </w:tc>
              <w:tc>
                <w:tcPr>
                  <w:tcW w:w="261" w:type="pct"/>
                  <w:noWrap w:val="0"/>
                  <w:vAlign w:val="center"/>
                </w:tcPr>
                <w:p>
                  <w:pPr>
                    <w:pStyle w:val="69"/>
                    <w:rPr>
                      <w:rFonts w:hint="eastAsia"/>
                      <w:color w:val="auto"/>
                    </w:rPr>
                  </w:pPr>
                  <w:r>
                    <w:rPr>
                      <w:rFonts w:hint="eastAsia"/>
                      <w:color w:val="auto"/>
                    </w:rPr>
                    <w:t>方位</w:t>
                  </w:r>
                </w:p>
              </w:tc>
              <w:tc>
                <w:tcPr>
                  <w:tcW w:w="562" w:type="pct"/>
                  <w:noWrap w:val="0"/>
                  <w:vAlign w:val="center"/>
                </w:tcPr>
                <w:p>
                  <w:pPr>
                    <w:pStyle w:val="69"/>
                    <w:rPr>
                      <w:rFonts w:hint="eastAsia"/>
                      <w:color w:val="auto"/>
                    </w:rPr>
                  </w:pPr>
                  <w:r>
                    <w:rPr>
                      <w:rFonts w:hint="eastAsia"/>
                      <w:color w:val="auto"/>
                    </w:rPr>
                    <w:t>最近距离（m）</w:t>
                  </w:r>
                </w:p>
              </w:tc>
              <w:tc>
                <w:tcPr>
                  <w:tcW w:w="964" w:type="pct"/>
                  <w:noWrap w:val="0"/>
                  <w:vAlign w:val="center"/>
                </w:tcPr>
                <w:p>
                  <w:pPr>
                    <w:pStyle w:val="69"/>
                    <w:rPr>
                      <w:rFonts w:hint="eastAsia"/>
                      <w:color w:val="auto"/>
                    </w:rPr>
                  </w:pPr>
                  <w:r>
                    <w:rPr>
                      <w:rFonts w:hint="eastAsia"/>
                      <w:color w:val="auto"/>
                    </w:rPr>
                    <w:t>执行标准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trPr>
              <w:tc>
                <w:tcPr>
                  <w:tcW w:w="558" w:type="pct"/>
                  <w:vMerge w:val="restart"/>
                  <w:noWrap w:val="0"/>
                  <w:vAlign w:val="center"/>
                </w:tcPr>
                <w:p>
                  <w:pPr>
                    <w:pStyle w:val="105"/>
                    <w:spacing w:before="24" w:after="24"/>
                    <w:ind w:firstLine="420"/>
                    <w:rPr>
                      <w:color w:val="auto"/>
                    </w:rPr>
                  </w:pPr>
                  <w:r>
                    <w:rPr>
                      <w:color w:val="auto"/>
                    </w:rPr>
                    <w:t>大气环境</w:t>
                  </w:r>
                </w:p>
                <w:p>
                  <w:pPr>
                    <w:pStyle w:val="69"/>
                    <w:rPr>
                      <w:rFonts w:hint="eastAsia"/>
                      <w:color w:val="auto"/>
                    </w:rPr>
                  </w:pPr>
                  <w:r>
                    <w:rPr>
                      <w:rFonts w:hint="eastAsia"/>
                      <w:color w:val="auto"/>
                    </w:rPr>
                    <w:t>（500m范围内）</w:t>
                  </w:r>
                </w:p>
              </w:tc>
              <w:tc>
                <w:tcPr>
                  <w:tcW w:w="1377" w:type="pct"/>
                  <w:noWrap w:val="0"/>
                  <w:vAlign w:val="center"/>
                </w:tcPr>
                <w:p>
                  <w:pPr>
                    <w:pStyle w:val="69"/>
                    <w:rPr>
                      <w:color w:val="auto"/>
                    </w:rPr>
                  </w:pPr>
                  <w:r>
                    <w:rPr>
                      <w:rFonts w:hint="eastAsia"/>
                      <w:color w:val="auto"/>
                    </w:rPr>
                    <w:t>成都理工大学工程技术学院</w:t>
                  </w:r>
                </w:p>
              </w:tc>
              <w:tc>
                <w:tcPr>
                  <w:tcW w:w="898" w:type="pct"/>
                  <w:noWrap w:val="0"/>
                  <w:vAlign w:val="center"/>
                </w:tcPr>
                <w:p>
                  <w:pPr>
                    <w:pStyle w:val="69"/>
                    <w:rPr>
                      <w:rFonts w:hint="eastAsia"/>
                      <w:color w:val="auto"/>
                    </w:rPr>
                  </w:pPr>
                  <w:r>
                    <w:rPr>
                      <w:rFonts w:hint="eastAsia"/>
                      <w:color w:val="auto"/>
                    </w:rPr>
                    <w:t>学校</w:t>
                  </w:r>
                </w:p>
              </w:tc>
              <w:tc>
                <w:tcPr>
                  <w:tcW w:w="380" w:type="pct"/>
                  <w:noWrap w:val="0"/>
                  <w:vAlign w:val="center"/>
                </w:tcPr>
                <w:p>
                  <w:pPr>
                    <w:pStyle w:val="69"/>
                    <w:rPr>
                      <w:color w:val="auto"/>
                    </w:rPr>
                  </w:pPr>
                  <w:r>
                    <w:rPr>
                      <w:color w:val="auto"/>
                    </w:rPr>
                    <w:t>200</w:t>
                  </w:r>
                  <w:r>
                    <w:rPr>
                      <w:rFonts w:hint="eastAsia"/>
                      <w:color w:val="auto"/>
                    </w:rPr>
                    <w:t>00</w:t>
                  </w:r>
                </w:p>
                <w:p>
                  <w:pPr>
                    <w:pStyle w:val="69"/>
                    <w:rPr>
                      <w:color w:val="auto"/>
                    </w:rPr>
                  </w:pPr>
                  <w:r>
                    <w:rPr>
                      <w:color w:val="auto"/>
                    </w:rPr>
                    <w:t>人</w:t>
                  </w:r>
                </w:p>
              </w:tc>
              <w:tc>
                <w:tcPr>
                  <w:tcW w:w="261" w:type="pct"/>
                  <w:noWrap w:val="0"/>
                  <w:vAlign w:val="center"/>
                </w:tcPr>
                <w:p>
                  <w:pPr>
                    <w:pStyle w:val="69"/>
                    <w:rPr>
                      <w:color w:val="auto"/>
                    </w:rPr>
                  </w:pPr>
                  <w:r>
                    <w:rPr>
                      <w:rFonts w:hint="eastAsia"/>
                      <w:color w:val="auto"/>
                    </w:rPr>
                    <w:t>NW</w:t>
                  </w:r>
                </w:p>
              </w:tc>
              <w:tc>
                <w:tcPr>
                  <w:tcW w:w="562" w:type="pct"/>
                  <w:noWrap w:val="0"/>
                  <w:vAlign w:val="center"/>
                </w:tcPr>
                <w:p>
                  <w:pPr>
                    <w:pStyle w:val="69"/>
                    <w:rPr>
                      <w:color w:val="auto"/>
                    </w:rPr>
                  </w:pPr>
                  <w:r>
                    <w:rPr>
                      <w:rFonts w:hint="eastAsia"/>
                      <w:color w:val="auto"/>
                    </w:rPr>
                    <w:t>145</w:t>
                  </w:r>
                </w:p>
              </w:tc>
              <w:tc>
                <w:tcPr>
                  <w:tcW w:w="964" w:type="pct"/>
                  <w:vMerge w:val="restart"/>
                  <w:noWrap w:val="0"/>
                  <w:vAlign w:val="center"/>
                </w:tcPr>
                <w:p>
                  <w:pPr>
                    <w:pStyle w:val="69"/>
                    <w:rPr>
                      <w:rFonts w:hint="eastAsia"/>
                      <w:color w:val="auto"/>
                    </w:rPr>
                  </w:pPr>
                  <w:r>
                    <w:rPr>
                      <w:color w:val="auto"/>
                    </w:rPr>
                    <w:t>《环境空气质量标准》GB 3095-2012二级标准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trPr>
              <w:tc>
                <w:tcPr>
                  <w:tcW w:w="558" w:type="pct"/>
                  <w:vMerge w:val="continue"/>
                  <w:noWrap w:val="0"/>
                  <w:vAlign w:val="center"/>
                </w:tcPr>
                <w:p>
                  <w:pPr>
                    <w:pStyle w:val="69"/>
                    <w:rPr>
                      <w:rFonts w:hint="eastAsia"/>
                      <w:color w:val="auto"/>
                    </w:rPr>
                  </w:pPr>
                </w:p>
              </w:tc>
              <w:tc>
                <w:tcPr>
                  <w:tcW w:w="1377" w:type="pct"/>
                  <w:noWrap w:val="0"/>
                  <w:vAlign w:val="center"/>
                </w:tcPr>
                <w:p>
                  <w:pPr>
                    <w:pStyle w:val="69"/>
                    <w:rPr>
                      <w:rFonts w:hint="eastAsia"/>
                      <w:color w:val="auto"/>
                    </w:rPr>
                  </w:pPr>
                  <w:r>
                    <w:rPr>
                      <w:rFonts w:hint="eastAsia"/>
                      <w:color w:val="auto"/>
                    </w:rPr>
                    <w:t>满芳庭锦邻</w:t>
                  </w:r>
                </w:p>
              </w:tc>
              <w:tc>
                <w:tcPr>
                  <w:tcW w:w="898" w:type="pct"/>
                  <w:noWrap w:val="0"/>
                  <w:vAlign w:val="center"/>
                </w:tcPr>
                <w:p>
                  <w:pPr>
                    <w:pStyle w:val="69"/>
                    <w:rPr>
                      <w:color w:val="auto"/>
                    </w:rPr>
                  </w:pPr>
                  <w:r>
                    <w:rPr>
                      <w:color w:val="auto"/>
                    </w:rPr>
                    <w:t>居民区</w:t>
                  </w:r>
                </w:p>
              </w:tc>
              <w:tc>
                <w:tcPr>
                  <w:tcW w:w="380" w:type="pct"/>
                  <w:noWrap w:val="0"/>
                  <w:vAlign w:val="center"/>
                </w:tcPr>
                <w:p>
                  <w:pPr>
                    <w:pStyle w:val="69"/>
                    <w:rPr>
                      <w:color w:val="auto"/>
                    </w:rPr>
                  </w:pPr>
                  <w:r>
                    <w:rPr>
                      <w:rFonts w:hint="eastAsia"/>
                      <w:color w:val="auto"/>
                    </w:rPr>
                    <w:t>100</w:t>
                  </w:r>
                  <w:r>
                    <w:rPr>
                      <w:color w:val="auto"/>
                    </w:rPr>
                    <w:t>人</w:t>
                  </w:r>
                </w:p>
              </w:tc>
              <w:tc>
                <w:tcPr>
                  <w:tcW w:w="261" w:type="pct"/>
                  <w:noWrap w:val="0"/>
                  <w:vAlign w:val="center"/>
                </w:tcPr>
                <w:p>
                  <w:pPr>
                    <w:pStyle w:val="69"/>
                    <w:rPr>
                      <w:rFonts w:hint="eastAsia"/>
                      <w:color w:val="auto"/>
                    </w:rPr>
                  </w:pPr>
                  <w:r>
                    <w:rPr>
                      <w:rFonts w:hint="eastAsia"/>
                      <w:color w:val="auto"/>
                    </w:rPr>
                    <w:t>N</w:t>
                  </w:r>
                </w:p>
              </w:tc>
              <w:tc>
                <w:tcPr>
                  <w:tcW w:w="562" w:type="pct"/>
                  <w:noWrap w:val="0"/>
                  <w:vAlign w:val="center"/>
                </w:tcPr>
                <w:p>
                  <w:pPr>
                    <w:pStyle w:val="69"/>
                    <w:rPr>
                      <w:rFonts w:hint="eastAsia"/>
                      <w:color w:val="auto"/>
                    </w:rPr>
                  </w:pPr>
                  <w:r>
                    <w:rPr>
                      <w:rFonts w:hint="eastAsia"/>
                      <w:color w:val="auto"/>
                    </w:rPr>
                    <w:t>紧邻</w:t>
                  </w:r>
                </w:p>
              </w:tc>
              <w:tc>
                <w:tcPr>
                  <w:tcW w:w="964" w:type="pct"/>
                  <w:vMerge w:val="continue"/>
                  <w:noWrap w:val="0"/>
                  <w:vAlign w:val="center"/>
                </w:tcPr>
                <w:p>
                  <w:pPr>
                    <w:pStyle w:val="69"/>
                    <w:rPr>
                      <w:rFonts w:hint="eastAsia"/>
                      <w:color w:val="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trPr>
              <w:tc>
                <w:tcPr>
                  <w:tcW w:w="558" w:type="pct"/>
                  <w:vMerge w:val="continue"/>
                  <w:noWrap w:val="0"/>
                  <w:vAlign w:val="center"/>
                </w:tcPr>
                <w:p>
                  <w:pPr>
                    <w:pStyle w:val="69"/>
                    <w:rPr>
                      <w:rFonts w:hint="eastAsia"/>
                      <w:color w:val="auto"/>
                    </w:rPr>
                  </w:pPr>
                </w:p>
              </w:tc>
              <w:tc>
                <w:tcPr>
                  <w:tcW w:w="1377" w:type="pct"/>
                  <w:noWrap w:val="0"/>
                  <w:vAlign w:val="center"/>
                </w:tcPr>
                <w:p>
                  <w:pPr>
                    <w:pStyle w:val="69"/>
                    <w:rPr>
                      <w:rFonts w:hint="eastAsia"/>
                      <w:color w:val="auto"/>
                    </w:rPr>
                  </w:pPr>
                  <w:r>
                    <w:rPr>
                      <w:rFonts w:hint="eastAsia"/>
                      <w:color w:val="auto"/>
                    </w:rPr>
                    <w:t>花城小区</w:t>
                  </w:r>
                </w:p>
              </w:tc>
              <w:tc>
                <w:tcPr>
                  <w:tcW w:w="898" w:type="pct"/>
                  <w:noWrap w:val="0"/>
                  <w:vAlign w:val="center"/>
                </w:tcPr>
                <w:p>
                  <w:pPr>
                    <w:pStyle w:val="69"/>
                    <w:rPr>
                      <w:color w:val="auto"/>
                    </w:rPr>
                  </w:pPr>
                  <w:r>
                    <w:rPr>
                      <w:color w:val="auto"/>
                    </w:rPr>
                    <w:t>居民区</w:t>
                  </w:r>
                </w:p>
              </w:tc>
              <w:tc>
                <w:tcPr>
                  <w:tcW w:w="380" w:type="pct"/>
                  <w:noWrap w:val="0"/>
                  <w:vAlign w:val="center"/>
                </w:tcPr>
                <w:p>
                  <w:pPr>
                    <w:pStyle w:val="69"/>
                    <w:rPr>
                      <w:color w:val="auto"/>
                    </w:rPr>
                  </w:pPr>
                  <w:r>
                    <w:rPr>
                      <w:rFonts w:hint="eastAsia"/>
                      <w:color w:val="auto"/>
                    </w:rPr>
                    <w:t>200</w:t>
                  </w:r>
                  <w:r>
                    <w:rPr>
                      <w:color w:val="auto"/>
                    </w:rPr>
                    <w:t>人</w:t>
                  </w:r>
                </w:p>
              </w:tc>
              <w:tc>
                <w:tcPr>
                  <w:tcW w:w="261" w:type="pct"/>
                  <w:noWrap w:val="0"/>
                  <w:vAlign w:val="center"/>
                </w:tcPr>
                <w:p>
                  <w:pPr>
                    <w:pStyle w:val="69"/>
                    <w:rPr>
                      <w:rFonts w:hint="eastAsia"/>
                      <w:color w:val="auto"/>
                    </w:rPr>
                  </w:pPr>
                  <w:r>
                    <w:rPr>
                      <w:color w:val="auto"/>
                    </w:rPr>
                    <w:t>E</w:t>
                  </w:r>
                </w:p>
              </w:tc>
              <w:tc>
                <w:tcPr>
                  <w:tcW w:w="562" w:type="pct"/>
                  <w:noWrap w:val="0"/>
                  <w:vAlign w:val="center"/>
                </w:tcPr>
                <w:p>
                  <w:pPr>
                    <w:pStyle w:val="69"/>
                    <w:rPr>
                      <w:color w:val="auto"/>
                    </w:rPr>
                  </w:pPr>
                  <w:r>
                    <w:rPr>
                      <w:rFonts w:hint="eastAsia"/>
                      <w:color w:val="auto"/>
                    </w:rPr>
                    <w:t>50</w:t>
                  </w:r>
                </w:p>
              </w:tc>
              <w:tc>
                <w:tcPr>
                  <w:tcW w:w="964" w:type="pct"/>
                  <w:vMerge w:val="continue"/>
                  <w:noWrap w:val="0"/>
                  <w:vAlign w:val="center"/>
                </w:tcPr>
                <w:p>
                  <w:pPr>
                    <w:pStyle w:val="69"/>
                    <w:rPr>
                      <w:rFonts w:hint="eastAsia"/>
                      <w:color w:val="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trPr>
              <w:tc>
                <w:tcPr>
                  <w:tcW w:w="558" w:type="pct"/>
                  <w:vMerge w:val="continue"/>
                  <w:noWrap w:val="0"/>
                  <w:vAlign w:val="center"/>
                </w:tcPr>
                <w:p>
                  <w:pPr>
                    <w:pStyle w:val="69"/>
                    <w:rPr>
                      <w:rFonts w:hint="eastAsia"/>
                      <w:color w:val="auto"/>
                    </w:rPr>
                  </w:pPr>
                </w:p>
              </w:tc>
              <w:tc>
                <w:tcPr>
                  <w:tcW w:w="1377" w:type="pct"/>
                  <w:noWrap w:val="0"/>
                  <w:vAlign w:val="center"/>
                </w:tcPr>
                <w:p>
                  <w:pPr>
                    <w:pStyle w:val="69"/>
                    <w:rPr>
                      <w:color w:val="auto"/>
                    </w:rPr>
                  </w:pPr>
                  <w:r>
                    <w:rPr>
                      <w:rFonts w:hint="eastAsia"/>
                      <w:color w:val="auto"/>
                    </w:rPr>
                    <w:t>嘉州新城满芳庭</w:t>
                  </w:r>
                </w:p>
              </w:tc>
              <w:tc>
                <w:tcPr>
                  <w:tcW w:w="898" w:type="pct"/>
                  <w:noWrap w:val="0"/>
                  <w:vAlign w:val="center"/>
                </w:tcPr>
                <w:p>
                  <w:pPr>
                    <w:pStyle w:val="69"/>
                    <w:rPr>
                      <w:color w:val="auto"/>
                    </w:rPr>
                  </w:pPr>
                  <w:r>
                    <w:rPr>
                      <w:color w:val="auto"/>
                    </w:rPr>
                    <w:t>居民区</w:t>
                  </w:r>
                </w:p>
              </w:tc>
              <w:tc>
                <w:tcPr>
                  <w:tcW w:w="380" w:type="pct"/>
                  <w:noWrap w:val="0"/>
                  <w:vAlign w:val="center"/>
                </w:tcPr>
                <w:p>
                  <w:pPr>
                    <w:pStyle w:val="69"/>
                    <w:rPr>
                      <w:color w:val="auto"/>
                    </w:rPr>
                  </w:pPr>
                  <w:r>
                    <w:rPr>
                      <w:rFonts w:hint="eastAsia"/>
                      <w:color w:val="auto"/>
                    </w:rPr>
                    <w:t>1000</w:t>
                  </w:r>
                  <w:r>
                    <w:rPr>
                      <w:color w:val="auto"/>
                    </w:rPr>
                    <w:t>人</w:t>
                  </w:r>
                </w:p>
              </w:tc>
              <w:tc>
                <w:tcPr>
                  <w:tcW w:w="261" w:type="pct"/>
                  <w:noWrap w:val="0"/>
                  <w:vAlign w:val="center"/>
                </w:tcPr>
                <w:p>
                  <w:pPr>
                    <w:pStyle w:val="69"/>
                    <w:rPr>
                      <w:color w:val="auto"/>
                    </w:rPr>
                  </w:pPr>
                  <w:r>
                    <w:rPr>
                      <w:color w:val="auto"/>
                    </w:rPr>
                    <w:t>E</w:t>
                  </w:r>
                </w:p>
              </w:tc>
              <w:tc>
                <w:tcPr>
                  <w:tcW w:w="562" w:type="pct"/>
                  <w:noWrap w:val="0"/>
                  <w:vAlign w:val="center"/>
                </w:tcPr>
                <w:p>
                  <w:pPr>
                    <w:pStyle w:val="69"/>
                    <w:rPr>
                      <w:color w:val="auto"/>
                    </w:rPr>
                  </w:pPr>
                  <w:r>
                    <w:rPr>
                      <w:rFonts w:hint="eastAsia"/>
                      <w:color w:val="auto"/>
                    </w:rPr>
                    <w:t>150</w:t>
                  </w:r>
                </w:p>
              </w:tc>
              <w:tc>
                <w:tcPr>
                  <w:tcW w:w="964" w:type="pct"/>
                  <w:vMerge w:val="continue"/>
                  <w:noWrap w:val="0"/>
                  <w:vAlign w:val="center"/>
                </w:tcPr>
                <w:p>
                  <w:pPr>
                    <w:pStyle w:val="69"/>
                    <w:rPr>
                      <w:rFonts w:hint="eastAsia"/>
                      <w:color w:val="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trPr>
              <w:tc>
                <w:tcPr>
                  <w:tcW w:w="558" w:type="pct"/>
                  <w:vMerge w:val="continue"/>
                  <w:noWrap w:val="0"/>
                  <w:vAlign w:val="center"/>
                </w:tcPr>
                <w:p>
                  <w:pPr>
                    <w:pStyle w:val="69"/>
                    <w:rPr>
                      <w:rFonts w:hint="eastAsia"/>
                      <w:color w:val="auto"/>
                    </w:rPr>
                  </w:pPr>
                </w:p>
              </w:tc>
              <w:tc>
                <w:tcPr>
                  <w:tcW w:w="1377" w:type="pct"/>
                  <w:noWrap w:val="0"/>
                  <w:vAlign w:val="center"/>
                </w:tcPr>
                <w:p>
                  <w:pPr>
                    <w:pStyle w:val="69"/>
                    <w:rPr>
                      <w:rFonts w:hint="eastAsia"/>
                      <w:color w:val="auto"/>
                    </w:rPr>
                  </w:pPr>
                  <w:r>
                    <w:rPr>
                      <w:rFonts w:hint="eastAsia"/>
                      <w:color w:val="auto"/>
                    </w:rPr>
                    <w:t>嘉州新城嘉州水岸</w:t>
                  </w:r>
                </w:p>
              </w:tc>
              <w:tc>
                <w:tcPr>
                  <w:tcW w:w="898" w:type="pct"/>
                  <w:noWrap w:val="0"/>
                  <w:vAlign w:val="center"/>
                </w:tcPr>
                <w:p>
                  <w:pPr>
                    <w:pStyle w:val="69"/>
                    <w:rPr>
                      <w:color w:val="auto"/>
                    </w:rPr>
                  </w:pPr>
                  <w:r>
                    <w:rPr>
                      <w:color w:val="auto"/>
                    </w:rPr>
                    <w:t>居民区</w:t>
                  </w:r>
                </w:p>
              </w:tc>
              <w:tc>
                <w:tcPr>
                  <w:tcW w:w="380" w:type="pct"/>
                  <w:noWrap w:val="0"/>
                  <w:vAlign w:val="center"/>
                </w:tcPr>
                <w:p>
                  <w:pPr>
                    <w:pStyle w:val="69"/>
                    <w:rPr>
                      <w:rFonts w:hint="eastAsia"/>
                      <w:color w:val="auto"/>
                    </w:rPr>
                  </w:pPr>
                  <w:r>
                    <w:rPr>
                      <w:rFonts w:hint="eastAsia"/>
                      <w:color w:val="auto"/>
                    </w:rPr>
                    <w:t>5000</w:t>
                  </w:r>
                  <w:r>
                    <w:rPr>
                      <w:color w:val="auto"/>
                    </w:rPr>
                    <w:t>人</w:t>
                  </w:r>
                </w:p>
              </w:tc>
              <w:tc>
                <w:tcPr>
                  <w:tcW w:w="261" w:type="pct"/>
                  <w:noWrap w:val="0"/>
                  <w:vAlign w:val="center"/>
                </w:tcPr>
                <w:p>
                  <w:pPr>
                    <w:pStyle w:val="69"/>
                    <w:rPr>
                      <w:color w:val="auto"/>
                    </w:rPr>
                  </w:pPr>
                  <w:r>
                    <w:rPr>
                      <w:color w:val="auto"/>
                    </w:rPr>
                    <w:t>S</w:t>
                  </w:r>
                </w:p>
              </w:tc>
              <w:tc>
                <w:tcPr>
                  <w:tcW w:w="562" w:type="pct"/>
                  <w:noWrap w:val="0"/>
                  <w:vAlign w:val="center"/>
                </w:tcPr>
                <w:p>
                  <w:pPr>
                    <w:pStyle w:val="69"/>
                    <w:rPr>
                      <w:color w:val="auto"/>
                    </w:rPr>
                  </w:pPr>
                  <w:r>
                    <w:rPr>
                      <w:rFonts w:hint="eastAsia"/>
                      <w:color w:val="auto"/>
                    </w:rPr>
                    <w:t>10</w:t>
                  </w:r>
                  <w:r>
                    <w:rPr>
                      <w:color w:val="auto"/>
                    </w:rPr>
                    <w:t>0</w:t>
                  </w:r>
                </w:p>
              </w:tc>
              <w:tc>
                <w:tcPr>
                  <w:tcW w:w="964" w:type="pct"/>
                  <w:vMerge w:val="continue"/>
                  <w:noWrap w:val="0"/>
                  <w:vAlign w:val="center"/>
                </w:tcPr>
                <w:p>
                  <w:pPr>
                    <w:pStyle w:val="69"/>
                    <w:rPr>
                      <w:rFonts w:hint="eastAsia"/>
                      <w:color w:val="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2" w:hRule="atLeast"/>
              </w:trPr>
              <w:tc>
                <w:tcPr>
                  <w:tcW w:w="558" w:type="pct"/>
                  <w:vMerge w:val="continue"/>
                  <w:noWrap w:val="0"/>
                  <w:vAlign w:val="center"/>
                </w:tcPr>
                <w:p>
                  <w:pPr>
                    <w:pStyle w:val="69"/>
                    <w:rPr>
                      <w:rFonts w:hint="eastAsia"/>
                      <w:color w:val="auto"/>
                    </w:rPr>
                  </w:pPr>
                </w:p>
              </w:tc>
              <w:tc>
                <w:tcPr>
                  <w:tcW w:w="1377" w:type="pct"/>
                  <w:noWrap w:val="0"/>
                  <w:vAlign w:val="center"/>
                </w:tcPr>
                <w:p>
                  <w:pPr>
                    <w:pStyle w:val="69"/>
                    <w:rPr>
                      <w:rFonts w:hint="eastAsia"/>
                      <w:color w:val="auto"/>
                    </w:rPr>
                  </w:pPr>
                  <w:r>
                    <w:rPr>
                      <w:rFonts w:hint="eastAsia"/>
                      <w:color w:val="auto"/>
                    </w:rPr>
                    <w:t>佛伦堡水岸别墅</w:t>
                  </w:r>
                </w:p>
              </w:tc>
              <w:tc>
                <w:tcPr>
                  <w:tcW w:w="898" w:type="pct"/>
                  <w:noWrap w:val="0"/>
                  <w:vAlign w:val="center"/>
                </w:tcPr>
                <w:p>
                  <w:pPr>
                    <w:pStyle w:val="69"/>
                    <w:rPr>
                      <w:color w:val="auto"/>
                    </w:rPr>
                  </w:pPr>
                  <w:r>
                    <w:rPr>
                      <w:color w:val="auto"/>
                    </w:rPr>
                    <w:t>居民区</w:t>
                  </w:r>
                </w:p>
              </w:tc>
              <w:tc>
                <w:tcPr>
                  <w:tcW w:w="380" w:type="pct"/>
                  <w:noWrap w:val="0"/>
                  <w:vAlign w:val="center"/>
                </w:tcPr>
                <w:p>
                  <w:pPr>
                    <w:pStyle w:val="69"/>
                    <w:rPr>
                      <w:color w:val="auto"/>
                    </w:rPr>
                  </w:pPr>
                  <w:r>
                    <w:rPr>
                      <w:rFonts w:hint="eastAsia"/>
                      <w:color w:val="auto"/>
                    </w:rPr>
                    <w:t>2000人</w:t>
                  </w:r>
                </w:p>
              </w:tc>
              <w:tc>
                <w:tcPr>
                  <w:tcW w:w="261" w:type="pct"/>
                  <w:noWrap w:val="0"/>
                  <w:vAlign w:val="center"/>
                </w:tcPr>
                <w:p>
                  <w:pPr>
                    <w:pStyle w:val="69"/>
                    <w:rPr>
                      <w:color w:val="auto"/>
                    </w:rPr>
                  </w:pPr>
                  <w:r>
                    <w:rPr>
                      <w:color w:val="auto"/>
                    </w:rPr>
                    <w:t>SE</w:t>
                  </w:r>
                </w:p>
              </w:tc>
              <w:tc>
                <w:tcPr>
                  <w:tcW w:w="562" w:type="pct"/>
                  <w:noWrap w:val="0"/>
                  <w:vAlign w:val="center"/>
                </w:tcPr>
                <w:p>
                  <w:pPr>
                    <w:pStyle w:val="69"/>
                    <w:rPr>
                      <w:rFonts w:hint="eastAsia"/>
                      <w:color w:val="auto"/>
                    </w:rPr>
                  </w:pPr>
                  <w:r>
                    <w:rPr>
                      <w:rFonts w:hint="eastAsia"/>
                      <w:color w:val="auto"/>
                    </w:rPr>
                    <w:t>15</w:t>
                  </w:r>
                  <w:r>
                    <w:rPr>
                      <w:color w:val="auto"/>
                    </w:rPr>
                    <w:t>0</w:t>
                  </w:r>
                </w:p>
              </w:tc>
              <w:tc>
                <w:tcPr>
                  <w:tcW w:w="964" w:type="pct"/>
                  <w:vMerge w:val="continue"/>
                  <w:noWrap w:val="0"/>
                  <w:vAlign w:val="center"/>
                </w:tcPr>
                <w:p>
                  <w:pPr>
                    <w:pStyle w:val="69"/>
                    <w:rPr>
                      <w:rFonts w:hint="eastAsia"/>
                      <w:color w:val="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trPr>
              <w:tc>
                <w:tcPr>
                  <w:tcW w:w="558" w:type="pct"/>
                  <w:vMerge w:val="continue"/>
                  <w:noWrap w:val="0"/>
                  <w:vAlign w:val="center"/>
                </w:tcPr>
                <w:p>
                  <w:pPr>
                    <w:pStyle w:val="69"/>
                    <w:rPr>
                      <w:rFonts w:hint="eastAsia"/>
                      <w:color w:val="auto"/>
                    </w:rPr>
                  </w:pPr>
                </w:p>
              </w:tc>
              <w:tc>
                <w:tcPr>
                  <w:tcW w:w="1377" w:type="pct"/>
                  <w:noWrap w:val="0"/>
                  <w:vAlign w:val="center"/>
                </w:tcPr>
                <w:p>
                  <w:pPr>
                    <w:pStyle w:val="69"/>
                    <w:rPr>
                      <w:rFonts w:hint="eastAsia"/>
                      <w:color w:val="auto"/>
                    </w:rPr>
                  </w:pPr>
                  <w:r>
                    <w:rPr>
                      <w:rFonts w:hint="eastAsia"/>
                      <w:color w:val="auto"/>
                    </w:rPr>
                    <w:t>乐山外国语小学</w:t>
                  </w:r>
                </w:p>
              </w:tc>
              <w:tc>
                <w:tcPr>
                  <w:tcW w:w="898" w:type="pct"/>
                  <w:noWrap w:val="0"/>
                  <w:vAlign w:val="center"/>
                </w:tcPr>
                <w:p>
                  <w:pPr>
                    <w:pStyle w:val="69"/>
                    <w:rPr>
                      <w:rFonts w:hint="eastAsia"/>
                      <w:color w:val="auto"/>
                    </w:rPr>
                  </w:pPr>
                  <w:r>
                    <w:rPr>
                      <w:rFonts w:hint="eastAsia"/>
                      <w:color w:val="auto"/>
                    </w:rPr>
                    <w:t>学校</w:t>
                  </w:r>
                </w:p>
              </w:tc>
              <w:tc>
                <w:tcPr>
                  <w:tcW w:w="380" w:type="pct"/>
                  <w:noWrap w:val="0"/>
                  <w:vAlign w:val="center"/>
                </w:tcPr>
                <w:p>
                  <w:pPr>
                    <w:pStyle w:val="69"/>
                    <w:rPr>
                      <w:color w:val="auto"/>
                    </w:rPr>
                  </w:pPr>
                  <w:r>
                    <w:rPr>
                      <w:rFonts w:hint="eastAsia"/>
                      <w:color w:val="auto"/>
                    </w:rPr>
                    <w:t>3000人</w:t>
                  </w:r>
                </w:p>
              </w:tc>
              <w:tc>
                <w:tcPr>
                  <w:tcW w:w="261" w:type="pct"/>
                  <w:noWrap w:val="0"/>
                  <w:vAlign w:val="center"/>
                </w:tcPr>
                <w:p>
                  <w:pPr>
                    <w:pStyle w:val="69"/>
                    <w:rPr>
                      <w:color w:val="auto"/>
                    </w:rPr>
                  </w:pPr>
                  <w:r>
                    <w:rPr>
                      <w:rFonts w:hint="eastAsia"/>
                      <w:color w:val="auto"/>
                    </w:rPr>
                    <w:t>SW</w:t>
                  </w:r>
                </w:p>
              </w:tc>
              <w:tc>
                <w:tcPr>
                  <w:tcW w:w="562" w:type="pct"/>
                  <w:noWrap w:val="0"/>
                  <w:vAlign w:val="center"/>
                </w:tcPr>
                <w:p>
                  <w:pPr>
                    <w:pStyle w:val="69"/>
                    <w:rPr>
                      <w:color w:val="auto"/>
                    </w:rPr>
                  </w:pPr>
                  <w:r>
                    <w:rPr>
                      <w:rFonts w:hint="eastAsia"/>
                      <w:color w:val="auto"/>
                    </w:rPr>
                    <w:t>200</w:t>
                  </w:r>
                </w:p>
              </w:tc>
              <w:tc>
                <w:tcPr>
                  <w:tcW w:w="964" w:type="pct"/>
                  <w:vMerge w:val="continue"/>
                  <w:noWrap w:val="0"/>
                  <w:vAlign w:val="center"/>
                </w:tcPr>
                <w:p>
                  <w:pPr>
                    <w:pStyle w:val="69"/>
                    <w:rPr>
                      <w:rFonts w:hint="eastAsia"/>
                      <w:color w:val="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trPr>
              <w:tc>
                <w:tcPr>
                  <w:tcW w:w="558" w:type="pct"/>
                  <w:vMerge w:val="continue"/>
                  <w:noWrap w:val="0"/>
                  <w:vAlign w:val="center"/>
                </w:tcPr>
                <w:p>
                  <w:pPr>
                    <w:pStyle w:val="69"/>
                    <w:rPr>
                      <w:rFonts w:hint="eastAsia"/>
                      <w:color w:val="auto"/>
                    </w:rPr>
                  </w:pPr>
                </w:p>
              </w:tc>
              <w:tc>
                <w:tcPr>
                  <w:tcW w:w="1377" w:type="pct"/>
                  <w:noWrap w:val="0"/>
                  <w:vAlign w:val="center"/>
                </w:tcPr>
                <w:p>
                  <w:pPr>
                    <w:pStyle w:val="69"/>
                    <w:rPr>
                      <w:rFonts w:hint="eastAsia"/>
                      <w:color w:val="auto"/>
                    </w:rPr>
                  </w:pPr>
                  <w:r>
                    <w:rPr>
                      <w:rFonts w:hint="eastAsia"/>
                      <w:color w:val="auto"/>
                    </w:rPr>
                    <w:t>学府花园</w:t>
                  </w:r>
                </w:p>
              </w:tc>
              <w:tc>
                <w:tcPr>
                  <w:tcW w:w="898" w:type="pct"/>
                  <w:noWrap w:val="0"/>
                  <w:vAlign w:val="center"/>
                </w:tcPr>
                <w:p>
                  <w:pPr>
                    <w:pStyle w:val="69"/>
                    <w:rPr>
                      <w:color w:val="auto"/>
                    </w:rPr>
                  </w:pPr>
                  <w:r>
                    <w:rPr>
                      <w:color w:val="auto"/>
                    </w:rPr>
                    <w:t>居民区</w:t>
                  </w:r>
                </w:p>
              </w:tc>
              <w:tc>
                <w:tcPr>
                  <w:tcW w:w="380" w:type="pct"/>
                  <w:noWrap w:val="0"/>
                  <w:vAlign w:val="center"/>
                </w:tcPr>
                <w:p>
                  <w:pPr>
                    <w:pStyle w:val="69"/>
                    <w:rPr>
                      <w:color w:val="auto"/>
                    </w:rPr>
                  </w:pPr>
                  <w:r>
                    <w:rPr>
                      <w:rFonts w:hint="eastAsia"/>
                      <w:color w:val="auto"/>
                    </w:rPr>
                    <w:t>1000人</w:t>
                  </w:r>
                </w:p>
              </w:tc>
              <w:tc>
                <w:tcPr>
                  <w:tcW w:w="261" w:type="pct"/>
                  <w:noWrap w:val="0"/>
                  <w:vAlign w:val="center"/>
                </w:tcPr>
                <w:p>
                  <w:pPr>
                    <w:pStyle w:val="69"/>
                    <w:rPr>
                      <w:rFonts w:hint="eastAsia"/>
                      <w:color w:val="auto"/>
                    </w:rPr>
                  </w:pPr>
                  <w:r>
                    <w:rPr>
                      <w:rFonts w:hint="eastAsia"/>
                      <w:color w:val="auto"/>
                    </w:rPr>
                    <w:t>SW</w:t>
                  </w:r>
                </w:p>
              </w:tc>
              <w:tc>
                <w:tcPr>
                  <w:tcW w:w="562" w:type="pct"/>
                  <w:noWrap w:val="0"/>
                  <w:vAlign w:val="center"/>
                </w:tcPr>
                <w:p>
                  <w:pPr>
                    <w:pStyle w:val="69"/>
                    <w:rPr>
                      <w:color w:val="auto"/>
                    </w:rPr>
                  </w:pPr>
                  <w:r>
                    <w:rPr>
                      <w:rFonts w:hint="eastAsia"/>
                      <w:color w:val="auto"/>
                    </w:rPr>
                    <w:t>350</w:t>
                  </w:r>
                </w:p>
              </w:tc>
              <w:tc>
                <w:tcPr>
                  <w:tcW w:w="964" w:type="pct"/>
                  <w:vMerge w:val="continue"/>
                  <w:noWrap w:val="0"/>
                  <w:vAlign w:val="center"/>
                </w:tcPr>
                <w:p>
                  <w:pPr>
                    <w:pStyle w:val="69"/>
                    <w:rPr>
                      <w:rFonts w:hint="eastAsia"/>
                      <w:color w:val="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trPr>
              <w:tc>
                <w:tcPr>
                  <w:tcW w:w="558" w:type="pct"/>
                  <w:vMerge w:val="continue"/>
                  <w:noWrap w:val="0"/>
                  <w:vAlign w:val="center"/>
                </w:tcPr>
                <w:p>
                  <w:pPr>
                    <w:pStyle w:val="69"/>
                    <w:rPr>
                      <w:rFonts w:hint="eastAsia"/>
                      <w:color w:val="auto"/>
                    </w:rPr>
                  </w:pPr>
                </w:p>
              </w:tc>
              <w:tc>
                <w:tcPr>
                  <w:tcW w:w="1377" w:type="pct"/>
                  <w:noWrap w:val="0"/>
                  <w:vAlign w:val="center"/>
                </w:tcPr>
                <w:p>
                  <w:pPr>
                    <w:pStyle w:val="69"/>
                    <w:rPr>
                      <w:color w:val="auto"/>
                    </w:rPr>
                  </w:pPr>
                  <w:r>
                    <w:rPr>
                      <w:rFonts w:hint="eastAsia"/>
                      <w:color w:val="auto"/>
                    </w:rPr>
                    <w:t>乐山肖坝旅游车站</w:t>
                  </w:r>
                </w:p>
              </w:tc>
              <w:tc>
                <w:tcPr>
                  <w:tcW w:w="898" w:type="pct"/>
                  <w:noWrap w:val="0"/>
                  <w:vAlign w:val="center"/>
                </w:tcPr>
                <w:p>
                  <w:pPr>
                    <w:pStyle w:val="69"/>
                    <w:rPr>
                      <w:color w:val="auto"/>
                    </w:rPr>
                  </w:pPr>
                  <w:r>
                    <w:rPr>
                      <w:color w:val="auto"/>
                    </w:rPr>
                    <w:t>居民活动</w:t>
                  </w:r>
                </w:p>
                <w:p>
                  <w:pPr>
                    <w:pStyle w:val="69"/>
                    <w:rPr>
                      <w:color w:val="auto"/>
                    </w:rPr>
                  </w:pPr>
                  <w:r>
                    <w:rPr>
                      <w:color w:val="auto"/>
                    </w:rPr>
                    <w:t>区域</w:t>
                  </w:r>
                </w:p>
              </w:tc>
              <w:tc>
                <w:tcPr>
                  <w:tcW w:w="380" w:type="pct"/>
                  <w:noWrap w:val="0"/>
                  <w:vAlign w:val="center"/>
                </w:tcPr>
                <w:p>
                  <w:pPr>
                    <w:pStyle w:val="69"/>
                    <w:rPr>
                      <w:color w:val="auto"/>
                    </w:rPr>
                  </w:pPr>
                  <w:r>
                    <w:rPr>
                      <w:rFonts w:hint="eastAsia"/>
                      <w:color w:val="auto"/>
                    </w:rPr>
                    <w:t>2000</w:t>
                  </w:r>
                  <w:r>
                    <w:rPr>
                      <w:color w:val="auto"/>
                    </w:rPr>
                    <w:t>人</w:t>
                  </w:r>
                </w:p>
              </w:tc>
              <w:tc>
                <w:tcPr>
                  <w:tcW w:w="261" w:type="pct"/>
                  <w:noWrap w:val="0"/>
                  <w:vAlign w:val="center"/>
                </w:tcPr>
                <w:p>
                  <w:pPr>
                    <w:pStyle w:val="69"/>
                    <w:rPr>
                      <w:color w:val="auto"/>
                    </w:rPr>
                  </w:pPr>
                  <w:r>
                    <w:rPr>
                      <w:color w:val="auto"/>
                    </w:rPr>
                    <w:t>SE</w:t>
                  </w:r>
                </w:p>
              </w:tc>
              <w:tc>
                <w:tcPr>
                  <w:tcW w:w="562" w:type="pct"/>
                  <w:noWrap w:val="0"/>
                  <w:vAlign w:val="center"/>
                </w:tcPr>
                <w:p>
                  <w:pPr>
                    <w:pStyle w:val="69"/>
                    <w:rPr>
                      <w:color w:val="auto"/>
                    </w:rPr>
                  </w:pPr>
                  <w:r>
                    <w:rPr>
                      <w:rFonts w:hint="eastAsia"/>
                      <w:color w:val="auto"/>
                    </w:rPr>
                    <w:t>400</w:t>
                  </w:r>
                </w:p>
              </w:tc>
              <w:tc>
                <w:tcPr>
                  <w:tcW w:w="964" w:type="pct"/>
                  <w:vMerge w:val="continue"/>
                  <w:noWrap w:val="0"/>
                  <w:vAlign w:val="center"/>
                </w:tcPr>
                <w:p>
                  <w:pPr>
                    <w:pStyle w:val="69"/>
                    <w:rPr>
                      <w:rFonts w:hint="eastAsia"/>
                      <w:color w:val="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trPr>
              <w:tc>
                <w:tcPr>
                  <w:tcW w:w="558" w:type="pct"/>
                  <w:vMerge w:val="restart"/>
                  <w:noWrap w:val="0"/>
                  <w:vAlign w:val="center"/>
                </w:tcPr>
                <w:p>
                  <w:pPr>
                    <w:pStyle w:val="69"/>
                    <w:rPr>
                      <w:color w:val="auto"/>
                    </w:rPr>
                  </w:pPr>
                  <w:r>
                    <w:rPr>
                      <w:color w:val="auto"/>
                    </w:rPr>
                    <w:t>地表水环境</w:t>
                  </w:r>
                </w:p>
              </w:tc>
              <w:tc>
                <w:tcPr>
                  <w:tcW w:w="1377" w:type="pct"/>
                  <w:noWrap w:val="0"/>
                  <w:vAlign w:val="center"/>
                </w:tcPr>
                <w:p>
                  <w:pPr>
                    <w:pStyle w:val="69"/>
                    <w:rPr>
                      <w:rFonts w:hint="eastAsia"/>
                      <w:color w:val="auto"/>
                    </w:rPr>
                  </w:pPr>
                  <w:r>
                    <w:rPr>
                      <w:rFonts w:hint="eastAsia"/>
                      <w:color w:val="auto"/>
                    </w:rPr>
                    <w:t>大渡河</w:t>
                  </w:r>
                </w:p>
              </w:tc>
              <w:tc>
                <w:tcPr>
                  <w:tcW w:w="898" w:type="pct"/>
                  <w:noWrap w:val="0"/>
                  <w:vAlign w:val="center"/>
                </w:tcPr>
                <w:p>
                  <w:pPr>
                    <w:pStyle w:val="69"/>
                    <w:rPr>
                      <w:rFonts w:hint="eastAsia"/>
                      <w:color w:val="auto"/>
                    </w:rPr>
                  </w:pPr>
                  <w:r>
                    <w:rPr>
                      <w:rFonts w:hint="eastAsia"/>
                      <w:color w:val="auto"/>
                    </w:rPr>
                    <w:t>受纳水体</w:t>
                  </w:r>
                </w:p>
              </w:tc>
              <w:tc>
                <w:tcPr>
                  <w:tcW w:w="380" w:type="pct"/>
                  <w:noWrap w:val="0"/>
                  <w:vAlign w:val="center"/>
                </w:tcPr>
                <w:p>
                  <w:pPr>
                    <w:pStyle w:val="69"/>
                    <w:rPr>
                      <w:rFonts w:hint="eastAsia"/>
                      <w:color w:val="auto"/>
                    </w:rPr>
                  </w:pPr>
                  <w:r>
                    <w:rPr>
                      <w:rFonts w:hint="eastAsia"/>
                      <w:color w:val="auto"/>
                    </w:rPr>
                    <w:t>大河</w:t>
                  </w:r>
                </w:p>
              </w:tc>
              <w:tc>
                <w:tcPr>
                  <w:tcW w:w="261" w:type="pct"/>
                  <w:noWrap w:val="0"/>
                  <w:vAlign w:val="center"/>
                </w:tcPr>
                <w:p>
                  <w:pPr>
                    <w:pStyle w:val="69"/>
                    <w:rPr>
                      <w:color w:val="auto"/>
                    </w:rPr>
                  </w:pPr>
                  <w:r>
                    <w:rPr>
                      <w:rFonts w:hint="eastAsia"/>
                      <w:color w:val="auto"/>
                    </w:rPr>
                    <w:t>S</w:t>
                  </w:r>
                </w:p>
              </w:tc>
              <w:tc>
                <w:tcPr>
                  <w:tcW w:w="562" w:type="pct"/>
                  <w:noWrap w:val="0"/>
                  <w:vAlign w:val="center"/>
                </w:tcPr>
                <w:p>
                  <w:pPr>
                    <w:pStyle w:val="69"/>
                    <w:rPr>
                      <w:color w:val="auto"/>
                    </w:rPr>
                  </w:pPr>
                  <w:r>
                    <w:rPr>
                      <w:rFonts w:hint="eastAsia"/>
                      <w:color w:val="auto"/>
                    </w:rPr>
                    <w:t>400</w:t>
                  </w:r>
                </w:p>
              </w:tc>
              <w:tc>
                <w:tcPr>
                  <w:tcW w:w="964" w:type="pct"/>
                  <w:vMerge w:val="restart"/>
                  <w:noWrap w:val="0"/>
                  <w:vAlign w:val="center"/>
                </w:tcPr>
                <w:p>
                  <w:pPr>
                    <w:pStyle w:val="69"/>
                    <w:rPr>
                      <w:color w:val="auto"/>
                    </w:rPr>
                  </w:pPr>
                  <w:r>
                    <w:rPr>
                      <w:color w:val="auto"/>
                    </w:rPr>
                    <w:t>达到《地表水环境质量标</w:t>
                  </w:r>
                </w:p>
                <w:p>
                  <w:pPr>
                    <w:pStyle w:val="69"/>
                    <w:rPr>
                      <w:color w:val="auto"/>
                    </w:rPr>
                  </w:pPr>
                  <w:r>
                    <w:rPr>
                      <w:color w:val="auto"/>
                    </w:rPr>
                    <w:t>准》（GB3838-2002）中</w:t>
                  </w:r>
                  <w:r>
                    <w:rPr>
                      <w:color w:val="auto"/>
                    </w:rPr>
                    <w:fldChar w:fldCharType="begin"/>
                  </w:r>
                  <w:r>
                    <w:rPr>
                      <w:color w:val="auto"/>
                    </w:rPr>
                    <w:instrText xml:space="preserve"> = 3 \* ROMAN \* MERGEFORMAT </w:instrText>
                  </w:r>
                  <w:r>
                    <w:rPr>
                      <w:color w:val="auto"/>
                    </w:rPr>
                    <w:fldChar w:fldCharType="separate"/>
                  </w:r>
                  <w:r>
                    <w:rPr>
                      <w:color w:val="auto"/>
                    </w:rPr>
                    <w:t>III</w:t>
                  </w:r>
                  <w:r>
                    <w:rPr>
                      <w:color w:val="auto"/>
                    </w:rPr>
                    <w:fldChar w:fldCharType="end"/>
                  </w:r>
                </w:p>
                <w:p>
                  <w:pPr>
                    <w:pStyle w:val="69"/>
                    <w:rPr>
                      <w:rFonts w:hint="eastAsia"/>
                      <w:color w:val="auto"/>
                    </w:rPr>
                  </w:pPr>
                  <w:r>
                    <w:rPr>
                      <w:color w:val="auto"/>
                    </w:rPr>
                    <w:t>类标准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trPr>
              <w:tc>
                <w:tcPr>
                  <w:tcW w:w="558" w:type="pct"/>
                  <w:vMerge w:val="continue"/>
                  <w:noWrap w:val="0"/>
                  <w:vAlign w:val="center"/>
                </w:tcPr>
                <w:p>
                  <w:pPr>
                    <w:pStyle w:val="69"/>
                    <w:rPr>
                      <w:color w:val="auto"/>
                    </w:rPr>
                  </w:pPr>
                </w:p>
              </w:tc>
              <w:tc>
                <w:tcPr>
                  <w:tcW w:w="1377" w:type="pct"/>
                  <w:noWrap w:val="0"/>
                  <w:vAlign w:val="center"/>
                </w:tcPr>
                <w:p>
                  <w:pPr>
                    <w:pStyle w:val="69"/>
                    <w:rPr>
                      <w:rFonts w:hint="eastAsia"/>
                      <w:color w:val="auto"/>
                    </w:rPr>
                  </w:pPr>
                  <w:r>
                    <w:rPr>
                      <w:rFonts w:hint="eastAsia"/>
                      <w:color w:val="auto"/>
                    </w:rPr>
                    <w:t>岷江</w:t>
                  </w:r>
                </w:p>
              </w:tc>
              <w:tc>
                <w:tcPr>
                  <w:tcW w:w="898" w:type="pct"/>
                  <w:noWrap w:val="0"/>
                  <w:vAlign w:val="center"/>
                </w:tcPr>
                <w:p>
                  <w:pPr>
                    <w:pStyle w:val="69"/>
                    <w:rPr>
                      <w:color w:val="auto"/>
                    </w:rPr>
                  </w:pPr>
                  <w:r>
                    <w:rPr>
                      <w:rFonts w:hint="eastAsia"/>
                      <w:color w:val="auto"/>
                    </w:rPr>
                    <w:t>受纳水体</w:t>
                  </w:r>
                </w:p>
              </w:tc>
              <w:tc>
                <w:tcPr>
                  <w:tcW w:w="380" w:type="pct"/>
                  <w:noWrap w:val="0"/>
                  <w:vAlign w:val="center"/>
                </w:tcPr>
                <w:p>
                  <w:pPr>
                    <w:pStyle w:val="69"/>
                    <w:rPr>
                      <w:rFonts w:hint="eastAsia"/>
                      <w:color w:val="auto"/>
                    </w:rPr>
                  </w:pPr>
                  <w:r>
                    <w:rPr>
                      <w:rFonts w:hint="eastAsia"/>
                      <w:color w:val="auto"/>
                    </w:rPr>
                    <w:t>大河</w:t>
                  </w:r>
                </w:p>
              </w:tc>
              <w:tc>
                <w:tcPr>
                  <w:tcW w:w="261" w:type="pct"/>
                  <w:noWrap w:val="0"/>
                  <w:vAlign w:val="center"/>
                </w:tcPr>
                <w:p>
                  <w:pPr>
                    <w:pStyle w:val="69"/>
                    <w:rPr>
                      <w:rFonts w:hint="eastAsia"/>
                      <w:color w:val="auto"/>
                    </w:rPr>
                  </w:pPr>
                  <w:r>
                    <w:rPr>
                      <w:rFonts w:hint="eastAsia"/>
                      <w:color w:val="auto"/>
                    </w:rPr>
                    <w:t>E</w:t>
                  </w:r>
                </w:p>
              </w:tc>
              <w:tc>
                <w:tcPr>
                  <w:tcW w:w="562" w:type="pct"/>
                  <w:noWrap w:val="0"/>
                  <w:vAlign w:val="center"/>
                </w:tcPr>
                <w:p>
                  <w:pPr>
                    <w:pStyle w:val="69"/>
                    <w:rPr>
                      <w:color w:val="auto"/>
                    </w:rPr>
                  </w:pPr>
                  <w:r>
                    <w:rPr>
                      <w:rFonts w:hint="eastAsia"/>
                      <w:color w:val="auto"/>
                    </w:rPr>
                    <w:t>3.5km</w:t>
                  </w:r>
                </w:p>
              </w:tc>
              <w:tc>
                <w:tcPr>
                  <w:tcW w:w="964" w:type="pct"/>
                  <w:vMerge w:val="continue"/>
                  <w:noWrap w:val="0"/>
                  <w:vAlign w:val="center"/>
                </w:tcPr>
                <w:p>
                  <w:pPr>
                    <w:pStyle w:val="69"/>
                    <w:rPr>
                      <w:color w:val="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trPr>
              <w:tc>
                <w:tcPr>
                  <w:tcW w:w="558" w:type="pct"/>
                  <w:vMerge w:val="restart"/>
                  <w:noWrap w:val="0"/>
                  <w:vAlign w:val="center"/>
                </w:tcPr>
                <w:p>
                  <w:pPr>
                    <w:pStyle w:val="69"/>
                    <w:rPr>
                      <w:rFonts w:hint="eastAsia"/>
                      <w:color w:val="auto"/>
                    </w:rPr>
                  </w:pPr>
                  <w:r>
                    <w:rPr>
                      <w:rFonts w:hint="eastAsia"/>
                      <w:color w:val="auto"/>
                    </w:rPr>
                    <w:t>声环境</w:t>
                  </w:r>
                </w:p>
              </w:tc>
              <w:tc>
                <w:tcPr>
                  <w:tcW w:w="1377" w:type="pct"/>
                  <w:noWrap w:val="0"/>
                  <w:vAlign w:val="center"/>
                </w:tcPr>
                <w:p>
                  <w:pPr>
                    <w:pStyle w:val="69"/>
                    <w:rPr>
                      <w:rFonts w:hint="eastAsia"/>
                      <w:color w:val="auto"/>
                    </w:rPr>
                  </w:pPr>
                  <w:r>
                    <w:rPr>
                      <w:rFonts w:hint="eastAsia"/>
                      <w:color w:val="auto"/>
                    </w:rPr>
                    <w:t>满芳庭锦邻</w:t>
                  </w:r>
                </w:p>
              </w:tc>
              <w:tc>
                <w:tcPr>
                  <w:tcW w:w="898" w:type="pct"/>
                  <w:noWrap w:val="0"/>
                  <w:vAlign w:val="center"/>
                </w:tcPr>
                <w:p>
                  <w:pPr>
                    <w:pStyle w:val="69"/>
                    <w:rPr>
                      <w:color w:val="auto"/>
                    </w:rPr>
                  </w:pPr>
                  <w:r>
                    <w:rPr>
                      <w:color w:val="auto"/>
                    </w:rPr>
                    <w:t>居民区</w:t>
                  </w:r>
                </w:p>
              </w:tc>
              <w:tc>
                <w:tcPr>
                  <w:tcW w:w="380" w:type="pct"/>
                  <w:noWrap w:val="0"/>
                  <w:vAlign w:val="center"/>
                </w:tcPr>
                <w:p>
                  <w:pPr>
                    <w:pStyle w:val="69"/>
                    <w:rPr>
                      <w:color w:val="auto"/>
                    </w:rPr>
                  </w:pPr>
                  <w:r>
                    <w:rPr>
                      <w:rFonts w:hint="eastAsia"/>
                      <w:color w:val="auto"/>
                    </w:rPr>
                    <w:t>100</w:t>
                  </w:r>
                  <w:r>
                    <w:rPr>
                      <w:color w:val="auto"/>
                    </w:rPr>
                    <w:t>人</w:t>
                  </w:r>
                </w:p>
              </w:tc>
              <w:tc>
                <w:tcPr>
                  <w:tcW w:w="261" w:type="pct"/>
                  <w:noWrap w:val="0"/>
                  <w:vAlign w:val="center"/>
                </w:tcPr>
                <w:p>
                  <w:pPr>
                    <w:pStyle w:val="69"/>
                    <w:rPr>
                      <w:rFonts w:hint="eastAsia"/>
                      <w:color w:val="auto"/>
                    </w:rPr>
                  </w:pPr>
                  <w:r>
                    <w:rPr>
                      <w:rFonts w:hint="eastAsia"/>
                      <w:color w:val="auto"/>
                    </w:rPr>
                    <w:t>N</w:t>
                  </w:r>
                </w:p>
              </w:tc>
              <w:tc>
                <w:tcPr>
                  <w:tcW w:w="562" w:type="pct"/>
                  <w:noWrap w:val="0"/>
                  <w:vAlign w:val="center"/>
                </w:tcPr>
                <w:p>
                  <w:pPr>
                    <w:pStyle w:val="69"/>
                    <w:rPr>
                      <w:rFonts w:hint="eastAsia"/>
                      <w:color w:val="auto"/>
                    </w:rPr>
                  </w:pPr>
                  <w:r>
                    <w:rPr>
                      <w:rFonts w:hint="eastAsia"/>
                      <w:color w:val="auto"/>
                    </w:rPr>
                    <w:t>紧邻</w:t>
                  </w:r>
                </w:p>
              </w:tc>
              <w:tc>
                <w:tcPr>
                  <w:tcW w:w="964" w:type="pct"/>
                  <w:vMerge w:val="restart"/>
                  <w:noWrap w:val="0"/>
                  <w:vAlign w:val="center"/>
                </w:tcPr>
                <w:p>
                  <w:pPr>
                    <w:pStyle w:val="69"/>
                    <w:rPr>
                      <w:color w:val="auto"/>
                    </w:rPr>
                  </w:pPr>
                  <w:r>
                    <w:rPr>
                      <w:color w:val="auto"/>
                    </w:rPr>
                    <w:t>《声环境质量标准》GB3096-2008中2类功能区标准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trPr>
              <w:tc>
                <w:tcPr>
                  <w:tcW w:w="558" w:type="pct"/>
                  <w:vMerge w:val="continue"/>
                  <w:noWrap w:val="0"/>
                  <w:vAlign w:val="center"/>
                </w:tcPr>
                <w:p>
                  <w:pPr>
                    <w:pStyle w:val="69"/>
                    <w:rPr>
                      <w:rFonts w:hint="eastAsia"/>
                      <w:color w:val="auto"/>
                    </w:rPr>
                  </w:pPr>
                </w:p>
              </w:tc>
              <w:tc>
                <w:tcPr>
                  <w:tcW w:w="1377" w:type="pct"/>
                  <w:noWrap w:val="0"/>
                  <w:vAlign w:val="center"/>
                </w:tcPr>
                <w:p>
                  <w:pPr>
                    <w:pStyle w:val="69"/>
                    <w:rPr>
                      <w:rFonts w:hint="eastAsia"/>
                      <w:color w:val="auto"/>
                    </w:rPr>
                  </w:pPr>
                  <w:r>
                    <w:rPr>
                      <w:rFonts w:hint="eastAsia"/>
                      <w:color w:val="auto"/>
                    </w:rPr>
                    <w:t>花城小区</w:t>
                  </w:r>
                </w:p>
              </w:tc>
              <w:tc>
                <w:tcPr>
                  <w:tcW w:w="898" w:type="pct"/>
                  <w:noWrap w:val="0"/>
                  <w:vAlign w:val="center"/>
                </w:tcPr>
                <w:p>
                  <w:pPr>
                    <w:pStyle w:val="69"/>
                    <w:rPr>
                      <w:color w:val="auto"/>
                    </w:rPr>
                  </w:pPr>
                  <w:r>
                    <w:rPr>
                      <w:color w:val="auto"/>
                    </w:rPr>
                    <w:t>居民区</w:t>
                  </w:r>
                </w:p>
              </w:tc>
              <w:tc>
                <w:tcPr>
                  <w:tcW w:w="380" w:type="pct"/>
                  <w:noWrap w:val="0"/>
                  <w:vAlign w:val="center"/>
                </w:tcPr>
                <w:p>
                  <w:pPr>
                    <w:pStyle w:val="69"/>
                    <w:rPr>
                      <w:color w:val="auto"/>
                    </w:rPr>
                  </w:pPr>
                  <w:r>
                    <w:rPr>
                      <w:rFonts w:hint="eastAsia"/>
                      <w:color w:val="auto"/>
                    </w:rPr>
                    <w:t>200</w:t>
                  </w:r>
                  <w:r>
                    <w:rPr>
                      <w:color w:val="auto"/>
                    </w:rPr>
                    <w:t>人</w:t>
                  </w:r>
                </w:p>
              </w:tc>
              <w:tc>
                <w:tcPr>
                  <w:tcW w:w="261" w:type="pct"/>
                  <w:noWrap w:val="0"/>
                  <w:vAlign w:val="center"/>
                </w:tcPr>
                <w:p>
                  <w:pPr>
                    <w:pStyle w:val="69"/>
                    <w:rPr>
                      <w:rFonts w:hint="eastAsia"/>
                      <w:color w:val="auto"/>
                    </w:rPr>
                  </w:pPr>
                  <w:r>
                    <w:rPr>
                      <w:color w:val="auto"/>
                    </w:rPr>
                    <w:t>E</w:t>
                  </w:r>
                </w:p>
              </w:tc>
              <w:tc>
                <w:tcPr>
                  <w:tcW w:w="562" w:type="pct"/>
                  <w:noWrap w:val="0"/>
                  <w:vAlign w:val="center"/>
                </w:tcPr>
                <w:p>
                  <w:pPr>
                    <w:pStyle w:val="69"/>
                    <w:rPr>
                      <w:color w:val="auto"/>
                    </w:rPr>
                  </w:pPr>
                  <w:r>
                    <w:rPr>
                      <w:rFonts w:hint="eastAsia"/>
                      <w:color w:val="auto"/>
                    </w:rPr>
                    <w:t>50</w:t>
                  </w:r>
                </w:p>
              </w:tc>
              <w:tc>
                <w:tcPr>
                  <w:tcW w:w="964" w:type="pct"/>
                  <w:vMerge w:val="continue"/>
                  <w:noWrap w:val="0"/>
                  <w:vAlign w:val="center"/>
                </w:tcPr>
                <w:p>
                  <w:pPr>
                    <w:pStyle w:val="69"/>
                    <w:rPr>
                      <w:color w:val="auto"/>
                    </w:rPr>
                  </w:pPr>
                </w:p>
              </w:tc>
            </w:tr>
          </w:tbl>
          <w:p>
            <w:pPr>
              <w:pStyle w:val="17"/>
              <w:ind w:left="0" w:leftChars="0" w:right="1680" w:firstLine="0" w:firstLineChars="0"/>
              <w:rPr>
                <w:color w:val="auto"/>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104" w:hRule="atLeast"/>
          <w:jc w:val="center"/>
        </w:trPr>
        <w:tc>
          <w:tcPr>
            <w:tcW w:w="456" w:type="dxa"/>
            <w:noWrap w:val="0"/>
            <w:tcMar>
              <w:left w:w="28" w:type="dxa"/>
              <w:right w:w="28" w:type="dxa"/>
            </w:tcMar>
            <w:vAlign w:val="center"/>
          </w:tcPr>
          <w:p>
            <w:pPr>
              <w:ind w:firstLine="0" w:firstLineChars="0"/>
              <w:jc w:val="center"/>
              <w:rPr>
                <w:rFonts w:hint="eastAsia" w:ascii="宋体" w:hAnsi="宋体" w:cs="宋体"/>
                <w:color w:val="auto"/>
                <w:kern w:val="0"/>
              </w:rPr>
            </w:pPr>
            <w:r>
              <w:rPr>
                <w:rFonts w:hint="eastAsia" w:ascii="宋体" w:hAnsi="宋体" w:cs="宋体"/>
                <w:color w:val="auto"/>
                <w:kern w:val="0"/>
              </w:rPr>
              <w:t>污染</w:t>
            </w:r>
          </w:p>
          <w:p>
            <w:pPr>
              <w:ind w:firstLine="0" w:firstLineChars="0"/>
              <w:jc w:val="center"/>
              <w:rPr>
                <w:rFonts w:hint="eastAsia" w:ascii="宋体" w:hAnsi="宋体" w:cs="宋体"/>
                <w:color w:val="auto"/>
                <w:kern w:val="0"/>
              </w:rPr>
            </w:pPr>
            <w:r>
              <w:rPr>
                <w:rFonts w:hint="eastAsia" w:ascii="宋体" w:hAnsi="宋体" w:cs="宋体"/>
                <w:color w:val="auto"/>
                <w:kern w:val="0"/>
              </w:rPr>
              <w:t>物排</w:t>
            </w:r>
          </w:p>
          <w:p>
            <w:pPr>
              <w:ind w:firstLine="0" w:firstLineChars="0"/>
              <w:jc w:val="center"/>
              <w:rPr>
                <w:rFonts w:hint="eastAsia" w:ascii="宋体" w:hAnsi="宋体" w:cs="宋体"/>
                <w:color w:val="auto"/>
                <w:kern w:val="0"/>
              </w:rPr>
            </w:pPr>
            <w:r>
              <w:rPr>
                <w:rFonts w:hint="eastAsia" w:ascii="宋体" w:hAnsi="宋体" w:cs="宋体"/>
                <w:color w:val="auto"/>
                <w:kern w:val="0"/>
              </w:rPr>
              <w:t>放控</w:t>
            </w:r>
          </w:p>
          <w:p>
            <w:pPr>
              <w:ind w:firstLine="0" w:firstLineChars="0"/>
              <w:jc w:val="center"/>
              <w:rPr>
                <w:rFonts w:hint="eastAsia" w:ascii="宋体" w:hAnsi="宋体" w:cs="宋体"/>
                <w:color w:val="auto"/>
                <w:kern w:val="0"/>
              </w:rPr>
            </w:pPr>
            <w:r>
              <w:rPr>
                <w:rFonts w:hint="eastAsia" w:ascii="宋体" w:hAnsi="宋体" w:cs="宋体"/>
                <w:color w:val="auto"/>
                <w:kern w:val="0"/>
              </w:rPr>
              <w:t>制标</w:t>
            </w:r>
          </w:p>
          <w:p>
            <w:pPr>
              <w:ind w:firstLine="0" w:firstLineChars="0"/>
              <w:jc w:val="center"/>
              <w:rPr>
                <w:rFonts w:ascii="宋体" w:hAnsi="宋体" w:cs="宋体"/>
                <w:color w:val="auto"/>
                <w:kern w:val="0"/>
              </w:rPr>
            </w:pPr>
            <w:r>
              <w:rPr>
                <w:rFonts w:hint="eastAsia" w:ascii="宋体" w:hAnsi="宋体" w:cs="宋体"/>
                <w:color w:val="auto"/>
                <w:kern w:val="0"/>
              </w:rPr>
              <w:t>准</w:t>
            </w:r>
          </w:p>
        </w:tc>
        <w:tc>
          <w:tcPr>
            <w:tcW w:w="8683" w:type="dxa"/>
            <w:noWrap w:val="0"/>
            <w:vAlign w:val="center"/>
          </w:tcPr>
          <w:p>
            <w:pPr>
              <w:pStyle w:val="5"/>
              <w:rPr>
                <w:color w:val="auto"/>
              </w:rPr>
            </w:pPr>
            <w:r>
              <w:rPr>
                <w:color w:val="auto"/>
              </w:rPr>
              <w:t>一、废气</w:t>
            </w:r>
          </w:p>
          <w:p>
            <w:pPr>
              <w:pStyle w:val="11"/>
              <w:ind w:firstLine="480"/>
              <w:rPr>
                <w:rFonts w:hint="eastAsia"/>
                <w:color w:val="auto"/>
              </w:rPr>
            </w:pPr>
            <w:r>
              <w:rPr>
                <w:rFonts w:hint="eastAsia"/>
                <w:color w:val="auto"/>
              </w:rPr>
              <w:t>废气污染物排放执行《恶臭污染物排放标准》（GB14554-1993）表1标准限值准，标准值见下表。</w:t>
            </w:r>
          </w:p>
          <w:p>
            <w:pPr>
              <w:pStyle w:val="117"/>
              <w:rPr>
                <w:rFonts w:hint="eastAsia"/>
                <w:color w:val="auto"/>
              </w:rPr>
            </w:pPr>
            <w:r>
              <w:rPr>
                <w:color w:val="auto"/>
              </w:rPr>
              <w:t>表 3-</w:t>
            </w:r>
            <w:r>
              <w:rPr>
                <w:rFonts w:hint="eastAsia"/>
                <w:color w:val="auto"/>
              </w:rPr>
              <w:t>6  《恶臭污染物排放标准》（GB14554-1993）  单位：mg/m</w:t>
            </w:r>
            <w:r>
              <w:rPr>
                <w:rFonts w:hint="eastAsia"/>
                <w:color w:val="auto"/>
                <w:vertAlign w:val="superscript"/>
              </w:rPr>
              <w:t>3</w:t>
            </w:r>
            <w:r>
              <w:rPr>
                <w:rFonts w:hint="eastAsia"/>
                <w:color w:val="auto"/>
              </w:rPr>
              <w:t xml:space="preserve"> </w:t>
            </w:r>
          </w:p>
          <w:tbl>
            <w:tblPr>
              <w:tblStyle w:val="38"/>
              <w:tblW w:w="4998" w:type="pct"/>
              <w:tblInd w:w="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951"/>
              <w:gridCol w:w="2583"/>
              <w:gridCol w:w="1961"/>
              <w:gridCol w:w="1964"/>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5" w:hRule="atLeast"/>
              </w:trPr>
              <w:tc>
                <w:tcPr>
                  <w:tcW w:w="1153" w:type="pct"/>
                  <w:tcBorders>
                    <w:top w:val="single" w:color="000000" w:sz="10" w:space="0"/>
                  </w:tcBorders>
                  <w:noWrap w:val="0"/>
                  <w:vAlign w:val="top"/>
                </w:tcPr>
                <w:p>
                  <w:pPr>
                    <w:pStyle w:val="69"/>
                    <w:rPr>
                      <w:rFonts w:hint="eastAsia"/>
                      <w:color w:val="auto"/>
                    </w:rPr>
                  </w:pPr>
                  <w:r>
                    <w:rPr>
                      <w:rFonts w:hint="eastAsia"/>
                      <w:color w:val="auto"/>
                    </w:rPr>
                    <w:t>序号</w:t>
                  </w:r>
                </w:p>
              </w:tc>
              <w:tc>
                <w:tcPr>
                  <w:tcW w:w="1526" w:type="pct"/>
                  <w:tcBorders>
                    <w:top w:val="single" w:color="000000" w:sz="10" w:space="0"/>
                  </w:tcBorders>
                  <w:noWrap w:val="0"/>
                  <w:vAlign w:val="top"/>
                </w:tcPr>
                <w:p>
                  <w:pPr>
                    <w:pStyle w:val="69"/>
                    <w:rPr>
                      <w:rFonts w:hint="eastAsia"/>
                      <w:color w:val="auto"/>
                    </w:rPr>
                  </w:pPr>
                  <w:r>
                    <w:rPr>
                      <w:rFonts w:hint="eastAsia"/>
                      <w:color w:val="auto"/>
                    </w:rPr>
                    <w:t>控制项目</w:t>
                  </w:r>
                </w:p>
              </w:tc>
              <w:tc>
                <w:tcPr>
                  <w:tcW w:w="1159" w:type="pct"/>
                  <w:tcBorders>
                    <w:top w:val="single" w:color="000000" w:sz="10" w:space="0"/>
                  </w:tcBorders>
                  <w:noWrap w:val="0"/>
                  <w:vAlign w:val="top"/>
                </w:tcPr>
                <w:p>
                  <w:pPr>
                    <w:pStyle w:val="69"/>
                    <w:rPr>
                      <w:rFonts w:hint="eastAsia"/>
                      <w:color w:val="auto"/>
                    </w:rPr>
                  </w:pPr>
                  <w:r>
                    <w:rPr>
                      <w:rFonts w:hint="eastAsia"/>
                      <w:color w:val="auto"/>
                    </w:rPr>
                    <w:t>标准值</w:t>
                  </w:r>
                </w:p>
              </w:tc>
              <w:tc>
                <w:tcPr>
                  <w:tcW w:w="1160" w:type="pct"/>
                  <w:tcBorders>
                    <w:top w:val="single" w:color="000000" w:sz="10" w:space="0"/>
                  </w:tcBorders>
                  <w:noWrap w:val="0"/>
                  <w:vAlign w:val="top"/>
                </w:tcPr>
                <w:p>
                  <w:pPr>
                    <w:pStyle w:val="69"/>
                    <w:rPr>
                      <w:rFonts w:hint="eastAsia"/>
                      <w:color w:val="auto"/>
                    </w:rPr>
                  </w:pPr>
                  <w:r>
                    <w:rPr>
                      <w:rFonts w:hint="eastAsia"/>
                      <w:color w:val="auto"/>
                    </w:rPr>
                    <w:t>备注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1153" w:type="pct"/>
                  <w:noWrap w:val="0"/>
                  <w:vAlign w:val="top"/>
                </w:tcPr>
                <w:p>
                  <w:pPr>
                    <w:pStyle w:val="69"/>
                    <w:rPr>
                      <w:rFonts w:hint="eastAsia"/>
                      <w:color w:val="auto"/>
                    </w:rPr>
                  </w:pPr>
                  <w:r>
                    <w:rPr>
                      <w:rFonts w:hint="eastAsia"/>
                      <w:color w:val="auto"/>
                    </w:rPr>
                    <w:t>1</w:t>
                  </w:r>
                </w:p>
              </w:tc>
              <w:tc>
                <w:tcPr>
                  <w:tcW w:w="1526" w:type="pct"/>
                  <w:noWrap w:val="0"/>
                  <w:vAlign w:val="top"/>
                </w:tcPr>
                <w:p>
                  <w:pPr>
                    <w:pStyle w:val="69"/>
                    <w:rPr>
                      <w:rFonts w:hint="eastAsia"/>
                      <w:color w:val="auto"/>
                    </w:rPr>
                  </w:pPr>
                  <w:r>
                    <w:rPr>
                      <w:rFonts w:hint="eastAsia"/>
                      <w:color w:val="auto"/>
                    </w:rPr>
                    <w:t>氨</w:t>
                  </w:r>
                </w:p>
              </w:tc>
              <w:tc>
                <w:tcPr>
                  <w:tcW w:w="1159" w:type="pct"/>
                  <w:noWrap w:val="0"/>
                  <w:vAlign w:val="top"/>
                </w:tcPr>
                <w:p>
                  <w:pPr>
                    <w:pStyle w:val="69"/>
                    <w:rPr>
                      <w:color w:val="auto"/>
                    </w:rPr>
                  </w:pPr>
                  <w:r>
                    <w:rPr>
                      <w:rFonts w:hint="eastAsia"/>
                      <w:color w:val="auto"/>
                    </w:rPr>
                    <w:t>1.5</w:t>
                  </w:r>
                </w:p>
              </w:tc>
              <w:tc>
                <w:tcPr>
                  <w:tcW w:w="1160" w:type="pct"/>
                  <w:vMerge w:val="restart"/>
                  <w:noWrap w:val="0"/>
                  <w:vAlign w:val="top"/>
                </w:tcPr>
                <w:p>
                  <w:pPr>
                    <w:pStyle w:val="69"/>
                    <w:rPr>
                      <w:rFonts w:hint="eastAsia"/>
                      <w:color w:val="auto"/>
                    </w:rPr>
                  </w:pPr>
                  <w:r>
                    <w:rPr>
                      <w:rFonts w:hint="eastAsia"/>
                      <w:color w:val="auto"/>
                    </w:rPr>
                    <w:t>《恶臭污染物排放标准》（GB14554-1993）表1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1153" w:type="pct"/>
                  <w:noWrap w:val="0"/>
                  <w:vAlign w:val="top"/>
                </w:tcPr>
                <w:p>
                  <w:pPr>
                    <w:pStyle w:val="69"/>
                    <w:rPr>
                      <w:rFonts w:hint="eastAsia"/>
                      <w:color w:val="auto"/>
                    </w:rPr>
                  </w:pPr>
                  <w:r>
                    <w:rPr>
                      <w:rFonts w:hint="eastAsia"/>
                      <w:color w:val="auto"/>
                    </w:rPr>
                    <w:t>2</w:t>
                  </w:r>
                </w:p>
              </w:tc>
              <w:tc>
                <w:tcPr>
                  <w:tcW w:w="1526" w:type="pct"/>
                  <w:noWrap w:val="0"/>
                  <w:vAlign w:val="top"/>
                </w:tcPr>
                <w:p>
                  <w:pPr>
                    <w:pStyle w:val="69"/>
                    <w:rPr>
                      <w:rFonts w:hint="eastAsia"/>
                      <w:color w:val="auto"/>
                    </w:rPr>
                  </w:pPr>
                  <w:r>
                    <w:rPr>
                      <w:rFonts w:hint="eastAsia"/>
                      <w:color w:val="auto"/>
                    </w:rPr>
                    <w:t>硫化氢</w:t>
                  </w:r>
                </w:p>
              </w:tc>
              <w:tc>
                <w:tcPr>
                  <w:tcW w:w="1159" w:type="pct"/>
                  <w:noWrap w:val="0"/>
                  <w:vAlign w:val="top"/>
                </w:tcPr>
                <w:p>
                  <w:pPr>
                    <w:pStyle w:val="69"/>
                    <w:rPr>
                      <w:rFonts w:hint="eastAsia"/>
                      <w:color w:val="auto"/>
                    </w:rPr>
                  </w:pPr>
                  <w:r>
                    <w:rPr>
                      <w:rFonts w:hint="eastAsia"/>
                      <w:color w:val="auto"/>
                    </w:rPr>
                    <w:t>0.06</w:t>
                  </w:r>
                </w:p>
              </w:tc>
              <w:tc>
                <w:tcPr>
                  <w:tcW w:w="1160" w:type="pct"/>
                  <w:vMerge w:val="continue"/>
                  <w:noWrap w:val="0"/>
                  <w:vAlign w:val="top"/>
                </w:tcPr>
                <w:p>
                  <w:pPr>
                    <w:pStyle w:val="69"/>
                    <w:rPr>
                      <w:rFonts w:hint="eastAsia"/>
                      <w:color w:val="auto"/>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1153" w:type="pct"/>
                  <w:noWrap w:val="0"/>
                  <w:vAlign w:val="top"/>
                </w:tcPr>
                <w:p>
                  <w:pPr>
                    <w:pStyle w:val="69"/>
                    <w:rPr>
                      <w:rFonts w:hint="eastAsia"/>
                      <w:color w:val="auto"/>
                    </w:rPr>
                  </w:pPr>
                  <w:r>
                    <w:rPr>
                      <w:rFonts w:hint="eastAsia"/>
                      <w:color w:val="auto"/>
                    </w:rPr>
                    <w:t>3</w:t>
                  </w:r>
                </w:p>
              </w:tc>
              <w:tc>
                <w:tcPr>
                  <w:tcW w:w="1526" w:type="pct"/>
                  <w:noWrap w:val="0"/>
                  <w:vAlign w:val="top"/>
                </w:tcPr>
                <w:p>
                  <w:pPr>
                    <w:pStyle w:val="69"/>
                    <w:rPr>
                      <w:rFonts w:hint="eastAsia"/>
                      <w:color w:val="auto"/>
                    </w:rPr>
                  </w:pPr>
                  <w:r>
                    <w:rPr>
                      <w:rFonts w:hint="eastAsia"/>
                      <w:color w:val="auto"/>
                    </w:rPr>
                    <w:t>臭气浓度</w:t>
                  </w:r>
                </w:p>
              </w:tc>
              <w:tc>
                <w:tcPr>
                  <w:tcW w:w="1159" w:type="pct"/>
                  <w:noWrap w:val="0"/>
                  <w:vAlign w:val="top"/>
                </w:tcPr>
                <w:p>
                  <w:pPr>
                    <w:pStyle w:val="69"/>
                    <w:rPr>
                      <w:rFonts w:hint="eastAsia"/>
                      <w:color w:val="auto"/>
                    </w:rPr>
                  </w:pPr>
                  <w:r>
                    <w:rPr>
                      <w:rFonts w:hint="eastAsia"/>
                      <w:color w:val="auto"/>
                    </w:rPr>
                    <w:t>无量纲</w:t>
                  </w:r>
                </w:p>
              </w:tc>
              <w:tc>
                <w:tcPr>
                  <w:tcW w:w="1160" w:type="pct"/>
                  <w:vMerge w:val="continue"/>
                  <w:noWrap w:val="0"/>
                  <w:vAlign w:val="top"/>
                </w:tcPr>
                <w:p>
                  <w:pPr>
                    <w:pStyle w:val="69"/>
                    <w:rPr>
                      <w:rFonts w:hint="eastAsia"/>
                      <w:color w:val="auto"/>
                    </w:rPr>
                  </w:pPr>
                </w:p>
              </w:tc>
            </w:tr>
          </w:tbl>
          <w:p>
            <w:pPr>
              <w:pStyle w:val="5"/>
              <w:rPr>
                <w:color w:val="auto"/>
              </w:rPr>
            </w:pPr>
            <w:r>
              <w:rPr>
                <w:color w:val="auto"/>
              </w:rPr>
              <w:t>二、废水</w:t>
            </w:r>
          </w:p>
          <w:p>
            <w:pPr>
              <w:pStyle w:val="11"/>
              <w:adjustRightInd/>
              <w:snapToGrid/>
              <w:ind w:firstLine="480"/>
              <w:rPr>
                <w:rFonts w:hint="eastAsia"/>
                <w:color w:val="auto"/>
                <w:kern w:val="2"/>
                <w:szCs w:val="24"/>
              </w:rPr>
            </w:pPr>
            <w:r>
              <w:rPr>
                <w:rFonts w:hint="eastAsia"/>
                <w:color w:val="auto"/>
                <w:kern w:val="2"/>
                <w:szCs w:val="24"/>
              </w:rPr>
              <w:t>根据《医疗机构水污染物排放标准》（GB18466-2005）,县级以下或20张床位以下的综合医疗机构和其他所有医疗机构污水经消毒处理后方可排放。本项目为宠物医院且住院室为3间，</w:t>
            </w:r>
            <w:r>
              <w:rPr>
                <w:rFonts w:hint="eastAsia"/>
                <w:color w:val="auto"/>
                <w:kern w:val="2"/>
                <w:szCs w:val="24"/>
                <w:lang w:eastAsia="zh-CN"/>
              </w:rPr>
              <w:t>床位数为</w:t>
            </w:r>
            <w:r>
              <w:rPr>
                <w:rFonts w:hint="eastAsia"/>
                <w:color w:val="auto"/>
                <w:kern w:val="2"/>
                <w:szCs w:val="24"/>
                <w:lang w:val="en-US" w:eastAsia="zh-CN"/>
              </w:rPr>
              <w:t>3张，</w:t>
            </w:r>
            <w:r>
              <w:rPr>
                <w:rFonts w:hint="eastAsia"/>
                <w:color w:val="auto"/>
                <w:kern w:val="2"/>
                <w:szCs w:val="24"/>
              </w:rPr>
              <w:t>床位数为小于20张，因此，项目医疗废水不用达到医疗机构预处理标准，消毒即可。</w:t>
            </w:r>
          </w:p>
          <w:p>
            <w:pPr>
              <w:pStyle w:val="101"/>
              <w:ind w:firstLine="480"/>
              <w:rPr>
                <w:color w:val="auto"/>
              </w:rPr>
            </w:pPr>
            <w:r>
              <w:rPr>
                <w:rFonts w:hint="eastAsia"/>
                <w:color w:val="auto"/>
              </w:rPr>
              <w:t>本项目</w:t>
            </w:r>
            <w:r>
              <w:rPr>
                <w:color w:val="auto"/>
              </w:rPr>
              <w:t>医疗废水先经项目自设的的医疗废水一体化处理设施消毒后</w:t>
            </w:r>
            <w:r>
              <w:rPr>
                <w:rFonts w:hint="eastAsia"/>
                <w:color w:val="auto"/>
              </w:rPr>
              <w:t>同生活污水一起</w:t>
            </w:r>
            <w:r>
              <w:rPr>
                <w:color w:val="auto"/>
              </w:rPr>
              <w:t>进入</w:t>
            </w:r>
            <w:r>
              <w:rPr>
                <w:rFonts w:hint="eastAsia"/>
                <w:color w:val="auto"/>
              </w:rPr>
              <w:t>满芳庭锦邻小</w:t>
            </w:r>
            <w:r>
              <w:rPr>
                <w:color w:val="auto"/>
              </w:rPr>
              <w:t>区已建的预处理池，经预处理池处理达到《污水综合排放标准》（GB8978-1996）三级标准后排入市政污水管网，</w:t>
            </w:r>
            <w:r>
              <w:rPr>
                <w:rFonts w:hint="eastAsia"/>
                <w:color w:val="auto"/>
              </w:rPr>
              <w:t>最后进入乐山市第一污水处理厂，</w:t>
            </w:r>
            <w:r>
              <w:rPr>
                <w:color w:val="auto"/>
              </w:rPr>
              <w:t>本项目</w:t>
            </w:r>
            <w:r>
              <w:rPr>
                <w:rFonts w:hint="eastAsia"/>
                <w:color w:val="auto"/>
              </w:rPr>
              <w:t>总废水</w:t>
            </w:r>
            <w:r>
              <w:rPr>
                <w:color w:val="auto"/>
              </w:rPr>
              <w:t>执行《污水综合排放标准》（GB8978- 1996）表</w:t>
            </w:r>
            <w:r>
              <w:rPr>
                <w:rFonts w:hint="eastAsia"/>
                <w:color w:val="auto"/>
              </w:rPr>
              <w:t>2</w:t>
            </w:r>
            <w:r>
              <w:rPr>
                <w:color w:val="auto"/>
              </w:rPr>
              <w:t>中</w:t>
            </w:r>
            <w:r>
              <w:rPr>
                <w:rFonts w:hint="eastAsia"/>
                <w:color w:val="auto"/>
              </w:rPr>
              <w:t>三</w:t>
            </w:r>
            <w:r>
              <w:rPr>
                <w:color w:val="auto"/>
              </w:rPr>
              <w:t>级标准，标准值见表3-</w:t>
            </w:r>
            <w:r>
              <w:rPr>
                <w:rFonts w:hint="eastAsia"/>
                <w:color w:val="auto"/>
              </w:rPr>
              <w:t>7</w:t>
            </w:r>
            <w:r>
              <w:rPr>
                <w:color w:val="auto"/>
              </w:rPr>
              <w:t>。</w:t>
            </w:r>
          </w:p>
          <w:p>
            <w:pPr>
              <w:ind w:left="422" w:hanging="422" w:hangingChars="200"/>
              <w:jc w:val="center"/>
              <w:rPr>
                <w:rFonts w:cs="宋体"/>
                <w:b/>
                <w:bCs/>
                <w:color w:val="auto"/>
                <w:sz w:val="21"/>
              </w:rPr>
            </w:pPr>
            <w:r>
              <w:rPr>
                <w:rFonts w:cs="宋体"/>
                <w:b/>
                <w:bCs/>
                <w:color w:val="auto"/>
                <w:sz w:val="21"/>
              </w:rPr>
              <w:t>表 3-</w:t>
            </w:r>
            <w:r>
              <w:rPr>
                <w:rFonts w:hint="eastAsia" w:cs="宋体"/>
                <w:b/>
                <w:bCs/>
                <w:color w:val="auto"/>
                <w:sz w:val="21"/>
              </w:rPr>
              <w:t>7</w:t>
            </w:r>
            <w:r>
              <w:rPr>
                <w:rFonts w:cs="宋体"/>
                <w:b/>
                <w:bCs/>
                <w:color w:val="auto"/>
                <w:sz w:val="21"/>
              </w:rPr>
              <w:t xml:space="preserve"> 污水综合排放标准（GB8978- 1996）单位： mg/L（pH无量纲）</w:t>
            </w:r>
          </w:p>
          <w:tbl>
            <w:tblPr>
              <w:tblStyle w:val="38"/>
              <w:tblW w:w="4998" w:type="pct"/>
              <w:tblInd w:w="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2117"/>
              <w:gridCol w:w="2112"/>
              <w:gridCol w:w="2112"/>
              <w:gridCol w:w="2118"/>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5" w:hRule="atLeast"/>
              </w:trPr>
              <w:tc>
                <w:tcPr>
                  <w:tcW w:w="1251" w:type="pct"/>
                  <w:tcBorders>
                    <w:top w:val="single" w:color="000000" w:sz="10" w:space="0"/>
                  </w:tcBorders>
                  <w:noWrap w:val="0"/>
                  <w:vAlign w:val="top"/>
                </w:tcPr>
                <w:p>
                  <w:pPr>
                    <w:spacing w:line="300" w:lineRule="exact"/>
                    <w:ind w:firstLine="0" w:firstLineChars="0"/>
                    <w:jc w:val="center"/>
                    <w:rPr>
                      <w:color w:val="auto"/>
                      <w:sz w:val="21"/>
                    </w:rPr>
                  </w:pPr>
                  <w:r>
                    <w:rPr>
                      <w:color w:val="auto"/>
                      <w:sz w:val="21"/>
                    </w:rPr>
                    <w:t>项目</w:t>
                  </w:r>
                </w:p>
              </w:tc>
              <w:tc>
                <w:tcPr>
                  <w:tcW w:w="1248" w:type="pct"/>
                  <w:tcBorders>
                    <w:top w:val="single" w:color="000000" w:sz="10" w:space="0"/>
                  </w:tcBorders>
                  <w:noWrap w:val="0"/>
                  <w:vAlign w:val="top"/>
                </w:tcPr>
                <w:p>
                  <w:pPr>
                    <w:spacing w:line="300" w:lineRule="exact"/>
                    <w:ind w:firstLine="0" w:firstLineChars="0"/>
                    <w:jc w:val="center"/>
                    <w:rPr>
                      <w:color w:val="auto"/>
                      <w:sz w:val="21"/>
                    </w:rPr>
                  </w:pPr>
                  <w:r>
                    <w:rPr>
                      <w:color w:val="auto"/>
                      <w:sz w:val="21"/>
                    </w:rPr>
                    <w:t>三级标准</w:t>
                  </w:r>
                </w:p>
              </w:tc>
              <w:tc>
                <w:tcPr>
                  <w:tcW w:w="1248" w:type="pct"/>
                  <w:tcBorders>
                    <w:top w:val="single" w:color="000000" w:sz="10" w:space="0"/>
                  </w:tcBorders>
                  <w:noWrap w:val="0"/>
                  <w:vAlign w:val="top"/>
                </w:tcPr>
                <w:p>
                  <w:pPr>
                    <w:spacing w:line="300" w:lineRule="exact"/>
                    <w:ind w:firstLine="0" w:firstLineChars="0"/>
                    <w:jc w:val="center"/>
                    <w:rPr>
                      <w:color w:val="auto"/>
                      <w:sz w:val="21"/>
                    </w:rPr>
                  </w:pPr>
                  <w:r>
                    <w:rPr>
                      <w:color w:val="auto"/>
                      <w:sz w:val="21"/>
                    </w:rPr>
                    <w:t>项目</w:t>
                  </w:r>
                </w:p>
              </w:tc>
              <w:tc>
                <w:tcPr>
                  <w:tcW w:w="1251" w:type="pct"/>
                  <w:tcBorders>
                    <w:top w:val="single" w:color="000000" w:sz="10" w:space="0"/>
                  </w:tcBorders>
                  <w:noWrap w:val="0"/>
                  <w:vAlign w:val="top"/>
                </w:tcPr>
                <w:p>
                  <w:pPr>
                    <w:spacing w:line="300" w:lineRule="exact"/>
                    <w:ind w:firstLine="0" w:firstLineChars="0"/>
                    <w:jc w:val="center"/>
                    <w:rPr>
                      <w:color w:val="auto"/>
                      <w:sz w:val="21"/>
                    </w:rPr>
                  </w:pPr>
                  <w:r>
                    <w:rPr>
                      <w:color w:val="auto"/>
                      <w:sz w:val="21"/>
                    </w:rPr>
                    <w:t>三级标准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1" w:hRule="atLeast"/>
              </w:trPr>
              <w:tc>
                <w:tcPr>
                  <w:tcW w:w="1251" w:type="pct"/>
                  <w:noWrap w:val="0"/>
                  <w:vAlign w:val="top"/>
                </w:tcPr>
                <w:p>
                  <w:pPr>
                    <w:spacing w:line="300" w:lineRule="exact"/>
                    <w:ind w:firstLine="0" w:firstLineChars="0"/>
                    <w:jc w:val="center"/>
                    <w:rPr>
                      <w:color w:val="auto"/>
                      <w:sz w:val="21"/>
                    </w:rPr>
                  </w:pPr>
                  <w:r>
                    <w:rPr>
                      <w:color w:val="auto"/>
                      <w:sz w:val="21"/>
                    </w:rPr>
                    <w:t>pH</w:t>
                  </w:r>
                </w:p>
              </w:tc>
              <w:tc>
                <w:tcPr>
                  <w:tcW w:w="1248" w:type="pct"/>
                  <w:noWrap w:val="0"/>
                  <w:vAlign w:val="top"/>
                </w:tcPr>
                <w:p>
                  <w:pPr>
                    <w:spacing w:line="300" w:lineRule="exact"/>
                    <w:ind w:firstLine="0" w:firstLineChars="0"/>
                    <w:jc w:val="center"/>
                    <w:rPr>
                      <w:color w:val="auto"/>
                      <w:sz w:val="21"/>
                    </w:rPr>
                  </w:pPr>
                  <w:r>
                    <w:rPr>
                      <w:color w:val="auto"/>
                      <w:sz w:val="21"/>
                    </w:rPr>
                    <w:t>6~9</w:t>
                  </w:r>
                </w:p>
              </w:tc>
              <w:tc>
                <w:tcPr>
                  <w:tcW w:w="1248" w:type="pct"/>
                  <w:noWrap w:val="0"/>
                  <w:vAlign w:val="top"/>
                </w:tcPr>
                <w:p>
                  <w:pPr>
                    <w:spacing w:line="300" w:lineRule="exact"/>
                    <w:ind w:firstLine="0" w:firstLineChars="0"/>
                    <w:jc w:val="center"/>
                    <w:rPr>
                      <w:color w:val="auto"/>
                      <w:sz w:val="21"/>
                    </w:rPr>
                  </w:pPr>
                  <w:r>
                    <w:rPr>
                      <w:color w:val="auto"/>
                      <w:sz w:val="21"/>
                    </w:rPr>
                    <w:t>COD</w:t>
                  </w:r>
                </w:p>
              </w:tc>
              <w:tc>
                <w:tcPr>
                  <w:tcW w:w="1251" w:type="pct"/>
                  <w:noWrap w:val="0"/>
                  <w:vAlign w:val="top"/>
                </w:tcPr>
                <w:p>
                  <w:pPr>
                    <w:spacing w:line="300" w:lineRule="exact"/>
                    <w:ind w:firstLine="0" w:firstLineChars="0"/>
                    <w:jc w:val="center"/>
                    <w:rPr>
                      <w:color w:val="auto"/>
                      <w:sz w:val="21"/>
                    </w:rPr>
                  </w:pPr>
                  <w:r>
                    <w:rPr>
                      <w:color w:val="auto"/>
                      <w:sz w:val="21"/>
                    </w:rPr>
                    <w:t>500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1" w:hRule="atLeast"/>
              </w:trPr>
              <w:tc>
                <w:tcPr>
                  <w:tcW w:w="1251" w:type="pct"/>
                  <w:noWrap w:val="0"/>
                  <w:vAlign w:val="top"/>
                </w:tcPr>
                <w:p>
                  <w:pPr>
                    <w:spacing w:line="300" w:lineRule="exact"/>
                    <w:ind w:firstLine="0" w:firstLineChars="0"/>
                    <w:jc w:val="center"/>
                    <w:rPr>
                      <w:color w:val="auto"/>
                      <w:sz w:val="21"/>
                    </w:rPr>
                  </w:pPr>
                  <w:r>
                    <w:rPr>
                      <w:color w:val="auto"/>
                      <w:sz w:val="21"/>
                    </w:rPr>
                    <w:t>悬浮物</w:t>
                  </w:r>
                </w:p>
              </w:tc>
              <w:tc>
                <w:tcPr>
                  <w:tcW w:w="1248" w:type="pct"/>
                  <w:noWrap w:val="0"/>
                  <w:vAlign w:val="top"/>
                </w:tcPr>
                <w:p>
                  <w:pPr>
                    <w:spacing w:line="300" w:lineRule="exact"/>
                    <w:ind w:firstLine="0" w:firstLineChars="0"/>
                    <w:jc w:val="center"/>
                    <w:rPr>
                      <w:color w:val="auto"/>
                      <w:sz w:val="21"/>
                    </w:rPr>
                  </w:pPr>
                  <w:r>
                    <w:rPr>
                      <w:color w:val="auto"/>
                      <w:sz w:val="21"/>
                    </w:rPr>
                    <w:t>400</w:t>
                  </w:r>
                </w:p>
              </w:tc>
              <w:tc>
                <w:tcPr>
                  <w:tcW w:w="1248" w:type="pct"/>
                  <w:noWrap w:val="0"/>
                  <w:vAlign w:val="top"/>
                </w:tcPr>
                <w:p>
                  <w:pPr>
                    <w:spacing w:line="300" w:lineRule="exact"/>
                    <w:ind w:firstLine="0" w:firstLineChars="0"/>
                    <w:jc w:val="center"/>
                    <w:rPr>
                      <w:color w:val="auto"/>
                      <w:sz w:val="21"/>
                    </w:rPr>
                  </w:pPr>
                  <w:r>
                    <w:rPr>
                      <w:color w:val="auto"/>
                      <w:sz w:val="21"/>
                    </w:rPr>
                    <w:t>氨氮</w:t>
                  </w:r>
                </w:p>
              </w:tc>
              <w:tc>
                <w:tcPr>
                  <w:tcW w:w="1251" w:type="pct"/>
                  <w:noWrap w:val="0"/>
                  <w:vAlign w:val="top"/>
                </w:tcPr>
                <w:p>
                  <w:pPr>
                    <w:spacing w:line="300" w:lineRule="exact"/>
                    <w:ind w:firstLine="0" w:firstLineChars="0"/>
                    <w:jc w:val="center"/>
                    <w:rPr>
                      <w:color w:val="auto"/>
                      <w:sz w:val="21"/>
                    </w:rPr>
                  </w:pPr>
                  <w:r>
                    <w:rPr>
                      <w:color w:val="auto"/>
                      <w:sz w:val="21"/>
                    </w:rPr>
                    <w:t>45*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1251" w:type="pct"/>
                  <w:tcBorders>
                    <w:bottom w:val="single" w:color="000000" w:sz="10" w:space="0"/>
                  </w:tcBorders>
                  <w:noWrap w:val="0"/>
                  <w:vAlign w:val="top"/>
                </w:tcPr>
                <w:p>
                  <w:pPr>
                    <w:spacing w:line="300" w:lineRule="exact"/>
                    <w:ind w:firstLine="0" w:firstLineChars="0"/>
                    <w:jc w:val="center"/>
                    <w:rPr>
                      <w:color w:val="auto"/>
                      <w:sz w:val="21"/>
                    </w:rPr>
                  </w:pPr>
                  <w:r>
                    <w:rPr>
                      <w:color w:val="auto"/>
                      <w:sz w:val="21"/>
                    </w:rPr>
                    <w:t>BOD</w:t>
                  </w:r>
                  <w:r>
                    <w:rPr>
                      <w:color w:val="auto"/>
                      <w:sz w:val="21"/>
                      <w:vertAlign w:val="subscript"/>
                    </w:rPr>
                    <w:t>5</w:t>
                  </w:r>
                </w:p>
              </w:tc>
              <w:tc>
                <w:tcPr>
                  <w:tcW w:w="1248" w:type="pct"/>
                  <w:tcBorders>
                    <w:bottom w:val="single" w:color="000000" w:sz="10" w:space="0"/>
                  </w:tcBorders>
                  <w:noWrap w:val="0"/>
                  <w:vAlign w:val="top"/>
                </w:tcPr>
                <w:p>
                  <w:pPr>
                    <w:spacing w:line="300" w:lineRule="exact"/>
                    <w:ind w:firstLine="0" w:firstLineChars="0"/>
                    <w:jc w:val="center"/>
                    <w:rPr>
                      <w:color w:val="auto"/>
                      <w:sz w:val="21"/>
                    </w:rPr>
                  </w:pPr>
                  <w:r>
                    <w:rPr>
                      <w:color w:val="auto"/>
                      <w:sz w:val="21"/>
                    </w:rPr>
                    <w:t>300</w:t>
                  </w:r>
                </w:p>
              </w:tc>
              <w:tc>
                <w:tcPr>
                  <w:tcW w:w="1248" w:type="pct"/>
                  <w:tcBorders>
                    <w:bottom w:val="single" w:color="000000" w:sz="10" w:space="0"/>
                  </w:tcBorders>
                  <w:noWrap w:val="0"/>
                  <w:vAlign w:val="top"/>
                </w:tcPr>
                <w:p>
                  <w:pPr>
                    <w:spacing w:line="300" w:lineRule="exact"/>
                    <w:ind w:firstLine="0" w:firstLineChars="0"/>
                    <w:jc w:val="center"/>
                    <w:rPr>
                      <w:color w:val="auto"/>
                      <w:sz w:val="21"/>
                    </w:rPr>
                  </w:pPr>
                  <w:r>
                    <w:rPr>
                      <w:color w:val="auto"/>
                      <w:sz w:val="21"/>
                    </w:rPr>
                    <w:t>总磷</w:t>
                  </w:r>
                </w:p>
              </w:tc>
              <w:tc>
                <w:tcPr>
                  <w:tcW w:w="1251" w:type="pct"/>
                  <w:tcBorders>
                    <w:bottom w:val="single" w:color="000000" w:sz="10" w:space="0"/>
                  </w:tcBorders>
                  <w:noWrap w:val="0"/>
                  <w:vAlign w:val="top"/>
                </w:tcPr>
                <w:p>
                  <w:pPr>
                    <w:spacing w:line="300" w:lineRule="exact"/>
                    <w:ind w:firstLine="0" w:firstLineChars="0"/>
                    <w:jc w:val="center"/>
                    <w:rPr>
                      <w:color w:val="auto"/>
                      <w:sz w:val="21"/>
                    </w:rPr>
                  </w:pPr>
                  <w:r>
                    <w:rPr>
                      <w:color w:val="auto"/>
                      <w:sz w:val="21"/>
                    </w:rPr>
                    <w:t>8*</w:t>
                  </w:r>
                </w:p>
              </w:tc>
            </w:tr>
          </w:tbl>
          <w:p>
            <w:pPr>
              <w:adjustRightInd/>
              <w:snapToGrid/>
              <w:ind w:firstLine="480"/>
              <w:rPr>
                <w:color w:val="auto"/>
              </w:rPr>
            </w:pPr>
            <w:r>
              <w:rPr>
                <w:color w:val="auto"/>
              </w:rPr>
              <w:t>注：*由于《污水综合排放标准》（GB8978-1996）中无氨氮、总磷三级排放限值，参考《污水排入城镇下水道水质标准》（GB/T31962-2015）表1中标准。</w:t>
            </w:r>
          </w:p>
          <w:p>
            <w:pPr>
              <w:pStyle w:val="5"/>
              <w:rPr>
                <w:color w:val="auto"/>
              </w:rPr>
            </w:pPr>
            <w:r>
              <w:rPr>
                <w:color w:val="auto"/>
              </w:rPr>
              <w:t>三、噪声</w:t>
            </w:r>
          </w:p>
          <w:p>
            <w:pPr>
              <w:ind w:firstLine="480"/>
              <w:rPr>
                <w:color w:val="auto"/>
              </w:rPr>
            </w:pPr>
            <w:r>
              <w:rPr>
                <w:color w:val="auto"/>
              </w:rPr>
              <w:t>营运期厂界噪声执行</w:t>
            </w:r>
            <w:r>
              <w:rPr>
                <w:rFonts w:hint="eastAsia"/>
                <w:color w:val="auto"/>
              </w:rPr>
              <w:t>《工业企业厂界环境噪声排放标准》（GB12348-2008）中2类标准</w:t>
            </w:r>
            <w:r>
              <w:rPr>
                <w:color w:val="auto"/>
              </w:rPr>
              <w:t>，</w:t>
            </w:r>
            <w:r>
              <w:rPr>
                <w:rFonts w:hint="eastAsia"/>
                <w:color w:val="auto"/>
              </w:rPr>
              <w:t>标准</w:t>
            </w:r>
            <w:r>
              <w:rPr>
                <w:color w:val="auto"/>
              </w:rPr>
              <w:t>限值见下表。</w:t>
            </w:r>
          </w:p>
          <w:p>
            <w:pPr>
              <w:pStyle w:val="102"/>
              <w:rPr>
                <w:color w:val="auto"/>
              </w:rPr>
            </w:pPr>
            <w:r>
              <w:rPr>
                <w:color w:val="auto"/>
              </w:rPr>
              <w:t xml:space="preserve">表 3- </w:t>
            </w:r>
            <w:r>
              <w:rPr>
                <w:rFonts w:hint="eastAsia"/>
                <w:color w:val="auto"/>
              </w:rPr>
              <w:t>8</w:t>
            </w:r>
            <w:r>
              <w:rPr>
                <w:color w:val="auto"/>
              </w:rPr>
              <w:t xml:space="preserve"> </w:t>
            </w:r>
            <w:r>
              <w:rPr>
                <w:color w:val="auto"/>
                <w:lang w:val="zh-CN"/>
              </w:rPr>
              <w:t>工业企业厂界环境</w:t>
            </w:r>
            <w:r>
              <w:rPr>
                <w:color w:val="auto"/>
              </w:rPr>
              <w:t xml:space="preserve">噪声排放限值 </w:t>
            </w:r>
            <w:r>
              <w:rPr>
                <w:rFonts w:hint="eastAsia"/>
                <w:color w:val="auto"/>
              </w:rPr>
              <w:t xml:space="preserve">   </w:t>
            </w:r>
            <w:r>
              <w:rPr>
                <w:color w:val="auto"/>
              </w:rPr>
              <w:t>单位：dB（A）</w:t>
            </w:r>
          </w:p>
          <w:tbl>
            <w:tblPr>
              <w:tblStyle w:val="38"/>
              <w:tblW w:w="4999" w:type="pct"/>
              <w:tblInd w:w="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2786"/>
              <w:gridCol w:w="2781"/>
              <w:gridCol w:w="2893"/>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8" w:hRule="atLeast"/>
              </w:trPr>
              <w:tc>
                <w:tcPr>
                  <w:tcW w:w="1646" w:type="pct"/>
                  <w:tcBorders>
                    <w:top w:val="single" w:color="000000" w:sz="10" w:space="0"/>
                  </w:tcBorders>
                  <w:noWrap w:val="0"/>
                  <w:vAlign w:val="top"/>
                </w:tcPr>
                <w:p>
                  <w:pPr>
                    <w:pStyle w:val="118"/>
                    <w:rPr>
                      <w:color w:val="auto"/>
                    </w:rPr>
                  </w:pPr>
                  <w:r>
                    <w:rPr>
                      <w:color w:val="auto"/>
                    </w:rPr>
                    <w:t>类别</w:t>
                  </w:r>
                </w:p>
              </w:tc>
              <w:tc>
                <w:tcPr>
                  <w:tcW w:w="1643" w:type="pct"/>
                  <w:tcBorders>
                    <w:top w:val="single" w:color="000000" w:sz="10" w:space="0"/>
                  </w:tcBorders>
                  <w:noWrap w:val="0"/>
                  <w:vAlign w:val="top"/>
                </w:tcPr>
                <w:p>
                  <w:pPr>
                    <w:pStyle w:val="118"/>
                    <w:rPr>
                      <w:color w:val="auto"/>
                    </w:rPr>
                  </w:pPr>
                  <w:r>
                    <w:rPr>
                      <w:color w:val="auto"/>
                    </w:rPr>
                    <w:t>昼间</w:t>
                  </w:r>
                </w:p>
              </w:tc>
              <w:tc>
                <w:tcPr>
                  <w:tcW w:w="1709" w:type="pct"/>
                  <w:tcBorders>
                    <w:top w:val="single" w:color="000000" w:sz="10" w:space="0"/>
                  </w:tcBorders>
                  <w:noWrap w:val="0"/>
                  <w:vAlign w:val="top"/>
                </w:tcPr>
                <w:p>
                  <w:pPr>
                    <w:pStyle w:val="118"/>
                    <w:rPr>
                      <w:color w:val="auto"/>
                    </w:rPr>
                  </w:pPr>
                  <w:r>
                    <w:rPr>
                      <w:color w:val="auto"/>
                    </w:rPr>
                    <w:t>夜间</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9" w:hRule="atLeast"/>
              </w:trPr>
              <w:tc>
                <w:tcPr>
                  <w:tcW w:w="1646" w:type="pct"/>
                  <w:tcBorders>
                    <w:bottom w:val="single" w:color="000000" w:sz="10" w:space="0"/>
                  </w:tcBorders>
                  <w:noWrap w:val="0"/>
                  <w:vAlign w:val="top"/>
                </w:tcPr>
                <w:p>
                  <w:pPr>
                    <w:pStyle w:val="118"/>
                    <w:rPr>
                      <w:color w:val="auto"/>
                    </w:rPr>
                  </w:pPr>
                  <w:r>
                    <w:rPr>
                      <w:color w:val="auto"/>
                    </w:rPr>
                    <w:t>2类</w:t>
                  </w:r>
                </w:p>
              </w:tc>
              <w:tc>
                <w:tcPr>
                  <w:tcW w:w="1643" w:type="pct"/>
                  <w:tcBorders>
                    <w:bottom w:val="single" w:color="000000" w:sz="10" w:space="0"/>
                  </w:tcBorders>
                  <w:noWrap w:val="0"/>
                  <w:vAlign w:val="top"/>
                </w:tcPr>
                <w:p>
                  <w:pPr>
                    <w:pStyle w:val="118"/>
                    <w:rPr>
                      <w:color w:val="auto"/>
                    </w:rPr>
                  </w:pPr>
                  <w:r>
                    <w:rPr>
                      <w:color w:val="auto"/>
                    </w:rPr>
                    <w:t>60</w:t>
                  </w:r>
                </w:p>
              </w:tc>
              <w:tc>
                <w:tcPr>
                  <w:tcW w:w="1709" w:type="pct"/>
                  <w:tcBorders>
                    <w:bottom w:val="single" w:color="000000" w:sz="10" w:space="0"/>
                  </w:tcBorders>
                  <w:noWrap w:val="0"/>
                  <w:vAlign w:val="top"/>
                </w:tcPr>
                <w:p>
                  <w:pPr>
                    <w:pStyle w:val="118"/>
                    <w:rPr>
                      <w:color w:val="auto"/>
                    </w:rPr>
                  </w:pPr>
                  <w:r>
                    <w:rPr>
                      <w:color w:val="auto"/>
                    </w:rPr>
                    <w:t>50</w:t>
                  </w:r>
                </w:p>
              </w:tc>
            </w:tr>
          </w:tbl>
          <w:p>
            <w:pPr>
              <w:pStyle w:val="5"/>
              <w:rPr>
                <w:color w:val="auto"/>
              </w:rPr>
            </w:pPr>
            <w:r>
              <w:rPr>
                <w:color w:val="auto"/>
              </w:rPr>
              <w:t>四、固体废物</w:t>
            </w:r>
          </w:p>
          <w:p>
            <w:pPr>
              <w:ind w:firstLine="480"/>
              <w:rPr>
                <w:rFonts w:ascii="宋体" w:hAnsi="宋体" w:cs="宋体"/>
                <w:color w:val="auto"/>
                <w:kern w:val="0"/>
              </w:rPr>
            </w:pPr>
            <w:r>
              <w:rPr>
                <w:color w:val="auto"/>
              </w:rPr>
              <w:t>一般固体废弃物排放标准执行</w:t>
            </w:r>
            <w:r>
              <w:rPr>
                <w:rFonts w:hint="eastAsia"/>
                <w:color w:val="auto"/>
              </w:rPr>
              <w:t>《一般工业固体废物贮存和填埋污染控制标准》（GB18599-2020）</w:t>
            </w:r>
            <w:r>
              <w:rPr>
                <w:color w:val="auto"/>
              </w:rPr>
              <w:t>中</w:t>
            </w:r>
            <w:r>
              <w:rPr>
                <w:rFonts w:hint="eastAsia"/>
                <w:color w:val="auto"/>
              </w:rPr>
              <w:t>的相关要求，危险废物按照《危险废物贮存污染控制标准》（GB18597-2001）及2013年修改单中的相关要求执行。</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09" w:hRule="atLeast"/>
          <w:jc w:val="center"/>
        </w:trPr>
        <w:tc>
          <w:tcPr>
            <w:tcW w:w="456" w:type="dxa"/>
            <w:noWrap w:val="0"/>
            <w:vAlign w:val="center"/>
          </w:tcPr>
          <w:p>
            <w:pPr>
              <w:ind w:firstLine="0" w:firstLineChars="0"/>
              <w:jc w:val="center"/>
              <w:rPr>
                <w:rFonts w:hint="eastAsia" w:ascii="宋体" w:hAnsi="宋体" w:cs="宋体"/>
                <w:color w:val="auto"/>
                <w:kern w:val="0"/>
              </w:rPr>
            </w:pPr>
            <w:r>
              <w:rPr>
                <w:rFonts w:hint="eastAsia" w:ascii="宋体" w:hAnsi="宋体" w:cs="宋体"/>
                <w:color w:val="auto"/>
                <w:kern w:val="0"/>
              </w:rPr>
              <w:t>总量</w:t>
            </w:r>
          </w:p>
          <w:p>
            <w:pPr>
              <w:ind w:firstLine="0" w:firstLineChars="0"/>
              <w:jc w:val="center"/>
              <w:rPr>
                <w:rFonts w:hint="eastAsia" w:ascii="宋体" w:hAnsi="宋体" w:cs="宋体"/>
                <w:color w:val="auto"/>
                <w:kern w:val="0"/>
              </w:rPr>
            </w:pPr>
            <w:r>
              <w:rPr>
                <w:rFonts w:hint="eastAsia" w:ascii="宋体" w:hAnsi="宋体" w:cs="宋体"/>
                <w:color w:val="auto"/>
                <w:kern w:val="0"/>
              </w:rPr>
              <w:t>控制</w:t>
            </w:r>
          </w:p>
          <w:p>
            <w:pPr>
              <w:ind w:firstLine="0" w:firstLineChars="0"/>
              <w:jc w:val="center"/>
              <w:rPr>
                <w:rFonts w:ascii="宋体" w:hAnsi="宋体" w:cs="宋体"/>
                <w:color w:val="auto"/>
                <w:kern w:val="0"/>
              </w:rPr>
            </w:pPr>
            <w:r>
              <w:rPr>
                <w:rFonts w:hint="eastAsia" w:ascii="宋体" w:hAnsi="宋体" w:cs="宋体"/>
                <w:color w:val="auto"/>
                <w:kern w:val="0"/>
              </w:rPr>
              <w:t>指标</w:t>
            </w:r>
          </w:p>
        </w:tc>
        <w:tc>
          <w:tcPr>
            <w:tcW w:w="8683" w:type="dxa"/>
            <w:noWrap w:val="0"/>
            <w:vAlign w:val="center"/>
          </w:tcPr>
          <w:p>
            <w:pPr>
              <w:pStyle w:val="6"/>
              <w:numPr>
                <w:ilvl w:val="0"/>
                <w:numId w:val="18"/>
              </w:numPr>
              <w:ind w:firstLine="482"/>
              <w:rPr>
                <w:color w:val="auto"/>
              </w:rPr>
            </w:pPr>
            <w:r>
              <w:rPr>
                <w:color w:val="auto"/>
              </w:rPr>
              <w:t>总量控制因子</w:t>
            </w:r>
          </w:p>
          <w:p>
            <w:pPr>
              <w:pStyle w:val="104"/>
              <w:ind w:firstLine="480"/>
              <w:rPr>
                <w:rFonts w:hint="eastAsia"/>
                <w:color w:val="auto"/>
                <w:lang w:val="zh-CN"/>
              </w:rPr>
            </w:pPr>
            <w:r>
              <w:rPr>
                <w:rFonts w:hint="eastAsia"/>
                <w:color w:val="auto"/>
                <w:lang w:val="zh-CN"/>
              </w:rPr>
              <w:t>根据项目污染物排放特点，本评价确定的污染物排放总量控制因子为：</w:t>
            </w:r>
          </w:p>
          <w:p>
            <w:pPr>
              <w:pStyle w:val="104"/>
              <w:ind w:firstLine="480"/>
              <w:rPr>
                <w:rFonts w:hint="eastAsia"/>
                <w:color w:val="auto"/>
                <w:lang w:val="zh-CN"/>
              </w:rPr>
            </w:pPr>
            <w:r>
              <w:rPr>
                <w:rFonts w:hint="eastAsia"/>
                <w:color w:val="auto"/>
                <w:lang w:val="zh-CN"/>
              </w:rPr>
              <w:t>废水总量控制指标：COD、NH</w:t>
            </w:r>
            <w:r>
              <w:rPr>
                <w:rFonts w:hint="eastAsia"/>
                <w:color w:val="auto"/>
                <w:vertAlign w:val="subscript"/>
                <w:lang w:val="zh-CN"/>
              </w:rPr>
              <w:t>3</w:t>
            </w:r>
            <w:r>
              <w:rPr>
                <w:rFonts w:hint="eastAsia"/>
                <w:color w:val="auto"/>
                <w:lang w:val="zh-CN"/>
              </w:rPr>
              <w:t>-N、TP</w:t>
            </w:r>
          </w:p>
          <w:p>
            <w:pPr>
              <w:pStyle w:val="104"/>
              <w:ind w:firstLine="480"/>
              <w:rPr>
                <w:rFonts w:hint="eastAsia"/>
                <w:color w:val="auto"/>
                <w:lang w:val="zh-CN"/>
              </w:rPr>
            </w:pPr>
            <w:r>
              <w:rPr>
                <w:rFonts w:hint="eastAsia"/>
                <w:color w:val="auto"/>
                <w:lang w:val="zh-CN"/>
              </w:rPr>
              <w:t>废气总量控制指标：无</w:t>
            </w:r>
          </w:p>
          <w:p>
            <w:pPr>
              <w:pStyle w:val="6"/>
              <w:numPr>
                <w:ilvl w:val="0"/>
                <w:numId w:val="18"/>
              </w:numPr>
              <w:ind w:firstLine="482"/>
              <w:rPr>
                <w:color w:val="auto"/>
                <w:lang w:val="zh-CN"/>
              </w:rPr>
            </w:pPr>
            <w:r>
              <w:rPr>
                <w:color w:val="auto"/>
                <w:lang w:val="zh-CN"/>
              </w:rPr>
              <w:t>废水污染物总量指标</w:t>
            </w:r>
          </w:p>
          <w:p>
            <w:pPr>
              <w:pStyle w:val="104"/>
              <w:ind w:firstLine="480"/>
              <w:rPr>
                <w:rFonts w:hint="eastAsia"/>
                <w:color w:val="auto"/>
              </w:rPr>
            </w:pPr>
            <w:r>
              <w:rPr>
                <w:rFonts w:hint="eastAsia"/>
                <w:color w:val="auto"/>
                <w:lang w:val="de-DE"/>
              </w:rPr>
              <w:t>按照《关于贯彻落实&lt;建设项目主要污染物排放总量指标审核及管理暂行办法&gt;的通知》（川环办发〔2015〕333号）文件要求，本项目医疗废水、生活污水以及末端污水处理厂排放量采用排放标准法进行计算。本项目医疗废水的排放量为</w:t>
            </w:r>
            <w:r>
              <w:rPr>
                <w:rFonts w:hint="eastAsia"/>
                <w:color w:val="auto"/>
              </w:rPr>
              <w:t>0.96m</w:t>
            </w:r>
            <w:r>
              <w:rPr>
                <w:rFonts w:hint="eastAsia"/>
                <w:color w:val="auto"/>
                <w:vertAlign w:val="superscript"/>
              </w:rPr>
              <w:t>3</w:t>
            </w:r>
            <w:r>
              <w:rPr>
                <w:rFonts w:hint="eastAsia"/>
                <w:color w:val="auto"/>
              </w:rPr>
              <w:t>/d（288m</w:t>
            </w:r>
            <w:r>
              <w:rPr>
                <w:rFonts w:hint="eastAsia"/>
                <w:color w:val="auto"/>
                <w:vertAlign w:val="superscript"/>
              </w:rPr>
              <w:t>3</w:t>
            </w:r>
            <w:r>
              <w:rPr>
                <w:rFonts w:hint="eastAsia"/>
                <w:color w:val="auto"/>
              </w:rPr>
              <w:t>/a），生活废水的排放量为0.36m</w:t>
            </w:r>
            <w:r>
              <w:rPr>
                <w:rFonts w:hint="eastAsia"/>
                <w:color w:val="auto"/>
                <w:vertAlign w:val="superscript"/>
              </w:rPr>
              <w:t>3</w:t>
            </w:r>
            <w:r>
              <w:rPr>
                <w:rFonts w:hint="eastAsia"/>
                <w:color w:val="auto"/>
              </w:rPr>
              <w:t>/d（108m</w:t>
            </w:r>
            <w:r>
              <w:rPr>
                <w:rFonts w:hint="eastAsia"/>
                <w:color w:val="auto"/>
                <w:vertAlign w:val="superscript"/>
              </w:rPr>
              <w:t>3</w:t>
            </w:r>
            <w:r>
              <w:rPr>
                <w:rFonts w:hint="eastAsia"/>
                <w:color w:val="auto"/>
              </w:rPr>
              <w:t>/a），</w:t>
            </w:r>
            <w:r>
              <w:rPr>
                <w:rFonts w:hint="eastAsia"/>
                <w:color w:val="auto"/>
                <w:lang w:val="de-DE"/>
              </w:rPr>
              <w:t>本项目废水的总排放量为</w:t>
            </w:r>
            <w:r>
              <w:rPr>
                <w:rFonts w:hint="eastAsia"/>
                <w:color w:val="auto"/>
              </w:rPr>
              <w:t>396m</w:t>
            </w:r>
            <w:r>
              <w:rPr>
                <w:rFonts w:hint="eastAsia"/>
                <w:color w:val="auto"/>
                <w:vertAlign w:val="superscript"/>
              </w:rPr>
              <w:t>3</w:t>
            </w:r>
            <w:r>
              <w:rPr>
                <w:rFonts w:hint="eastAsia"/>
                <w:color w:val="auto"/>
              </w:rPr>
              <w:t>/a。</w:t>
            </w:r>
          </w:p>
          <w:p>
            <w:pPr>
              <w:pStyle w:val="104"/>
              <w:ind w:firstLine="482"/>
              <w:rPr>
                <w:rFonts w:hint="eastAsia"/>
                <w:b/>
                <w:bCs/>
                <w:color w:val="auto"/>
                <w:lang w:val="de-DE"/>
              </w:rPr>
            </w:pPr>
            <w:r>
              <w:rPr>
                <w:rFonts w:hint="eastAsia"/>
                <w:b/>
                <w:bCs/>
                <w:color w:val="auto"/>
                <w:lang w:val="de-DE"/>
              </w:rPr>
              <w:t xml:space="preserve">医疗废水经一体化污水处理设施消毒后同生活污水排入满芳庭锦邻预处理池，满芳庭锦邻小区预处理池排放口执行《污水综合排放标准》（GB 8978-1996）表 </w:t>
            </w:r>
            <w:r>
              <w:rPr>
                <w:rFonts w:hint="eastAsia"/>
                <w:b/>
                <w:bCs/>
                <w:color w:val="auto"/>
              </w:rPr>
              <w:t>4</w:t>
            </w:r>
            <w:r>
              <w:rPr>
                <w:rFonts w:hint="eastAsia"/>
                <w:b/>
                <w:bCs/>
                <w:color w:val="auto"/>
                <w:lang w:val="de-DE"/>
              </w:rPr>
              <w:t>中三级标准限值（NH</w:t>
            </w:r>
            <w:r>
              <w:rPr>
                <w:rFonts w:hint="eastAsia"/>
                <w:b/>
                <w:bCs/>
                <w:color w:val="auto"/>
                <w:vertAlign w:val="subscript"/>
                <w:lang w:val="de-DE"/>
              </w:rPr>
              <w:t>3</w:t>
            </w:r>
            <w:r>
              <w:rPr>
                <w:rFonts w:hint="eastAsia"/>
                <w:b/>
                <w:bCs/>
                <w:color w:val="auto"/>
                <w:lang w:val="de-DE"/>
              </w:rPr>
              <w:t>-N、TP两项指标按照《污水排入城镇下水道水质标准》（GB/T 31962-2015）执行）</w:t>
            </w:r>
            <w:r>
              <w:rPr>
                <w:rFonts w:hint="eastAsia"/>
                <w:color w:val="auto"/>
                <w:lang w:val="de-DE"/>
              </w:rPr>
              <w:t>，</w:t>
            </w:r>
            <w:r>
              <w:rPr>
                <w:rFonts w:hint="eastAsia"/>
                <w:b/>
                <w:bCs/>
                <w:color w:val="auto"/>
                <w:lang w:val="de-DE"/>
              </w:rPr>
              <w:t>本项目废水污染物排放量汇总：</w:t>
            </w:r>
          </w:p>
          <w:p>
            <w:pPr>
              <w:pStyle w:val="11"/>
              <w:ind w:firstLine="480"/>
              <w:rPr>
                <w:color w:val="auto"/>
              </w:rPr>
            </w:pPr>
            <w:r>
              <w:rPr>
                <w:rFonts w:hint="eastAsia"/>
                <w:color w:val="auto"/>
              </w:rPr>
              <w:t>COD：</w:t>
            </w:r>
            <w:r>
              <w:rPr>
                <w:rFonts w:hint="eastAsia"/>
                <w:color w:val="auto"/>
                <w:lang w:val="en-US" w:eastAsia="zh-CN"/>
              </w:rPr>
              <w:t>396</w:t>
            </w:r>
            <w:r>
              <w:rPr>
                <w:rFonts w:hint="eastAsia"/>
                <w:color w:val="auto"/>
              </w:rPr>
              <w:t>t/a×</w:t>
            </w:r>
            <w:r>
              <w:rPr>
                <w:rFonts w:hint="eastAsia"/>
                <w:color w:val="auto"/>
                <w:lang w:val="en-US" w:eastAsia="zh-CN"/>
              </w:rPr>
              <w:t>500</w:t>
            </w:r>
            <w:r>
              <w:rPr>
                <w:rFonts w:hint="eastAsia"/>
                <w:color w:val="auto"/>
              </w:rPr>
              <w:t>mg/l÷10</w:t>
            </w:r>
            <w:r>
              <w:rPr>
                <w:rFonts w:hint="eastAsia"/>
                <w:color w:val="auto"/>
                <w:vertAlign w:val="superscript"/>
              </w:rPr>
              <w:t>6</w:t>
            </w:r>
            <w:r>
              <w:rPr>
                <w:rFonts w:hint="eastAsia"/>
                <w:color w:val="auto"/>
              </w:rPr>
              <w:t>=0.198t/a</w:t>
            </w:r>
          </w:p>
          <w:p>
            <w:pPr>
              <w:pStyle w:val="11"/>
              <w:ind w:firstLine="480"/>
              <w:rPr>
                <w:color w:val="auto"/>
              </w:rPr>
            </w:pPr>
            <w:r>
              <w:rPr>
                <w:color w:val="auto"/>
              </w:rPr>
              <w:t>NH</w:t>
            </w:r>
            <w:r>
              <w:rPr>
                <w:color w:val="auto"/>
                <w:vertAlign w:val="subscript"/>
              </w:rPr>
              <w:t>3</w:t>
            </w:r>
            <w:r>
              <w:rPr>
                <w:color w:val="auto"/>
              </w:rPr>
              <w:t>-N</w:t>
            </w:r>
            <w:r>
              <w:rPr>
                <w:rFonts w:hint="eastAsia"/>
                <w:color w:val="auto"/>
              </w:rPr>
              <w:t>：：</w:t>
            </w:r>
            <w:r>
              <w:rPr>
                <w:rFonts w:hint="eastAsia"/>
                <w:color w:val="auto"/>
                <w:lang w:val="en-US" w:eastAsia="zh-CN"/>
              </w:rPr>
              <w:t>396</w:t>
            </w:r>
            <w:r>
              <w:rPr>
                <w:rFonts w:hint="eastAsia"/>
                <w:color w:val="auto"/>
              </w:rPr>
              <w:t>t/a×</w:t>
            </w:r>
            <w:r>
              <w:rPr>
                <w:rFonts w:hint="eastAsia"/>
                <w:color w:val="auto"/>
                <w:lang w:val="en-US" w:eastAsia="zh-CN"/>
              </w:rPr>
              <w:t>45</w:t>
            </w:r>
            <w:r>
              <w:rPr>
                <w:rFonts w:hint="eastAsia"/>
                <w:color w:val="auto"/>
              </w:rPr>
              <w:t>mg/l÷10</w:t>
            </w:r>
            <w:r>
              <w:rPr>
                <w:rFonts w:hint="eastAsia"/>
                <w:color w:val="auto"/>
                <w:vertAlign w:val="superscript"/>
              </w:rPr>
              <w:t>6</w:t>
            </w:r>
            <w:r>
              <w:rPr>
                <w:rFonts w:hint="eastAsia"/>
                <w:color w:val="auto"/>
              </w:rPr>
              <w:t>=0.01782t/a</w:t>
            </w:r>
          </w:p>
          <w:p>
            <w:pPr>
              <w:pStyle w:val="11"/>
              <w:ind w:firstLine="480"/>
              <w:rPr>
                <w:rFonts w:hint="eastAsia"/>
                <w:color w:val="auto"/>
              </w:rPr>
            </w:pPr>
            <w:r>
              <w:rPr>
                <w:rFonts w:hint="eastAsia"/>
                <w:color w:val="auto"/>
              </w:rPr>
              <w:t>TP：</w:t>
            </w:r>
            <w:r>
              <w:rPr>
                <w:rFonts w:hint="eastAsia"/>
                <w:color w:val="auto"/>
                <w:lang w:val="en-US" w:eastAsia="zh-CN"/>
              </w:rPr>
              <w:t>396</w:t>
            </w:r>
            <w:r>
              <w:rPr>
                <w:rFonts w:hint="eastAsia"/>
                <w:color w:val="auto"/>
              </w:rPr>
              <w:t>t/a×</w:t>
            </w:r>
            <w:r>
              <w:rPr>
                <w:rFonts w:hint="eastAsia"/>
                <w:color w:val="auto"/>
                <w:lang w:val="en-US" w:eastAsia="zh-CN"/>
              </w:rPr>
              <w:t>8</w:t>
            </w:r>
            <w:r>
              <w:rPr>
                <w:rFonts w:hint="eastAsia"/>
                <w:color w:val="auto"/>
              </w:rPr>
              <w:t>mg/l÷10</w:t>
            </w:r>
            <w:r>
              <w:rPr>
                <w:rFonts w:hint="eastAsia"/>
                <w:color w:val="auto"/>
                <w:vertAlign w:val="superscript"/>
              </w:rPr>
              <w:t>6</w:t>
            </w:r>
            <w:r>
              <w:rPr>
                <w:rFonts w:hint="eastAsia"/>
                <w:color w:val="auto"/>
              </w:rPr>
              <w:t>=0.003168t/a</w:t>
            </w:r>
          </w:p>
          <w:p>
            <w:pPr>
              <w:pStyle w:val="104"/>
              <w:ind w:firstLine="482"/>
              <w:rPr>
                <w:rFonts w:hint="eastAsia"/>
                <w:b/>
                <w:bCs/>
                <w:color w:val="auto"/>
                <w:lang w:val="de-DE"/>
              </w:rPr>
            </w:pPr>
            <w:r>
              <w:rPr>
                <w:rFonts w:hint="eastAsia"/>
                <w:b/>
                <w:bCs/>
                <w:color w:val="auto"/>
                <w:lang w:val="de-DE"/>
              </w:rPr>
              <w:t>乐山市第一污水处理厂排水浓度执行《四川省岷江、沱江流域水污染物排放标准》（DB51/2311-2016）“城镇污水处理厂”标准限值：</w:t>
            </w:r>
          </w:p>
          <w:p>
            <w:pPr>
              <w:pStyle w:val="11"/>
              <w:ind w:firstLine="480"/>
              <w:rPr>
                <w:color w:val="auto"/>
              </w:rPr>
            </w:pPr>
            <w:r>
              <w:rPr>
                <w:rFonts w:hint="eastAsia"/>
                <w:color w:val="auto"/>
              </w:rPr>
              <w:t>COD：396t/a×30mg/l÷10</w:t>
            </w:r>
            <w:r>
              <w:rPr>
                <w:rFonts w:hint="eastAsia"/>
                <w:color w:val="auto"/>
                <w:vertAlign w:val="superscript"/>
              </w:rPr>
              <w:t>6</w:t>
            </w:r>
            <w:r>
              <w:rPr>
                <w:rFonts w:hint="eastAsia"/>
                <w:color w:val="auto"/>
              </w:rPr>
              <w:t>=0.01188t/a</w:t>
            </w:r>
          </w:p>
          <w:p>
            <w:pPr>
              <w:pStyle w:val="11"/>
              <w:ind w:firstLine="480"/>
              <w:rPr>
                <w:rFonts w:hint="eastAsia"/>
                <w:color w:val="auto"/>
              </w:rPr>
            </w:pPr>
            <w:r>
              <w:rPr>
                <w:color w:val="auto"/>
              </w:rPr>
              <w:t>NH</w:t>
            </w:r>
            <w:r>
              <w:rPr>
                <w:color w:val="auto"/>
                <w:vertAlign w:val="subscript"/>
              </w:rPr>
              <w:t>3</w:t>
            </w:r>
            <w:r>
              <w:rPr>
                <w:color w:val="auto"/>
              </w:rPr>
              <w:t>-N</w:t>
            </w:r>
            <w:r>
              <w:rPr>
                <w:rFonts w:hint="eastAsia"/>
                <w:color w:val="auto"/>
                <w:lang w:val="de-DE"/>
              </w:rPr>
              <w:t>(</w:t>
            </w:r>
            <w:r>
              <w:rPr>
                <w:rFonts w:hint="eastAsia"/>
                <w:color w:val="auto"/>
              </w:rPr>
              <w:t>水温</w:t>
            </w:r>
            <w:r>
              <w:rPr>
                <w:rFonts w:hint="eastAsia"/>
                <w:color w:val="auto"/>
                <w:lang w:val="de-DE"/>
              </w:rPr>
              <w:t>＞12℃）</w:t>
            </w:r>
            <w:r>
              <w:rPr>
                <w:rFonts w:hint="eastAsia"/>
                <w:color w:val="auto"/>
              </w:rPr>
              <w:t>：396t/a×1.5mg/l÷10</w:t>
            </w:r>
            <w:r>
              <w:rPr>
                <w:rFonts w:hint="eastAsia"/>
                <w:color w:val="auto"/>
                <w:vertAlign w:val="superscript"/>
              </w:rPr>
              <w:t>6</w:t>
            </w:r>
            <w:r>
              <w:rPr>
                <w:rFonts w:hint="eastAsia"/>
                <w:color w:val="auto"/>
              </w:rPr>
              <w:t>=0.000594t/a</w:t>
            </w:r>
          </w:p>
          <w:p>
            <w:pPr>
              <w:pStyle w:val="104"/>
              <w:ind w:firstLine="480"/>
              <w:rPr>
                <w:rFonts w:hint="eastAsia"/>
                <w:color w:val="auto"/>
                <w:lang w:val="de-DE"/>
              </w:rPr>
            </w:pPr>
            <w:r>
              <w:rPr>
                <w:rFonts w:hint="eastAsia"/>
                <w:color w:val="auto"/>
                <w:lang w:val="de-DE"/>
              </w:rPr>
              <w:t>NH</w:t>
            </w:r>
            <w:r>
              <w:rPr>
                <w:rFonts w:hint="eastAsia"/>
                <w:color w:val="auto"/>
                <w:vertAlign w:val="subscript"/>
                <w:lang w:val="de-DE"/>
              </w:rPr>
              <w:t>3</w:t>
            </w:r>
            <w:r>
              <w:rPr>
                <w:rFonts w:hint="eastAsia"/>
                <w:color w:val="auto"/>
                <w:lang w:val="de-DE"/>
              </w:rPr>
              <w:t>-N（</w:t>
            </w:r>
            <w:r>
              <w:rPr>
                <w:rFonts w:hint="eastAsia"/>
                <w:color w:val="auto"/>
              </w:rPr>
              <w:t>水温</w:t>
            </w:r>
            <w:r>
              <w:rPr>
                <w:rFonts w:hint="eastAsia"/>
                <w:color w:val="auto"/>
                <w:lang w:val="de-DE"/>
              </w:rPr>
              <w:t>≤12℃）：</w:t>
            </w:r>
            <w:r>
              <w:rPr>
                <w:rFonts w:hint="eastAsia"/>
                <w:color w:val="auto"/>
              </w:rPr>
              <w:t>396t</w:t>
            </w:r>
            <w:r>
              <w:rPr>
                <w:rFonts w:hint="eastAsia"/>
                <w:color w:val="auto"/>
                <w:lang w:val="de-DE"/>
              </w:rPr>
              <w:t>/a×3mg/L</w:t>
            </w:r>
            <w:r>
              <w:rPr>
                <w:rFonts w:hint="eastAsia"/>
                <w:color w:val="auto"/>
              </w:rPr>
              <w:t>÷10</w:t>
            </w:r>
            <w:r>
              <w:rPr>
                <w:rFonts w:hint="eastAsia"/>
                <w:color w:val="auto"/>
                <w:vertAlign w:val="superscript"/>
              </w:rPr>
              <w:t>6</w:t>
            </w:r>
            <w:r>
              <w:rPr>
                <w:rFonts w:hint="eastAsia"/>
                <w:color w:val="auto"/>
              </w:rPr>
              <w:t>=</w:t>
            </w:r>
            <w:r>
              <w:rPr>
                <w:rFonts w:hint="eastAsia"/>
                <w:color w:val="auto"/>
                <w:lang w:val="de-DE"/>
              </w:rPr>
              <w:t>0.00</w:t>
            </w:r>
            <w:r>
              <w:rPr>
                <w:rFonts w:hint="eastAsia"/>
                <w:color w:val="auto"/>
              </w:rPr>
              <w:t>1188</w:t>
            </w:r>
            <w:r>
              <w:rPr>
                <w:rFonts w:hint="eastAsia"/>
                <w:color w:val="auto"/>
                <w:lang w:val="de-DE"/>
              </w:rPr>
              <w:t>t/a</w:t>
            </w:r>
          </w:p>
          <w:p>
            <w:pPr>
              <w:pStyle w:val="11"/>
              <w:ind w:firstLine="480"/>
              <w:rPr>
                <w:rFonts w:hint="eastAsia"/>
                <w:color w:val="auto"/>
              </w:rPr>
            </w:pPr>
            <w:r>
              <w:rPr>
                <w:rFonts w:hint="eastAsia"/>
                <w:color w:val="auto"/>
              </w:rPr>
              <w:t>TP：396t/a×0.3mg/l÷10</w:t>
            </w:r>
            <w:r>
              <w:rPr>
                <w:rFonts w:hint="eastAsia"/>
                <w:color w:val="auto"/>
                <w:vertAlign w:val="superscript"/>
              </w:rPr>
              <w:t>6</w:t>
            </w:r>
            <w:r>
              <w:rPr>
                <w:rFonts w:hint="eastAsia"/>
                <w:color w:val="auto"/>
              </w:rPr>
              <w:t>=0.0001188t/a</w:t>
            </w:r>
          </w:p>
          <w:p>
            <w:pPr>
              <w:pStyle w:val="11"/>
              <w:ind w:firstLine="480"/>
              <w:rPr>
                <w:rFonts w:hint="eastAsia"/>
                <w:color w:val="auto"/>
              </w:rPr>
            </w:pPr>
            <w:r>
              <w:rPr>
                <w:rFonts w:hint="eastAsia"/>
                <w:color w:val="auto"/>
                <w:lang w:val="de-DE"/>
              </w:rPr>
              <w:t>项目污水最终进入乐山市第一污水处理厂，总量指标计入乐山市第一污水处理厂总量控制。本次环评仅提供数据。</w:t>
            </w:r>
          </w:p>
        </w:tc>
      </w:tr>
    </w:tbl>
    <w:p>
      <w:pPr>
        <w:pStyle w:val="3"/>
        <w:rPr>
          <w:rFonts w:ascii="黑体" w:hAnsi="黑体"/>
          <w:snapToGrid w:val="0"/>
          <w:color w:val="auto"/>
        </w:rPr>
      </w:pPr>
      <w:r>
        <w:rPr>
          <w:rFonts w:ascii="黑体" w:hAnsi="黑体"/>
          <w:snapToGrid w:val="0"/>
          <w:color w:val="auto"/>
          <w:sz w:val="36"/>
          <w:szCs w:val="36"/>
        </w:rPr>
        <w:br w:type="page"/>
      </w:r>
      <w:bookmarkStart w:id="109" w:name="_Toc25598"/>
      <w:bookmarkStart w:id="110" w:name="_Toc228"/>
      <w:bookmarkStart w:id="111" w:name="_Toc32332"/>
      <w:bookmarkStart w:id="112" w:name="_Toc1928"/>
      <w:r>
        <w:rPr>
          <w:rStyle w:val="175"/>
          <w:rFonts w:hint="eastAsia"/>
          <w:b w:val="0"/>
          <w:color w:val="auto"/>
        </w:rPr>
        <w:t>四、主要环境影响和保护措施</w:t>
      </w:r>
      <w:bookmarkEnd w:id="109"/>
      <w:bookmarkEnd w:id="110"/>
      <w:bookmarkEnd w:id="111"/>
      <w:bookmarkEnd w:id="112"/>
    </w:p>
    <w:tbl>
      <w:tblPr>
        <w:tblStyle w:val="38"/>
        <w:tblW w:w="8918"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485"/>
        <w:gridCol w:w="843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594" w:hRule="atLeast"/>
          <w:jc w:val="center"/>
        </w:trPr>
        <w:tc>
          <w:tcPr>
            <w:tcW w:w="746" w:type="dxa"/>
            <w:noWrap w:val="0"/>
            <w:tcMar>
              <w:left w:w="28" w:type="dxa"/>
              <w:right w:w="28" w:type="dxa"/>
            </w:tcMar>
            <w:vAlign w:val="center"/>
          </w:tcPr>
          <w:p>
            <w:pPr>
              <w:pStyle w:val="33"/>
              <w:spacing w:beforeAutospacing="0" w:afterAutospacing="0"/>
              <w:ind w:firstLine="0" w:firstLineChars="0"/>
              <w:jc w:val="center"/>
              <w:rPr>
                <w:rFonts w:hint="eastAsia" w:cs="宋体"/>
                <w:color w:val="auto"/>
                <w:kern w:val="2"/>
                <w:szCs w:val="24"/>
              </w:rPr>
            </w:pPr>
            <w:r>
              <w:rPr>
                <w:rFonts w:hint="eastAsia" w:cs="宋体"/>
                <w:color w:val="auto"/>
                <w:kern w:val="2"/>
                <w:szCs w:val="24"/>
              </w:rPr>
              <w:t>施工</w:t>
            </w:r>
          </w:p>
          <w:p>
            <w:pPr>
              <w:pStyle w:val="33"/>
              <w:spacing w:beforeAutospacing="0" w:afterAutospacing="0"/>
              <w:ind w:firstLine="0" w:firstLineChars="0"/>
              <w:jc w:val="center"/>
              <w:rPr>
                <w:rFonts w:hint="eastAsia" w:cs="宋体"/>
                <w:color w:val="auto"/>
                <w:kern w:val="2"/>
                <w:szCs w:val="24"/>
              </w:rPr>
            </w:pPr>
            <w:r>
              <w:rPr>
                <w:rFonts w:hint="eastAsia" w:cs="宋体"/>
                <w:color w:val="auto"/>
                <w:kern w:val="2"/>
                <w:szCs w:val="24"/>
              </w:rPr>
              <w:t>期环</w:t>
            </w:r>
          </w:p>
          <w:p>
            <w:pPr>
              <w:pStyle w:val="33"/>
              <w:spacing w:beforeAutospacing="0" w:afterAutospacing="0"/>
              <w:ind w:firstLine="0" w:firstLineChars="0"/>
              <w:jc w:val="center"/>
              <w:rPr>
                <w:rFonts w:hint="eastAsia" w:cs="宋体"/>
                <w:color w:val="auto"/>
                <w:kern w:val="2"/>
                <w:szCs w:val="24"/>
              </w:rPr>
            </w:pPr>
            <w:r>
              <w:rPr>
                <w:rFonts w:hint="eastAsia" w:cs="宋体"/>
                <w:color w:val="auto"/>
                <w:kern w:val="2"/>
                <w:szCs w:val="24"/>
              </w:rPr>
              <w:t>境保</w:t>
            </w:r>
          </w:p>
          <w:p>
            <w:pPr>
              <w:pStyle w:val="33"/>
              <w:spacing w:beforeAutospacing="0" w:afterAutospacing="0"/>
              <w:ind w:firstLine="0" w:firstLineChars="0"/>
              <w:jc w:val="center"/>
              <w:rPr>
                <w:rFonts w:hint="eastAsia" w:cs="宋体"/>
                <w:color w:val="auto"/>
                <w:kern w:val="2"/>
                <w:szCs w:val="24"/>
              </w:rPr>
            </w:pPr>
            <w:r>
              <w:rPr>
                <w:rFonts w:hint="eastAsia" w:cs="宋体"/>
                <w:color w:val="auto"/>
                <w:kern w:val="2"/>
                <w:szCs w:val="24"/>
              </w:rPr>
              <w:t>护措</w:t>
            </w:r>
          </w:p>
          <w:p>
            <w:pPr>
              <w:pStyle w:val="33"/>
              <w:spacing w:beforeAutospacing="0" w:afterAutospacing="0"/>
              <w:ind w:firstLine="0" w:firstLineChars="0"/>
              <w:jc w:val="center"/>
              <w:rPr>
                <w:rFonts w:hint="eastAsia" w:cs="宋体"/>
                <w:bCs/>
                <w:color w:val="auto"/>
                <w:kern w:val="2"/>
                <w:sz w:val="21"/>
                <w:szCs w:val="21"/>
              </w:rPr>
            </w:pPr>
            <w:r>
              <w:rPr>
                <w:rFonts w:hint="eastAsia" w:cs="宋体"/>
                <w:color w:val="auto"/>
                <w:kern w:val="2"/>
                <w:szCs w:val="24"/>
              </w:rPr>
              <w:t>施</w:t>
            </w:r>
          </w:p>
        </w:tc>
        <w:tc>
          <w:tcPr>
            <w:tcW w:w="8172" w:type="dxa"/>
            <w:noWrap w:val="0"/>
            <w:vAlign w:val="top"/>
          </w:tcPr>
          <w:p>
            <w:pPr>
              <w:ind w:firstLine="480"/>
              <w:rPr>
                <w:color w:val="auto"/>
              </w:rPr>
            </w:pPr>
            <w:r>
              <w:rPr>
                <w:rFonts w:hint="eastAsia"/>
                <w:color w:val="auto"/>
                <w:lang w:val="de-DE"/>
              </w:rPr>
              <w:t>本项目为未批先建项目，属于新建补评手续。项目租赁现有的商铺进行项目建设，建筑主体框架已基本形成，项目建设期间，仅对商铺进行简单装修、隔断及设备安装，项目建设阶段产生的污染物较小，根据现场踏勘，该项目施工期已结束，经现场踏查及询问调查，项目施工期无环境遗留问题，未接到相关环境污染投诉。</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6186" w:hRule="atLeast"/>
          <w:jc w:val="center"/>
        </w:trPr>
        <w:tc>
          <w:tcPr>
            <w:tcW w:w="746" w:type="dxa"/>
            <w:noWrap w:val="0"/>
            <w:tcMar>
              <w:left w:w="28" w:type="dxa"/>
              <w:right w:w="28" w:type="dxa"/>
            </w:tcMar>
            <w:vAlign w:val="center"/>
          </w:tcPr>
          <w:p>
            <w:pPr>
              <w:ind w:firstLine="0" w:firstLineChars="0"/>
              <w:jc w:val="center"/>
              <w:rPr>
                <w:rFonts w:hint="eastAsia" w:ascii="宋体" w:hAnsi="宋体" w:cs="宋体"/>
                <w:bCs/>
                <w:color w:val="auto"/>
                <w:szCs w:val="21"/>
              </w:rPr>
            </w:pPr>
            <w:r>
              <w:rPr>
                <w:rFonts w:hint="eastAsia" w:ascii="宋体" w:hAnsi="宋体" w:cs="宋体"/>
                <w:bCs/>
                <w:color w:val="auto"/>
                <w:szCs w:val="21"/>
              </w:rPr>
              <w:t>期环</w:t>
            </w:r>
          </w:p>
          <w:p>
            <w:pPr>
              <w:ind w:firstLine="0" w:firstLineChars="0"/>
              <w:jc w:val="center"/>
              <w:rPr>
                <w:rFonts w:hint="eastAsia" w:ascii="宋体" w:hAnsi="宋体" w:cs="宋体"/>
                <w:bCs/>
                <w:color w:val="auto"/>
                <w:szCs w:val="21"/>
              </w:rPr>
            </w:pPr>
            <w:r>
              <w:rPr>
                <w:rFonts w:hint="eastAsia" w:ascii="宋体" w:hAnsi="宋体" w:cs="宋体"/>
                <w:bCs/>
                <w:color w:val="auto"/>
                <w:szCs w:val="21"/>
              </w:rPr>
              <w:t>境影</w:t>
            </w:r>
          </w:p>
          <w:p>
            <w:pPr>
              <w:ind w:firstLine="0" w:firstLineChars="0"/>
              <w:jc w:val="center"/>
              <w:rPr>
                <w:rFonts w:hint="eastAsia" w:ascii="宋体" w:hAnsi="宋体" w:cs="宋体"/>
                <w:bCs/>
                <w:color w:val="auto"/>
                <w:szCs w:val="21"/>
              </w:rPr>
            </w:pPr>
            <w:r>
              <w:rPr>
                <w:rFonts w:hint="eastAsia" w:ascii="宋体" w:hAnsi="宋体" w:cs="宋体"/>
                <w:bCs/>
                <w:color w:val="auto"/>
                <w:szCs w:val="21"/>
              </w:rPr>
              <w:t>响和</w:t>
            </w:r>
          </w:p>
          <w:p>
            <w:pPr>
              <w:ind w:firstLine="0" w:firstLineChars="0"/>
              <w:jc w:val="center"/>
              <w:rPr>
                <w:rFonts w:hint="eastAsia" w:ascii="宋体" w:hAnsi="宋体" w:cs="宋体"/>
                <w:bCs/>
                <w:color w:val="auto"/>
                <w:szCs w:val="21"/>
              </w:rPr>
            </w:pPr>
            <w:r>
              <w:rPr>
                <w:rFonts w:hint="eastAsia" w:ascii="宋体" w:hAnsi="宋体" w:cs="宋体"/>
                <w:bCs/>
                <w:color w:val="auto"/>
                <w:szCs w:val="21"/>
              </w:rPr>
              <w:t>保护</w:t>
            </w:r>
          </w:p>
          <w:p>
            <w:pPr>
              <w:ind w:firstLine="0" w:firstLineChars="0"/>
              <w:jc w:val="center"/>
              <w:rPr>
                <w:rFonts w:ascii="宋体" w:hAnsi="宋体" w:cs="宋体"/>
                <w:bCs/>
                <w:color w:val="auto"/>
                <w:szCs w:val="21"/>
              </w:rPr>
            </w:pPr>
            <w:r>
              <w:rPr>
                <w:rFonts w:hint="eastAsia" w:ascii="宋体" w:hAnsi="宋体" w:cs="宋体"/>
                <w:bCs/>
                <w:color w:val="auto"/>
                <w:szCs w:val="21"/>
              </w:rPr>
              <w:t>措施</w:t>
            </w:r>
          </w:p>
        </w:tc>
        <w:tc>
          <w:tcPr>
            <w:tcW w:w="8172" w:type="dxa"/>
            <w:noWrap w:val="0"/>
            <w:vAlign w:val="center"/>
          </w:tcPr>
          <w:p>
            <w:pPr>
              <w:pStyle w:val="5"/>
              <w:rPr>
                <w:color w:val="auto"/>
              </w:rPr>
            </w:pPr>
            <w:r>
              <w:rPr>
                <w:color w:val="auto"/>
              </w:rPr>
              <w:t>一、营运期水环境影响分析</w:t>
            </w:r>
          </w:p>
          <w:p>
            <w:pPr>
              <w:pStyle w:val="6"/>
              <w:ind w:firstLine="482"/>
              <w:rPr>
                <w:rFonts w:hint="eastAsia"/>
                <w:color w:val="auto"/>
              </w:rPr>
            </w:pPr>
            <w:r>
              <w:rPr>
                <w:rFonts w:hint="eastAsia"/>
                <w:color w:val="auto"/>
              </w:rPr>
              <w:t>1、废水产生源强</w:t>
            </w:r>
          </w:p>
          <w:p>
            <w:pPr>
              <w:pStyle w:val="104"/>
              <w:ind w:firstLine="480"/>
              <w:rPr>
                <w:rFonts w:hint="eastAsia"/>
                <w:color w:val="auto"/>
              </w:rPr>
            </w:pPr>
            <w:r>
              <w:rPr>
                <w:rFonts w:hint="eastAsia"/>
                <w:color w:val="auto"/>
              </w:rPr>
              <w:t>本项目产生的废水主要为生活污水（0.36m³/d）和医疗废水（0.96m</w:t>
            </w:r>
            <w:r>
              <w:rPr>
                <w:rFonts w:hint="eastAsia"/>
                <w:color w:val="auto"/>
                <w:vertAlign w:val="superscript"/>
              </w:rPr>
              <w:t>3</w:t>
            </w:r>
            <w:r>
              <w:rPr>
                <w:rFonts w:hint="eastAsia"/>
                <w:color w:val="auto"/>
              </w:rPr>
              <w:t>/d），其中医疗废水包括了动物门诊废水、住院废水和院内地面清洁废水，项目废水总的排放量为1.32m</w:t>
            </w:r>
            <w:r>
              <w:rPr>
                <w:rFonts w:hint="eastAsia"/>
                <w:color w:val="auto"/>
                <w:vertAlign w:val="superscript"/>
              </w:rPr>
              <w:t>3</w:t>
            </w:r>
            <w:r>
              <w:rPr>
                <w:rFonts w:hint="eastAsia"/>
                <w:color w:val="auto"/>
              </w:rPr>
              <w:t>/d（396m</w:t>
            </w:r>
            <w:r>
              <w:rPr>
                <w:rFonts w:hint="eastAsia"/>
                <w:color w:val="auto"/>
                <w:vertAlign w:val="superscript"/>
              </w:rPr>
              <w:t>3</w:t>
            </w:r>
            <w:r>
              <w:rPr>
                <w:rFonts w:hint="eastAsia"/>
                <w:color w:val="auto"/>
              </w:rPr>
              <w:t>/a）。</w:t>
            </w:r>
          </w:p>
          <w:p>
            <w:pPr>
              <w:pStyle w:val="6"/>
              <w:ind w:firstLine="482"/>
              <w:rPr>
                <w:color w:val="auto"/>
              </w:rPr>
            </w:pPr>
            <w:r>
              <w:rPr>
                <w:rFonts w:hint="eastAsia"/>
                <w:color w:val="auto"/>
              </w:rPr>
              <w:t>2、现有废水治理措施</w:t>
            </w:r>
          </w:p>
          <w:p>
            <w:pPr>
              <w:pStyle w:val="104"/>
              <w:ind w:firstLine="480"/>
              <w:rPr>
                <w:rFonts w:hint="eastAsia"/>
                <w:color w:val="auto"/>
              </w:rPr>
            </w:pPr>
            <w:r>
              <w:rPr>
                <w:rFonts w:hint="eastAsia"/>
                <w:color w:val="auto"/>
              </w:rPr>
              <w:t>医疗废水经医院一体化污水处理设备处理后同生活污水一起进入满芳庭锦邻小区的预处理</w:t>
            </w:r>
            <w:r>
              <w:rPr>
                <w:rFonts w:hint="eastAsia"/>
                <w:color w:val="auto"/>
                <w:lang w:eastAsia="zh-CN"/>
              </w:rPr>
              <w:t>池</w:t>
            </w:r>
            <w:r>
              <w:rPr>
                <w:rFonts w:hint="eastAsia"/>
                <w:color w:val="auto"/>
              </w:rPr>
              <w:t>处理达到《污水综合排放标准》（GB 8978-1996）表2中三级标准限值后排入市政污水管网，最终进入乐山市第一污水处理厂处理达标后排入岷江。</w:t>
            </w:r>
          </w:p>
          <w:p>
            <w:pPr>
              <w:pStyle w:val="104"/>
              <w:ind w:left="480" w:leftChars="200" w:firstLine="0" w:firstLineChars="0"/>
              <w:rPr>
                <w:rFonts w:hint="eastAsia" w:cs="宋体"/>
                <w:b/>
                <w:color w:val="auto"/>
                <w:kern w:val="0"/>
                <w:szCs w:val="27"/>
              </w:rPr>
            </w:pPr>
            <w:r>
              <w:rPr>
                <w:rFonts w:hint="eastAsia"/>
                <w:color w:val="auto"/>
              </w:rPr>
              <w:t>3</w:t>
            </w:r>
            <w:r>
              <w:rPr>
                <w:rFonts w:hint="eastAsia" w:cs="宋体"/>
                <w:b/>
                <w:color w:val="auto"/>
                <w:kern w:val="0"/>
                <w:szCs w:val="27"/>
              </w:rPr>
              <w:t>、监测计划</w:t>
            </w:r>
          </w:p>
          <w:p>
            <w:pPr>
              <w:pStyle w:val="104"/>
              <w:ind w:firstLine="480"/>
              <w:rPr>
                <w:rFonts w:hint="eastAsia"/>
                <w:color w:val="auto"/>
              </w:rPr>
            </w:pPr>
            <w:r>
              <w:rPr>
                <w:rFonts w:hint="eastAsia"/>
                <w:color w:val="auto"/>
              </w:rPr>
              <w:t>根据</w:t>
            </w:r>
            <w:r>
              <w:rPr>
                <w:color w:val="auto"/>
              </w:rPr>
              <w:t>《排污单位自行监测技术指南 总则》（HJ819-2017）</w:t>
            </w:r>
            <w:r>
              <w:rPr>
                <w:rFonts w:hint="eastAsia"/>
                <w:color w:val="auto"/>
              </w:rPr>
              <w:t>制定本项目废水监测计划如下：</w:t>
            </w:r>
          </w:p>
          <w:p>
            <w:pPr>
              <w:pStyle w:val="102"/>
              <w:rPr>
                <w:rFonts w:hint="eastAsia"/>
                <w:color w:val="auto"/>
              </w:rPr>
            </w:pPr>
            <w:r>
              <w:rPr>
                <w:rFonts w:hint="eastAsia"/>
                <w:color w:val="auto"/>
              </w:rPr>
              <w:t>表4-1   废水污染物监测计划</w:t>
            </w:r>
          </w:p>
          <w:tbl>
            <w:tblPr>
              <w:tblStyle w:val="3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83"/>
              <w:gridCol w:w="1700"/>
              <w:gridCol w:w="3267"/>
              <w:gridCol w:w="15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3" w:type="dxa"/>
                  <w:noWrap w:val="0"/>
                  <w:vAlign w:val="center"/>
                </w:tcPr>
                <w:p>
                  <w:pPr>
                    <w:pStyle w:val="118"/>
                    <w:rPr>
                      <w:color w:val="auto"/>
                    </w:rPr>
                  </w:pPr>
                  <w:r>
                    <w:rPr>
                      <w:rFonts w:hint="eastAsia"/>
                      <w:color w:val="auto"/>
                    </w:rPr>
                    <w:t>序号</w:t>
                  </w:r>
                </w:p>
              </w:tc>
              <w:tc>
                <w:tcPr>
                  <w:tcW w:w="1700" w:type="dxa"/>
                  <w:noWrap w:val="0"/>
                  <w:vAlign w:val="center"/>
                </w:tcPr>
                <w:p>
                  <w:pPr>
                    <w:pStyle w:val="118"/>
                    <w:rPr>
                      <w:color w:val="auto"/>
                    </w:rPr>
                  </w:pPr>
                  <w:r>
                    <w:rPr>
                      <w:rFonts w:hint="eastAsia"/>
                      <w:color w:val="auto"/>
                    </w:rPr>
                    <w:t>监测点位</w:t>
                  </w:r>
                </w:p>
              </w:tc>
              <w:tc>
                <w:tcPr>
                  <w:tcW w:w="3267" w:type="dxa"/>
                  <w:noWrap w:val="0"/>
                  <w:vAlign w:val="center"/>
                </w:tcPr>
                <w:p>
                  <w:pPr>
                    <w:pStyle w:val="118"/>
                    <w:rPr>
                      <w:color w:val="auto"/>
                    </w:rPr>
                  </w:pPr>
                  <w:r>
                    <w:rPr>
                      <w:rFonts w:hint="eastAsia"/>
                      <w:color w:val="auto"/>
                    </w:rPr>
                    <w:t>监测因子</w:t>
                  </w:r>
                </w:p>
              </w:tc>
              <w:tc>
                <w:tcPr>
                  <w:tcW w:w="1547" w:type="dxa"/>
                  <w:noWrap w:val="0"/>
                  <w:vAlign w:val="center"/>
                </w:tcPr>
                <w:p>
                  <w:pPr>
                    <w:pStyle w:val="118"/>
                    <w:rPr>
                      <w:color w:val="auto"/>
                    </w:rPr>
                  </w:pPr>
                  <w:r>
                    <w:rPr>
                      <w:rFonts w:hint="eastAsia"/>
                      <w:color w:val="auto"/>
                    </w:rPr>
                    <w:t>监测频次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83" w:type="dxa"/>
                  <w:noWrap w:val="0"/>
                  <w:vAlign w:val="center"/>
                </w:tcPr>
                <w:p>
                  <w:pPr>
                    <w:pStyle w:val="118"/>
                    <w:rPr>
                      <w:color w:val="auto"/>
                    </w:rPr>
                  </w:pPr>
                  <w:r>
                    <w:rPr>
                      <w:rFonts w:hint="eastAsia"/>
                      <w:color w:val="auto"/>
                    </w:rPr>
                    <w:t>DW001</w:t>
                  </w:r>
                </w:p>
              </w:tc>
              <w:tc>
                <w:tcPr>
                  <w:tcW w:w="1700" w:type="dxa"/>
                  <w:noWrap w:val="0"/>
                  <w:vAlign w:val="center"/>
                </w:tcPr>
                <w:p>
                  <w:pPr>
                    <w:pStyle w:val="118"/>
                    <w:rPr>
                      <w:color w:val="auto"/>
                    </w:rPr>
                  </w:pPr>
                  <w:r>
                    <w:rPr>
                      <w:rFonts w:hint="eastAsia"/>
                      <w:color w:val="auto"/>
                    </w:rPr>
                    <w:t>废水排放口</w:t>
                  </w:r>
                </w:p>
              </w:tc>
              <w:tc>
                <w:tcPr>
                  <w:tcW w:w="3267" w:type="dxa"/>
                  <w:noWrap w:val="0"/>
                  <w:vAlign w:val="center"/>
                </w:tcPr>
                <w:p>
                  <w:pPr>
                    <w:pStyle w:val="118"/>
                    <w:rPr>
                      <w:color w:val="auto"/>
                    </w:rPr>
                  </w:pPr>
                  <w:r>
                    <w:rPr>
                      <w:rFonts w:hint="eastAsia"/>
                      <w:color w:val="auto"/>
                    </w:rPr>
                    <w:t>PH、COD、BOD</w:t>
                  </w:r>
                  <w:r>
                    <w:rPr>
                      <w:rFonts w:hint="eastAsia"/>
                      <w:color w:val="auto"/>
                      <w:vertAlign w:val="subscript"/>
                    </w:rPr>
                    <w:t>5</w:t>
                  </w:r>
                  <w:r>
                    <w:rPr>
                      <w:rFonts w:hint="eastAsia"/>
                      <w:color w:val="auto"/>
                    </w:rPr>
                    <w:t>、NH</w:t>
                  </w:r>
                  <w:r>
                    <w:rPr>
                      <w:rFonts w:hint="eastAsia"/>
                      <w:color w:val="auto"/>
                      <w:vertAlign w:val="subscript"/>
                    </w:rPr>
                    <w:t>3</w:t>
                  </w:r>
                  <w:r>
                    <w:rPr>
                      <w:rFonts w:hint="eastAsia"/>
                      <w:color w:val="auto"/>
                    </w:rPr>
                    <w:t>-N、TP、粪大肠菌群、总余氯</w:t>
                  </w:r>
                </w:p>
              </w:tc>
              <w:tc>
                <w:tcPr>
                  <w:tcW w:w="1547" w:type="dxa"/>
                  <w:noWrap w:val="0"/>
                  <w:vAlign w:val="center"/>
                </w:tcPr>
                <w:p>
                  <w:pPr>
                    <w:pStyle w:val="118"/>
                    <w:rPr>
                      <w:color w:val="auto"/>
                    </w:rPr>
                  </w:pPr>
                  <w:r>
                    <w:rPr>
                      <w:rFonts w:hint="eastAsia"/>
                      <w:color w:val="auto"/>
                    </w:rPr>
                    <w:t>1年/次</w:t>
                  </w:r>
                </w:p>
              </w:tc>
            </w:tr>
          </w:tbl>
          <w:p>
            <w:pPr>
              <w:pStyle w:val="6"/>
              <w:ind w:firstLine="482"/>
              <w:rPr>
                <w:color w:val="auto"/>
              </w:rPr>
            </w:pPr>
            <w:r>
              <w:rPr>
                <w:rFonts w:hint="eastAsia"/>
                <w:color w:val="auto"/>
              </w:rPr>
              <w:t>4、现有污水处理措施可行性分析</w:t>
            </w:r>
          </w:p>
          <w:p>
            <w:pPr>
              <w:pStyle w:val="104"/>
              <w:ind w:firstLine="480"/>
              <w:rPr>
                <w:rFonts w:hint="eastAsia"/>
                <w:color w:val="auto"/>
              </w:rPr>
            </w:pPr>
            <w:r>
              <w:rPr>
                <w:rFonts w:hint="eastAsia"/>
                <w:color w:val="auto"/>
              </w:rPr>
              <w:t>项目医疗废水现采用缓释消毒器“过滤沉淀+消毒”工艺处理后排入市政污水管网，具体的工艺流程如下：</w:t>
            </w:r>
          </w:p>
          <w:p>
            <w:pPr>
              <w:pStyle w:val="104"/>
              <w:ind w:firstLine="480"/>
              <w:rPr>
                <w:rFonts w:hint="eastAsia"/>
                <w:color w:val="auto"/>
              </w:rPr>
            </w:pPr>
          </w:p>
          <w:p>
            <w:pPr>
              <w:pStyle w:val="170"/>
              <w:rPr>
                <w:rFonts w:hint="eastAsia"/>
                <w:color w:val="auto"/>
              </w:rPr>
            </w:pPr>
            <w:r>
              <w:rPr>
                <w:rFonts w:hint="eastAsia"/>
                <w:color w:val="auto"/>
              </w:rPr>
              <w:pict>
                <v:shape id="_x0000_s2054" o:spid="_x0000_s2054" o:spt="75" type="#_x0000_t75" style="position:absolute;left:0pt;margin-left:1.9pt;margin-top:6pt;height:102.95pt;width:395.95pt;z-index:251669504;mso-width-relative:page;mso-height-relative:page;" o:ole="t" filled="f" o:preferrelative="t" stroked="f" coordsize="21600,21600">
                  <v:path/>
                  <v:fill on="f" focussize="0,0"/>
                  <v:stroke on="f"/>
                  <v:imagedata r:id="rId108" o:title=""/>
                  <o:lock v:ext="edit" aspectratio="f"/>
                </v:shape>
                <o:OLEObject Type="Embed" ProgID="" ShapeID="_x0000_s2054" DrawAspect="Content" ObjectID="_1468075749" r:id="rId107">
                  <o:LockedField>false</o:LockedField>
                </o:OLEObject>
              </w:pict>
            </w:r>
          </w:p>
          <w:p>
            <w:pPr>
              <w:pStyle w:val="170"/>
              <w:rPr>
                <w:rFonts w:hint="eastAsia"/>
                <w:color w:val="auto"/>
              </w:rPr>
            </w:pPr>
          </w:p>
          <w:p>
            <w:pPr>
              <w:pStyle w:val="104"/>
              <w:ind w:firstLine="480"/>
              <w:rPr>
                <w:rFonts w:hint="eastAsia"/>
                <w:color w:val="auto"/>
              </w:rPr>
            </w:pPr>
          </w:p>
          <w:p>
            <w:pPr>
              <w:pStyle w:val="104"/>
              <w:ind w:firstLine="480"/>
              <w:rPr>
                <w:rFonts w:hint="eastAsia"/>
                <w:color w:val="auto"/>
              </w:rPr>
            </w:pPr>
          </w:p>
          <w:p>
            <w:pPr>
              <w:pStyle w:val="104"/>
              <w:ind w:firstLine="480"/>
              <w:rPr>
                <w:rFonts w:hint="eastAsia"/>
                <w:color w:val="auto"/>
              </w:rPr>
            </w:pPr>
          </w:p>
          <w:p>
            <w:pPr>
              <w:pStyle w:val="104"/>
              <w:ind w:firstLine="480"/>
              <w:rPr>
                <w:rFonts w:hint="eastAsia"/>
                <w:color w:val="auto"/>
              </w:rPr>
            </w:pPr>
          </w:p>
          <w:p>
            <w:pPr>
              <w:pStyle w:val="117"/>
              <w:rPr>
                <w:rFonts w:hint="eastAsia"/>
                <w:color w:val="auto"/>
              </w:rPr>
            </w:pPr>
            <w:r>
              <w:rPr>
                <w:rFonts w:hint="eastAsia"/>
                <w:color w:val="auto"/>
              </w:rPr>
              <w:t>图4-1 现状采取的废水处理工艺流程图</w:t>
            </w:r>
          </w:p>
          <w:p>
            <w:pPr>
              <w:pStyle w:val="104"/>
              <w:ind w:firstLine="482"/>
              <w:rPr>
                <w:rFonts w:hint="eastAsia"/>
                <w:color w:val="auto"/>
              </w:rPr>
            </w:pPr>
            <w:r>
              <w:rPr>
                <w:rFonts w:hint="eastAsia"/>
                <w:b/>
                <w:bCs/>
                <w:color w:val="auto"/>
              </w:rPr>
              <w:t>处理工艺说明：</w:t>
            </w:r>
            <w:r>
              <w:rPr>
                <w:rFonts w:hint="eastAsia"/>
                <w:color w:val="auto"/>
              </w:rPr>
              <w:t xml:space="preserve">项目医疗废水进入缓释消毒器中经过滤、沉淀处理后，采用自动缓释延时压力加氯工艺。污水经过处理后，同生活污水通过管道排入满芳庭锦邻小区预处理池，通过小区预处理池处理后排入市政污水管网，最终进入乐山市第一污水处理厂，处理达标后排入岷江。 </w:t>
            </w:r>
          </w:p>
          <w:p>
            <w:pPr>
              <w:pStyle w:val="104"/>
              <w:ind w:firstLine="482"/>
              <w:rPr>
                <w:rFonts w:hint="eastAsia"/>
                <w:b/>
                <w:bCs/>
                <w:color w:val="auto"/>
              </w:rPr>
            </w:pPr>
            <w:r>
              <w:rPr>
                <w:rFonts w:hint="eastAsia"/>
                <w:b/>
                <w:bCs/>
                <w:color w:val="auto"/>
              </w:rPr>
              <w:t>污水处理设备基本情况：</w:t>
            </w:r>
          </w:p>
          <w:p>
            <w:pPr>
              <w:pStyle w:val="104"/>
              <w:numPr>
                <w:ilvl w:val="0"/>
                <w:numId w:val="19"/>
              </w:numPr>
              <w:ind w:firstLine="480"/>
              <w:rPr>
                <w:rFonts w:hint="eastAsia"/>
                <w:color w:val="auto"/>
              </w:rPr>
            </w:pPr>
            <w:r>
              <w:rPr>
                <w:rFonts w:hint="eastAsia"/>
                <w:color w:val="auto"/>
              </w:rPr>
              <w:t>缓释消毒器设备特点：</w:t>
            </w:r>
          </w:p>
          <w:p>
            <w:pPr>
              <w:pStyle w:val="104"/>
              <w:ind w:firstLine="480"/>
              <w:rPr>
                <w:rFonts w:hint="eastAsia"/>
                <w:color w:val="auto"/>
              </w:rPr>
            </w:pPr>
            <w:r>
              <w:rPr>
                <w:rFonts w:hint="eastAsia"/>
                <w:color w:val="auto"/>
              </w:rPr>
              <w:t>①将传统的混凝、沉淀、过滤等净水工艺组合在一个设备内完成，占地少，安装方便。</w:t>
            </w:r>
          </w:p>
          <w:p>
            <w:pPr>
              <w:pStyle w:val="104"/>
              <w:ind w:firstLine="480"/>
              <w:rPr>
                <w:rFonts w:hint="eastAsia"/>
                <w:color w:val="auto"/>
              </w:rPr>
            </w:pPr>
            <w:r>
              <w:rPr>
                <w:rFonts w:hint="eastAsia"/>
                <w:color w:val="auto"/>
              </w:rPr>
              <w:t>②运行自动化、智能化。除了对水泵和加药系统的管理外，设备进水、沉淀、过滤、出水、反冲、排污等均自动进行，不需要人工操作。</w:t>
            </w:r>
          </w:p>
          <w:p>
            <w:pPr>
              <w:pStyle w:val="104"/>
              <w:ind w:firstLine="480"/>
              <w:rPr>
                <w:color w:val="auto"/>
              </w:rPr>
            </w:pPr>
            <w:r>
              <w:rPr>
                <w:rFonts w:hint="eastAsia"/>
                <w:color w:val="auto"/>
              </w:rPr>
              <w:t>③适应性强，出水水质稳定、可靠、水量充足，在源水浊度高达3000mg/L时，出水浊度能稳定在3mg/L以下，达自来水浊度标准。</w:t>
            </w:r>
          </w:p>
          <w:p>
            <w:pPr>
              <w:pStyle w:val="104"/>
              <w:numPr>
                <w:ilvl w:val="0"/>
                <w:numId w:val="19"/>
              </w:numPr>
              <w:ind w:firstLine="480"/>
              <w:rPr>
                <w:color w:val="auto"/>
              </w:rPr>
            </w:pPr>
            <w:r>
              <w:rPr>
                <w:rFonts w:hint="eastAsia"/>
                <w:color w:val="auto"/>
              </w:rPr>
              <w:t>缓释消毒器工作原理：</w:t>
            </w:r>
          </w:p>
          <w:p>
            <w:pPr>
              <w:pStyle w:val="104"/>
              <w:ind w:firstLine="480"/>
              <w:rPr>
                <w:color w:val="auto"/>
              </w:rPr>
            </w:pPr>
            <w:r>
              <w:rPr>
                <w:color w:val="auto"/>
              </w:rPr>
              <w:t>采用溶解法，自动缓释，压力加氯工艺设计，CL固体药剂为主要原料，经水与药剂合理混合缓释所产生的消毒液，投入到所需水池(水井)与水充分接触杀菌消毒。</w:t>
            </w:r>
          </w:p>
          <w:p>
            <w:pPr>
              <w:pStyle w:val="104"/>
              <w:ind w:firstLine="480"/>
              <w:rPr>
                <w:color w:val="auto"/>
              </w:rPr>
            </w:pPr>
            <w:r>
              <w:rPr>
                <w:color w:val="auto"/>
              </w:rPr>
              <w:t>缓释消毒器采用化学反应，自动稀释延时压力加氯工艺，以强氯固体药剂为主要原料，水与药剂合理混合后所产生的消毒杀菌液，投加到水池、水井、管道和污水池与接触达到灭菌的作用。缓释消毒器结构较简单，操作方便，不用专人维护，可以自行控制药剂投入量, 制作成本和使用成本低，有很好的使用效果。缓释消毒器是这样构成的，它包括箱体，在箱体的两侧分别设有进水口和出水口</w:t>
            </w:r>
            <w:r>
              <w:rPr>
                <w:rFonts w:hint="eastAsia"/>
                <w:color w:val="auto"/>
              </w:rPr>
              <w:t>；</w:t>
            </w:r>
            <w:r>
              <w:rPr>
                <w:color w:val="auto"/>
              </w:rPr>
              <w:t>进水口和出水口之间连接有缓释管,在缓释管上方设有1个或1个以上的带有密封盖的投药室，在投药室下方的箱体内设有水平隔板。</w:t>
            </w:r>
          </w:p>
          <w:p>
            <w:pPr>
              <w:pStyle w:val="104"/>
              <w:ind w:firstLine="482"/>
              <w:rPr>
                <w:rFonts w:hint="eastAsia"/>
                <w:color w:val="auto"/>
              </w:rPr>
            </w:pPr>
            <w:r>
              <w:rPr>
                <w:rFonts w:hint="eastAsia"/>
                <w:b/>
                <w:bCs/>
                <w:color w:val="auto"/>
              </w:rPr>
              <w:t>本项目为宠物医疗服务项目，参照《医院污水处理工程技术规范》（HJ2029—2013）并结合本项目医疗废水水量特点，项目产生的医疗废水采用缓释消毒器“一级强化+消毒”工艺处理。根据调查，项目产生的医疗废水采用处理工艺为“过滤沉淀+消毒”，污水处理设施设计处理能力为2m</w:t>
            </w:r>
            <w:r>
              <w:rPr>
                <w:rFonts w:hint="eastAsia"/>
                <w:b/>
                <w:bCs/>
                <w:color w:val="auto"/>
                <w:vertAlign w:val="superscript"/>
              </w:rPr>
              <w:t>3</w:t>
            </w:r>
            <w:r>
              <w:rPr>
                <w:rFonts w:hint="eastAsia"/>
                <w:b/>
                <w:bCs/>
                <w:color w:val="auto"/>
              </w:rPr>
              <w:t>/d，设备采用自动缓释延时压力加氯工艺，项目目前采用的医疗废水处理工艺能满足《医院污水处理工程技术规范》（HJ2029—2013）废水处理工艺要求，项目现有的医疗废水治理措施可行，无需整改。</w:t>
            </w:r>
            <w:r>
              <w:rPr>
                <w:rFonts w:hint="eastAsia"/>
                <w:color w:val="auto"/>
              </w:rPr>
              <w:t xml:space="preserve"> </w:t>
            </w:r>
          </w:p>
          <w:p>
            <w:pPr>
              <w:pStyle w:val="6"/>
              <w:ind w:firstLine="482"/>
              <w:rPr>
                <w:rFonts w:hint="eastAsia"/>
                <w:color w:val="auto"/>
              </w:rPr>
            </w:pPr>
            <w:r>
              <w:rPr>
                <w:rFonts w:hint="eastAsia"/>
                <w:color w:val="auto"/>
              </w:rPr>
              <w:t>5、项目依托满芳庭锦邻小区预处理池可行性分析</w:t>
            </w:r>
          </w:p>
          <w:p>
            <w:pPr>
              <w:pStyle w:val="104"/>
              <w:ind w:firstLine="480"/>
              <w:rPr>
                <w:rFonts w:hint="eastAsia"/>
                <w:color w:val="auto"/>
              </w:rPr>
            </w:pPr>
            <w:r>
              <w:rPr>
                <w:rFonts w:hint="eastAsia"/>
                <w:color w:val="auto"/>
              </w:rPr>
              <w:t>本项目废水最终依托满芳庭锦邻小区已建的公用预处理池进行处理，由该小区物管单位管理维护，在修建时已对所有区域废水排放情况进行了分析，可以容纳整个区域所产生的污水。且本项目废水为间歇排放，排放量较小，满芳庭锦邻小区污水预处理池在设计规模时已将小区配套商铺废水排放量纳入其容积范围内，预处理池的处理能力能够满足本项目纳入后的使用要求，因此本环评不再对其做具体分析。</w:t>
            </w:r>
          </w:p>
          <w:p>
            <w:pPr>
              <w:pStyle w:val="6"/>
              <w:ind w:firstLine="482"/>
              <w:rPr>
                <w:color w:val="auto"/>
              </w:rPr>
            </w:pPr>
            <w:r>
              <w:rPr>
                <w:rFonts w:hint="eastAsia"/>
                <w:color w:val="auto"/>
              </w:rPr>
              <w:t>6、本项目废水末端排入乐山市第一污水处理厂依托可行性分析</w:t>
            </w:r>
          </w:p>
          <w:p>
            <w:pPr>
              <w:pStyle w:val="104"/>
              <w:ind w:firstLine="480"/>
              <w:rPr>
                <w:rFonts w:hint="eastAsia"/>
                <w:color w:val="auto"/>
              </w:rPr>
            </w:pPr>
            <w:r>
              <w:rPr>
                <w:rFonts w:hint="eastAsia"/>
                <w:color w:val="auto"/>
              </w:rPr>
              <w:t>本项目位于四川省乐山市市中区肖坝路796号，项目位置属于城市建成区，项目所在街道市政污水管网已与乐山市第一水污水处理厂主干管接通。乐山市第一污水处理厂位于乐山市市中区九峰乡永安村，设计处理能力为15万吨/日，服务范围为乐山市老城区、肖坝片区、竹公溪部分片区、城北、城西以及全部岷江东岸片区。污水处理厂采用“A</w:t>
            </w:r>
            <w:r>
              <w:rPr>
                <w:rFonts w:hint="eastAsia"/>
                <w:color w:val="auto"/>
                <w:vertAlign w:val="superscript"/>
              </w:rPr>
              <w:t>2</w:t>
            </w:r>
            <w:r>
              <w:rPr>
                <w:rFonts w:hint="eastAsia"/>
                <w:color w:val="auto"/>
              </w:rPr>
              <w:t>/O工艺+二沉池+高效沉淀池+反硝化滤池”工艺，出水水质满足《四川省岷江、沱江流域水污染物排放标准》（DB51/2311-2016）中表1“城镇污水处理厂”标准。</w:t>
            </w:r>
          </w:p>
          <w:p>
            <w:pPr>
              <w:pStyle w:val="104"/>
              <w:ind w:firstLine="480"/>
              <w:rPr>
                <w:rFonts w:hint="eastAsia"/>
                <w:color w:val="auto"/>
              </w:rPr>
            </w:pPr>
            <w:r>
              <w:rPr>
                <w:rFonts w:hint="eastAsia"/>
                <w:color w:val="auto"/>
              </w:rPr>
              <w:t>本项目依托市政污水处理厂的可行性主要从</w:t>
            </w:r>
            <w:r>
              <w:rPr>
                <w:rFonts w:hint="eastAsia"/>
                <w:b/>
                <w:bCs/>
                <w:color w:val="auto"/>
              </w:rPr>
              <w:t>进水水质和水量</w:t>
            </w:r>
            <w:r>
              <w:rPr>
                <w:rFonts w:hint="eastAsia"/>
                <w:color w:val="auto"/>
              </w:rPr>
              <w:t>来分析。</w:t>
            </w:r>
          </w:p>
          <w:p>
            <w:pPr>
              <w:pStyle w:val="104"/>
              <w:ind w:firstLine="482"/>
              <w:rPr>
                <w:rFonts w:hint="eastAsia"/>
                <w:b/>
                <w:bCs/>
                <w:color w:val="auto"/>
                <w:u w:val="single"/>
              </w:rPr>
            </w:pPr>
            <w:r>
              <w:rPr>
                <w:rFonts w:hint="eastAsia"/>
                <w:b/>
                <w:bCs/>
                <w:color w:val="auto"/>
                <w:u w:val="single"/>
              </w:rPr>
              <w:t>进水水质：</w:t>
            </w:r>
          </w:p>
          <w:p>
            <w:pPr>
              <w:pStyle w:val="104"/>
              <w:ind w:firstLine="480"/>
              <w:rPr>
                <w:rFonts w:hint="eastAsia"/>
                <w:color w:val="auto"/>
              </w:rPr>
            </w:pPr>
            <w:r>
              <w:rPr>
                <w:rFonts w:hint="eastAsia"/>
                <w:color w:val="auto"/>
              </w:rPr>
              <w:t>医疗废水经医院一体化污水处理设备处理后同生活污水一起依托满芳庭锦邻小区的预处理池处理达到《污水综合排放标准》（GB 8978-1996）表4中三级标准限值后排入市政污水管网。因此，本项目出水水质满足乐山市第一污水处理厂的进水水质标准要求。</w:t>
            </w:r>
          </w:p>
          <w:p>
            <w:pPr>
              <w:pStyle w:val="104"/>
              <w:ind w:firstLine="482"/>
              <w:rPr>
                <w:rFonts w:hint="eastAsia"/>
                <w:b/>
                <w:bCs/>
                <w:color w:val="auto"/>
                <w:u w:val="single"/>
              </w:rPr>
            </w:pPr>
            <w:r>
              <w:rPr>
                <w:rFonts w:hint="eastAsia"/>
                <w:b/>
                <w:bCs/>
                <w:color w:val="auto"/>
                <w:u w:val="single"/>
              </w:rPr>
              <w:t>处理水量：</w:t>
            </w:r>
          </w:p>
          <w:p>
            <w:pPr>
              <w:pStyle w:val="104"/>
              <w:ind w:firstLine="480"/>
              <w:rPr>
                <w:rFonts w:hint="eastAsia"/>
                <w:color w:val="auto"/>
              </w:rPr>
            </w:pPr>
            <w:r>
              <w:rPr>
                <w:rFonts w:hint="eastAsia"/>
                <w:color w:val="auto"/>
              </w:rPr>
              <w:t>项目所依托的乐山市第一污水处理厂设计处理规模为15万吨/d，根据前文分析，本项目污水排放总量为1.32m</w:t>
            </w:r>
            <w:r>
              <w:rPr>
                <w:rFonts w:hint="eastAsia"/>
                <w:color w:val="auto"/>
                <w:vertAlign w:val="superscript"/>
              </w:rPr>
              <w:t>3</w:t>
            </w:r>
            <w:r>
              <w:rPr>
                <w:rFonts w:hint="eastAsia"/>
                <w:color w:val="auto"/>
              </w:rPr>
              <w:t>/d，占总处理规模的0.0000088%，占比极小，满足乐山市第一污水处理厂设计处理规模的水量标准。</w:t>
            </w:r>
          </w:p>
          <w:p>
            <w:pPr>
              <w:pStyle w:val="104"/>
              <w:ind w:firstLine="482"/>
              <w:rPr>
                <w:rFonts w:hint="eastAsia"/>
                <w:b/>
                <w:bCs/>
                <w:color w:val="auto"/>
              </w:rPr>
            </w:pPr>
            <w:r>
              <w:rPr>
                <w:rFonts w:hint="eastAsia"/>
                <w:b/>
                <w:bCs/>
                <w:color w:val="auto"/>
              </w:rPr>
              <w:t>综上所述，项目废水接市政污水管网进入乐山市第一污水处理厂处理是可行的。</w:t>
            </w:r>
          </w:p>
          <w:p>
            <w:pPr>
              <w:pStyle w:val="6"/>
              <w:ind w:firstLine="482"/>
              <w:rPr>
                <w:color w:val="auto"/>
              </w:rPr>
            </w:pPr>
            <w:r>
              <w:rPr>
                <w:rFonts w:hint="eastAsia"/>
                <w:color w:val="auto"/>
              </w:rPr>
              <w:t>7、建议及要求</w:t>
            </w:r>
          </w:p>
          <w:p>
            <w:pPr>
              <w:pStyle w:val="104"/>
              <w:ind w:firstLine="480"/>
              <w:rPr>
                <w:rFonts w:hint="eastAsia"/>
                <w:color w:val="auto"/>
              </w:rPr>
            </w:pPr>
            <w:r>
              <w:rPr>
                <w:rFonts w:hint="eastAsia"/>
                <w:color w:val="auto"/>
              </w:rPr>
              <w:t xml:space="preserve">环评要求： </w:t>
            </w:r>
          </w:p>
          <w:p>
            <w:pPr>
              <w:pStyle w:val="104"/>
              <w:ind w:firstLine="480"/>
              <w:rPr>
                <w:rFonts w:hint="eastAsia"/>
                <w:color w:val="auto"/>
              </w:rPr>
            </w:pPr>
            <w:r>
              <w:rPr>
                <w:rFonts w:hint="eastAsia"/>
                <w:color w:val="auto"/>
              </w:rPr>
              <w:t>（1）需严格做好项目内排水管网、承插连接，做好防渗处理，严格做好污水收集系统。</w:t>
            </w:r>
          </w:p>
          <w:p>
            <w:pPr>
              <w:pStyle w:val="104"/>
              <w:ind w:firstLine="480"/>
              <w:rPr>
                <w:rFonts w:hint="eastAsia"/>
                <w:color w:val="auto"/>
              </w:rPr>
            </w:pPr>
            <w:r>
              <w:rPr>
                <w:rFonts w:hint="eastAsia"/>
                <w:color w:val="auto"/>
              </w:rPr>
              <w:t>（2）消毒工艺要使氯片与废水充分混合接触，以杀灭出水中可能残存的病毒和细菌，确保出水满足有关细菌学指标要求。</w:t>
            </w:r>
          </w:p>
          <w:p>
            <w:pPr>
              <w:pStyle w:val="104"/>
              <w:ind w:firstLine="480"/>
              <w:rPr>
                <w:rFonts w:hint="eastAsia"/>
                <w:color w:val="auto"/>
              </w:rPr>
            </w:pPr>
            <w:r>
              <w:rPr>
                <w:rFonts w:hint="eastAsia"/>
                <w:color w:val="auto"/>
              </w:rPr>
              <w:t>（3）污水处理过程中处理设备的操作、设备的维修等环节都易对环境及人体产生危害，因此应对污水处理设施对环境产生的影响及工作人员的劳动保护予以重视。</w:t>
            </w:r>
          </w:p>
          <w:p>
            <w:pPr>
              <w:pStyle w:val="6"/>
              <w:ind w:firstLine="482"/>
              <w:rPr>
                <w:rFonts w:hint="eastAsia"/>
                <w:color w:val="auto"/>
              </w:rPr>
            </w:pPr>
            <w:r>
              <w:rPr>
                <w:rFonts w:hint="eastAsia"/>
                <w:color w:val="auto"/>
              </w:rPr>
              <w:t>8、本项目废水排放情况汇总</w:t>
            </w:r>
          </w:p>
          <w:p>
            <w:pPr>
              <w:ind w:firstLine="480"/>
              <w:rPr>
                <w:rFonts w:cs="宋体"/>
                <w:color w:val="auto"/>
              </w:rPr>
            </w:pPr>
            <w:r>
              <w:rPr>
                <w:rFonts w:hint="eastAsia" w:cs="宋体"/>
                <w:color w:val="auto"/>
              </w:rPr>
              <w:t>本项目废水排放总量为1.32m</w:t>
            </w:r>
            <w:r>
              <w:rPr>
                <w:rFonts w:hint="eastAsia" w:cs="宋体"/>
                <w:color w:val="auto"/>
                <w:vertAlign w:val="superscript"/>
              </w:rPr>
              <w:t>3</w:t>
            </w:r>
            <w:r>
              <w:rPr>
                <w:rFonts w:hint="eastAsia" w:cs="宋体"/>
                <w:color w:val="auto"/>
              </w:rPr>
              <w:t>/d（396m</w:t>
            </w:r>
            <w:r>
              <w:rPr>
                <w:rFonts w:hint="eastAsia" w:cs="宋体"/>
                <w:color w:val="auto"/>
                <w:vertAlign w:val="superscript"/>
              </w:rPr>
              <w:t>3</w:t>
            </w:r>
            <w:r>
              <w:rPr>
                <w:rFonts w:hint="eastAsia" w:cs="宋体"/>
                <w:color w:val="auto"/>
              </w:rPr>
              <w:t>/a），医疗废水经医院内一体化污水处理设施处理消毒后和生活污水一起通过进入满芳庭锦邻小区预处理池，处理后进入市政污水管网，排入末端乐山市第一污水处理厂，经污水处理厂处理后排入岷江。</w:t>
            </w:r>
          </w:p>
          <w:p>
            <w:pPr>
              <w:ind w:firstLine="480"/>
              <w:rPr>
                <w:rFonts w:hint="eastAsia"/>
                <w:color w:val="auto"/>
              </w:rPr>
            </w:pPr>
            <w:r>
              <w:rPr>
                <w:rFonts w:hint="eastAsia"/>
                <w:color w:val="auto"/>
              </w:rPr>
              <w:t>本项目运营期废水排放统计情况见下表。</w:t>
            </w:r>
          </w:p>
          <w:p>
            <w:pPr>
              <w:pStyle w:val="102"/>
              <w:ind w:left="422" w:hanging="422"/>
              <w:rPr>
                <w:color w:val="auto"/>
              </w:rPr>
            </w:pPr>
            <w:r>
              <w:rPr>
                <w:color w:val="auto"/>
              </w:rPr>
              <w:t>表 4-</w:t>
            </w:r>
            <w:r>
              <w:rPr>
                <w:rFonts w:hint="eastAsia"/>
                <w:color w:val="auto"/>
              </w:rPr>
              <w:t>2</w:t>
            </w:r>
            <w:r>
              <w:rPr>
                <w:color w:val="auto"/>
              </w:rPr>
              <w:t xml:space="preserve"> 项目</w:t>
            </w:r>
            <w:r>
              <w:rPr>
                <w:rFonts w:hint="eastAsia"/>
                <w:color w:val="auto"/>
              </w:rPr>
              <w:t>综合废水</w:t>
            </w:r>
            <w:r>
              <w:rPr>
                <w:color w:val="auto"/>
              </w:rPr>
              <w:t>产生及排放情况统计表</w:t>
            </w:r>
          </w:p>
          <w:tbl>
            <w:tblPr>
              <w:tblStyle w:val="3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0"/>
              <w:gridCol w:w="1243"/>
              <w:gridCol w:w="877"/>
              <w:gridCol w:w="1000"/>
              <w:gridCol w:w="1011"/>
              <w:gridCol w:w="821"/>
              <w:gridCol w:w="1205"/>
              <w:gridCol w:w="1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17" w:type="pct"/>
                  <w:gridSpan w:val="2"/>
                  <w:noWrap w:val="0"/>
                  <w:vAlign w:val="center"/>
                </w:tcPr>
                <w:p>
                  <w:pPr>
                    <w:pStyle w:val="118"/>
                    <w:rPr>
                      <w:color w:val="auto"/>
                    </w:rPr>
                  </w:pPr>
                  <w:r>
                    <w:rPr>
                      <w:color w:val="auto"/>
                    </w:rPr>
                    <w:t>废水性质</w:t>
                  </w:r>
                </w:p>
              </w:tc>
              <w:tc>
                <w:tcPr>
                  <w:tcW w:w="533" w:type="pct"/>
                  <w:noWrap w:val="0"/>
                  <w:vAlign w:val="center"/>
                </w:tcPr>
                <w:p>
                  <w:pPr>
                    <w:pStyle w:val="118"/>
                    <w:rPr>
                      <w:color w:val="auto"/>
                    </w:rPr>
                  </w:pPr>
                  <w:r>
                    <w:rPr>
                      <w:color w:val="auto"/>
                    </w:rPr>
                    <w:t>排水量t/a</w:t>
                  </w:r>
                </w:p>
              </w:tc>
              <w:tc>
                <w:tcPr>
                  <w:tcW w:w="609" w:type="pct"/>
                  <w:noWrap w:val="0"/>
                  <w:vAlign w:val="center"/>
                </w:tcPr>
                <w:p>
                  <w:pPr>
                    <w:pStyle w:val="118"/>
                    <w:rPr>
                      <w:color w:val="auto"/>
                    </w:rPr>
                  </w:pPr>
                  <w:r>
                    <w:rPr>
                      <w:color w:val="auto"/>
                    </w:rPr>
                    <w:t>COD</w:t>
                  </w:r>
                </w:p>
              </w:tc>
              <w:tc>
                <w:tcPr>
                  <w:tcW w:w="616" w:type="pct"/>
                  <w:noWrap w:val="0"/>
                  <w:vAlign w:val="center"/>
                </w:tcPr>
                <w:p>
                  <w:pPr>
                    <w:pStyle w:val="118"/>
                    <w:rPr>
                      <w:color w:val="auto"/>
                    </w:rPr>
                  </w:pPr>
                  <w:r>
                    <w:rPr>
                      <w:color w:val="auto"/>
                    </w:rPr>
                    <w:t>BOD</w:t>
                  </w:r>
                  <w:r>
                    <w:rPr>
                      <w:color w:val="auto"/>
                      <w:vertAlign w:val="subscript"/>
                    </w:rPr>
                    <w:t>5</w:t>
                  </w:r>
                </w:p>
              </w:tc>
              <w:tc>
                <w:tcPr>
                  <w:tcW w:w="500" w:type="pct"/>
                  <w:noWrap w:val="0"/>
                  <w:vAlign w:val="center"/>
                </w:tcPr>
                <w:p>
                  <w:pPr>
                    <w:pStyle w:val="118"/>
                    <w:rPr>
                      <w:color w:val="auto"/>
                    </w:rPr>
                  </w:pPr>
                  <w:r>
                    <w:rPr>
                      <w:color w:val="auto"/>
                    </w:rPr>
                    <w:t>SS</w:t>
                  </w:r>
                </w:p>
              </w:tc>
              <w:tc>
                <w:tcPr>
                  <w:tcW w:w="734" w:type="pct"/>
                  <w:noWrap w:val="0"/>
                  <w:vAlign w:val="center"/>
                </w:tcPr>
                <w:p>
                  <w:pPr>
                    <w:pStyle w:val="118"/>
                    <w:rPr>
                      <w:color w:val="auto"/>
                    </w:rPr>
                  </w:pPr>
                  <w:r>
                    <w:rPr>
                      <w:color w:val="auto"/>
                    </w:rPr>
                    <w:t>NH</w:t>
                  </w:r>
                  <w:r>
                    <w:rPr>
                      <w:color w:val="auto"/>
                      <w:vertAlign w:val="subscript"/>
                    </w:rPr>
                    <w:t>3</w:t>
                  </w:r>
                  <w:r>
                    <w:rPr>
                      <w:color w:val="auto"/>
                    </w:rPr>
                    <w:t>-N</w:t>
                  </w:r>
                </w:p>
              </w:tc>
              <w:tc>
                <w:tcPr>
                  <w:tcW w:w="688" w:type="pct"/>
                  <w:noWrap w:val="0"/>
                  <w:vAlign w:val="center"/>
                </w:tcPr>
                <w:p>
                  <w:pPr>
                    <w:pStyle w:val="118"/>
                    <w:rPr>
                      <w:color w:val="auto"/>
                    </w:rPr>
                  </w:pPr>
                  <w:r>
                    <w:rPr>
                      <w:color w:val="auto"/>
                    </w:rPr>
                    <w:t>总磷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60" w:type="pct"/>
                  <w:vMerge w:val="restart"/>
                  <w:noWrap w:val="0"/>
                  <w:vAlign w:val="center"/>
                </w:tcPr>
                <w:p>
                  <w:pPr>
                    <w:pStyle w:val="118"/>
                    <w:rPr>
                      <w:rFonts w:hint="eastAsia"/>
                      <w:color w:val="auto"/>
                    </w:rPr>
                  </w:pPr>
                  <w:r>
                    <w:rPr>
                      <w:rFonts w:hint="eastAsia"/>
                      <w:color w:val="auto"/>
                    </w:rPr>
                    <w:t>总废水</w:t>
                  </w:r>
                </w:p>
              </w:tc>
              <w:tc>
                <w:tcPr>
                  <w:tcW w:w="757" w:type="pct"/>
                  <w:noWrap w:val="0"/>
                  <w:vAlign w:val="center"/>
                </w:tcPr>
                <w:p>
                  <w:pPr>
                    <w:pStyle w:val="118"/>
                    <w:rPr>
                      <w:color w:val="auto"/>
                    </w:rPr>
                  </w:pPr>
                  <w:r>
                    <w:rPr>
                      <w:color w:val="auto"/>
                    </w:rPr>
                    <w:t>浓度mg/L</w:t>
                  </w:r>
                </w:p>
              </w:tc>
              <w:tc>
                <w:tcPr>
                  <w:tcW w:w="533" w:type="pct"/>
                  <w:vMerge w:val="restart"/>
                  <w:noWrap w:val="0"/>
                  <w:vAlign w:val="center"/>
                </w:tcPr>
                <w:p>
                  <w:pPr>
                    <w:pStyle w:val="118"/>
                    <w:rPr>
                      <w:color w:val="auto"/>
                    </w:rPr>
                  </w:pPr>
                  <w:r>
                    <w:rPr>
                      <w:rFonts w:hint="eastAsia"/>
                      <w:color w:val="auto"/>
                    </w:rPr>
                    <w:t>396</w:t>
                  </w:r>
                </w:p>
              </w:tc>
              <w:tc>
                <w:tcPr>
                  <w:tcW w:w="609" w:type="pct"/>
                  <w:noWrap w:val="0"/>
                  <w:vAlign w:val="center"/>
                </w:tcPr>
                <w:p>
                  <w:pPr>
                    <w:pStyle w:val="118"/>
                    <w:rPr>
                      <w:color w:val="auto"/>
                    </w:rPr>
                  </w:pPr>
                  <w:r>
                    <w:rPr>
                      <w:color w:val="auto"/>
                    </w:rPr>
                    <w:t>500</w:t>
                  </w:r>
                </w:p>
              </w:tc>
              <w:tc>
                <w:tcPr>
                  <w:tcW w:w="616" w:type="pct"/>
                  <w:noWrap w:val="0"/>
                  <w:vAlign w:val="center"/>
                </w:tcPr>
                <w:p>
                  <w:pPr>
                    <w:pStyle w:val="118"/>
                    <w:rPr>
                      <w:color w:val="auto"/>
                    </w:rPr>
                  </w:pPr>
                  <w:r>
                    <w:rPr>
                      <w:color w:val="auto"/>
                    </w:rPr>
                    <w:t>300</w:t>
                  </w:r>
                </w:p>
              </w:tc>
              <w:tc>
                <w:tcPr>
                  <w:tcW w:w="500" w:type="pct"/>
                  <w:noWrap w:val="0"/>
                  <w:vAlign w:val="center"/>
                </w:tcPr>
                <w:p>
                  <w:pPr>
                    <w:pStyle w:val="118"/>
                    <w:rPr>
                      <w:color w:val="auto"/>
                    </w:rPr>
                  </w:pPr>
                  <w:r>
                    <w:rPr>
                      <w:color w:val="auto"/>
                    </w:rPr>
                    <w:t>400</w:t>
                  </w:r>
                </w:p>
              </w:tc>
              <w:tc>
                <w:tcPr>
                  <w:tcW w:w="734" w:type="pct"/>
                  <w:noWrap w:val="0"/>
                  <w:vAlign w:val="center"/>
                </w:tcPr>
                <w:p>
                  <w:pPr>
                    <w:pStyle w:val="118"/>
                    <w:rPr>
                      <w:color w:val="auto"/>
                    </w:rPr>
                  </w:pPr>
                  <w:r>
                    <w:rPr>
                      <w:color w:val="auto"/>
                    </w:rPr>
                    <w:t>45</w:t>
                  </w:r>
                </w:p>
              </w:tc>
              <w:tc>
                <w:tcPr>
                  <w:tcW w:w="688" w:type="pct"/>
                  <w:noWrap w:val="0"/>
                  <w:vAlign w:val="center"/>
                </w:tcPr>
                <w:p>
                  <w:pPr>
                    <w:pStyle w:val="118"/>
                    <w:rPr>
                      <w:color w:val="auto"/>
                    </w:rPr>
                  </w:pPr>
                  <w:r>
                    <w:rPr>
                      <w:color w:val="auto"/>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60" w:type="pct"/>
                  <w:vMerge w:val="continue"/>
                  <w:noWrap w:val="0"/>
                  <w:vAlign w:val="center"/>
                </w:tcPr>
                <w:p>
                  <w:pPr>
                    <w:pStyle w:val="118"/>
                    <w:rPr>
                      <w:color w:val="auto"/>
                    </w:rPr>
                  </w:pPr>
                </w:p>
              </w:tc>
              <w:tc>
                <w:tcPr>
                  <w:tcW w:w="757" w:type="pct"/>
                  <w:noWrap w:val="0"/>
                  <w:vAlign w:val="center"/>
                </w:tcPr>
                <w:p>
                  <w:pPr>
                    <w:pStyle w:val="118"/>
                    <w:rPr>
                      <w:color w:val="auto"/>
                    </w:rPr>
                  </w:pPr>
                  <w:r>
                    <w:rPr>
                      <w:color w:val="auto"/>
                    </w:rPr>
                    <w:t>排放量t/a</w:t>
                  </w:r>
                </w:p>
              </w:tc>
              <w:tc>
                <w:tcPr>
                  <w:tcW w:w="533" w:type="pct"/>
                  <w:vMerge w:val="continue"/>
                  <w:noWrap w:val="0"/>
                  <w:vAlign w:val="center"/>
                </w:tcPr>
                <w:p>
                  <w:pPr>
                    <w:pStyle w:val="118"/>
                    <w:rPr>
                      <w:color w:val="auto"/>
                    </w:rPr>
                  </w:pPr>
                </w:p>
              </w:tc>
              <w:tc>
                <w:tcPr>
                  <w:tcW w:w="609" w:type="pct"/>
                  <w:noWrap w:val="0"/>
                  <w:vAlign w:val="center"/>
                </w:tcPr>
                <w:p>
                  <w:pPr>
                    <w:pStyle w:val="118"/>
                    <w:rPr>
                      <w:color w:val="auto"/>
                    </w:rPr>
                  </w:pPr>
                  <w:r>
                    <w:rPr>
                      <w:rFonts w:hint="eastAsia"/>
                      <w:color w:val="auto"/>
                    </w:rPr>
                    <w:t>0.198</w:t>
                  </w:r>
                </w:p>
              </w:tc>
              <w:tc>
                <w:tcPr>
                  <w:tcW w:w="616" w:type="pct"/>
                  <w:noWrap w:val="0"/>
                  <w:vAlign w:val="center"/>
                </w:tcPr>
                <w:p>
                  <w:pPr>
                    <w:pStyle w:val="118"/>
                    <w:rPr>
                      <w:color w:val="auto"/>
                    </w:rPr>
                  </w:pPr>
                  <w:r>
                    <w:rPr>
                      <w:rFonts w:hint="eastAsia"/>
                      <w:color w:val="auto"/>
                    </w:rPr>
                    <w:t>0.1188</w:t>
                  </w:r>
                </w:p>
              </w:tc>
              <w:tc>
                <w:tcPr>
                  <w:tcW w:w="500" w:type="pct"/>
                  <w:noWrap w:val="0"/>
                  <w:vAlign w:val="center"/>
                </w:tcPr>
                <w:p>
                  <w:pPr>
                    <w:pStyle w:val="118"/>
                    <w:rPr>
                      <w:color w:val="auto"/>
                    </w:rPr>
                  </w:pPr>
                  <w:r>
                    <w:rPr>
                      <w:rFonts w:hint="eastAsia"/>
                      <w:color w:val="auto"/>
                    </w:rPr>
                    <w:t>0.1584</w:t>
                  </w:r>
                </w:p>
              </w:tc>
              <w:tc>
                <w:tcPr>
                  <w:tcW w:w="734" w:type="pct"/>
                  <w:noWrap w:val="0"/>
                  <w:vAlign w:val="center"/>
                </w:tcPr>
                <w:p>
                  <w:pPr>
                    <w:pStyle w:val="118"/>
                    <w:rPr>
                      <w:color w:val="auto"/>
                    </w:rPr>
                  </w:pPr>
                  <w:r>
                    <w:rPr>
                      <w:rFonts w:hint="eastAsia"/>
                      <w:color w:val="auto"/>
                    </w:rPr>
                    <w:t>0.01782</w:t>
                  </w:r>
                </w:p>
              </w:tc>
              <w:tc>
                <w:tcPr>
                  <w:tcW w:w="688" w:type="pct"/>
                  <w:noWrap w:val="0"/>
                  <w:vAlign w:val="center"/>
                </w:tcPr>
                <w:p>
                  <w:pPr>
                    <w:pStyle w:val="118"/>
                    <w:rPr>
                      <w:color w:val="auto"/>
                    </w:rPr>
                  </w:pPr>
                  <w:r>
                    <w:rPr>
                      <w:rFonts w:hint="eastAsia"/>
                      <w:color w:val="auto"/>
                    </w:rPr>
                    <w:t>0.003168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60" w:type="pct"/>
                  <w:vMerge w:val="restart"/>
                  <w:noWrap w:val="0"/>
                  <w:vAlign w:val="center"/>
                </w:tcPr>
                <w:p>
                  <w:pPr>
                    <w:pStyle w:val="118"/>
                    <w:rPr>
                      <w:rFonts w:hint="eastAsia"/>
                      <w:color w:val="auto"/>
                    </w:rPr>
                  </w:pPr>
                  <w:r>
                    <w:rPr>
                      <w:rFonts w:hint="eastAsia"/>
                      <w:color w:val="auto"/>
                    </w:rPr>
                    <w:t>乐山第一污水处理厂</w:t>
                  </w:r>
                </w:p>
              </w:tc>
              <w:tc>
                <w:tcPr>
                  <w:tcW w:w="757" w:type="pct"/>
                  <w:noWrap w:val="0"/>
                  <w:vAlign w:val="center"/>
                </w:tcPr>
                <w:p>
                  <w:pPr>
                    <w:pStyle w:val="118"/>
                    <w:rPr>
                      <w:color w:val="auto"/>
                    </w:rPr>
                  </w:pPr>
                  <w:r>
                    <w:rPr>
                      <w:color w:val="auto"/>
                    </w:rPr>
                    <w:t>浓度mg/L</w:t>
                  </w:r>
                </w:p>
              </w:tc>
              <w:tc>
                <w:tcPr>
                  <w:tcW w:w="533" w:type="pct"/>
                  <w:vMerge w:val="restart"/>
                  <w:noWrap w:val="0"/>
                  <w:vAlign w:val="center"/>
                </w:tcPr>
                <w:p>
                  <w:pPr>
                    <w:pStyle w:val="118"/>
                    <w:rPr>
                      <w:color w:val="auto"/>
                    </w:rPr>
                  </w:pPr>
                  <w:r>
                    <w:rPr>
                      <w:rFonts w:hint="eastAsia"/>
                      <w:color w:val="auto"/>
                    </w:rPr>
                    <w:t>396</w:t>
                  </w:r>
                </w:p>
              </w:tc>
              <w:tc>
                <w:tcPr>
                  <w:tcW w:w="609" w:type="pct"/>
                  <w:noWrap w:val="0"/>
                  <w:vAlign w:val="center"/>
                </w:tcPr>
                <w:p>
                  <w:pPr>
                    <w:pStyle w:val="118"/>
                    <w:rPr>
                      <w:color w:val="auto"/>
                    </w:rPr>
                  </w:pPr>
                  <w:r>
                    <w:rPr>
                      <w:color w:val="auto"/>
                    </w:rPr>
                    <w:t>30</w:t>
                  </w:r>
                </w:p>
              </w:tc>
              <w:tc>
                <w:tcPr>
                  <w:tcW w:w="616" w:type="pct"/>
                  <w:noWrap w:val="0"/>
                  <w:vAlign w:val="center"/>
                </w:tcPr>
                <w:p>
                  <w:pPr>
                    <w:pStyle w:val="118"/>
                    <w:rPr>
                      <w:color w:val="auto"/>
                    </w:rPr>
                  </w:pPr>
                  <w:r>
                    <w:rPr>
                      <w:color w:val="auto"/>
                    </w:rPr>
                    <w:t>6</w:t>
                  </w:r>
                </w:p>
              </w:tc>
              <w:tc>
                <w:tcPr>
                  <w:tcW w:w="500" w:type="pct"/>
                  <w:noWrap w:val="0"/>
                  <w:vAlign w:val="center"/>
                </w:tcPr>
                <w:p>
                  <w:pPr>
                    <w:pStyle w:val="118"/>
                    <w:rPr>
                      <w:color w:val="auto"/>
                    </w:rPr>
                  </w:pPr>
                  <w:r>
                    <w:rPr>
                      <w:color w:val="auto"/>
                    </w:rPr>
                    <w:t>400</w:t>
                  </w:r>
                </w:p>
              </w:tc>
              <w:tc>
                <w:tcPr>
                  <w:tcW w:w="734" w:type="pct"/>
                  <w:noWrap w:val="0"/>
                  <w:vAlign w:val="center"/>
                </w:tcPr>
                <w:p>
                  <w:pPr>
                    <w:pStyle w:val="118"/>
                    <w:rPr>
                      <w:color w:val="auto"/>
                    </w:rPr>
                  </w:pPr>
                  <w:r>
                    <w:rPr>
                      <w:color w:val="auto"/>
                    </w:rPr>
                    <w:t>1.5</w:t>
                  </w:r>
                </w:p>
              </w:tc>
              <w:tc>
                <w:tcPr>
                  <w:tcW w:w="688" w:type="pct"/>
                  <w:noWrap w:val="0"/>
                  <w:vAlign w:val="center"/>
                </w:tcPr>
                <w:p>
                  <w:pPr>
                    <w:pStyle w:val="118"/>
                    <w:rPr>
                      <w:color w:val="auto"/>
                    </w:rPr>
                  </w:pPr>
                  <w:r>
                    <w:rPr>
                      <w:color w:val="auto"/>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60" w:type="pct"/>
                  <w:vMerge w:val="continue"/>
                  <w:noWrap w:val="0"/>
                  <w:vAlign w:val="center"/>
                </w:tcPr>
                <w:p>
                  <w:pPr>
                    <w:pStyle w:val="118"/>
                    <w:rPr>
                      <w:rFonts w:hint="eastAsia"/>
                      <w:color w:val="auto"/>
                    </w:rPr>
                  </w:pPr>
                </w:p>
              </w:tc>
              <w:tc>
                <w:tcPr>
                  <w:tcW w:w="757" w:type="pct"/>
                  <w:noWrap w:val="0"/>
                  <w:vAlign w:val="center"/>
                </w:tcPr>
                <w:p>
                  <w:pPr>
                    <w:pStyle w:val="118"/>
                    <w:rPr>
                      <w:color w:val="auto"/>
                    </w:rPr>
                  </w:pPr>
                  <w:r>
                    <w:rPr>
                      <w:color w:val="auto"/>
                    </w:rPr>
                    <w:t>排放量t/a</w:t>
                  </w:r>
                </w:p>
              </w:tc>
              <w:tc>
                <w:tcPr>
                  <w:tcW w:w="533" w:type="pct"/>
                  <w:vMerge w:val="continue"/>
                  <w:noWrap w:val="0"/>
                  <w:vAlign w:val="center"/>
                </w:tcPr>
                <w:p>
                  <w:pPr>
                    <w:pStyle w:val="118"/>
                    <w:rPr>
                      <w:color w:val="auto"/>
                    </w:rPr>
                  </w:pPr>
                </w:p>
              </w:tc>
              <w:tc>
                <w:tcPr>
                  <w:tcW w:w="609" w:type="pct"/>
                  <w:noWrap w:val="0"/>
                  <w:vAlign w:val="center"/>
                </w:tcPr>
                <w:p>
                  <w:pPr>
                    <w:pStyle w:val="118"/>
                    <w:rPr>
                      <w:color w:val="auto"/>
                    </w:rPr>
                  </w:pPr>
                  <w:r>
                    <w:rPr>
                      <w:color w:val="auto"/>
                    </w:rPr>
                    <w:t>0.011</w:t>
                  </w:r>
                  <w:r>
                    <w:rPr>
                      <w:rFonts w:hint="eastAsia"/>
                      <w:color w:val="auto"/>
                    </w:rPr>
                    <w:t>88</w:t>
                  </w:r>
                </w:p>
              </w:tc>
              <w:tc>
                <w:tcPr>
                  <w:tcW w:w="616" w:type="pct"/>
                  <w:noWrap w:val="0"/>
                  <w:vAlign w:val="center"/>
                </w:tcPr>
                <w:p>
                  <w:pPr>
                    <w:pStyle w:val="118"/>
                    <w:rPr>
                      <w:color w:val="auto"/>
                    </w:rPr>
                  </w:pPr>
                  <w:r>
                    <w:rPr>
                      <w:color w:val="auto"/>
                    </w:rPr>
                    <w:t>0.002</w:t>
                  </w:r>
                  <w:r>
                    <w:rPr>
                      <w:rFonts w:hint="eastAsia"/>
                      <w:color w:val="auto"/>
                    </w:rPr>
                    <w:t>376</w:t>
                  </w:r>
                </w:p>
              </w:tc>
              <w:tc>
                <w:tcPr>
                  <w:tcW w:w="500" w:type="pct"/>
                  <w:noWrap w:val="0"/>
                  <w:vAlign w:val="center"/>
                </w:tcPr>
                <w:p>
                  <w:pPr>
                    <w:pStyle w:val="118"/>
                    <w:rPr>
                      <w:color w:val="auto"/>
                    </w:rPr>
                  </w:pPr>
                  <w:r>
                    <w:rPr>
                      <w:color w:val="auto"/>
                    </w:rPr>
                    <w:t>0.1</w:t>
                  </w:r>
                  <w:r>
                    <w:rPr>
                      <w:rFonts w:hint="eastAsia"/>
                      <w:color w:val="auto"/>
                    </w:rPr>
                    <w:t>584</w:t>
                  </w:r>
                </w:p>
              </w:tc>
              <w:tc>
                <w:tcPr>
                  <w:tcW w:w="734" w:type="pct"/>
                  <w:noWrap w:val="0"/>
                  <w:vAlign w:val="center"/>
                </w:tcPr>
                <w:p>
                  <w:pPr>
                    <w:pStyle w:val="118"/>
                    <w:rPr>
                      <w:color w:val="auto"/>
                    </w:rPr>
                  </w:pPr>
                  <w:r>
                    <w:rPr>
                      <w:rFonts w:hint="eastAsia"/>
                      <w:color w:val="auto"/>
                    </w:rPr>
                    <w:t>0.000594</w:t>
                  </w:r>
                </w:p>
              </w:tc>
              <w:tc>
                <w:tcPr>
                  <w:tcW w:w="688" w:type="pct"/>
                  <w:noWrap w:val="0"/>
                  <w:vAlign w:val="center"/>
                </w:tcPr>
                <w:p>
                  <w:pPr>
                    <w:pStyle w:val="118"/>
                    <w:rPr>
                      <w:color w:val="auto"/>
                    </w:rPr>
                  </w:pPr>
                  <w:r>
                    <w:rPr>
                      <w:color w:val="auto"/>
                    </w:rPr>
                    <w:t>0.00011</w:t>
                  </w:r>
                  <w:r>
                    <w:rPr>
                      <w:rFonts w:hint="eastAsia"/>
                      <w:color w:val="auto"/>
                    </w:rPr>
                    <w:t>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851" w:type="pct"/>
                  <w:gridSpan w:val="3"/>
                  <w:noWrap w:val="0"/>
                  <w:vAlign w:val="center"/>
                </w:tcPr>
                <w:p>
                  <w:pPr>
                    <w:pStyle w:val="118"/>
                    <w:rPr>
                      <w:rFonts w:hint="eastAsia"/>
                      <w:color w:val="auto"/>
                    </w:rPr>
                  </w:pPr>
                  <w:r>
                    <w:rPr>
                      <w:rFonts w:hint="eastAsia"/>
                      <w:color w:val="auto"/>
                    </w:rPr>
                    <w:t>《污水综合排放标准》</w:t>
                  </w:r>
                </w:p>
                <w:p>
                  <w:pPr>
                    <w:pStyle w:val="118"/>
                    <w:rPr>
                      <w:color w:val="auto"/>
                    </w:rPr>
                  </w:pPr>
                  <w:r>
                    <w:rPr>
                      <w:rFonts w:hint="eastAsia"/>
                      <w:color w:val="auto"/>
                    </w:rPr>
                    <w:t>GB8978-1996 三级标准</w:t>
                  </w:r>
                </w:p>
              </w:tc>
              <w:tc>
                <w:tcPr>
                  <w:tcW w:w="609" w:type="pct"/>
                  <w:noWrap w:val="0"/>
                  <w:vAlign w:val="center"/>
                </w:tcPr>
                <w:p>
                  <w:pPr>
                    <w:pStyle w:val="118"/>
                    <w:rPr>
                      <w:color w:val="auto"/>
                    </w:rPr>
                  </w:pPr>
                  <w:r>
                    <w:rPr>
                      <w:color w:val="auto"/>
                    </w:rPr>
                    <w:t>500</w:t>
                  </w:r>
                </w:p>
              </w:tc>
              <w:tc>
                <w:tcPr>
                  <w:tcW w:w="616" w:type="pct"/>
                  <w:noWrap w:val="0"/>
                  <w:vAlign w:val="center"/>
                </w:tcPr>
                <w:p>
                  <w:pPr>
                    <w:pStyle w:val="118"/>
                    <w:rPr>
                      <w:color w:val="auto"/>
                    </w:rPr>
                  </w:pPr>
                  <w:r>
                    <w:rPr>
                      <w:color w:val="auto"/>
                    </w:rPr>
                    <w:t>300</w:t>
                  </w:r>
                </w:p>
              </w:tc>
              <w:tc>
                <w:tcPr>
                  <w:tcW w:w="500" w:type="pct"/>
                  <w:noWrap w:val="0"/>
                  <w:vAlign w:val="center"/>
                </w:tcPr>
                <w:p>
                  <w:pPr>
                    <w:pStyle w:val="118"/>
                    <w:rPr>
                      <w:color w:val="auto"/>
                    </w:rPr>
                  </w:pPr>
                  <w:r>
                    <w:rPr>
                      <w:color w:val="auto"/>
                    </w:rPr>
                    <w:t>400</w:t>
                  </w:r>
                </w:p>
              </w:tc>
              <w:tc>
                <w:tcPr>
                  <w:tcW w:w="734" w:type="pct"/>
                  <w:noWrap w:val="0"/>
                  <w:vAlign w:val="center"/>
                </w:tcPr>
                <w:p>
                  <w:pPr>
                    <w:pStyle w:val="118"/>
                    <w:rPr>
                      <w:color w:val="auto"/>
                    </w:rPr>
                  </w:pPr>
                  <w:r>
                    <w:rPr>
                      <w:color w:val="auto"/>
                    </w:rPr>
                    <w:t>45</w:t>
                  </w:r>
                </w:p>
              </w:tc>
              <w:tc>
                <w:tcPr>
                  <w:tcW w:w="688" w:type="pct"/>
                  <w:noWrap w:val="0"/>
                  <w:vAlign w:val="center"/>
                </w:tcPr>
                <w:p>
                  <w:pPr>
                    <w:pStyle w:val="118"/>
                    <w:rPr>
                      <w:color w:val="auto"/>
                    </w:rPr>
                  </w:pPr>
                  <w:r>
                    <w:rPr>
                      <w:color w:val="auto"/>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7" w:hRule="atLeast"/>
                <w:jc w:val="center"/>
              </w:trPr>
              <w:tc>
                <w:tcPr>
                  <w:tcW w:w="1851" w:type="pct"/>
                  <w:gridSpan w:val="3"/>
                  <w:noWrap w:val="0"/>
                  <w:vAlign w:val="center"/>
                </w:tcPr>
                <w:p>
                  <w:pPr>
                    <w:pStyle w:val="118"/>
                    <w:rPr>
                      <w:rFonts w:hint="eastAsia"/>
                      <w:color w:val="auto"/>
                    </w:rPr>
                  </w:pPr>
                  <w:r>
                    <w:rPr>
                      <w:rFonts w:hint="eastAsia"/>
                      <w:color w:val="auto"/>
                    </w:rPr>
                    <w:t>《四川省岷江、沱江流域水污染排放标准》（DB/2311-2016）</w:t>
                  </w:r>
                </w:p>
              </w:tc>
              <w:tc>
                <w:tcPr>
                  <w:tcW w:w="609" w:type="pct"/>
                  <w:noWrap w:val="0"/>
                  <w:vAlign w:val="center"/>
                </w:tcPr>
                <w:p>
                  <w:pPr>
                    <w:pStyle w:val="118"/>
                    <w:rPr>
                      <w:color w:val="auto"/>
                    </w:rPr>
                  </w:pPr>
                  <w:r>
                    <w:rPr>
                      <w:color w:val="auto"/>
                    </w:rPr>
                    <w:t>30</w:t>
                  </w:r>
                </w:p>
              </w:tc>
              <w:tc>
                <w:tcPr>
                  <w:tcW w:w="616" w:type="pct"/>
                  <w:noWrap w:val="0"/>
                  <w:vAlign w:val="center"/>
                </w:tcPr>
                <w:p>
                  <w:pPr>
                    <w:pStyle w:val="118"/>
                    <w:rPr>
                      <w:color w:val="auto"/>
                    </w:rPr>
                  </w:pPr>
                  <w:r>
                    <w:rPr>
                      <w:color w:val="auto"/>
                    </w:rPr>
                    <w:t>6</w:t>
                  </w:r>
                </w:p>
              </w:tc>
              <w:tc>
                <w:tcPr>
                  <w:tcW w:w="500" w:type="pct"/>
                  <w:noWrap w:val="0"/>
                  <w:vAlign w:val="center"/>
                </w:tcPr>
                <w:p>
                  <w:pPr>
                    <w:pStyle w:val="118"/>
                    <w:rPr>
                      <w:rFonts w:hint="eastAsia"/>
                      <w:color w:val="auto"/>
                    </w:rPr>
                  </w:pPr>
                  <w:r>
                    <w:rPr>
                      <w:rFonts w:hint="eastAsia"/>
                      <w:color w:val="auto"/>
                    </w:rPr>
                    <w:t>/</w:t>
                  </w:r>
                </w:p>
              </w:tc>
              <w:tc>
                <w:tcPr>
                  <w:tcW w:w="734" w:type="pct"/>
                  <w:noWrap w:val="0"/>
                  <w:vAlign w:val="center"/>
                </w:tcPr>
                <w:p>
                  <w:pPr>
                    <w:pStyle w:val="118"/>
                    <w:rPr>
                      <w:color w:val="auto"/>
                    </w:rPr>
                  </w:pPr>
                  <w:r>
                    <w:rPr>
                      <w:color w:val="auto"/>
                    </w:rPr>
                    <w:t>1.5</w:t>
                  </w:r>
                </w:p>
              </w:tc>
              <w:tc>
                <w:tcPr>
                  <w:tcW w:w="688" w:type="pct"/>
                  <w:noWrap w:val="0"/>
                  <w:vAlign w:val="center"/>
                </w:tcPr>
                <w:p>
                  <w:pPr>
                    <w:pStyle w:val="118"/>
                    <w:rPr>
                      <w:color w:val="auto"/>
                    </w:rPr>
                  </w:pPr>
                  <w:r>
                    <w:rPr>
                      <w:color w:val="auto"/>
                    </w:rPr>
                    <w:t>0.3</w:t>
                  </w:r>
                </w:p>
              </w:tc>
            </w:tr>
          </w:tbl>
          <w:p>
            <w:pPr>
              <w:spacing w:line="360" w:lineRule="exact"/>
              <w:ind w:firstLine="480"/>
              <w:jc w:val="left"/>
              <w:rPr>
                <w:rFonts w:hint="eastAsia"/>
                <w:color w:val="auto"/>
                <w:szCs w:val="21"/>
              </w:rPr>
            </w:pPr>
            <w:r>
              <w:rPr>
                <w:rFonts w:hint="eastAsia"/>
                <w:color w:val="auto"/>
                <w:szCs w:val="21"/>
              </w:rPr>
              <w:t>*由于《污水综合排放标准》（GB8978-1996）中无氨氮和总磷三级排放限值，根据环函（2004）454 号文，暂时执行建设部《污水排入城镇下水道水质标准》（GB/T 31962-2015）。</w:t>
            </w:r>
          </w:p>
          <w:p>
            <w:pPr>
              <w:pStyle w:val="5"/>
              <w:rPr>
                <w:color w:val="auto"/>
              </w:rPr>
            </w:pPr>
            <w:r>
              <w:rPr>
                <w:color w:val="auto"/>
              </w:rPr>
              <w:t>二、</w:t>
            </w:r>
            <w:r>
              <w:rPr>
                <w:bCs/>
                <w:color w:val="auto"/>
              </w:rPr>
              <w:t>营运期大气环境影响分析</w:t>
            </w:r>
          </w:p>
          <w:p>
            <w:pPr>
              <w:pStyle w:val="6"/>
              <w:ind w:firstLine="482"/>
              <w:rPr>
                <w:rFonts w:hint="eastAsia"/>
                <w:color w:val="auto"/>
              </w:rPr>
            </w:pPr>
            <w:r>
              <w:rPr>
                <w:rFonts w:hint="eastAsia"/>
                <w:color w:val="auto"/>
              </w:rPr>
              <w:t>1、废气产生源强</w:t>
            </w:r>
          </w:p>
          <w:p>
            <w:pPr>
              <w:pStyle w:val="104"/>
              <w:ind w:firstLine="480"/>
              <w:rPr>
                <w:rFonts w:hint="eastAsia"/>
                <w:color w:val="auto"/>
              </w:rPr>
            </w:pPr>
            <w:r>
              <w:rPr>
                <w:rFonts w:hint="eastAsia"/>
                <w:color w:val="auto"/>
              </w:rPr>
              <w:t>本项目为宠物医院服务项目，根据项目特点，本项目运营期产生的废气主要来源于医废暂存间异味、就诊区域宠物散发的异味、院内带菌空气、一体化污水处理设施臭气，均为无组织形式排放。</w:t>
            </w:r>
          </w:p>
          <w:p>
            <w:pPr>
              <w:pStyle w:val="6"/>
              <w:ind w:firstLine="482"/>
              <w:rPr>
                <w:rFonts w:hint="eastAsia"/>
                <w:color w:val="auto"/>
              </w:rPr>
            </w:pPr>
            <w:r>
              <w:rPr>
                <w:rFonts w:hint="eastAsia"/>
                <w:color w:val="auto"/>
              </w:rPr>
              <w:t>2、现有废气污染防治措施</w:t>
            </w:r>
          </w:p>
          <w:p>
            <w:pPr>
              <w:ind w:firstLine="482"/>
              <w:rPr>
                <w:rFonts w:hint="eastAsia"/>
                <w:b/>
                <w:bCs/>
                <w:color w:val="auto"/>
              </w:rPr>
            </w:pPr>
            <w:r>
              <w:rPr>
                <w:rFonts w:hint="eastAsia"/>
                <w:b/>
                <w:bCs/>
                <w:color w:val="auto"/>
              </w:rPr>
              <w:t>医废暂存间异味：</w:t>
            </w:r>
          </w:p>
          <w:p>
            <w:pPr>
              <w:pStyle w:val="104"/>
              <w:ind w:firstLine="480"/>
              <w:rPr>
                <w:rFonts w:hint="eastAsia"/>
                <w:color w:val="auto"/>
              </w:rPr>
            </w:pPr>
            <w:r>
              <w:rPr>
                <w:rFonts w:hint="eastAsia"/>
                <w:color w:val="auto"/>
              </w:rPr>
              <w:t>本项目设置医废暂存间，有张贴标识标牌。本环评要求建设单位应做好医疗废物的密封、清运和消毒工作，同时加强管理，做好暂存间的地面和墙裙进行防渗处理，和暂存间的防鼠、防蚊蝇等措施，定期进行医疗废物暂存间存储设施、设备的清洁和消毒工作，医疗废物及时交由资质单位处置，日常采用移动式紫外线灯加强对院内环境消毒来降低病菌及异味对周边环境的影响，避免对周围大气环境产生不利影响。</w:t>
            </w:r>
          </w:p>
          <w:p>
            <w:pPr>
              <w:ind w:firstLine="482"/>
              <w:rPr>
                <w:rFonts w:hint="eastAsia"/>
                <w:b/>
                <w:bCs/>
                <w:color w:val="auto"/>
              </w:rPr>
            </w:pPr>
            <w:r>
              <w:rPr>
                <w:rFonts w:hint="eastAsia"/>
                <w:b/>
                <w:bCs/>
                <w:color w:val="auto"/>
              </w:rPr>
              <w:t>就诊区宠物散发异味：</w:t>
            </w:r>
          </w:p>
          <w:p>
            <w:pPr>
              <w:pStyle w:val="104"/>
              <w:ind w:firstLine="480"/>
              <w:rPr>
                <w:rFonts w:hint="eastAsia"/>
                <w:color w:val="auto"/>
              </w:rPr>
            </w:pPr>
            <w:r>
              <w:rPr>
                <w:rFonts w:hint="eastAsia"/>
                <w:color w:val="auto"/>
              </w:rPr>
              <w:t>本项目正式运营后，入院宠物可能会有异味产生。建设单位日常采用移动式紫外线灯加强对院内环境消毒来降低异味对周边环境的影响，使用过后的器具及时进行清洗，并及时打扫、清运笼舍区域产生的固废（含粪便、食物残渣等），项目在采取以上措施后可以消除难闻、有害的气体，预防由细菌和寄生虫引起的疾病。</w:t>
            </w:r>
          </w:p>
          <w:p>
            <w:pPr>
              <w:ind w:firstLine="482"/>
              <w:rPr>
                <w:rFonts w:hint="eastAsia"/>
                <w:b/>
                <w:bCs/>
                <w:color w:val="auto"/>
              </w:rPr>
            </w:pPr>
            <w:r>
              <w:rPr>
                <w:rFonts w:hint="eastAsia"/>
                <w:b/>
                <w:bCs/>
                <w:color w:val="auto"/>
              </w:rPr>
              <w:t>院内带菌空气：</w:t>
            </w:r>
          </w:p>
          <w:p>
            <w:pPr>
              <w:pStyle w:val="104"/>
              <w:ind w:firstLine="480"/>
              <w:rPr>
                <w:rFonts w:hint="eastAsia"/>
                <w:color w:val="auto"/>
              </w:rPr>
            </w:pPr>
            <w:r>
              <w:rPr>
                <w:rFonts w:hint="eastAsia"/>
                <w:color w:val="auto"/>
              </w:rPr>
              <w:t>本项目营运期在救治宠物过程中，医院空气中可能携带有少量的病菌。针对医院内诊疗环境（包括手术室、诊疗室和住院病房等），项目采用移动式紫外线灯+环境地面消毒（采用过硫酸氢钾复合粉兑水喷洒空气）+新风系统的方式进行环境消毒。同时加强医院内部通风，可有效减少带菌废气对周边环境的影响。</w:t>
            </w:r>
          </w:p>
          <w:p>
            <w:pPr>
              <w:pStyle w:val="104"/>
              <w:ind w:firstLine="482"/>
              <w:rPr>
                <w:rFonts w:hint="eastAsia"/>
                <w:b/>
                <w:bCs/>
                <w:color w:val="auto"/>
              </w:rPr>
            </w:pPr>
            <w:r>
              <w:rPr>
                <w:rFonts w:hint="eastAsia"/>
                <w:b/>
                <w:bCs/>
                <w:color w:val="auto"/>
              </w:rPr>
              <w:t>一体化污水处理设施臭气：</w:t>
            </w:r>
          </w:p>
          <w:p>
            <w:pPr>
              <w:pStyle w:val="104"/>
              <w:ind w:firstLine="480"/>
              <w:rPr>
                <w:rFonts w:hint="eastAsia"/>
                <w:color w:val="auto"/>
              </w:rPr>
            </w:pPr>
            <w:r>
              <w:rPr>
                <w:rFonts w:hint="eastAsia"/>
                <w:color w:val="auto"/>
              </w:rPr>
              <w:t>本项目医疗废水预处理设施处理能力为2m</w:t>
            </w:r>
            <w:r>
              <w:rPr>
                <w:rFonts w:hint="eastAsia"/>
                <w:color w:val="auto"/>
                <w:vertAlign w:val="superscript"/>
              </w:rPr>
              <w:t>3</w:t>
            </w:r>
            <w:r>
              <w:rPr>
                <w:rFonts w:hint="eastAsia"/>
                <w:color w:val="auto"/>
              </w:rPr>
              <w:t>/d，采用“一级强化+消毒处理工艺”，设计废水停留时间约8h。项目医疗废水预处理设施不涉及二级生化处理工序，对BOD无处理效率，污水处理设施臭气产生量较少，且污水处理设施为密闭装置，产生的臭气极少，对周边环境影响较小。</w:t>
            </w:r>
          </w:p>
          <w:p>
            <w:pPr>
              <w:pStyle w:val="6"/>
              <w:ind w:firstLine="482"/>
              <w:rPr>
                <w:rFonts w:hint="eastAsia"/>
                <w:color w:val="auto"/>
              </w:rPr>
            </w:pPr>
            <w:r>
              <w:rPr>
                <w:rFonts w:hint="eastAsia"/>
                <w:color w:val="auto"/>
              </w:rPr>
              <w:t>3、废气治理措施可行性分析</w:t>
            </w:r>
          </w:p>
          <w:p>
            <w:pPr>
              <w:pStyle w:val="104"/>
              <w:ind w:firstLine="480"/>
              <w:rPr>
                <w:rFonts w:hint="eastAsia"/>
                <w:color w:val="auto"/>
              </w:rPr>
            </w:pPr>
            <w:r>
              <w:rPr>
                <w:rFonts w:hint="eastAsia"/>
                <w:color w:val="auto"/>
              </w:rPr>
              <w:t>综上，项目在采取以上措施后，运营期产生的无组织废气对环境的影响较小，所处地带开阔，医院内的废气经紫外线及环境消毒除臭后，少量的无组织废气经自然通风后能得到较好的扩散，同时项目自建成以来未接到周边临近住户的相关环境投诉，因此，本项目的建成后对区域环境空气质量的影响可接受，采取的各项污染治理措施可行。</w:t>
            </w:r>
          </w:p>
          <w:p>
            <w:pPr>
              <w:pStyle w:val="104"/>
              <w:ind w:left="480" w:leftChars="200" w:firstLine="0" w:firstLineChars="0"/>
              <w:rPr>
                <w:rFonts w:hint="eastAsia" w:cs="宋体"/>
                <w:b/>
                <w:color w:val="auto"/>
                <w:kern w:val="0"/>
                <w:szCs w:val="27"/>
              </w:rPr>
            </w:pPr>
            <w:r>
              <w:rPr>
                <w:rFonts w:hint="eastAsia" w:cs="宋体"/>
                <w:b/>
                <w:color w:val="auto"/>
                <w:kern w:val="0"/>
                <w:szCs w:val="27"/>
              </w:rPr>
              <w:t>4、监测计划</w:t>
            </w:r>
          </w:p>
          <w:p>
            <w:pPr>
              <w:pStyle w:val="104"/>
              <w:ind w:firstLine="480"/>
              <w:rPr>
                <w:rFonts w:hint="eastAsia"/>
                <w:color w:val="auto"/>
              </w:rPr>
            </w:pPr>
            <w:r>
              <w:rPr>
                <w:rFonts w:hint="eastAsia"/>
                <w:color w:val="auto"/>
              </w:rPr>
              <w:t>根据</w:t>
            </w:r>
            <w:r>
              <w:rPr>
                <w:color w:val="auto"/>
              </w:rPr>
              <w:t>《排污单位自行监测技术指南 总则》（HJ819-2017）</w:t>
            </w:r>
            <w:r>
              <w:rPr>
                <w:rFonts w:hint="eastAsia"/>
                <w:color w:val="auto"/>
              </w:rPr>
              <w:t>制定本项目废气监测计划如下：</w:t>
            </w:r>
          </w:p>
          <w:p>
            <w:pPr>
              <w:pStyle w:val="102"/>
              <w:rPr>
                <w:rFonts w:hint="eastAsia"/>
                <w:color w:val="auto"/>
              </w:rPr>
            </w:pPr>
            <w:r>
              <w:rPr>
                <w:rFonts w:hint="eastAsia"/>
                <w:color w:val="auto"/>
              </w:rPr>
              <w:t>表4-3  废气污染物监测计划</w:t>
            </w:r>
          </w:p>
          <w:tbl>
            <w:tblPr>
              <w:tblStyle w:val="38"/>
              <w:tblW w:w="820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51"/>
              <w:gridCol w:w="2052"/>
              <w:gridCol w:w="2440"/>
              <w:gridCol w:w="16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051" w:type="dxa"/>
                  <w:noWrap w:val="0"/>
                  <w:vAlign w:val="top"/>
                </w:tcPr>
                <w:p>
                  <w:pPr>
                    <w:pStyle w:val="118"/>
                    <w:rPr>
                      <w:color w:val="auto"/>
                    </w:rPr>
                  </w:pPr>
                  <w:r>
                    <w:rPr>
                      <w:rFonts w:hint="eastAsia"/>
                      <w:color w:val="auto"/>
                    </w:rPr>
                    <w:t>排放形式</w:t>
                  </w:r>
                </w:p>
              </w:tc>
              <w:tc>
                <w:tcPr>
                  <w:tcW w:w="2052" w:type="dxa"/>
                  <w:noWrap w:val="0"/>
                  <w:vAlign w:val="top"/>
                </w:tcPr>
                <w:p>
                  <w:pPr>
                    <w:pStyle w:val="118"/>
                    <w:rPr>
                      <w:color w:val="auto"/>
                    </w:rPr>
                  </w:pPr>
                  <w:r>
                    <w:rPr>
                      <w:rFonts w:hint="eastAsia"/>
                      <w:color w:val="auto"/>
                    </w:rPr>
                    <w:t>监测点位</w:t>
                  </w:r>
                </w:p>
              </w:tc>
              <w:tc>
                <w:tcPr>
                  <w:tcW w:w="2440" w:type="dxa"/>
                  <w:noWrap w:val="0"/>
                  <w:vAlign w:val="top"/>
                </w:tcPr>
                <w:p>
                  <w:pPr>
                    <w:pStyle w:val="118"/>
                    <w:rPr>
                      <w:color w:val="auto"/>
                    </w:rPr>
                  </w:pPr>
                  <w:r>
                    <w:rPr>
                      <w:rFonts w:hint="eastAsia"/>
                      <w:color w:val="auto"/>
                    </w:rPr>
                    <w:t>监测因子</w:t>
                  </w:r>
                </w:p>
              </w:tc>
              <w:tc>
                <w:tcPr>
                  <w:tcW w:w="1664" w:type="dxa"/>
                  <w:noWrap w:val="0"/>
                  <w:vAlign w:val="top"/>
                </w:tcPr>
                <w:p>
                  <w:pPr>
                    <w:pStyle w:val="118"/>
                    <w:rPr>
                      <w:color w:val="auto"/>
                    </w:rPr>
                  </w:pPr>
                  <w:r>
                    <w:rPr>
                      <w:rFonts w:hint="eastAsia"/>
                      <w:color w:val="auto"/>
                    </w:rPr>
                    <w:t>监测频次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051" w:type="dxa"/>
                  <w:noWrap w:val="0"/>
                  <w:vAlign w:val="top"/>
                </w:tcPr>
                <w:p>
                  <w:pPr>
                    <w:pStyle w:val="118"/>
                    <w:rPr>
                      <w:color w:val="auto"/>
                    </w:rPr>
                  </w:pPr>
                  <w:r>
                    <w:rPr>
                      <w:rFonts w:hint="eastAsia"/>
                      <w:color w:val="auto"/>
                    </w:rPr>
                    <w:t>无组织</w:t>
                  </w:r>
                </w:p>
              </w:tc>
              <w:tc>
                <w:tcPr>
                  <w:tcW w:w="2052" w:type="dxa"/>
                  <w:noWrap w:val="0"/>
                  <w:vAlign w:val="top"/>
                </w:tcPr>
                <w:p>
                  <w:pPr>
                    <w:pStyle w:val="118"/>
                    <w:rPr>
                      <w:color w:val="auto"/>
                    </w:rPr>
                  </w:pPr>
                  <w:r>
                    <w:rPr>
                      <w:rFonts w:hint="eastAsia"/>
                      <w:color w:val="auto"/>
                    </w:rPr>
                    <w:t>项目四周</w:t>
                  </w:r>
                </w:p>
              </w:tc>
              <w:tc>
                <w:tcPr>
                  <w:tcW w:w="2440" w:type="dxa"/>
                  <w:noWrap w:val="0"/>
                  <w:vAlign w:val="top"/>
                </w:tcPr>
                <w:p>
                  <w:pPr>
                    <w:pStyle w:val="118"/>
                    <w:rPr>
                      <w:color w:val="auto"/>
                    </w:rPr>
                  </w:pPr>
                  <w:r>
                    <w:rPr>
                      <w:rFonts w:hint="eastAsia"/>
                      <w:color w:val="auto"/>
                    </w:rPr>
                    <w:t>氨、硫化氢、臭气浓度</w:t>
                  </w:r>
                </w:p>
              </w:tc>
              <w:tc>
                <w:tcPr>
                  <w:tcW w:w="1664" w:type="dxa"/>
                  <w:noWrap w:val="0"/>
                  <w:vAlign w:val="top"/>
                </w:tcPr>
                <w:p>
                  <w:pPr>
                    <w:pStyle w:val="118"/>
                    <w:rPr>
                      <w:color w:val="auto"/>
                    </w:rPr>
                  </w:pPr>
                  <w:r>
                    <w:rPr>
                      <w:rFonts w:hint="eastAsia"/>
                      <w:color w:val="auto"/>
                    </w:rPr>
                    <w:t>季度</w:t>
                  </w:r>
                </w:p>
              </w:tc>
            </w:tr>
          </w:tbl>
          <w:p>
            <w:pPr>
              <w:pStyle w:val="5"/>
              <w:rPr>
                <w:color w:val="auto"/>
              </w:rPr>
            </w:pPr>
            <w:r>
              <w:rPr>
                <w:color w:val="auto"/>
              </w:rPr>
              <w:t>三、运营期噪声环境影响分析</w:t>
            </w:r>
          </w:p>
          <w:p>
            <w:pPr>
              <w:pStyle w:val="6"/>
              <w:ind w:firstLine="482"/>
              <w:rPr>
                <w:rFonts w:hint="eastAsia"/>
                <w:color w:val="auto"/>
              </w:rPr>
            </w:pPr>
            <w:r>
              <w:rPr>
                <w:rFonts w:hint="eastAsia"/>
                <w:color w:val="auto"/>
              </w:rPr>
              <w:t>1、噪声产生情况</w:t>
            </w:r>
          </w:p>
          <w:p>
            <w:pPr>
              <w:ind w:firstLine="480"/>
              <w:rPr>
                <w:rFonts w:hint="eastAsia"/>
                <w:color w:val="auto"/>
              </w:rPr>
            </w:pPr>
            <w:r>
              <w:rPr>
                <w:rFonts w:hint="eastAsia"/>
                <w:color w:val="auto"/>
              </w:rPr>
              <w:t>本项目运营过程中产生的噪声主要为空调外机噪声、宠物叫声。经类比调查，项目噪声源强约60~75dB（A）。</w:t>
            </w:r>
          </w:p>
          <w:p>
            <w:pPr>
              <w:pStyle w:val="6"/>
              <w:ind w:firstLine="482"/>
              <w:rPr>
                <w:rFonts w:hint="eastAsia"/>
                <w:color w:val="auto"/>
              </w:rPr>
            </w:pPr>
            <w:r>
              <w:rPr>
                <w:rFonts w:hint="eastAsia"/>
                <w:color w:val="auto"/>
              </w:rPr>
              <w:t>2、噪声治理措施</w:t>
            </w:r>
          </w:p>
          <w:p>
            <w:pPr>
              <w:ind w:firstLine="480"/>
              <w:rPr>
                <w:rFonts w:hint="eastAsia"/>
                <w:color w:val="auto"/>
              </w:rPr>
            </w:pPr>
            <w:r>
              <w:rPr>
                <w:rFonts w:hint="eastAsia"/>
                <w:color w:val="auto"/>
              </w:rPr>
              <w:t>①空调外机噪声</w:t>
            </w:r>
          </w:p>
          <w:p>
            <w:pPr>
              <w:ind w:firstLine="480"/>
              <w:rPr>
                <w:rFonts w:hint="eastAsia"/>
                <w:color w:val="auto"/>
              </w:rPr>
            </w:pPr>
            <w:r>
              <w:rPr>
                <w:rFonts w:hint="eastAsia"/>
                <w:color w:val="auto"/>
              </w:rPr>
              <w:t>本项目使用空调外机位于项目南侧外墙处，空调产生的噪声较小，经类比，空调外机噪声源强约60~70dB（A），空调运转时产生的噪声经距离衰减后对周围住户不会产生较大影响。</w:t>
            </w:r>
          </w:p>
          <w:p>
            <w:pPr>
              <w:ind w:firstLine="480"/>
              <w:rPr>
                <w:rFonts w:hint="eastAsia"/>
                <w:color w:val="auto"/>
              </w:rPr>
            </w:pPr>
            <w:r>
              <w:rPr>
                <w:rFonts w:hint="eastAsia"/>
                <w:color w:val="auto"/>
              </w:rPr>
              <w:t>本次环评要求：运营单位必须定期对项目使用空调进行检修保养，确保空调噪声达标排放，确保不扰民。</w:t>
            </w:r>
          </w:p>
          <w:p>
            <w:pPr>
              <w:ind w:firstLine="480"/>
              <w:rPr>
                <w:rFonts w:hint="eastAsia"/>
                <w:color w:val="auto"/>
              </w:rPr>
            </w:pPr>
            <w:r>
              <w:rPr>
                <w:rFonts w:hint="eastAsia"/>
                <w:color w:val="auto"/>
              </w:rPr>
              <w:t>②宠物叫声</w:t>
            </w:r>
          </w:p>
          <w:p>
            <w:pPr>
              <w:ind w:firstLine="480"/>
              <w:rPr>
                <w:rFonts w:hint="eastAsia"/>
                <w:color w:val="auto"/>
              </w:rPr>
            </w:pPr>
            <w:r>
              <w:rPr>
                <w:rFonts w:hint="eastAsia"/>
                <w:color w:val="auto"/>
              </w:rPr>
              <w:t>本项目运营期间，宠物会有日常偶发噪声，源强一般为60~ 75dB（A），主要集中在住院室内（每天就诊、住院最大量按照20只进行考虑），本项目内墙体厚度约30cm，具有一定的隔音效果。本项目营运期间，入院宠物会有日常偶发噪声，墙体均为实体密闭墙体。为了防止宠物噪声对周边环境产生影响，项目只在白天营业，夜间不营业，在做好宠物管理，防止宠物因饥饿而产生噪声，对留观宠物佩戴口罩等措施后，项目噪声不会对外环境产生影响。</w:t>
            </w:r>
          </w:p>
          <w:p>
            <w:pPr>
              <w:bidi w:val="0"/>
              <w:rPr>
                <w:rFonts w:hint="eastAsia" w:eastAsia="宋体"/>
                <w:b/>
                <w:bCs/>
                <w:color w:val="auto"/>
                <w:lang w:eastAsia="zh-CN"/>
              </w:rPr>
            </w:pPr>
            <w:r>
              <w:rPr>
                <w:rFonts w:hint="eastAsia"/>
                <w:b/>
                <w:bCs/>
                <w:color w:val="auto"/>
                <w:lang w:val="en-US" w:eastAsia="zh-CN"/>
              </w:rPr>
              <w:t>3、</w:t>
            </w:r>
            <w:r>
              <w:rPr>
                <w:rFonts w:hint="eastAsia"/>
                <w:b/>
                <w:bCs/>
                <w:color w:val="auto"/>
              </w:rPr>
              <w:t>噪声</w:t>
            </w:r>
            <w:r>
              <w:rPr>
                <w:rFonts w:hint="eastAsia"/>
                <w:b/>
                <w:bCs/>
                <w:color w:val="auto"/>
                <w:lang w:eastAsia="zh-CN"/>
              </w:rPr>
              <w:t>预测</w:t>
            </w:r>
          </w:p>
          <w:p>
            <w:pPr>
              <w:bidi w:val="0"/>
              <w:ind w:left="0" w:leftChars="0" w:firstLine="720" w:firstLineChars="300"/>
              <w:rPr>
                <w:rFonts w:hint="eastAsia"/>
                <w:color w:val="auto"/>
              </w:rPr>
            </w:pPr>
            <w:r>
              <w:rPr>
                <w:rFonts w:hint="eastAsia"/>
                <w:color w:val="auto"/>
                <w:lang w:eastAsia="zh-CN"/>
              </w:rPr>
              <w:t>本项目</w:t>
            </w:r>
            <w:r>
              <w:rPr>
                <w:rFonts w:hint="eastAsia"/>
                <w:color w:val="auto"/>
              </w:rPr>
              <w:t>通过采取以上减震、隔声等措施后，可使上述设备的噪声源强下降 10-20dB（A），本项目设备的噪声源强下降取15dB（A）。</w:t>
            </w:r>
          </w:p>
          <w:p>
            <w:pPr>
              <w:pStyle w:val="104"/>
              <w:bidi w:val="0"/>
              <w:rPr>
                <w:rFonts w:hint="eastAsia"/>
                <w:color w:val="auto"/>
                <w:lang w:val="en-US" w:eastAsia="zh-CN"/>
              </w:rPr>
            </w:pPr>
            <w:r>
              <w:rPr>
                <w:rFonts w:hint="eastAsia"/>
                <w:color w:val="auto"/>
                <w:lang w:val="en-US" w:eastAsia="zh-CN"/>
              </w:rPr>
              <w:t>（1）噪声源距厂界敏感点距离：</w:t>
            </w:r>
          </w:p>
          <w:p>
            <w:pPr>
              <w:pStyle w:val="117"/>
              <w:bidi w:val="0"/>
              <w:rPr>
                <w:rFonts w:hint="eastAsia"/>
                <w:color w:val="auto"/>
                <w:lang w:val="en-US" w:eastAsia="zh-CN"/>
              </w:rPr>
            </w:pPr>
            <w:r>
              <w:rPr>
                <w:rFonts w:hint="eastAsia"/>
                <w:color w:val="auto"/>
                <w:lang w:val="en-US" w:eastAsia="zh-CN"/>
              </w:rPr>
              <w:t>表4-4 噪声源距厂界及敏感点距离 单位：m</w:t>
            </w:r>
          </w:p>
          <w:tbl>
            <w:tblPr>
              <w:tblStyle w:val="39"/>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53"/>
              <w:gridCol w:w="1706"/>
              <w:gridCol w:w="1294"/>
              <w:gridCol w:w="1125"/>
              <w:gridCol w:w="1332"/>
              <w:gridCol w:w="12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85" w:type="pct"/>
                  <w:noWrap w:val="0"/>
                  <w:vAlign w:val="center"/>
                </w:tcPr>
                <w:p>
                  <w:pPr>
                    <w:pStyle w:val="69"/>
                    <w:bidi w:val="0"/>
                    <w:rPr>
                      <w:rFonts w:hint="default"/>
                      <w:color w:val="auto"/>
                      <w:lang w:val="en-US" w:eastAsia="zh-CN"/>
                    </w:rPr>
                  </w:pPr>
                  <w:r>
                    <w:rPr>
                      <w:rFonts w:hint="eastAsia"/>
                      <w:color w:val="auto"/>
                      <w:lang w:val="en-US" w:eastAsia="zh-CN"/>
                    </w:rPr>
                    <w:t>噪声源</w:t>
                  </w:r>
                </w:p>
              </w:tc>
              <w:tc>
                <w:tcPr>
                  <w:tcW w:w="1039" w:type="pct"/>
                  <w:noWrap w:val="0"/>
                  <w:vAlign w:val="center"/>
                </w:tcPr>
                <w:p>
                  <w:pPr>
                    <w:pStyle w:val="69"/>
                    <w:bidi w:val="0"/>
                    <w:rPr>
                      <w:rFonts w:hint="default"/>
                      <w:color w:val="auto"/>
                      <w:lang w:val="en-US" w:eastAsia="zh-CN"/>
                    </w:rPr>
                  </w:pPr>
                  <w:r>
                    <w:rPr>
                      <w:rFonts w:hint="eastAsia"/>
                      <w:color w:val="auto"/>
                      <w:lang w:val="en-US" w:eastAsia="zh-CN"/>
                    </w:rPr>
                    <w:t>噪声源强dB(A）</w:t>
                  </w:r>
                </w:p>
              </w:tc>
              <w:tc>
                <w:tcPr>
                  <w:tcW w:w="788" w:type="pct"/>
                  <w:noWrap w:val="0"/>
                  <w:vAlign w:val="center"/>
                </w:tcPr>
                <w:p>
                  <w:pPr>
                    <w:pStyle w:val="69"/>
                    <w:bidi w:val="0"/>
                    <w:rPr>
                      <w:rFonts w:hint="default"/>
                      <w:color w:val="auto"/>
                      <w:lang w:val="en-US" w:eastAsia="zh-CN"/>
                    </w:rPr>
                  </w:pPr>
                  <w:r>
                    <w:rPr>
                      <w:rFonts w:hint="eastAsia"/>
                      <w:color w:val="auto"/>
                      <w:lang w:val="en-US" w:eastAsia="zh-CN"/>
                    </w:rPr>
                    <w:t>东厂界</w:t>
                  </w:r>
                </w:p>
              </w:tc>
              <w:tc>
                <w:tcPr>
                  <w:tcW w:w="685" w:type="pct"/>
                  <w:noWrap w:val="0"/>
                  <w:vAlign w:val="center"/>
                </w:tcPr>
                <w:p>
                  <w:pPr>
                    <w:pStyle w:val="69"/>
                    <w:bidi w:val="0"/>
                    <w:rPr>
                      <w:rFonts w:hint="default"/>
                      <w:color w:val="auto"/>
                      <w:lang w:val="en-US" w:eastAsia="zh-CN"/>
                    </w:rPr>
                  </w:pPr>
                  <w:r>
                    <w:rPr>
                      <w:rFonts w:hint="eastAsia"/>
                      <w:color w:val="auto"/>
                      <w:lang w:val="en-US" w:eastAsia="zh-CN"/>
                    </w:rPr>
                    <w:t>南厂界</w:t>
                  </w:r>
                </w:p>
              </w:tc>
              <w:tc>
                <w:tcPr>
                  <w:tcW w:w="811" w:type="pct"/>
                  <w:noWrap w:val="0"/>
                  <w:vAlign w:val="center"/>
                </w:tcPr>
                <w:p>
                  <w:pPr>
                    <w:pStyle w:val="69"/>
                    <w:bidi w:val="0"/>
                    <w:rPr>
                      <w:rFonts w:hint="default"/>
                      <w:color w:val="auto"/>
                      <w:lang w:val="en-US" w:eastAsia="zh-CN"/>
                    </w:rPr>
                  </w:pPr>
                  <w:r>
                    <w:rPr>
                      <w:rFonts w:hint="eastAsia"/>
                      <w:color w:val="auto"/>
                      <w:lang w:val="en-US" w:eastAsia="zh-CN"/>
                    </w:rPr>
                    <w:t>西厂界</w:t>
                  </w:r>
                </w:p>
              </w:tc>
              <w:tc>
                <w:tcPr>
                  <w:tcW w:w="788" w:type="pct"/>
                  <w:noWrap w:val="0"/>
                  <w:vAlign w:val="center"/>
                </w:tcPr>
                <w:p>
                  <w:pPr>
                    <w:pStyle w:val="69"/>
                    <w:bidi w:val="0"/>
                    <w:rPr>
                      <w:rFonts w:hint="eastAsia"/>
                      <w:color w:val="auto"/>
                      <w:lang w:val="en-US" w:eastAsia="zh-CN"/>
                    </w:rPr>
                  </w:pPr>
                  <w:r>
                    <w:rPr>
                      <w:rFonts w:hint="eastAsia"/>
                      <w:color w:val="auto"/>
                      <w:lang w:val="en-US" w:eastAsia="zh-CN"/>
                    </w:rPr>
                    <w:t>北厂界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5" w:type="pct"/>
                  <w:noWrap w:val="0"/>
                  <w:vAlign w:val="center"/>
                </w:tcPr>
                <w:p>
                  <w:pPr>
                    <w:pStyle w:val="69"/>
                    <w:bidi w:val="0"/>
                    <w:rPr>
                      <w:rFonts w:hint="default"/>
                      <w:color w:val="auto"/>
                      <w:lang w:val="en-US" w:eastAsia="zh-CN"/>
                    </w:rPr>
                  </w:pPr>
                  <w:r>
                    <w:rPr>
                      <w:rFonts w:hint="eastAsia"/>
                      <w:color w:val="auto"/>
                      <w:lang w:val="en-US" w:eastAsia="zh-CN"/>
                    </w:rPr>
                    <w:t>空调外机</w:t>
                  </w:r>
                </w:p>
              </w:tc>
              <w:tc>
                <w:tcPr>
                  <w:tcW w:w="1039" w:type="pct"/>
                  <w:noWrap w:val="0"/>
                  <w:vAlign w:val="center"/>
                </w:tcPr>
                <w:p>
                  <w:pPr>
                    <w:pStyle w:val="69"/>
                    <w:bidi w:val="0"/>
                    <w:rPr>
                      <w:rFonts w:hint="default"/>
                      <w:color w:val="auto"/>
                      <w:lang w:val="en-US" w:eastAsia="zh-CN"/>
                    </w:rPr>
                  </w:pPr>
                  <w:r>
                    <w:rPr>
                      <w:rFonts w:hint="eastAsia"/>
                      <w:color w:val="auto"/>
                      <w:lang w:val="en-US" w:eastAsia="zh-CN"/>
                    </w:rPr>
                    <w:t>60</w:t>
                  </w:r>
                </w:p>
              </w:tc>
              <w:tc>
                <w:tcPr>
                  <w:tcW w:w="788" w:type="pct"/>
                  <w:noWrap w:val="0"/>
                  <w:vAlign w:val="center"/>
                </w:tcPr>
                <w:p>
                  <w:pPr>
                    <w:pStyle w:val="69"/>
                    <w:bidi w:val="0"/>
                    <w:rPr>
                      <w:rFonts w:hint="default"/>
                      <w:color w:val="auto"/>
                      <w:lang w:val="en-US" w:eastAsia="zh-CN"/>
                    </w:rPr>
                  </w:pPr>
                  <w:r>
                    <w:rPr>
                      <w:rFonts w:hint="eastAsia"/>
                      <w:color w:val="auto"/>
                      <w:lang w:val="en-US" w:eastAsia="zh-CN"/>
                    </w:rPr>
                    <w:t>1</w:t>
                  </w:r>
                </w:p>
              </w:tc>
              <w:tc>
                <w:tcPr>
                  <w:tcW w:w="685" w:type="pct"/>
                  <w:noWrap w:val="0"/>
                  <w:vAlign w:val="center"/>
                </w:tcPr>
                <w:p>
                  <w:pPr>
                    <w:pStyle w:val="69"/>
                    <w:bidi w:val="0"/>
                    <w:rPr>
                      <w:rFonts w:hint="default"/>
                      <w:color w:val="auto"/>
                      <w:lang w:val="en-US" w:eastAsia="zh-CN"/>
                    </w:rPr>
                  </w:pPr>
                  <w:r>
                    <w:rPr>
                      <w:rFonts w:hint="eastAsia"/>
                      <w:color w:val="auto"/>
                      <w:lang w:val="en-US" w:eastAsia="zh-CN"/>
                    </w:rPr>
                    <w:t>0.5</w:t>
                  </w:r>
                </w:p>
              </w:tc>
              <w:tc>
                <w:tcPr>
                  <w:tcW w:w="811" w:type="pct"/>
                  <w:noWrap w:val="0"/>
                  <w:vAlign w:val="center"/>
                </w:tcPr>
                <w:p>
                  <w:pPr>
                    <w:pStyle w:val="69"/>
                    <w:bidi w:val="0"/>
                    <w:rPr>
                      <w:rFonts w:hint="default"/>
                      <w:color w:val="auto"/>
                      <w:lang w:val="en-US" w:eastAsia="zh-CN"/>
                    </w:rPr>
                  </w:pPr>
                  <w:r>
                    <w:rPr>
                      <w:rFonts w:hint="eastAsia"/>
                      <w:color w:val="auto"/>
                      <w:lang w:val="en-US" w:eastAsia="zh-CN"/>
                    </w:rPr>
                    <w:t>0.5</w:t>
                  </w:r>
                </w:p>
              </w:tc>
              <w:tc>
                <w:tcPr>
                  <w:tcW w:w="788" w:type="pct"/>
                  <w:noWrap w:val="0"/>
                  <w:vAlign w:val="center"/>
                </w:tcPr>
                <w:p>
                  <w:pPr>
                    <w:pStyle w:val="69"/>
                    <w:bidi w:val="0"/>
                    <w:rPr>
                      <w:rFonts w:hint="default"/>
                      <w:color w:val="auto"/>
                      <w:lang w:val="en-US" w:eastAsia="zh-CN"/>
                    </w:rPr>
                  </w:pPr>
                  <w:r>
                    <w:rPr>
                      <w:rFonts w:hint="eastAsia"/>
                      <w:color w:val="auto"/>
                      <w:lang w:val="en-US" w:eastAsia="zh-CN"/>
                    </w:rPr>
                    <w:t>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5" w:type="pct"/>
                  <w:noWrap w:val="0"/>
                  <w:vAlign w:val="center"/>
                </w:tcPr>
                <w:p>
                  <w:pPr>
                    <w:pStyle w:val="69"/>
                    <w:bidi w:val="0"/>
                    <w:rPr>
                      <w:rFonts w:hint="eastAsia"/>
                      <w:color w:val="auto"/>
                      <w:lang w:val="en-US" w:eastAsia="zh-CN"/>
                    </w:rPr>
                  </w:pPr>
                  <w:r>
                    <w:rPr>
                      <w:rFonts w:hint="eastAsia"/>
                      <w:color w:val="auto"/>
                      <w:lang w:val="en-US" w:eastAsia="zh-CN"/>
                    </w:rPr>
                    <w:t>宠物叫声</w:t>
                  </w:r>
                </w:p>
              </w:tc>
              <w:tc>
                <w:tcPr>
                  <w:tcW w:w="1039" w:type="pct"/>
                  <w:noWrap w:val="0"/>
                  <w:vAlign w:val="center"/>
                </w:tcPr>
                <w:p>
                  <w:pPr>
                    <w:pStyle w:val="69"/>
                    <w:bidi w:val="0"/>
                    <w:rPr>
                      <w:rFonts w:hint="default"/>
                      <w:color w:val="auto"/>
                      <w:lang w:val="en-US" w:eastAsia="zh-CN"/>
                    </w:rPr>
                  </w:pPr>
                  <w:r>
                    <w:rPr>
                      <w:rFonts w:hint="eastAsia"/>
                      <w:color w:val="auto"/>
                      <w:lang w:val="en-US" w:eastAsia="zh-CN"/>
                    </w:rPr>
                    <w:t>75</w:t>
                  </w:r>
                </w:p>
              </w:tc>
              <w:tc>
                <w:tcPr>
                  <w:tcW w:w="788" w:type="pct"/>
                  <w:noWrap w:val="0"/>
                  <w:vAlign w:val="center"/>
                </w:tcPr>
                <w:p>
                  <w:pPr>
                    <w:pStyle w:val="69"/>
                    <w:bidi w:val="0"/>
                    <w:rPr>
                      <w:rFonts w:hint="default"/>
                      <w:color w:val="auto"/>
                      <w:lang w:val="en-US" w:eastAsia="zh-CN"/>
                    </w:rPr>
                  </w:pPr>
                  <w:r>
                    <w:rPr>
                      <w:rFonts w:hint="eastAsia"/>
                      <w:color w:val="auto"/>
                      <w:lang w:val="en-US" w:eastAsia="zh-CN"/>
                    </w:rPr>
                    <w:t>2</w:t>
                  </w:r>
                </w:p>
              </w:tc>
              <w:tc>
                <w:tcPr>
                  <w:tcW w:w="685" w:type="pct"/>
                  <w:noWrap w:val="0"/>
                  <w:vAlign w:val="center"/>
                </w:tcPr>
                <w:p>
                  <w:pPr>
                    <w:pStyle w:val="69"/>
                    <w:bidi w:val="0"/>
                    <w:rPr>
                      <w:rFonts w:hint="default"/>
                      <w:color w:val="auto"/>
                      <w:lang w:val="en-US" w:eastAsia="zh-CN"/>
                    </w:rPr>
                  </w:pPr>
                  <w:r>
                    <w:rPr>
                      <w:rFonts w:hint="eastAsia"/>
                      <w:color w:val="auto"/>
                      <w:lang w:val="en-US" w:eastAsia="zh-CN"/>
                    </w:rPr>
                    <w:t>1</w:t>
                  </w:r>
                </w:p>
              </w:tc>
              <w:tc>
                <w:tcPr>
                  <w:tcW w:w="811" w:type="pct"/>
                  <w:noWrap w:val="0"/>
                  <w:vAlign w:val="center"/>
                </w:tcPr>
                <w:p>
                  <w:pPr>
                    <w:pStyle w:val="69"/>
                    <w:bidi w:val="0"/>
                    <w:rPr>
                      <w:rFonts w:hint="default"/>
                      <w:color w:val="auto"/>
                      <w:lang w:val="en-US" w:eastAsia="zh-CN"/>
                    </w:rPr>
                  </w:pPr>
                  <w:r>
                    <w:rPr>
                      <w:rFonts w:hint="eastAsia"/>
                      <w:color w:val="auto"/>
                      <w:lang w:val="en-US" w:eastAsia="zh-CN"/>
                    </w:rPr>
                    <w:t>2</w:t>
                  </w:r>
                </w:p>
              </w:tc>
              <w:tc>
                <w:tcPr>
                  <w:tcW w:w="788" w:type="pct"/>
                  <w:noWrap w:val="0"/>
                  <w:vAlign w:val="center"/>
                </w:tcPr>
                <w:p>
                  <w:pPr>
                    <w:pStyle w:val="69"/>
                    <w:bidi w:val="0"/>
                    <w:rPr>
                      <w:rFonts w:hint="default"/>
                      <w:color w:val="auto"/>
                      <w:lang w:val="en-US" w:eastAsia="zh-CN"/>
                    </w:rPr>
                  </w:pPr>
                  <w:r>
                    <w:rPr>
                      <w:rFonts w:hint="eastAsia"/>
                      <w:color w:val="auto"/>
                      <w:lang w:val="en-US" w:eastAsia="zh-CN"/>
                    </w:rPr>
                    <w:t>9</w:t>
                  </w:r>
                </w:p>
              </w:tc>
            </w:tr>
          </w:tbl>
          <w:p>
            <w:pPr>
              <w:bidi w:val="0"/>
              <w:rPr>
                <w:rFonts w:hint="eastAsia"/>
                <w:color w:val="auto"/>
              </w:rPr>
            </w:pPr>
            <w:r>
              <w:rPr>
                <w:rFonts w:hint="eastAsia"/>
                <w:color w:val="auto"/>
                <w:lang w:eastAsia="zh-CN"/>
              </w:rPr>
              <w:t>（</w:t>
            </w:r>
            <w:r>
              <w:rPr>
                <w:rFonts w:hint="eastAsia"/>
                <w:color w:val="auto"/>
                <w:lang w:val="en-US" w:eastAsia="zh-CN"/>
              </w:rPr>
              <w:t>2</w:t>
            </w:r>
            <w:r>
              <w:rPr>
                <w:rFonts w:hint="eastAsia"/>
                <w:color w:val="auto"/>
                <w:lang w:eastAsia="zh-CN"/>
              </w:rPr>
              <w:t>）</w:t>
            </w:r>
            <w:r>
              <w:rPr>
                <w:rFonts w:hint="eastAsia"/>
                <w:color w:val="auto"/>
              </w:rPr>
              <w:t>预测模式</w:t>
            </w:r>
          </w:p>
          <w:p>
            <w:pPr>
              <w:bidi w:val="0"/>
              <w:rPr>
                <w:rFonts w:hint="eastAsia"/>
                <w:color w:val="auto"/>
              </w:rPr>
            </w:pPr>
            <w:r>
              <w:rPr>
                <w:rFonts w:hint="eastAsia"/>
                <w:color w:val="auto"/>
              </w:rPr>
              <w:t>采用《环境影响评价技术导则-声环境》（HJ 2.4-2009）中推荐的模型。利用点源衰减公式，预测模式如下：</w:t>
            </w:r>
          </w:p>
          <w:p>
            <w:pPr>
              <w:bidi w:val="0"/>
              <w:jc w:val="center"/>
              <w:rPr>
                <w:rFonts w:hint="eastAsia"/>
                <w:color w:val="auto"/>
                <w:lang w:eastAsia="zh-CN"/>
              </w:rPr>
            </w:pPr>
            <w:r>
              <w:rPr>
                <w:rFonts w:hint="eastAsia"/>
                <w:color w:val="auto"/>
                <w:lang w:eastAsia="zh-CN"/>
              </w:rPr>
              <w:object>
                <v:shape id="_x0000_i1047" o:spt="75" type="#_x0000_t75" style="height:18pt;width:112pt;" o:ole="t" filled="f" o:preferrelative="t" stroked="f" coordsize="21600,21600">
                  <v:path/>
                  <v:fill on="f" focussize="0,0"/>
                  <v:stroke on="f"/>
                  <v:imagedata r:id="rId97" o:title=""/>
                  <o:lock v:ext="edit" aspectratio="t"/>
                  <w10:wrap type="none"/>
                  <w10:anchorlock/>
                </v:shape>
                <o:OLEObject Type="Embed" ProgID="Equation.KSEE3" ShapeID="_x0000_i1047" DrawAspect="Content" ObjectID="_1468075750" r:id="rId109">
                  <o:LockedField>false</o:LockedField>
                </o:OLEObject>
              </w:object>
            </w:r>
          </w:p>
          <w:p>
            <w:pPr>
              <w:bidi w:val="0"/>
              <w:rPr>
                <w:rFonts w:hint="eastAsia"/>
                <w:color w:val="auto"/>
              </w:rPr>
            </w:pPr>
            <w:r>
              <w:rPr>
                <w:rFonts w:hint="eastAsia"/>
                <w:color w:val="auto"/>
              </w:rPr>
              <w:t>式中：L</w:t>
            </w:r>
            <w:r>
              <w:rPr>
                <w:rFonts w:hint="eastAsia"/>
                <w:color w:val="auto"/>
                <w:lang w:val="en-US" w:eastAsia="zh-CN"/>
              </w:rPr>
              <w:t>p</w:t>
            </w:r>
            <w:r>
              <w:rPr>
                <w:rFonts w:hint="eastAsia"/>
                <w:color w:val="auto"/>
              </w:rPr>
              <w:t>(r)——</w:t>
            </w:r>
            <w:r>
              <w:rPr>
                <w:rFonts w:hint="eastAsia"/>
                <w:color w:val="auto"/>
                <w:lang w:eastAsia="zh-CN"/>
              </w:rPr>
              <w:t>预测点处</w:t>
            </w:r>
            <w:r>
              <w:rPr>
                <w:rFonts w:hint="eastAsia"/>
                <w:color w:val="auto"/>
              </w:rPr>
              <w:t>声压级，dB（A）；</w:t>
            </w:r>
          </w:p>
          <w:p>
            <w:pPr>
              <w:bidi w:val="0"/>
              <w:ind w:firstLine="1200" w:firstLineChars="500"/>
              <w:rPr>
                <w:rFonts w:hint="eastAsia"/>
                <w:color w:val="auto"/>
              </w:rPr>
            </w:pPr>
            <w:r>
              <w:rPr>
                <w:rFonts w:hint="eastAsia"/>
                <w:color w:val="auto"/>
              </w:rPr>
              <w:t>L</w:t>
            </w:r>
            <w:r>
              <w:rPr>
                <w:rFonts w:hint="eastAsia"/>
                <w:color w:val="auto"/>
                <w:lang w:val="en-US" w:eastAsia="zh-CN"/>
              </w:rPr>
              <w:t>w</w:t>
            </w:r>
            <w:r>
              <w:rPr>
                <w:rFonts w:hint="eastAsia"/>
                <w:color w:val="auto"/>
              </w:rPr>
              <w:t>——</w:t>
            </w:r>
            <w:r>
              <w:rPr>
                <w:rFonts w:hint="eastAsia"/>
                <w:color w:val="auto"/>
                <w:lang w:eastAsia="zh-CN"/>
              </w:rPr>
              <w:t>由点声源产生的倍频带声功率级</w:t>
            </w:r>
            <w:r>
              <w:rPr>
                <w:rFonts w:hint="eastAsia"/>
                <w:color w:val="auto"/>
              </w:rPr>
              <w:t>，dB（A）；</w:t>
            </w:r>
          </w:p>
          <w:p>
            <w:pPr>
              <w:bidi w:val="0"/>
              <w:ind w:firstLine="1200" w:firstLineChars="500"/>
              <w:rPr>
                <w:rFonts w:hint="eastAsia"/>
                <w:color w:val="auto"/>
              </w:rPr>
            </w:pPr>
            <w:r>
              <w:rPr>
                <w:rFonts w:hint="eastAsia"/>
                <w:color w:val="auto"/>
                <w:lang w:val="en-US" w:eastAsia="zh-CN"/>
              </w:rPr>
              <w:t>r</w:t>
            </w:r>
            <w:r>
              <w:rPr>
                <w:rFonts w:hint="eastAsia"/>
                <w:color w:val="auto"/>
              </w:rPr>
              <w:t>——预测点距声源距离，m；</w:t>
            </w:r>
          </w:p>
          <w:p>
            <w:pPr>
              <w:bidi w:val="0"/>
              <w:rPr>
                <w:rFonts w:hint="eastAsia"/>
                <w:color w:val="auto"/>
              </w:rPr>
            </w:pPr>
            <w:r>
              <w:rPr>
                <w:rFonts w:hint="eastAsia"/>
                <w:color w:val="auto"/>
              </w:rPr>
              <w:t>声</w:t>
            </w:r>
            <w:r>
              <w:rPr>
                <w:rFonts w:hint="eastAsia"/>
                <w:color w:val="auto"/>
                <w:lang w:eastAsia="zh-CN"/>
              </w:rPr>
              <w:t>源叠加</w:t>
            </w:r>
            <w:r>
              <w:rPr>
                <w:rFonts w:hint="eastAsia"/>
                <w:color w:val="auto"/>
              </w:rPr>
              <w:t>模式：</w:t>
            </w:r>
          </w:p>
          <w:p>
            <w:pPr>
              <w:bidi w:val="0"/>
              <w:rPr>
                <w:rFonts w:hint="eastAsia"/>
                <w:color w:val="auto"/>
              </w:rPr>
            </w:pPr>
            <w:r>
              <w:rPr>
                <w:color w:val="auto"/>
              </w:rPr>
              <w:pict>
                <v:shape id="_x0000_s2055" o:spid="_x0000_s2055" o:spt="75" type="#_x0000_t75" style="position:absolute;left:0pt;margin-left:126.1pt;margin-top:1.2pt;height:38.65pt;width:102.65pt;mso-wrap-distance-bottom:0pt;mso-wrap-distance-top:0pt;z-index:251670528;mso-width-relative:page;mso-height-relative:page;" o:ole="t" filled="f" o:preferrelative="t" stroked="f" coordsize="21600,21600">
                  <v:path/>
                  <v:fill on="f" focussize="0,0"/>
                  <v:stroke on="f"/>
                  <v:imagedata r:id="rId99" o:title=""/>
                  <o:lock v:ext="edit" aspectratio="t"/>
                  <w10:wrap type="topAndBottom"/>
                </v:shape>
                <o:OLEObject Type="Embed" ProgID="" ShapeID="_x0000_s2055" DrawAspect="Content" ObjectID="_1468075751" r:id="rId110">
                  <o:LockedField>false</o:LockedField>
                </o:OLEObject>
              </w:pict>
            </w:r>
            <w:r>
              <w:rPr>
                <w:rFonts w:hint="eastAsia"/>
                <w:color w:val="auto"/>
              </w:rPr>
              <w:t>式中:L</w:t>
            </w:r>
            <w:r>
              <w:rPr>
                <w:rFonts w:hint="eastAsia"/>
                <w:color w:val="auto"/>
                <w:vertAlign w:val="subscript"/>
              </w:rPr>
              <w:t>0</w:t>
            </w:r>
            <w:r>
              <w:rPr>
                <w:rFonts w:hint="eastAsia"/>
                <w:color w:val="auto"/>
              </w:rPr>
              <w:t>——叠加后总声压级，dB；</w:t>
            </w:r>
          </w:p>
          <w:p>
            <w:pPr>
              <w:bidi w:val="0"/>
              <w:ind w:firstLine="960" w:firstLineChars="400"/>
              <w:rPr>
                <w:rFonts w:hint="eastAsia"/>
                <w:color w:val="auto"/>
              </w:rPr>
            </w:pPr>
            <w:r>
              <w:rPr>
                <w:rFonts w:hint="eastAsia"/>
                <w:color w:val="auto"/>
              </w:rPr>
              <w:t>n——声源级数；</w:t>
            </w:r>
          </w:p>
          <w:p>
            <w:pPr>
              <w:bidi w:val="0"/>
              <w:ind w:firstLine="960" w:firstLineChars="400"/>
              <w:rPr>
                <w:rFonts w:hint="eastAsia"/>
                <w:color w:val="auto"/>
              </w:rPr>
            </w:pPr>
            <w:r>
              <w:rPr>
                <w:rFonts w:hint="eastAsia"/>
                <w:color w:val="auto"/>
              </w:rPr>
              <w:t>Li——第i个点声源在预测点产生的A声压级，dB（A）；</w:t>
            </w:r>
          </w:p>
          <w:p>
            <w:pPr>
              <w:bidi w:val="0"/>
              <w:rPr>
                <w:color w:val="auto"/>
              </w:rPr>
            </w:pPr>
            <w:r>
              <w:rPr>
                <w:color w:val="auto"/>
              </w:rPr>
              <w:t>本项目噪声设备采取降噪措施后对噪声的影响预测见下表。</w:t>
            </w:r>
          </w:p>
          <w:p>
            <w:pPr>
              <w:pStyle w:val="117"/>
              <w:bidi w:val="0"/>
              <w:rPr>
                <w:rFonts w:hint="eastAsia"/>
                <w:color w:val="auto"/>
              </w:rPr>
            </w:pPr>
            <w:r>
              <w:rPr>
                <w:rFonts w:hint="eastAsia"/>
                <w:color w:val="auto"/>
              </w:rPr>
              <w:t>表4-</w:t>
            </w:r>
            <w:r>
              <w:rPr>
                <w:rFonts w:hint="eastAsia"/>
                <w:color w:val="auto"/>
                <w:lang w:val="en-US" w:eastAsia="zh-CN"/>
              </w:rPr>
              <w:t>5</w:t>
            </w:r>
            <w:r>
              <w:rPr>
                <w:rFonts w:hint="eastAsia"/>
                <w:color w:val="auto"/>
              </w:rPr>
              <w:t xml:space="preserve">    营运期噪声预测结果    单位：dB（A）</w:t>
            </w:r>
          </w:p>
          <w:tbl>
            <w:tblPr>
              <w:tblStyle w:val="3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37"/>
              <w:gridCol w:w="1862"/>
              <w:gridCol w:w="1295"/>
              <w:gridCol w:w="1153"/>
              <w:gridCol w:w="1153"/>
              <w:gridCol w:w="1153"/>
              <w:gridCol w:w="11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2" w:hRule="atLeast"/>
                <w:jc w:val="center"/>
              </w:trPr>
              <w:tc>
                <w:tcPr>
                  <w:tcW w:w="267" w:type="pct"/>
                  <w:vMerge w:val="restart"/>
                  <w:noWrap w:val="0"/>
                  <w:vAlign w:val="center"/>
                </w:tcPr>
                <w:p>
                  <w:pPr>
                    <w:pStyle w:val="118"/>
                    <w:bidi w:val="0"/>
                    <w:rPr>
                      <w:color w:val="auto"/>
                    </w:rPr>
                  </w:pPr>
                  <w:r>
                    <w:rPr>
                      <w:color w:val="auto"/>
                    </w:rPr>
                    <w:t>序号</w:t>
                  </w:r>
                </w:p>
              </w:tc>
              <w:tc>
                <w:tcPr>
                  <w:tcW w:w="1134" w:type="pct"/>
                  <w:vMerge w:val="restart"/>
                  <w:noWrap w:val="0"/>
                  <w:vAlign w:val="center"/>
                </w:tcPr>
                <w:p>
                  <w:pPr>
                    <w:pStyle w:val="118"/>
                    <w:bidi w:val="0"/>
                    <w:rPr>
                      <w:color w:val="auto"/>
                    </w:rPr>
                  </w:pPr>
                  <w:r>
                    <w:rPr>
                      <w:color w:val="auto"/>
                    </w:rPr>
                    <w:t>噪声源</w:t>
                  </w:r>
                </w:p>
              </w:tc>
              <w:tc>
                <w:tcPr>
                  <w:tcW w:w="789" w:type="pct"/>
                  <w:vMerge w:val="restart"/>
                  <w:noWrap w:val="0"/>
                  <w:vAlign w:val="center"/>
                </w:tcPr>
                <w:p>
                  <w:pPr>
                    <w:pStyle w:val="118"/>
                    <w:bidi w:val="0"/>
                    <w:rPr>
                      <w:color w:val="auto"/>
                    </w:rPr>
                  </w:pPr>
                  <w:r>
                    <w:rPr>
                      <w:color w:val="auto"/>
                    </w:rPr>
                    <w:t>治理后声级</w:t>
                  </w:r>
                </w:p>
                <w:p>
                  <w:pPr>
                    <w:pStyle w:val="118"/>
                    <w:bidi w:val="0"/>
                    <w:rPr>
                      <w:color w:val="auto"/>
                    </w:rPr>
                  </w:pPr>
                  <w:r>
                    <w:rPr>
                      <w:color w:val="auto"/>
                    </w:rPr>
                    <w:t>（db（A））</w:t>
                  </w:r>
                </w:p>
              </w:tc>
              <w:tc>
                <w:tcPr>
                  <w:tcW w:w="2809" w:type="pct"/>
                  <w:gridSpan w:val="4"/>
                  <w:noWrap w:val="0"/>
                  <w:vAlign w:val="center"/>
                </w:tcPr>
                <w:p>
                  <w:pPr>
                    <w:pStyle w:val="118"/>
                    <w:bidi w:val="0"/>
                    <w:rPr>
                      <w:color w:val="auto"/>
                    </w:rPr>
                  </w:pPr>
                  <w:r>
                    <w:rPr>
                      <w:color w:val="auto"/>
                    </w:rPr>
                    <w:t>贡献值（dB（A））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4" w:hRule="atLeast"/>
                <w:jc w:val="center"/>
              </w:trPr>
              <w:tc>
                <w:tcPr>
                  <w:tcW w:w="267" w:type="pct"/>
                  <w:vMerge w:val="continue"/>
                  <w:noWrap w:val="0"/>
                  <w:vAlign w:val="center"/>
                </w:tcPr>
                <w:p>
                  <w:pPr>
                    <w:pStyle w:val="118"/>
                    <w:bidi w:val="0"/>
                    <w:rPr>
                      <w:color w:val="auto"/>
                    </w:rPr>
                  </w:pPr>
                </w:p>
              </w:tc>
              <w:tc>
                <w:tcPr>
                  <w:tcW w:w="1134" w:type="pct"/>
                  <w:vMerge w:val="continue"/>
                  <w:noWrap w:val="0"/>
                  <w:vAlign w:val="center"/>
                </w:tcPr>
                <w:p>
                  <w:pPr>
                    <w:pStyle w:val="118"/>
                    <w:bidi w:val="0"/>
                    <w:rPr>
                      <w:color w:val="auto"/>
                    </w:rPr>
                  </w:pPr>
                </w:p>
              </w:tc>
              <w:tc>
                <w:tcPr>
                  <w:tcW w:w="789" w:type="pct"/>
                  <w:vMerge w:val="continue"/>
                  <w:noWrap w:val="0"/>
                  <w:vAlign w:val="center"/>
                </w:tcPr>
                <w:p>
                  <w:pPr>
                    <w:pStyle w:val="118"/>
                    <w:bidi w:val="0"/>
                    <w:rPr>
                      <w:color w:val="auto"/>
                    </w:rPr>
                  </w:pPr>
                </w:p>
              </w:tc>
              <w:tc>
                <w:tcPr>
                  <w:tcW w:w="702" w:type="pct"/>
                  <w:noWrap w:val="0"/>
                  <w:vAlign w:val="center"/>
                </w:tcPr>
                <w:p>
                  <w:pPr>
                    <w:pStyle w:val="118"/>
                    <w:bidi w:val="0"/>
                    <w:rPr>
                      <w:color w:val="auto"/>
                    </w:rPr>
                  </w:pPr>
                  <w:r>
                    <w:rPr>
                      <w:color w:val="auto"/>
                    </w:rPr>
                    <w:t>东厂界</w:t>
                  </w:r>
                </w:p>
              </w:tc>
              <w:tc>
                <w:tcPr>
                  <w:tcW w:w="702" w:type="pct"/>
                  <w:noWrap w:val="0"/>
                  <w:vAlign w:val="center"/>
                </w:tcPr>
                <w:p>
                  <w:pPr>
                    <w:pStyle w:val="118"/>
                    <w:bidi w:val="0"/>
                    <w:rPr>
                      <w:color w:val="auto"/>
                    </w:rPr>
                  </w:pPr>
                  <w:r>
                    <w:rPr>
                      <w:color w:val="auto"/>
                    </w:rPr>
                    <w:t>南厂界</w:t>
                  </w:r>
                </w:p>
              </w:tc>
              <w:tc>
                <w:tcPr>
                  <w:tcW w:w="702" w:type="pct"/>
                  <w:noWrap w:val="0"/>
                  <w:vAlign w:val="center"/>
                </w:tcPr>
                <w:p>
                  <w:pPr>
                    <w:pStyle w:val="118"/>
                    <w:bidi w:val="0"/>
                    <w:rPr>
                      <w:color w:val="auto"/>
                    </w:rPr>
                  </w:pPr>
                  <w:r>
                    <w:rPr>
                      <w:color w:val="auto"/>
                    </w:rPr>
                    <w:t>西厂界</w:t>
                  </w:r>
                </w:p>
              </w:tc>
              <w:tc>
                <w:tcPr>
                  <w:tcW w:w="702" w:type="pct"/>
                  <w:noWrap w:val="0"/>
                  <w:vAlign w:val="center"/>
                </w:tcPr>
                <w:p>
                  <w:pPr>
                    <w:pStyle w:val="118"/>
                    <w:bidi w:val="0"/>
                    <w:rPr>
                      <w:color w:val="auto"/>
                    </w:rPr>
                  </w:pPr>
                  <w:r>
                    <w:rPr>
                      <w:color w:val="auto"/>
                    </w:rPr>
                    <w:t>北厂界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2" w:hRule="atLeast"/>
                <w:jc w:val="center"/>
              </w:trPr>
              <w:tc>
                <w:tcPr>
                  <w:tcW w:w="267" w:type="pct"/>
                  <w:noWrap w:val="0"/>
                  <w:vAlign w:val="center"/>
                </w:tcPr>
                <w:p>
                  <w:pPr>
                    <w:pStyle w:val="118"/>
                    <w:bidi w:val="0"/>
                    <w:rPr>
                      <w:rFonts w:hint="eastAsia"/>
                      <w:color w:val="auto"/>
                    </w:rPr>
                  </w:pPr>
                  <w:r>
                    <w:rPr>
                      <w:rFonts w:hint="eastAsia"/>
                      <w:color w:val="auto"/>
                    </w:rPr>
                    <w:t>1</w:t>
                  </w:r>
                </w:p>
              </w:tc>
              <w:tc>
                <w:tcPr>
                  <w:tcW w:w="1134" w:type="pct"/>
                  <w:noWrap w:val="0"/>
                  <w:vAlign w:val="top"/>
                </w:tcPr>
                <w:p>
                  <w:pPr>
                    <w:pStyle w:val="118"/>
                    <w:bidi w:val="0"/>
                    <w:rPr>
                      <w:rFonts w:hint="eastAsia"/>
                      <w:color w:val="auto"/>
                    </w:rPr>
                  </w:pPr>
                  <w:r>
                    <w:rPr>
                      <w:color w:val="auto"/>
                    </w:rPr>
                    <w:t>空调外机</w:t>
                  </w:r>
                </w:p>
              </w:tc>
              <w:tc>
                <w:tcPr>
                  <w:tcW w:w="789" w:type="pct"/>
                  <w:noWrap w:val="0"/>
                  <w:vAlign w:val="center"/>
                </w:tcPr>
                <w:p>
                  <w:pPr>
                    <w:pStyle w:val="118"/>
                    <w:bidi w:val="0"/>
                    <w:rPr>
                      <w:rFonts w:hint="default"/>
                      <w:color w:val="auto"/>
                      <w:lang w:val="en-US" w:eastAsia="zh-CN"/>
                    </w:rPr>
                  </w:pPr>
                  <w:r>
                    <w:rPr>
                      <w:rFonts w:hint="eastAsia"/>
                      <w:color w:val="auto"/>
                      <w:lang w:val="en-US" w:eastAsia="zh-CN"/>
                    </w:rPr>
                    <w:t>55</w:t>
                  </w:r>
                </w:p>
              </w:tc>
              <w:tc>
                <w:tcPr>
                  <w:tcW w:w="702" w:type="pct"/>
                  <w:noWrap w:val="0"/>
                  <w:vAlign w:val="top"/>
                </w:tcPr>
                <w:p>
                  <w:pPr>
                    <w:pStyle w:val="118"/>
                    <w:bidi w:val="0"/>
                    <w:rPr>
                      <w:rFonts w:hint="default"/>
                      <w:color w:val="auto"/>
                      <w:lang w:val="en-US" w:eastAsia="zh-CN"/>
                    </w:rPr>
                  </w:pPr>
                  <w:r>
                    <w:rPr>
                      <w:rFonts w:hint="eastAsia"/>
                      <w:color w:val="auto"/>
                      <w:lang w:val="en-US" w:eastAsia="zh-CN"/>
                    </w:rPr>
                    <w:t>47</w:t>
                  </w:r>
                </w:p>
              </w:tc>
              <w:tc>
                <w:tcPr>
                  <w:tcW w:w="702" w:type="pct"/>
                  <w:noWrap w:val="0"/>
                  <w:vAlign w:val="top"/>
                </w:tcPr>
                <w:p>
                  <w:pPr>
                    <w:pStyle w:val="118"/>
                    <w:bidi w:val="0"/>
                    <w:rPr>
                      <w:rFonts w:hint="default"/>
                      <w:color w:val="auto"/>
                      <w:lang w:val="en-US" w:eastAsia="zh-CN"/>
                    </w:rPr>
                  </w:pPr>
                  <w:r>
                    <w:rPr>
                      <w:rFonts w:hint="eastAsia"/>
                      <w:color w:val="auto"/>
                      <w:lang w:val="en-US" w:eastAsia="zh-CN"/>
                    </w:rPr>
                    <w:t>53</w:t>
                  </w:r>
                </w:p>
              </w:tc>
              <w:tc>
                <w:tcPr>
                  <w:tcW w:w="702" w:type="pct"/>
                  <w:noWrap w:val="0"/>
                  <w:vAlign w:val="top"/>
                </w:tcPr>
                <w:p>
                  <w:pPr>
                    <w:pStyle w:val="118"/>
                    <w:bidi w:val="0"/>
                    <w:rPr>
                      <w:rFonts w:hint="default"/>
                      <w:color w:val="auto"/>
                      <w:lang w:val="en-US" w:eastAsia="zh-CN"/>
                    </w:rPr>
                  </w:pPr>
                  <w:r>
                    <w:rPr>
                      <w:rFonts w:hint="eastAsia"/>
                      <w:color w:val="auto"/>
                      <w:lang w:val="en-US" w:eastAsia="zh-CN"/>
                    </w:rPr>
                    <w:t>53</w:t>
                  </w:r>
                </w:p>
              </w:tc>
              <w:tc>
                <w:tcPr>
                  <w:tcW w:w="702" w:type="pct"/>
                  <w:noWrap w:val="0"/>
                  <w:vAlign w:val="top"/>
                </w:tcPr>
                <w:p>
                  <w:pPr>
                    <w:pStyle w:val="118"/>
                    <w:bidi w:val="0"/>
                    <w:rPr>
                      <w:rFonts w:hint="default"/>
                      <w:color w:val="auto"/>
                      <w:lang w:val="en-US" w:eastAsia="zh-CN"/>
                    </w:rPr>
                  </w:pPr>
                  <w:r>
                    <w:rPr>
                      <w:rFonts w:hint="eastAsia"/>
                      <w:color w:val="auto"/>
                      <w:lang w:val="en-US" w:eastAsia="zh-CN"/>
                    </w:rPr>
                    <w:t>27.9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7" w:hRule="atLeast"/>
                <w:jc w:val="center"/>
              </w:trPr>
              <w:tc>
                <w:tcPr>
                  <w:tcW w:w="267" w:type="pct"/>
                  <w:noWrap w:val="0"/>
                  <w:vAlign w:val="center"/>
                </w:tcPr>
                <w:p>
                  <w:pPr>
                    <w:pStyle w:val="118"/>
                    <w:bidi w:val="0"/>
                    <w:rPr>
                      <w:rFonts w:hint="eastAsia" w:eastAsia="宋体"/>
                      <w:color w:val="auto"/>
                      <w:lang w:eastAsia="zh-CN"/>
                    </w:rPr>
                  </w:pPr>
                  <w:r>
                    <w:rPr>
                      <w:rFonts w:hint="eastAsia"/>
                      <w:color w:val="auto"/>
                      <w:lang w:val="en-US" w:eastAsia="zh-CN"/>
                    </w:rPr>
                    <w:t>2</w:t>
                  </w:r>
                </w:p>
              </w:tc>
              <w:tc>
                <w:tcPr>
                  <w:tcW w:w="1134" w:type="pct"/>
                  <w:noWrap w:val="0"/>
                  <w:vAlign w:val="top"/>
                </w:tcPr>
                <w:p>
                  <w:pPr>
                    <w:pStyle w:val="118"/>
                    <w:bidi w:val="0"/>
                    <w:rPr>
                      <w:rFonts w:hint="eastAsia"/>
                      <w:color w:val="auto"/>
                    </w:rPr>
                  </w:pPr>
                  <w:r>
                    <w:rPr>
                      <w:color w:val="auto"/>
                    </w:rPr>
                    <w:t>宠物叫声</w:t>
                  </w:r>
                </w:p>
              </w:tc>
              <w:tc>
                <w:tcPr>
                  <w:tcW w:w="789" w:type="pct"/>
                  <w:noWrap w:val="0"/>
                  <w:vAlign w:val="center"/>
                </w:tcPr>
                <w:p>
                  <w:pPr>
                    <w:pStyle w:val="118"/>
                    <w:bidi w:val="0"/>
                    <w:rPr>
                      <w:rFonts w:hint="default"/>
                      <w:color w:val="auto"/>
                      <w:lang w:val="en-US" w:eastAsia="zh-CN"/>
                    </w:rPr>
                  </w:pPr>
                  <w:r>
                    <w:rPr>
                      <w:rFonts w:hint="eastAsia"/>
                      <w:color w:val="auto"/>
                      <w:lang w:val="en-US" w:eastAsia="zh-CN"/>
                    </w:rPr>
                    <w:t>60</w:t>
                  </w:r>
                </w:p>
              </w:tc>
              <w:tc>
                <w:tcPr>
                  <w:tcW w:w="702" w:type="pct"/>
                  <w:noWrap w:val="0"/>
                  <w:vAlign w:val="top"/>
                </w:tcPr>
                <w:p>
                  <w:pPr>
                    <w:pStyle w:val="118"/>
                    <w:bidi w:val="0"/>
                    <w:rPr>
                      <w:rFonts w:hint="default"/>
                      <w:color w:val="auto"/>
                      <w:lang w:val="en-US" w:eastAsia="zh-CN"/>
                    </w:rPr>
                  </w:pPr>
                  <w:r>
                    <w:rPr>
                      <w:rFonts w:hint="eastAsia"/>
                      <w:color w:val="auto"/>
                      <w:lang w:val="en-US" w:eastAsia="zh-CN"/>
                    </w:rPr>
                    <w:t>45.97</w:t>
                  </w:r>
                </w:p>
              </w:tc>
              <w:tc>
                <w:tcPr>
                  <w:tcW w:w="702" w:type="pct"/>
                  <w:noWrap w:val="0"/>
                  <w:vAlign w:val="top"/>
                </w:tcPr>
                <w:p>
                  <w:pPr>
                    <w:pStyle w:val="118"/>
                    <w:bidi w:val="0"/>
                    <w:rPr>
                      <w:rFonts w:hint="default"/>
                      <w:color w:val="auto"/>
                      <w:lang w:val="en-US" w:eastAsia="zh-CN"/>
                    </w:rPr>
                  </w:pPr>
                  <w:r>
                    <w:rPr>
                      <w:rFonts w:hint="eastAsia"/>
                      <w:color w:val="auto"/>
                      <w:lang w:val="en-US" w:eastAsia="zh-CN"/>
                    </w:rPr>
                    <w:t>52</w:t>
                  </w:r>
                </w:p>
              </w:tc>
              <w:tc>
                <w:tcPr>
                  <w:tcW w:w="702" w:type="pct"/>
                  <w:noWrap w:val="0"/>
                  <w:vAlign w:val="top"/>
                </w:tcPr>
                <w:p>
                  <w:pPr>
                    <w:pStyle w:val="118"/>
                    <w:bidi w:val="0"/>
                    <w:rPr>
                      <w:rFonts w:hint="default"/>
                      <w:color w:val="auto"/>
                      <w:lang w:val="en-US" w:eastAsia="zh-CN"/>
                    </w:rPr>
                  </w:pPr>
                  <w:r>
                    <w:rPr>
                      <w:rFonts w:hint="eastAsia"/>
                      <w:color w:val="auto"/>
                      <w:lang w:val="en-US" w:eastAsia="zh-CN"/>
                    </w:rPr>
                    <w:t>45.97</w:t>
                  </w:r>
                </w:p>
              </w:tc>
              <w:tc>
                <w:tcPr>
                  <w:tcW w:w="702" w:type="pct"/>
                  <w:noWrap w:val="0"/>
                  <w:vAlign w:val="top"/>
                </w:tcPr>
                <w:p>
                  <w:pPr>
                    <w:pStyle w:val="118"/>
                    <w:bidi w:val="0"/>
                    <w:rPr>
                      <w:rFonts w:hint="default"/>
                      <w:color w:val="auto"/>
                      <w:lang w:val="en-US" w:eastAsia="zh-CN"/>
                    </w:rPr>
                  </w:pPr>
                  <w:r>
                    <w:rPr>
                      <w:rFonts w:hint="eastAsia"/>
                      <w:color w:val="auto"/>
                      <w:lang w:val="en-US" w:eastAsia="zh-CN"/>
                    </w:rPr>
                    <w:t>32.91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jc w:val="center"/>
              </w:trPr>
              <w:tc>
                <w:tcPr>
                  <w:tcW w:w="2190" w:type="pct"/>
                  <w:gridSpan w:val="3"/>
                  <w:noWrap w:val="0"/>
                  <w:vAlign w:val="center"/>
                </w:tcPr>
                <w:p>
                  <w:pPr>
                    <w:pStyle w:val="118"/>
                    <w:bidi w:val="0"/>
                    <w:rPr>
                      <w:color w:val="auto"/>
                    </w:rPr>
                  </w:pPr>
                  <w:r>
                    <w:rPr>
                      <w:color w:val="auto"/>
                    </w:rPr>
                    <w:t>厂界噪声贡献值</w:t>
                  </w:r>
                </w:p>
              </w:tc>
              <w:tc>
                <w:tcPr>
                  <w:tcW w:w="702" w:type="pct"/>
                  <w:noWrap w:val="0"/>
                  <w:vAlign w:val="top"/>
                </w:tcPr>
                <w:p>
                  <w:pPr>
                    <w:pStyle w:val="118"/>
                    <w:bidi w:val="0"/>
                    <w:rPr>
                      <w:rFonts w:hint="default"/>
                      <w:color w:val="auto"/>
                      <w:lang w:val="en-US" w:eastAsia="zh-CN"/>
                    </w:rPr>
                  </w:pPr>
                  <w:r>
                    <w:rPr>
                      <w:rFonts w:hint="eastAsia"/>
                      <w:color w:val="auto"/>
                      <w:lang w:val="en-US" w:eastAsia="zh-CN"/>
                    </w:rPr>
                    <w:t>49.52</w:t>
                  </w:r>
                </w:p>
              </w:tc>
              <w:tc>
                <w:tcPr>
                  <w:tcW w:w="702" w:type="pct"/>
                  <w:noWrap w:val="0"/>
                  <w:vAlign w:val="top"/>
                </w:tcPr>
                <w:p>
                  <w:pPr>
                    <w:pStyle w:val="118"/>
                    <w:bidi w:val="0"/>
                    <w:rPr>
                      <w:rFonts w:hint="default"/>
                      <w:color w:val="auto"/>
                      <w:lang w:val="en-US" w:eastAsia="zh-CN"/>
                    </w:rPr>
                  </w:pPr>
                  <w:r>
                    <w:rPr>
                      <w:rFonts w:hint="eastAsia"/>
                      <w:color w:val="auto"/>
                      <w:lang w:val="en-US" w:eastAsia="zh-CN"/>
                    </w:rPr>
                    <w:t>55.55</w:t>
                  </w:r>
                </w:p>
              </w:tc>
              <w:tc>
                <w:tcPr>
                  <w:tcW w:w="702" w:type="pct"/>
                  <w:noWrap w:val="0"/>
                  <w:vAlign w:val="top"/>
                </w:tcPr>
                <w:p>
                  <w:pPr>
                    <w:pStyle w:val="118"/>
                    <w:bidi w:val="0"/>
                    <w:rPr>
                      <w:rFonts w:hint="default"/>
                      <w:color w:val="auto"/>
                      <w:lang w:val="en-US" w:eastAsia="zh-CN"/>
                    </w:rPr>
                  </w:pPr>
                  <w:r>
                    <w:rPr>
                      <w:rFonts w:hint="eastAsia"/>
                      <w:color w:val="auto"/>
                      <w:lang w:val="en-US" w:eastAsia="zh-CN"/>
                    </w:rPr>
                    <w:t>53.8</w:t>
                  </w:r>
                </w:p>
              </w:tc>
              <w:tc>
                <w:tcPr>
                  <w:tcW w:w="702" w:type="pct"/>
                  <w:noWrap w:val="0"/>
                  <w:vAlign w:val="top"/>
                </w:tcPr>
                <w:p>
                  <w:pPr>
                    <w:pStyle w:val="118"/>
                    <w:bidi w:val="0"/>
                    <w:rPr>
                      <w:rFonts w:hint="default"/>
                      <w:color w:val="auto"/>
                      <w:lang w:val="en-US" w:eastAsia="zh-CN"/>
                    </w:rPr>
                  </w:pPr>
                  <w:r>
                    <w:rPr>
                      <w:rFonts w:hint="eastAsia"/>
                      <w:color w:val="auto"/>
                      <w:lang w:val="en-US" w:eastAsia="zh-CN"/>
                    </w:rPr>
                    <w:t>34.11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401" w:type="pct"/>
                  <w:gridSpan w:val="2"/>
                  <w:vMerge w:val="restart"/>
                  <w:noWrap w:val="0"/>
                  <w:vAlign w:val="center"/>
                </w:tcPr>
                <w:p>
                  <w:pPr>
                    <w:pStyle w:val="118"/>
                    <w:bidi w:val="0"/>
                    <w:rPr>
                      <w:color w:val="auto"/>
                    </w:rPr>
                  </w:pPr>
                  <w:r>
                    <w:rPr>
                      <w:color w:val="auto"/>
                    </w:rPr>
                    <w:t>执行标准</w:t>
                  </w:r>
                  <w:r>
                    <w:rPr>
                      <w:rFonts w:hint="eastAsia"/>
                      <w:color w:val="auto"/>
                    </w:rPr>
                    <w:t>《工业企业厂界环境噪声排放标准》（GB12348-2008）2 类标准</w:t>
                  </w:r>
                </w:p>
              </w:tc>
              <w:tc>
                <w:tcPr>
                  <w:tcW w:w="789" w:type="pct"/>
                  <w:noWrap w:val="0"/>
                  <w:vAlign w:val="center"/>
                </w:tcPr>
                <w:p>
                  <w:pPr>
                    <w:pStyle w:val="118"/>
                    <w:bidi w:val="0"/>
                    <w:rPr>
                      <w:color w:val="auto"/>
                    </w:rPr>
                  </w:pPr>
                  <w:r>
                    <w:rPr>
                      <w:color w:val="auto"/>
                    </w:rPr>
                    <w:t>昼间</w:t>
                  </w:r>
                </w:p>
              </w:tc>
              <w:tc>
                <w:tcPr>
                  <w:tcW w:w="702" w:type="pct"/>
                  <w:noWrap w:val="0"/>
                  <w:vAlign w:val="center"/>
                </w:tcPr>
                <w:p>
                  <w:pPr>
                    <w:pStyle w:val="118"/>
                    <w:bidi w:val="0"/>
                    <w:rPr>
                      <w:color w:val="auto"/>
                    </w:rPr>
                  </w:pPr>
                  <w:r>
                    <w:rPr>
                      <w:color w:val="auto"/>
                    </w:rPr>
                    <w:t>60</w:t>
                  </w:r>
                </w:p>
              </w:tc>
              <w:tc>
                <w:tcPr>
                  <w:tcW w:w="702" w:type="pct"/>
                  <w:noWrap w:val="0"/>
                  <w:vAlign w:val="center"/>
                </w:tcPr>
                <w:p>
                  <w:pPr>
                    <w:pStyle w:val="118"/>
                    <w:bidi w:val="0"/>
                    <w:rPr>
                      <w:color w:val="auto"/>
                    </w:rPr>
                  </w:pPr>
                  <w:r>
                    <w:rPr>
                      <w:color w:val="auto"/>
                    </w:rPr>
                    <w:t>60</w:t>
                  </w:r>
                </w:p>
              </w:tc>
              <w:tc>
                <w:tcPr>
                  <w:tcW w:w="702" w:type="pct"/>
                  <w:noWrap w:val="0"/>
                  <w:vAlign w:val="center"/>
                </w:tcPr>
                <w:p>
                  <w:pPr>
                    <w:pStyle w:val="118"/>
                    <w:bidi w:val="0"/>
                    <w:rPr>
                      <w:color w:val="auto"/>
                    </w:rPr>
                  </w:pPr>
                  <w:r>
                    <w:rPr>
                      <w:rFonts w:hint="eastAsia"/>
                      <w:color w:val="auto"/>
                    </w:rPr>
                    <w:t>60</w:t>
                  </w:r>
                </w:p>
              </w:tc>
              <w:tc>
                <w:tcPr>
                  <w:tcW w:w="702" w:type="pct"/>
                  <w:noWrap w:val="0"/>
                  <w:vAlign w:val="center"/>
                </w:tcPr>
                <w:p>
                  <w:pPr>
                    <w:pStyle w:val="118"/>
                    <w:bidi w:val="0"/>
                    <w:rPr>
                      <w:color w:val="auto"/>
                    </w:rPr>
                  </w:pPr>
                  <w:r>
                    <w:rPr>
                      <w:rFonts w:hint="eastAsia"/>
                      <w:color w:val="auto"/>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9" w:hRule="atLeast"/>
                <w:jc w:val="center"/>
              </w:trPr>
              <w:tc>
                <w:tcPr>
                  <w:tcW w:w="1401" w:type="pct"/>
                  <w:gridSpan w:val="2"/>
                  <w:vMerge w:val="continue"/>
                  <w:noWrap w:val="0"/>
                  <w:vAlign w:val="center"/>
                </w:tcPr>
                <w:p>
                  <w:pPr>
                    <w:pStyle w:val="118"/>
                    <w:bidi w:val="0"/>
                    <w:rPr>
                      <w:color w:val="auto"/>
                    </w:rPr>
                  </w:pPr>
                </w:p>
              </w:tc>
              <w:tc>
                <w:tcPr>
                  <w:tcW w:w="789" w:type="pct"/>
                  <w:noWrap w:val="0"/>
                  <w:vAlign w:val="center"/>
                </w:tcPr>
                <w:p>
                  <w:pPr>
                    <w:pStyle w:val="118"/>
                    <w:bidi w:val="0"/>
                    <w:rPr>
                      <w:color w:val="auto"/>
                    </w:rPr>
                  </w:pPr>
                  <w:r>
                    <w:rPr>
                      <w:color w:val="auto"/>
                    </w:rPr>
                    <w:t>夜间</w:t>
                  </w:r>
                </w:p>
              </w:tc>
              <w:tc>
                <w:tcPr>
                  <w:tcW w:w="702" w:type="pct"/>
                  <w:noWrap w:val="0"/>
                  <w:vAlign w:val="center"/>
                </w:tcPr>
                <w:p>
                  <w:pPr>
                    <w:pStyle w:val="118"/>
                    <w:bidi w:val="0"/>
                    <w:rPr>
                      <w:color w:val="auto"/>
                    </w:rPr>
                  </w:pPr>
                  <w:r>
                    <w:rPr>
                      <w:rFonts w:hint="eastAsia"/>
                      <w:color w:val="auto"/>
                    </w:rPr>
                    <w:t>50</w:t>
                  </w:r>
                </w:p>
              </w:tc>
              <w:tc>
                <w:tcPr>
                  <w:tcW w:w="702" w:type="pct"/>
                  <w:noWrap w:val="0"/>
                  <w:vAlign w:val="center"/>
                </w:tcPr>
                <w:p>
                  <w:pPr>
                    <w:pStyle w:val="118"/>
                    <w:bidi w:val="0"/>
                    <w:rPr>
                      <w:color w:val="auto"/>
                    </w:rPr>
                  </w:pPr>
                  <w:r>
                    <w:rPr>
                      <w:rFonts w:hint="eastAsia"/>
                      <w:color w:val="auto"/>
                    </w:rPr>
                    <w:t>50</w:t>
                  </w:r>
                </w:p>
              </w:tc>
              <w:tc>
                <w:tcPr>
                  <w:tcW w:w="702" w:type="pct"/>
                  <w:noWrap w:val="0"/>
                  <w:vAlign w:val="center"/>
                </w:tcPr>
                <w:p>
                  <w:pPr>
                    <w:pStyle w:val="118"/>
                    <w:bidi w:val="0"/>
                    <w:rPr>
                      <w:color w:val="auto"/>
                    </w:rPr>
                  </w:pPr>
                  <w:r>
                    <w:rPr>
                      <w:rFonts w:hint="eastAsia"/>
                      <w:color w:val="auto"/>
                    </w:rPr>
                    <w:t>50</w:t>
                  </w:r>
                </w:p>
              </w:tc>
              <w:tc>
                <w:tcPr>
                  <w:tcW w:w="702" w:type="pct"/>
                  <w:noWrap w:val="0"/>
                  <w:vAlign w:val="center"/>
                </w:tcPr>
                <w:p>
                  <w:pPr>
                    <w:pStyle w:val="118"/>
                    <w:bidi w:val="0"/>
                    <w:rPr>
                      <w:color w:val="auto"/>
                    </w:rPr>
                  </w:pPr>
                  <w:r>
                    <w:rPr>
                      <w:rFonts w:hint="eastAsia"/>
                      <w:color w:val="auto"/>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9" w:hRule="atLeast"/>
                <w:jc w:val="center"/>
              </w:trPr>
              <w:tc>
                <w:tcPr>
                  <w:tcW w:w="1401" w:type="pct"/>
                  <w:gridSpan w:val="2"/>
                  <w:noWrap w:val="0"/>
                  <w:vAlign w:val="center"/>
                </w:tcPr>
                <w:p>
                  <w:pPr>
                    <w:pStyle w:val="118"/>
                    <w:bidi w:val="0"/>
                    <w:rPr>
                      <w:color w:val="auto"/>
                    </w:rPr>
                  </w:pPr>
                  <w:r>
                    <w:rPr>
                      <w:color w:val="auto"/>
                    </w:rPr>
                    <w:t>达标情况</w:t>
                  </w:r>
                </w:p>
              </w:tc>
              <w:tc>
                <w:tcPr>
                  <w:tcW w:w="789" w:type="pct"/>
                  <w:noWrap w:val="0"/>
                  <w:vAlign w:val="center"/>
                </w:tcPr>
                <w:p>
                  <w:pPr>
                    <w:pStyle w:val="118"/>
                    <w:bidi w:val="0"/>
                    <w:rPr>
                      <w:color w:val="auto"/>
                    </w:rPr>
                  </w:pPr>
                  <w:r>
                    <w:rPr>
                      <w:color w:val="auto"/>
                    </w:rPr>
                    <w:t>昼间</w:t>
                  </w:r>
                </w:p>
              </w:tc>
              <w:tc>
                <w:tcPr>
                  <w:tcW w:w="702" w:type="pct"/>
                  <w:noWrap w:val="0"/>
                  <w:vAlign w:val="center"/>
                </w:tcPr>
                <w:p>
                  <w:pPr>
                    <w:pStyle w:val="118"/>
                    <w:bidi w:val="0"/>
                    <w:rPr>
                      <w:color w:val="auto"/>
                    </w:rPr>
                  </w:pPr>
                  <w:r>
                    <w:rPr>
                      <w:color w:val="auto"/>
                    </w:rPr>
                    <w:t>达标</w:t>
                  </w:r>
                </w:p>
              </w:tc>
              <w:tc>
                <w:tcPr>
                  <w:tcW w:w="702" w:type="pct"/>
                  <w:noWrap w:val="0"/>
                  <w:vAlign w:val="center"/>
                </w:tcPr>
                <w:p>
                  <w:pPr>
                    <w:pStyle w:val="118"/>
                    <w:bidi w:val="0"/>
                    <w:rPr>
                      <w:color w:val="auto"/>
                    </w:rPr>
                  </w:pPr>
                  <w:r>
                    <w:rPr>
                      <w:color w:val="auto"/>
                    </w:rPr>
                    <w:t>达标</w:t>
                  </w:r>
                </w:p>
              </w:tc>
              <w:tc>
                <w:tcPr>
                  <w:tcW w:w="702" w:type="pct"/>
                  <w:noWrap w:val="0"/>
                  <w:vAlign w:val="center"/>
                </w:tcPr>
                <w:p>
                  <w:pPr>
                    <w:pStyle w:val="118"/>
                    <w:bidi w:val="0"/>
                    <w:rPr>
                      <w:color w:val="auto"/>
                    </w:rPr>
                  </w:pPr>
                  <w:r>
                    <w:rPr>
                      <w:color w:val="auto"/>
                    </w:rPr>
                    <w:t>达标</w:t>
                  </w:r>
                </w:p>
              </w:tc>
              <w:tc>
                <w:tcPr>
                  <w:tcW w:w="702" w:type="pct"/>
                  <w:noWrap w:val="0"/>
                  <w:vAlign w:val="center"/>
                </w:tcPr>
                <w:p>
                  <w:pPr>
                    <w:pStyle w:val="118"/>
                    <w:bidi w:val="0"/>
                    <w:rPr>
                      <w:color w:val="auto"/>
                    </w:rPr>
                  </w:pPr>
                  <w:r>
                    <w:rPr>
                      <w:color w:val="auto"/>
                    </w:rPr>
                    <w:t>达标</w:t>
                  </w:r>
                </w:p>
              </w:tc>
            </w:tr>
          </w:tbl>
          <w:p>
            <w:pPr>
              <w:bidi w:val="0"/>
              <w:rPr>
                <w:rFonts w:hint="eastAsia"/>
                <w:color w:val="auto"/>
              </w:rPr>
            </w:pPr>
            <w:r>
              <w:rPr>
                <w:rFonts w:hint="eastAsia"/>
                <w:color w:val="auto"/>
              </w:rPr>
              <w:t>由上表</w:t>
            </w:r>
            <w:r>
              <w:rPr>
                <w:rFonts w:hint="eastAsia"/>
                <w:color w:val="auto"/>
                <w:lang w:eastAsia="zh-CN"/>
              </w:rPr>
              <w:t>预测结果</w:t>
            </w:r>
            <w:r>
              <w:rPr>
                <w:rFonts w:hint="eastAsia"/>
                <w:color w:val="auto"/>
              </w:rPr>
              <w:t>可知，本项目正常运行状态下</w:t>
            </w:r>
            <w:r>
              <w:rPr>
                <w:rFonts w:hint="eastAsia"/>
                <w:color w:val="auto"/>
                <w:lang w:eastAsia="zh-CN"/>
              </w:rPr>
              <w:t>厂界四周噪声贡献值</w:t>
            </w:r>
            <w:r>
              <w:rPr>
                <w:rFonts w:hint="eastAsia"/>
                <w:color w:val="auto"/>
              </w:rPr>
              <w:t>均可满足《工业企业厂界环境噪声排放标准》（GB12348-2008）2 类标准（昼间≤60dB（A），夜间≤50dB（A））要求，不降低区域声环境质量。</w:t>
            </w:r>
          </w:p>
          <w:p>
            <w:pPr>
              <w:pStyle w:val="104"/>
              <w:ind w:firstLine="482"/>
              <w:rPr>
                <w:rFonts w:hint="eastAsia"/>
                <w:b/>
                <w:bCs/>
                <w:color w:val="auto"/>
              </w:rPr>
            </w:pPr>
            <w:r>
              <w:rPr>
                <w:rFonts w:hint="eastAsia"/>
                <w:b/>
                <w:bCs/>
                <w:color w:val="auto"/>
              </w:rPr>
              <w:t>因此，本项目噪声采取的现有治理措施可行，无需整改。</w:t>
            </w:r>
          </w:p>
          <w:p>
            <w:pPr>
              <w:pStyle w:val="6"/>
              <w:ind w:firstLine="482"/>
              <w:rPr>
                <w:rFonts w:hint="eastAsia"/>
                <w:color w:val="auto"/>
              </w:rPr>
            </w:pPr>
            <w:r>
              <w:rPr>
                <w:rFonts w:hint="eastAsia"/>
                <w:color w:val="auto"/>
              </w:rPr>
              <w:t>4、监测要求</w:t>
            </w:r>
          </w:p>
          <w:p>
            <w:pPr>
              <w:ind w:firstLine="480"/>
              <w:rPr>
                <w:rFonts w:hint="eastAsia"/>
                <w:color w:val="auto"/>
              </w:rPr>
            </w:pPr>
            <w:r>
              <w:rPr>
                <w:rFonts w:hint="eastAsia"/>
                <w:color w:val="auto"/>
              </w:rPr>
              <w:t>参考《排污单位自行监测技术指南总则》（HJ819-2017）、《排污许可证申请与核发技术规范总则（HJ942-2018）》，本项目运营期噪声监测计划见下表。</w:t>
            </w:r>
          </w:p>
          <w:p>
            <w:pPr>
              <w:pStyle w:val="102"/>
              <w:rPr>
                <w:color w:val="auto"/>
              </w:rPr>
            </w:pPr>
            <w:r>
              <w:rPr>
                <w:rFonts w:hint="eastAsia"/>
                <w:color w:val="auto"/>
              </w:rPr>
              <w:t>表4 -</w:t>
            </w:r>
            <w:r>
              <w:rPr>
                <w:rFonts w:hint="eastAsia"/>
                <w:color w:val="auto"/>
                <w:lang w:val="en-US" w:eastAsia="zh-CN"/>
              </w:rPr>
              <w:t>6</w:t>
            </w:r>
            <w:r>
              <w:rPr>
                <w:rFonts w:hint="eastAsia"/>
                <w:color w:val="auto"/>
              </w:rPr>
              <w:t xml:space="preserve"> 环境噪声监测点位、监测指标和最低监测频次</w:t>
            </w:r>
          </w:p>
          <w:tbl>
            <w:tblPr>
              <w:tblStyle w:val="38"/>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03"/>
              <w:gridCol w:w="1444"/>
              <w:gridCol w:w="1998"/>
              <w:gridCol w:w="1595"/>
              <w:gridCol w:w="23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9" w:type="pct"/>
                  <w:noWrap w:val="0"/>
                  <w:vAlign w:val="center"/>
                </w:tcPr>
                <w:p>
                  <w:pPr>
                    <w:pStyle w:val="69"/>
                    <w:rPr>
                      <w:rFonts w:hint="eastAsia"/>
                      <w:color w:val="auto"/>
                    </w:rPr>
                  </w:pPr>
                  <w:r>
                    <w:rPr>
                      <w:rFonts w:hint="eastAsia"/>
                      <w:color w:val="auto"/>
                    </w:rPr>
                    <w:t>类别</w:t>
                  </w:r>
                </w:p>
              </w:tc>
              <w:tc>
                <w:tcPr>
                  <w:tcW w:w="880" w:type="pct"/>
                  <w:noWrap w:val="0"/>
                  <w:vAlign w:val="center"/>
                </w:tcPr>
                <w:p>
                  <w:pPr>
                    <w:pStyle w:val="69"/>
                    <w:rPr>
                      <w:color w:val="auto"/>
                    </w:rPr>
                  </w:pPr>
                  <w:r>
                    <w:rPr>
                      <w:color w:val="auto"/>
                    </w:rPr>
                    <w:t>监测点位</w:t>
                  </w:r>
                </w:p>
              </w:tc>
              <w:tc>
                <w:tcPr>
                  <w:tcW w:w="1217" w:type="pct"/>
                  <w:noWrap w:val="0"/>
                  <w:vAlign w:val="center"/>
                </w:tcPr>
                <w:p>
                  <w:pPr>
                    <w:pStyle w:val="69"/>
                    <w:rPr>
                      <w:color w:val="auto"/>
                    </w:rPr>
                  </w:pPr>
                  <w:r>
                    <w:rPr>
                      <w:color w:val="auto"/>
                    </w:rPr>
                    <w:t>监测指标</w:t>
                  </w:r>
                </w:p>
              </w:tc>
              <w:tc>
                <w:tcPr>
                  <w:tcW w:w="972" w:type="pct"/>
                  <w:noWrap w:val="0"/>
                  <w:vAlign w:val="center"/>
                </w:tcPr>
                <w:p>
                  <w:pPr>
                    <w:pStyle w:val="69"/>
                    <w:rPr>
                      <w:color w:val="auto"/>
                    </w:rPr>
                  </w:pPr>
                  <w:r>
                    <w:rPr>
                      <w:color w:val="auto"/>
                    </w:rPr>
                    <w:t>监测频次</w:t>
                  </w:r>
                </w:p>
              </w:tc>
              <w:tc>
                <w:tcPr>
                  <w:tcW w:w="1440" w:type="pct"/>
                  <w:noWrap w:val="0"/>
                  <w:vAlign w:val="center"/>
                </w:tcPr>
                <w:p>
                  <w:pPr>
                    <w:pStyle w:val="69"/>
                    <w:rPr>
                      <w:rFonts w:hint="eastAsia"/>
                      <w:color w:val="auto"/>
                    </w:rPr>
                  </w:pPr>
                  <w:r>
                    <w:rPr>
                      <w:rFonts w:hint="eastAsia"/>
                      <w:color w:val="auto"/>
                    </w:rPr>
                    <w:t>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89" w:type="pct"/>
                  <w:noWrap w:val="0"/>
                  <w:vAlign w:val="center"/>
                </w:tcPr>
                <w:p>
                  <w:pPr>
                    <w:pStyle w:val="69"/>
                    <w:rPr>
                      <w:rFonts w:hint="eastAsia"/>
                      <w:color w:val="auto"/>
                    </w:rPr>
                  </w:pPr>
                  <w:r>
                    <w:rPr>
                      <w:rFonts w:hint="eastAsia"/>
                      <w:color w:val="auto"/>
                    </w:rPr>
                    <w:t>噪声</w:t>
                  </w:r>
                </w:p>
              </w:tc>
              <w:tc>
                <w:tcPr>
                  <w:tcW w:w="880" w:type="pct"/>
                  <w:noWrap w:val="0"/>
                  <w:vAlign w:val="center"/>
                </w:tcPr>
                <w:p>
                  <w:pPr>
                    <w:pStyle w:val="69"/>
                    <w:rPr>
                      <w:color w:val="auto"/>
                    </w:rPr>
                  </w:pPr>
                  <w:r>
                    <w:rPr>
                      <w:rFonts w:hint="eastAsia"/>
                      <w:color w:val="auto"/>
                    </w:rPr>
                    <w:t>厂界</w:t>
                  </w:r>
                  <w:r>
                    <w:rPr>
                      <w:color w:val="auto"/>
                    </w:rPr>
                    <w:t>四周</w:t>
                  </w:r>
                </w:p>
              </w:tc>
              <w:tc>
                <w:tcPr>
                  <w:tcW w:w="1217" w:type="pct"/>
                  <w:noWrap w:val="0"/>
                  <w:vAlign w:val="center"/>
                </w:tcPr>
                <w:p>
                  <w:pPr>
                    <w:pStyle w:val="69"/>
                    <w:rPr>
                      <w:color w:val="auto"/>
                    </w:rPr>
                  </w:pPr>
                  <w:r>
                    <w:rPr>
                      <w:color w:val="auto"/>
                    </w:rPr>
                    <w:t>等效声级</w:t>
                  </w:r>
                </w:p>
              </w:tc>
              <w:tc>
                <w:tcPr>
                  <w:tcW w:w="972" w:type="pct"/>
                  <w:noWrap w:val="0"/>
                  <w:vAlign w:val="center"/>
                </w:tcPr>
                <w:p>
                  <w:pPr>
                    <w:pStyle w:val="69"/>
                    <w:rPr>
                      <w:color w:val="auto"/>
                    </w:rPr>
                  </w:pPr>
                  <w:r>
                    <w:rPr>
                      <w:rFonts w:hint="eastAsia"/>
                      <w:color w:val="auto"/>
                    </w:rPr>
                    <w:t>每年1次</w:t>
                  </w:r>
                </w:p>
              </w:tc>
              <w:tc>
                <w:tcPr>
                  <w:tcW w:w="1440" w:type="pct"/>
                  <w:noWrap w:val="0"/>
                  <w:vAlign w:val="center"/>
                </w:tcPr>
                <w:p>
                  <w:pPr>
                    <w:pStyle w:val="69"/>
                    <w:rPr>
                      <w:color w:val="auto"/>
                    </w:rPr>
                  </w:pPr>
                  <w:r>
                    <w:rPr>
                      <w:rFonts w:hint="eastAsia"/>
                      <w:color w:val="auto"/>
                    </w:rPr>
                    <w:t>《工业企业厂界环境噪声排放标准》中2类</w:t>
                  </w:r>
                </w:p>
              </w:tc>
            </w:tr>
          </w:tbl>
          <w:p>
            <w:pPr>
              <w:pStyle w:val="5"/>
              <w:rPr>
                <w:color w:val="auto"/>
              </w:rPr>
            </w:pPr>
            <w:r>
              <w:rPr>
                <w:color w:val="auto"/>
              </w:rPr>
              <w:t>四、固体废弃物环境影响分析</w:t>
            </w:r>
          </w:p>
          <w:p>
            <w:pPr>
              <w:pStyle w:val="5"/>
              <w:ind w:firstLine="482"/>
              <w:rPr>
                <w:color w:val="auto"/>
              </w:rPr>
            </w:pPr>
            <w:r>
              <w:rPr>
                <w:color w:val="auto"/>
              </w:rPr>
              <w:t>1、固体废物的产生情况</w:t>
            </w:r>
          </w:p>
          <w:p>
            <w:pPr>
              <w:ind w:firstLine="480"/>
              <w:rPr>
                <w:rFonts w:hint="eastAsia"/>
                <w:color w:val="auto"/>
              </w:rPr>
            </w:pPr>
            <w:r>
              <w:rPr>
                <w:rFonts w:hint="eastAsia"/>
                <w:color w:val="auto"/>
              </w:rPr>
              <w:t>本项目营运期所产生的固废主要一般固废和危险固废，一般固废为生活垃圾、宠物毛发、宠物粪便，危险固废为宠物尸体、医疗垃圾、废紫外灯管（HW29）等。一体化医疗废水处理设施主要是对医疗废水进行消毒处理，不产生污泥，满芳庭锦邻小区预处理池的清掏工作由小区负责，不在本项目责任范围内。</w:t>
            </w:r>
          </w:p>
          <w:p>
            <w:pPr>
              <w:ind w:firstLine="482"/>
              <w:rPr>
                <w:rFonts w:hint="eastAsia"/>
                <w:b/>
                <w:bCs/>
                <w:color w:val="auto"/>
              </w:rPr>
            </w:pPr>
            <w:r>
              <w:rPr>
                <w:rFonts w:hint="eastAsia"/>
                <w:b/>
                <w:bCs/>
                <w:color w:val="auto"/>
              </w:rPr>
              <w:t>（1）</w:t>
            </w:r>
            <w:r>
              <w:rPr>
                <w:b/>
                <w:bCs/>
                <w:color w:val="auto"/>
              </w:rPr>
              <w:t>一般固废</w:t>
            </w:r>
            <w:r>
              <w:rPr>
                <w:rFonts w:hint="eastAsia"/>
                <w:b/>
                <w:bCs/>
                <w:color w:val="auto"/>
              </w:rPr>
              <w:t>：</w:t>
            </w:r>
          </w:p>
          <w:p>
            <w:pPr>
              <w:ind w:firstLine="480"/>
              <w:rPr>
                <w:color w:val="auto"/>
              </w:rPr>
            </w:pPr>
            <w:r>
              <w:rPr>
                <w:color w:val="auto"/>
              </w:rPr>
              <w:t>①生活垃圾</w:t>
            </w:r>
          </w:p>
          <w:p>
            <w:pPr>
              <w:ind w:firstLine="480"/>
              <w:rPr>
                <w:rFonts w:hint="eastAsia"/>
                <w:color w:val="auto"/>
              </w:rPr>
            </w:pPr>
            <w:r>
              <w:rPr>
                <w:color w:val="auto"/>
              </w:rPr>
              <w:t>本项目产生的生活垃圾主要为</w:t>
            </w:r>
            <w:r>
              <w:rPr>
                <w:rFonts w:hint="eastAsia"/>
                <w:color w:val="auto"/>
              </w:rPr>
              <w:t>医护人员</w:t>
            </w:r>
            <w:r>
              <w:rPr>
                <w:color w:val="auto"/>
              </w:rPr>
              <w:t>和</w:t>
            </w:r>
            <w:r>
              <w:rPr>
                <w:rFonts w:hint="eastAsia"/>
                <w:color w:val="auto"/>
              </w:rPr>
              <w:t>顾客</w:t>
            </w:r>
            <w:r>
              <w:rPr>
                <w:color w:val="auto"/>
              </w:rPr>
              <w:t>产生，项目</w:t>
            </w:r>
            <w:r>
              <w:rPr>
                <w:rFonts w:hint="eastAsia"/>
                <w:color w:val="auto"/>
              </w:rPr>
              <w:t>医护人员</w:t>
            </w:r>
            <w:r>
              <w:rPr>
                <w:color w:val="auto"/>
              </w:rPr>
              <w:t>生活垃圾产生量按0.5kg/d人计，</w:t>
            </w:r>
            <w:r>
              <w:rPr>
                <w:rFonts w:hint="eastAsia"/>
                <w:color w:val="auto"/>
              </w:rPr>
              <w:t>顾客</w:t>
            </w:r>
            <w:r>
              <w:rPr>
                <w:color w:val="auto"/>
              </w:rPr>
              <w:t>产生生活垃圾按0.1kg</w:t>
            </w:r>
            <w:r>
              <w:rPr>
                <w:rFonts w:hint="eastAsia"/>
                <w:color w:val="auto"/>
              </w:rPr>
              <w:t>/d</w:t>
            </w:r>
            <w:r>
              <w:rPr>
                <w:color w:val="auto"/>
              </w:rPr>
              <w:t>计，</w:t>
            </w:r>
            <w:r>
              <w:rPr>
                <w:rFonts w:hint="eastAsia"/>
                <w:color w:val="auto"/>
              </w:rPr>
              <w:t>一天流量约按10 人，</w:t>
            </w:r>
            <w:r>
              <w:rPr>
                <w:color w:val="auto"/>
              </w:rPr>
              <w:t>则生活垃圾产生量为</w:t>
            </w:r>
            <w:r>
              <w:rPr>
                <w:rFonts w:hint="eastAsia"/>
                <w:color w:val="auto"/>
              </w:rPr>
              <w:t>3.5</w:t>
            </w:r>
            <w:r>
              <w:rPr>
                <w:color w:val="auto"/>
              </w:rPr>
              <w:t>kg/d（</w:t>
            </w:r>
            <w:r>
              <w:rPr>
                <w:rFonts w:hint="eastAsia"/>
                <w:color w:val="auto"/>
              </w:rPr>
              <w:t>1.27</w:t>
            </w:r>
            <w:r>
              <w:rPr>
                <w:color w:val="auto"/>
              </w:rPr>
              <w:t>t/a）</w:t>
            </w:r>
            <w:r>
              <w:rPr>
                <w:rFonts w:hint="eastAsia"/>
                <w:color w:val="auto"/>
              </w:rPr>
              <w:t>。</w:t>
            </w:r>
          </w:p>
          <w:p>
            <w:pPr>
              <w:ind w:firstLine="480"/>
              <w:rPr>
                <w:color w:val="auto"/>
              </w:rPr>
            </w:pPr>
            <w:r>
              <w:rPr>
                <w:color w:val="auto"/>
              </w:rPr>
              <w:t>②宠物毛发</w:t>
            </w:r>
          </w:p>
          <w:p>
            <w:pPr>
              <w:ind w:firstLine="480"/>
              <w:rPr>
                <w:rFonts w:hint="eastAsia"/>
                <w:color w:val="auto"/>
              </w:rPr>
            </w:pPr>
            <w:r>
              <w:rPr>
                <w:color w:val="auto"/>
              </w:rPr>
              <w:t>本项目宠物毛发来源于对宠物在医院内毛发脱落、宠物洗浴及手术过程中的修剪过程，参照同类型宠物诊所，营运中宠物毛发产生量约为0.0</w:t>
            </w:r>
            <w:r>
              <w:rPr>
                <w:rFonts w:hint="eastAsia"/>
                <w:color w:val="auto"/>
              </w:rPr>
              <w:t>4</w:t>
            </w:r>
            <w:r>
              <w:rPr>
                <w:color w:val="auto"/>
              </w:rPr>
              <w:t>t/a</w:t>
            </w:r>
            <w:r>
              <w:rPr>
                <w:rFonts w:hint="eastAsia"/>
                <w:color w:val="auto"/>
              </w:rPr>
              <w:t>。</w:t>
            </w:r>
          </w:p>
          <w:p>
            <w:pPr>
              <w:ind w:firstLine="480"/>
              <w:rPr>
                <w:color w:val="auto"/>
              </w:rPr>
            </w:pPr>
            <w:r>
              <w:rPr>
                <w:color w:val="auto"/>
              </w:rPr>
              <w:t>③宠物粪便</w:t>
            </w:r>
          </w:p>
          <w:p>
            <w:pPr>
              <w:ind w:firstLine="480"/>
              <w:rPr>
                <w:color w:val="auto"/>
              </w:rPr>
            </w:pPr>
            <w:r>
              <w:rPr>
                <w:color w:val="auto"/>
              </w:rPr>
              <w:t>针对宠物在笼子里的排泄物，本项目采用喷洒生石灰的方式对宠物粪便进行消毒灭活，消毒灭活后交由环卫部门收运处置。产生量按照0.05kg/只宠物进行计算，平均每天就诊、住院最大量按照</w:t>
            </w:r>
            <w:r>
              <w:rPr>
                <w:rFonts w:hint="eastAsia"/>
                <w:color w:val="auto"/>
              </w:rPr>
              <w:t>20</w:t>
            </w:r>
            <w:r>
              <w:rPr>
                <w:color w:val="auto"/>
              </w:rPr>
              <w:t>只进行考虑，粪便产生量为</w:t>
            </w:r>
            <w:r>
              <w:rPr>
                <w:rFonts w:hint="eastAsia"/>
                <w:color w:val="auto"/>
              </w:rPr>
              <w:t>0.3</w:t>
            </w:r>
            <w:r>
              <w:rPr>
                <w:color w:val="auto"/>
              </w:rPr>
              <w:t>t/a。</w:t>
            </w:r>
          </w:p>
          <w:p>
            <w:pPr>
              <w:ind w:firstLine="482"/>
              <w:rPr>
                <w:rFonts w:hint="eastAsia"/>
                <w:b/>
                <w:bCs/>
                <w:color w:val="auto"/>
              </w:rPr>
            </w:pPr>
            <w:r>
              <w:rPr>
                <w:rFonts w:hint="eastAsia"/>
                <w:b/>
                <w:bCs/>
                <w:color w:val="auto"/>
              </w:rPr>
              <w:t>（2）</w:t>
            </w:r>
            <w:r>
              <w:rPr>
                <w:b/>
                <w:bCs/>
                <w:color w:val="auto"/>
              </w:rPr>
              <w:t>危险固废</w:t>
            </w:r>
          </w:p>
          <w:p>
            <w:pPr>
              <w:ind w:firstLine="480"/>
              <w:rPr>
                <w:rFonts w:hint="eastAsia"/>
                <w:color w:val="auto"/>
              </w:rPr>
            </w:pPr>
            <w:r>
              <w:rPr>
                <w:color w:val="auto"/>
              </w:rPr>
              <w:t>①</w:t>
            </w:r>
            <w:r>
              <w:rPr>
                <w:rFonts w:hint="eastAsia"/>
                <w:color w:val="auto"/>
              </w:rPr>
              <w:t>宠物尸体</w:t>
            </w:r>
          </w:p>
          <w:p>
            <w:pPr>
              <w:pStyle w:val="101"/>
              <w:ind w:firstLine="480"/>
              <w:rPr>
                <w:rFonts w:hint="eastAsia"/>
                <w:color w:val="auto"/>
              </w:rPr>
            </w:pPr>
            <w:r>
              <w:rPr>
                <w:rFonts w:hint="eastAsia"/>
                <w:color w:val="auto"/>
              </w:rPr>
              <w:t>项目在营运过程中，若遇到动物安乐死或不治身亡+现象，按照《中华人民共和国动物防疫法》规定，宠物尸体不得随意处置，应按照《病死动物无害化处理技术规范》进行无害化处理，除宠物主人自行带走处置的宠物外，留在院内处置的当天交由资质单位处置。类比同类型单位，本项目宠物尸体约0.05t/a。</w:t>
            </w:r>
          </w:p>
          <w:p>
            <w:pPr>
              <w:ind w:firstLine="480"/>
              <w:rPr>
                <w:rFonts w:hint="eastAsia"/>
                <w:color w:val="auto"/>
              </w:rPr>
            </w:pPr>
            <w:r>
              <w:rPr>
                <w:color w:val="auto"/>
              </w:rPr>
              <w:t>②医疗</w:t>
            </w:r>
            <w:r>
              <w:rPr>
                <w:rFonts w:hint="eastAsia"/>
                <w:color w:val="auto"/>
              </w:rPr>
              <w:t>废物</w:t>
            </w:r>
          </w:p>
          <w:p>
            <w:pPr>
              <w:pStyle w:val="101"/>
              <w:ind w:firstLine="480"/>
              <w:rPr>
                <w:color w:val="auto"/>
              </w:rPr>
            </w:pPr>
            <w:r>
              <w:rPr>
                <w:color w:val="auto"/>
              </w:rPr>
              <w:t>本项目产生的医疗废物主要来源于：（1）宠物检验过程中产生的带有血液的试管、棉球等；（2）宠物在治疗和手术过程中产生的病理组织（采用密封袋封存后暂存于</w:t>
            </w:r>
            <w:r>
              <w:rPr>
                <w:rFonts w:hint="eastAsia"/>
                <w:color w:val="auto"/>
              </w:rPr>
              <w:t>专用冰柜和宠物尸体一起</w:t>
            </w:r>
            <w:r>
              <w:rPr>
                <w:color w:val="auto"/>
              </w:rPr>
              <w:t>交由有资质单位进行处置）；（3）宠物输液过程产生的一次性针头，塑料药品瓶等；（4）过期药品；（5）</w:t>
            </w:r>
            <w:r>
              <w:rPr>
                <w:rFonts w:hint="eastAsia"/>
                <w:color w:val="auto"/>
              </w:rPr>
              <w:t xml:space="preserve"> 废试剂盒。医疗垃圾废物类别为“HW01  医疗废物”， 属于危险废物， 暂存  于危废间内（医疗垃圾尽可能做到“日产日清”， 院内暂存时间不得超过2 天， 对医疗 废物需进行消毒处理） ，交由有资质单位进行处置。</w:t>
            </w:r>
          </w:p>
          <w:p>
            <w:pPr>
              <w:pStyle w:val="104"/>
              <w:ind w:firstLine="480"/>
              <w:rPr>
                <w:rFonts w:hint="eastAsia"/>
                <w:color w:val="auto"/>
              </w:rPr>
            </w:pPr>
            <w:r>
              <w:rPr>
                <w:rFonts w:hint="eastAsia"/>
                <w:color w:val="auto"/>
              </w:rPr>
              <w:t>根据建设单位资料提供，本项目满负荷运行时，医疗废物最大产生量为 4kg/d（1.2t/a）。</w:t>
            </w:r>
          </w:p>
          <w:p>
            <w:pPr>
              <w:pStyle w:val="104"/>
              <w:ind w:firstLine="480"/>
              <w:rPr>
                <w:rFonts w:hint="eastAsia"/>
                <w:color w:val="auto"/>
              </w:rPr>
            </w:pPr>
            <w:r>
              <w:rPr>
                <w:rFonts w:hint="eastAsia"/>
                <w:color w:val="auto"/>
              </w:rPr>
              <w:t>③废紫外线灯管</w:t>
            </w:r>
          </w:p>
          <w:p>
            <w:pPr>
              <w:spacing w:before="6" w:line="363" w:lineRule="auto"/>
              <w:ind w:left="105" w:right="11" w:firstLine="480"/>
              <w:rPr>
                <w:color w:val="auto"/>
              </w:rPr>
            </w:pPr>
            <w:r>
              <w:rPr>
                <w:color w:val="auto"/>
              </w:rPr>
              <w:t xml:space="preserve">本项目安装有紫外线灯进行消毒，每年废气的紫外线灯管约 </w:t>
            </w:r>
            <w:r>
              <w:rPr>
                <w:rFonts w:hint="eastAsia"/>
                <w:color w:val="auto"/>
              </w:rPr>
              <w:t>5</w:t>
            </w:r>
            <w:r>
              <w:rPr>
                <w:color w:val="auto"/>
              </w:rPr>
              <w:t>kg 。根据《国家危险废物名录》（2021年版），紫外线灯管属于 HW29含汞废物 非特定行业（900-023-29）项目产生的紫外线灯管严禁随意丢弃，应暂存在医废废暂存间内并交由有资质单位处理。</w:t>
            </w:r>
          </w:p>
          <w:p>
            <w:pPr>
              <w:pStyle w:val="5"/>
              <w:ind w:firstLine="482"/>
              <w:rPr>
                <w:color w:val="auto"/>
              </w:rPr>
            </w:pPr>
            <w:r>
              <w:rPr>
                <w:color w:val="auto"/>
              </w:rPr>
              <w:t>2、现有治理措施</w:t>
            </w:r>
          </w:p>
          <w:p>
            <w:pPr>
              <w:ind w:firstLine="480"/>
              <w:rPr>
                <w:color w:val="auto"/>
              </w:rPr>
            </w:pPr>
            <w:r>
              <w:rPr>
                <w:rFonts w:hint="eastAsia"/>
                <w:color w:val="auto"/>
              </w:rPr>
              <w:t>（1）</w:t>
            </w:r>
            <w:r>
              <w:rPr>
                <w:color w:val="auto"/>
              </w:rPr>
              <w:t>生活垃圾</w:t>
            </w:r>
            <w:r>
              <w:rPr>
                <w:rFonts w:hint="eastAsia"/>
                <w:color w:val="auto"/>
              </w:rPr>
              <w:t>：</w:t>
            </w:r>
            <w:r>
              <w:rPr>
                <w:color w:val="auto"/>
              </w:rPr>
              <w:t>按照</w:t>
            </w:r>
            <w:r>
              <w:rPr>
                <w:rFonts w:hint="eastAsia"/>
                <w:color w:val="auto"/>
              </w:rPr>
              <w:t>相</w:t>
            </w:r>
            <w:r>
              <w:rPr>
                <w:color w:val="auto"/>
              </w:rPr>
              <w:t>关规定进行分类收集，生活垃圾集中收集至垃圾桶后，由环卫部门统一收运处置。</w:t>
            </w:r>
          </w:p>
          <w:p>
            <w:pPr>
              <w:pStyle w:val="101"/>
              <w:ind w:firstLine="480"/>
              <w:rPr>
                <w:rFonts w:hint="eastAsia"/>
                <w:color w:val="auto"/>
              </w:rPr>
            </w:pPr>
            <w:r>
              <w:rPr>
                <w:rFonts w:hint="eastAsia"/>
                <w:color w:val="auto"/>
              </w:rPr>
              <w:t>（2）宠物粪便：项目采用喷洒消毒剂的方式对宠物粪便进行消毒灭活，消毒灭活后交由环卫部门收运处置。</w:t>
            </w:r>
          </w:p>
          <w:p>
            <w:pPr>
              <w:pStyle w:val="101"/>
              <w:ind w:firstLine="480"/>
              <w:rPr>
                <w:rFonts w:hint="eastAsia"/>
                <w:color w:val="auto"/>
              </w:rPr>
            </w:pPr>
            <w:r>
              <w:rPr>
                <w:rFonts w:hint="eastAsia"/>
                <w:color w:val="auto"/>
              </w:rPr>
              <w:t>（3）宠物毛发：经喷洒消毒剂处理后可作为一般固废与生活垃圾一起交由环卫部门处理。</w:t>
            </w:r>
          </w:p>
          <w:p>
            <w:pPr>
              <w:pStyle w:val="104"/>
              <w:ind w:firstLine="480"/>
              <w:rPr>
                <w:rFonts w:hint="eastAsia"/>
                <w:color w:val="auto"/>
              </w:rPr>
            </w:pPr>
            <w:r>
              <w:rPr>
                <w:rFonts w:hint="eastAsia"/>
                <w:color w:val="auto"/>
              </w:rPr>
              <w:t>（4）宠物尸体：除宠物主人自行带走处置的宠物外，留在院内处置的经消毒后采用密封袋封存当天通知并交由资质单位收运处置，不在院内储存。</w:t>
            </w:r>
          </w:p>
          <w:p>
            <w:pPr>
              <w:pStyle w:val="104"/>
              <w:ind w:firstLine="480"/>
              <w:rPr>
                <w:rFonts w:hint="eastAsia"/>
                <w:color w:val="auto"/>
              </w:rPr>
            </w:pPr>
            <w:r>
              <w:rPr>
                <w:rFonts w:hint="eastAsia"/>
                <w:color w:val="auto"/>
              </w:rPr>
              <w:t>（5）医疗废物：项目现状医疗废物交由成都市科农动物无害化处置有限公司，但目前医疗废物未按照《危险废物贮存污染控制标准》（GB18597-2001（2013年修订）中的相关要求进行规范化储存，应进行整改</w:t>
            </w:r>
          </w:p>
          <w:p>
            <w:pPr>
              <w:pStyle w:val="104"/>
              <w:ind w:firstLine="480"/>
              <w:rPr>
                <w:rFonts w:hint="eastAsia"/>
                <w:color w:val="auto"/>
              </w:rPr>
            </w:pPr>
            <w:r>
              <w:rPr>
                <w:rFonts w:hint="eastAsia"/>
                <w:color w:val="auto"/>
              </w:rPr>
              <w:t>（6）废紫外线灯管：根据《国家危险废物名录（2021版）》，废紫外灯管属于“HW29含汞废物中的900-023-29生产、销售及使用过程中产生的废含汞荧光灯管及其他废含汞电光源”，项目现状未对废紫外线灯管进行规范化储存和处置，应进行整改</w:t>
            </w:r>
          </w:p>
          <w:p>
            <w:pPr>
              <w:pStyle w:val="5"/>
              <w:ind w:left="480"/>
              <w:rPr>
                <w:color w:val="auto"/>
              </w:rPr>
            </w:pPr>
            <w:r>
              <w:rPr>
                <w:color w:val="auto"/>
              </w:rPr>
              <w:t>3、整改措施</w:t>
            </w:r>
          </w:p>
          <w:p>
            <w:pPr>
              <w:pStyle w:val="104"/>
              <w:ind w:firstLine="480"/>
              <w:rPr>
                <w:color w:val="auto"/>
              </w:rPr>
            </w:pPr>
            <w:r>
              <w:rPr>
                <w:rFonts w:hint="eastAsia"/>
                <w:color w:val="auto"/>
              </w:rPr>
              <w:t>由于本项目为未批先建，根据对项目现场勘查，项目对危险废物未采用合理妥当的贮存措施，因此，</w:t>
            </w:r>
            <w:r>
              <w:rPr>
                <w:rFonts w:hint="eastAsia"/>
                <w:b/>
                <w:bCs/>
                <w:color w:val="auto"/>
              </w:rPr>
              <w:t>本环评要求项目进行整改，严格按照《危险废物贮存污染控制标准》（GB18597-2001，2013年修改）的设计要求设置医废暂存间</w:t>
            </w:r>
            <w:r>
              <w:rPr>
                <w:rFonts w:hint="eastAsia"/>
                <w:color w:val="auto"/>
              </w:rPr>
              <w:t>，并将运营期产生的危险废物（医疗废物和废紫外线灯管）暂存于医废暂存间，明确危险废物处置单位，并签订相关危废处置协议，定期将危险废物交由资质单位处置。</w:t>
            </w:r>
          </w:p>
          <w:p>
            <w:pPr>
              <w:ind w:firstLine="482"/>
              <w:rPr>
                <w:rFonts w:hint="eastAsia"/>
                <w:b/>
                <w:bCs/>
                <w:color w:val="auto"/>
              </w:rPr>
            </w:pPr>
            <w:r>
              <w:rPr>
                <w:rFonts w:hint="eastAsia"/>
                <w:b/>
                <w:bCs/>
                <w:color w:val="auto"/>
              </w:rPr>
              <w:t>环评要求建设单位按照相关规定要求做到以下几点：</w:t>
            </w:r>
          </w:p>
          <w:p>
            <w:pPr>
              <w:ind w:firstLine="482"/>
              <w:rPr>
                <w:rFonts w:hint="eastAsia"/>
                <w:b/>
                <w:bCs/>
                <w:color w:val="auto"/>
              </w:rPr>
            </w:pPr>
            <w:r>
              <w:rPr>
                <w:rFonts w:hint="eastAsia"/>
                <w:b/>
                <w:bCs/>
                <w:color w:val="auto"/>
              </w:rPr>
              <w:t>（1）医疗废物分类收集要求</w:t>
            </w:r>
          </w:p>
          <w:p>
            <w:pPr>
              <w:ind w:firstLine="480"/>
              <w:rPr>
                <w:rFonts w:hint="eastAsia"/>
                <w:color w:val="auto"/>
              </w:rPr>
            </w:pPr>
            <w:r>
              <w:rPr>
                <w:rFonts w:hint="eastAsia"/>
                <w:color w:val="auto"/>
              </w:rPr>
              <w:t>A、根据医疗废物的类别，将医疗废物分类置于符合《医疗废物专用包装物、容器的标准和警示标识的规定》的包装物或者容器内；收集容器应符合规定要求，盛装医疗废物的每个单位、产生日期、类别及需要的特别说明等。</w:t>
            </w:r>
          </w:p>
          <w:p>
            <w:pPr>
              <w:ind w:firstLine="480"/>
              <w:rPr>
                <w:rFonts w:hint="eastAsia"/>
                <w:color w:val="auto"/>
              </w:rPr>
            </w:pPr>
            <w:r>
              <w:rPr>
                <w:rFonts w:hint="eastAsia"/>
                <w:color w:val="auto"/>
              </w:rPr>
              <w:t>B、在盛装医疗废物前，应当对医疗废物包装物或者容器进行认真检查， 确保无破损、渗漏和其它缺陷。</w:t>
            </w:r>
          </w:p>
          <w:p>
            <w:pPr>
              <w:ind w:firstLine="480"/>
              <w:rPr>
                <w:rFonts w:hint="eastAsia"/>
                <w:color w:val="auto"/>
              </w:rPr>
            </w:pPr>
            <w:r>
              <w:rPr>
                <w:rFonts w:hint="eastAsia"/>
                <w:color w:val="auto"/>
              </w:rPr>
              <w:t>C、各类医疗废物不能混合收集。</w:t>
            </w:r>
          </w:p>
          <w:p>
            <w:pPr>
              <w:ind w:firstLine="480"/>
              <w:rPr>
                <w:rFonts w:hint="eastAsia"/>
                <w:color w:val="auto"/>
              </w:rPr>
            </w:pPr>
            <w:r>
              <w:rPr>
                <w:rFonts w:hint="eastAsia"/>
                <w:color w:val="auto"/>
              </w:rPr>
              <w:t>D、在病房、诊疗室等高危区必须采用双层废物袋或可密封处理的聚丙烯塑料桶，针头等锐器不应和其他废物混放，使用后要稳妥安全地放入防漏、 防刺的专用锐器容器中。锐器容器要求有盖，并做好明显的标识，防止转运人员被锐器划伤引起疾病感染。</w:t>
            </w:r>
          </w:p>
          <w:p>
            <w:pPr>
              <w:ind w:firstLine="480"/>
              <w:rPr>
                <w:rFonts w:hint="eastAsia"/>
                <w:color w:val="auto"/>
              </w:rPr>
            </w:pPr>
            <w:r>
              <w:rPr>
                <w:rFonts w:hint="eastAsia"/>
                <w:color w:val="auto"/>
              </w:rPr>
              <w:t>E、应当将医疗废物交由取得县级以上人民政府环境保护行政主管部门许可的医疗废物集中处置单位处置，依照危险废物转移联单制度填写和保存转移联单。</w:t>
            </w:r>
          </w:p>
          <w:p>
            <w:pPr>
              <w:ind w:firstLine="480"/>
              <w:rPr>
                <w:rFonts w:hint="eastAsia"/>
                <w:color w:val="auto"/>
              </w:rPr>
            </w:pPr>
            <w:r>
              <w:rPr>
                <w:rFonts w:hint="eastAsia"/>
                <w:color w:val="auto"/>
              </w:rPr>
              <w:t>F、医疗废物产生地点应当有医疗废物分类收集方法的示意图或者文字说明。</w:t>
            </w:r>
          </w:p>
          <w:p>
            <w:pPr>
              <w:ind w:firstLine="482"/>
              <w:rPr>
                <w:rFonts w:hint="eastAsia"/>
                <w:b/>
                <w:bCs/>
                <w:color w:val="auto"/>
              </w:rPr>
            </w:pPr>
            <w:r>
              <w:rPr>
                <w:rFonts w:hint="eastAsia"/>
                <w:b/>
                <w:bCs/>
                <w:color w:val="auto"/>
              </w:rPr>
              <w:t>（2）医疗废物暂存要求</w:t>
            </w:r>
          </w:p>
          <w:p>
            <w:pPr>
              <w:ind w:firstLine="480"/>
              <w:rPr>
                <w:rFonts w:hint="eastAsia"/>
                <w:color w:val="auto"/>
              </w:rPr>
            </w:pPr>
            <w:r>
              <w:rPr>
                <w:rFonts w:hint="eastAsia"/>
                <w:color w:val="auto"/>
              </w:rPr>
              <w:t>本项目设有专门的医废暂存间。要求医废暂存间严格按照《危险废物储存污染控制标准》相关要求进行建设，做好防风、防雨、防渗，防止二次污染；盛装的医疗废物达到包装物或者容器的3/4时，应当使用有效的封口方式，使包装物或者容器的封口紧实、严密。盛装医疗废物的每个包装物、容器外表面应当有警示标识，在每个包装物、容器上应当系中文标签，中文标签的内容应当包括：医疗废物产生单位、产生日期、类别及需要的特别说明等。暂时贮存病理性废物，应当具备低温贮存或者防腐条件。</w:t>
            </w:r>
          </w:p>
          <w:p>
            <w:pPr>
              <w:ind w:firstLine="480"/>
              <w:rPr>
                <w:rFonts w:hint="eastAsia"/>
                <w:color w:val="auto"/>
              </w:rPr>
            </w:pPr>
            <w:r>
              <w:rPr>
                <w:rFonts w:hint="eastAsia"/>
                <w:color w:val="auto"/>
              </w:rPr>
              <w:t>同时，要求医废暂存间应设置专职管理人员，防止非工作人员接触医疗废物；有防鼠、防蚊蝇、防蟑螂、防盗和预防儿童的安全措施；易于清洁和消毒；设置明显的医疗废物警示标识和“禁止吸烟、饮食”的警示标识。根据《医疗卫生机构医疗废物管理办法》中“医疗废物暂时贮存的时间不得超过2天”的规定要求，要求医疗垃圾尽可能做到“日产日清”的清运方式，对医疗废物需进行消毒处理。</w:t>
            </w:r>
          </w:p>
          <w:p>
            <w:pPr>
              <w:ind w:firstLine="482"/>
              <w:rPr>
                <w:rFonts w:hint="eastAsia"/>
                <w:b/>
                <w:bCs/>
                <w:color w:val="auto"/>
              </w:rPr>
            </w:pPr>
            <w:r>
              <w:rPr>
                <w:rFonts w:hint="eastAsia"/>
                <w:b/>
                <w:bCs/>
                <w:color w:val="auto"/>
              </w:rPr>
              <w:t>（3）医疗废物的交接与运送</w:t>
            </w:r>
          </w:p>
          <w:p>
            <w:pPr>
              <w:ind w:firstLine="480"/>
              <w:rPr>
                <w:rFonts w:hint="eastAsia"/>
                <w:color w:val="auto"/>
              </w:rPr>
            </w:pPr>
            <w:r>
              <w:rPr>
                <w:rFonts w:hint="eastAsia"/>
                <w:color w:val="auto"/>
              </w:rPr>
              <w:t>A、医疗废物运送人员在接收医疗废物时，应外观检查医疗卫生机构是否按规定进行包装、标识，并盛装于周转箱内，不得打开包装袋取出医疗废物。</w:t>
            </w:r>
          </w:p>
          <w:p>
            <w:pPr>
              <w:ind w:firstLine="480"/>
              <w:rPr>
                <w:rFonts w:hint="eastAsia"/>
                <w:color w:val="auto"/>
              </w:rPr>
            </w:pPr>
            <w:r>
              <w:rPr>
                <w:rFonts w:hint="eastAsia"/>
                <w:color w:val="auto"/>
              </w:rPr>
              <w:t>B、对包装破损、包装外表污染或未盛装于周转箱内的医疗废物，医疗废物运送人员应当要求医疗卫生机构重新包装、标识并盛装于周转箱内。拒不按规定对医疗废物进行包装的，运送人员有权拒绝运送，并向当地环保部门报告。</w:t>
            </w:r>
          </w:p>
          <w:p>
            <w:pPr>
              <w:ind w:firstLine="480"/>
              <w:rPr>
                <w:rFonts w:hint="eastAsia"/>
                <w:color w:val="auto"/>
              </w:rPr>
            </w:pPr>
            <w:r>
              <w:rPr>
                <w:rFonts w:hint="eastAsia"/>
                <w:color w:val="auto"/>
              </w:rPr>
              <w:t>C、运送人员在运送医疗废物时，应当防止造成包装物或容器破损和医疗废物的流失、泄漏和扩散，并防止医疗废物直接接触身体。</w:t>
            </w:r>
          </w:p>
          <w:p>
            <w:pPr>
              <w:ind w:firstLine="480"/>
              <w:rPr>
                <w:rFonts w:hint="eastAsia"/>
                <w:color w:val="auto"/>
              </w:rPr>
            </w:pPr>
            <w:r>
              <w:rPr>
                <w:rFonts w:hint="eastAsia"/>
                <w:color w:val="auto"/>
              </w:rPr>
              <w:t>D、运送医疗废物应当使用防渗漏、防遗撒、无锐利边角、易于装卸和清洁的专用运送工具。</w:t>
            </w:r>
          </w:p>
          <w:p>
            <w:pPr>
              <w:ind w:firstLine="480"/>
              <w:rPr>
                <w:rFonts w:hint="eastAsia"/>
                <w:color w:val="auto"/>
              </w:rPr>
            </w:pPr>
            <w:r>
              <w:rPr>
                <w:rFonts w:hint="eastAsia"/>
                <w:color w:val="auto"/>
              </w:rPr>
              <w:t>E、本项目医疗废物的交接和运输时应填写《医疗废物转运台账》，实施危险废物转移联单管理制度。在医疗废物运送过程中不得丢弃、遗撒医疗废物，不得装载或混装其它货物和动植物。同时，医疗废物转运应当使用符合《医疗废物转运车技术要求》（GB19217）的专用车辆。</w:t>
            </w:r>
          </w:p>
          <w:p>
            <w:pPr>
              <w:ind w:firstLine="480"/>
              <w:rPr>
                <w:rFonts w:hint="eastAsia"/>
                <w:color w:val="auto"/>
              </w:rPr>
            </w:pPr>
            <w:r>
              <w:rPr>
                <w:rFonts w:hint="eastAsia"/>
                <w:color w:val="auto"/>
              </w:rPr>
              <w:t>F、应当对医疗废物进行登记，登记内容应当包括医疗废物的来源、种类、重量或者数量、交接时间、最终去向以及经办人签名等项目。登记资料至少保存3年。</w:t>
            </w:r>
          </w:p>
          <w:p>
            <w:pPr>
              <w:ind w:firstLine="480"/>
              <w:rPr>
                <w:rFonts w:hint="eastAsia"/>
                <w:color w:val="auto"/>
              </w:rPr>
            </w:pPr>
            <w:r>
              <w:rPr>
                <w:rFonts w:hint="eastAsia"/>
                <w:color w:val="auto"/>
              </w:rPr>
              <w:t>G、医疗废物转交出去后，应当对暂时贮存地点、设施及时进行清洁和消毒处理。</w:t>
            </w:r>
          </w:p>
          <w:p>
            <w:pPr>
              <w:ind w:firstLine="482"/>
              <w:rPr>
                <w:rFonts w:hint="eastAsia"/>
                <w:b/>
                <w:bCs/>
                <w:color w:val="auto"/>
              </w:rPr>
            </w:pPr>
            <w:r>
              <w:rPr>
                <w:rFonts w:hint="eastAsia"/>
                <w:b/>
                <w:bCs/>
                <w:color w:val="auto"/>
              </w:rPr>
              <w:t>（4）医疗废物处置要求</w:t>
            </w:r>
          </w:p>
          <w:p>
            <w:pPr>
              <w:ind w:firstLine="480"/>
              <w:rPr>
                <w:rFonts w:hint="eastAsia"/>
                <w:color w:val="auto"/>
              </w:rPr>
            </w:pPr>
            <w:r>
              <w:rPr>
                <w:rFonts w:hint="eastAsia"/>
                <w:color w:val="auto"/>
              </w:rPr>
              <w:t>项目运营过程中产生的动物切除病理组织暂存在专用冰柜内，与其它医疗废物一起交由有资质的单位进行统一处置，并做好医疗废弃物的转运台账。宠物尸体经消毒后采用密封袋封存，当天通知并交由资质单位处置，不在院内储存。禁止委托无资质的单位从事收集、运送、贮存和处置医疗废物；禁止将医疗废物混入其它废物、生活垃圾或向环境排放，或不按环保要求擅自进行处置；禁止任何单位和个人转让、买卖医疗废物；禁止在运送过程中丢弃医疗废物。</w:t>
            </w:r>
          </w:p>
          <w:p>
            <w:pPr>
              <w:ind w:firstLine="480"/>
              <w:rPr>
                <w:rFonts w:hint="eastAsia"/>
                <w:color w:val="auto"/>
              </w:rPr>
            </w:pPr>
            <w:r>
              <w:rPr>
                <w:rFonts w:hint="eastAsia"/>
                <w:color w:val="auto"/>
              </w:rPr>
              <w:t>项目在营运过程中产生固体废物的产生情况及处置方式见下表。</w:t>
            </w:r>
          </w:p>
          <w:p>
            <w:pPr>
              <w:pStyle w:val="102"/>
              <w:ind w:left="422" w:hanging="422"/>
              <w:rPr>
                <w:rFonts w:hint="eastAsia"/>
                <w:color w:val="auto"/>
              </w:rPr>
            </w:pPr>
            <w:r>
              <w:rPr>
                <w:rFonts w:hint="eastAsia"/>
                <w:color w:val="auto"/>
              </w:rPr>
              <w:t>表4-7 运营期固体废物产生情况及处置方式</w:t>
            </w:r>
          </w:p>
          <w:tbl>
            <w:tblPr>
              <w:tblStyle w:val="3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6"/>
              <w:gridCol w:w="1269"/>
              <w:gridCol w:w="1172"/>
              <w:gridCol w:w="1787"/>
              <w:gridCol w:w="31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6" w:type="dxa"/>
                  <w:noWrap w:val="0"/>
                  <w:vAlign w:val="center"/>
                </w:tcPr>
                <w:p>
                  <w:pPr>
                    <w:pStyle w:val="118"/>
                    <w:bidi w:val="0"/>
                    <w:rPr>
                      <w:rFonts w:hint="eastAsia"/>
                      <w:color w:val="auto"/>
                    </w:rPr>
                  </w:pPr>
                  <w:r>
                    <w:rPr>
                      <w:color w:val="auto"/>
                    </w:rPr>
                    <w:t>类别</w:t>
                  </w:r>
                </w:p>
              </w:tc>
              <w:tc>
                <w:tcPr>
                  <w:tcW w:w="1269" w:type="dxa"/>
                  <w:noWrap w:val="0"/>
                  <w:vAlign w:val="center"/>
                </w:tcPr>
                <w:p>
                  <w:pPr>
                    <w:pStyle w:val="118"/>
                    <w:bidi w:val="0"/>
                    <w:rPr>
                      <w:rFonts w:hint="eastAsia"/>
                      <w:color w:val="auto"/>
                    </w:rPr>
                  </w:pPr>
                  <w:r>
                    <w:rPr>
                      <w:color w:val="auto"/>
                    </w:rPr>
                    <w:t>废弃物名称</w:t>
                  </w:r>
                </w:p>
              </w:tc>
              <w:tc>
                <w:tcPr>
                  <w:tcW w:w="1172" w:type="dxa"/>
                  <w:noWrap w:val="0"/>
                  <w:vAlign w:val="center"/>
                </w:tcPr>
                <w:p>
                  <w:pPr>
                    <w:pStyle w:val="118"/>
                    <w:bidi w:val="0"/>
                    <w:rPr>
                      <w:rFonts w:hint="eastAsia"/>
                      <w:color w:val="auto"/>
                    </w:rPr>
                  </w:pPr>
                  <w:r>
                    <w:rPr>
                      <w:color w:val="auto"/>
                    </w:rPr>
                    <w:t>产生量</w:t>
                  </w:r>
                </w:p>
              </w:tc>
              <w:tc>
                <w:tcPr>
                  <w:tcW w:w="1787" w:type="dxa"/>
                  <w:noWrap w:val="0"/>
                  <w:vAlign w:val="center"/>
                </w:tcPr>
                <w:p>
                  <w:pPr>
                    <w:pStyle w:val="118"/>
                    <w:bidi w:val="0"/>
                    <w:rPr>
                      <w:color w:val="auto"/>
                    </w:rPr>
                  </w:pPr>
                  <w:r>
                    <w:rPr>
                      <w:rFonts w:hint="eastAsia"/>
                      <w:color w:val="auto"/>
                      <w:lang w:eastAsia="zh-CN"/>
                    </w:rPr>
                    <w:t>废物类别</w:t>
                  </w:r>
                  <w:r>
                    <w:rPr>
                      <w:rFonts w:hint="eastAsia"/>
                      <w:color w:val="auto"/>
                      <w:lang w:val="en-US" w:eastAsia="zh-CN"/>
                    </w:rPr>
                    <w:t>/</w:t>
                  </w:r>
                  <w:r>
                    <w:rPr>
                      <w:rFonts w:hint="eastAsia"/>
                      <w:color w:val="auto"/>
                      <w:lang w:eastAsia="zh-CN"/>
                    </w:rPr>
                    <w:t>代码</w:t>
                  </w:r>
                </w:p>
              </w:tc>
              <w:tc>
                <w:tcPr>
                  <w:tcW w:w="3123" w:type="dxa"/>
                  <w:noWrap w:val="0"/>
                  <w:vAlign w:val="center"/>
                </w:tcPr>
                <w:p>
                  <w:pPr>
                    <w:pStyle w:val="118"/>
                    <w:bidi w:val="0"/>
                    <w:rPr>
                      <w:rFonts w:hint="eastAsia"/>
                      <w:color w:val="auto"/>
                    </w:rPr>
                  </w:pPr>
                  <w:r>
                    <w:rPr>
                      <w:color w:val="auto"/>
                    </w:rPr>
                    <w:t>处置方式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6" w:type="dxa"/>
                  <w:vMerge w:val="restart"/>
                  <w:noWrap w:val="0"/>
                  <w:vAlign w:val="center"/>
                </w:tcPr>
                <w:p>
                  <w:pPr>
                    <w:pStyle w:val="118"/>
                    <w:bidi w:val="0"/>
                    <w:rPr>
                      <w:rFonts w:hint="eastAsia"/>
                      <w:color w:val="auto"/>
                    </w:rPr>
                  </w:pPr>
                  <w:r>
                    <w:rPr>
                      <w:color w:val="auto"/>
                    </w:rPr>
                    <w:t>一般固废</w:t>
                  </w:r>
                </w:p>
              </w:tc>
              <w:tc>
                <w:tcPr>
                  <w:tcW w:w="1269" w:type="dxa"/>
                  <w:noWrap w:val="0"/>
                  <w:vAlign w:val="center"/>
                </w:tcPr>
                <w:p>
                  <w:pPr>
                    <w:pStyle w:val="118"/>
                    <w:bidi w:val="0"/>
                    <w:rPr>
                      <w:rFonts w:hint="eastAsia"/>
                      <w:color w:val="auto"/>
                    </w:rPr>
                  </w:pPr>
                  <w:r>
                    <w:rPr>
                      <w:color w:val="auto"/>
                    </w:rPr>
                    <w:t>生活垃圾</w:t>
                  </w:r>
                </w:p>
              </w:tc>
              <w:tc>
                <w:tcPr>
                  <w:tcW w:w="1172" w:type="dxa"/>
                  <w:noWrap w:val="0"/>
                  <w:vAlign w:val="center"/>
                </w:tcPr>
                <w:p>
                  <w:pPr>
                    <w:pStyle w:val="118"/>
                    <w:bidi w:val="0"/>
                    <w:rPr>
                      <w:rFonts w:hint="eastAsia"/>
                      <w:color w:val="auto"/>
                    </w:rPr>
                  </w:pPr>
                  <w:r>
                    <w:rPr>
                      <w:rFonts w:hint="eastAsia"/>
                      <w:color w:val="auto"/>
                    </w:rPr>
                    <w:t>1.27</w:t>
                  </w:r>
                  <w:r>
                    <w:rPr>
                      <w:color w:val="auto"/>
                    </w:rPr>
                    <w:t>t/a</w:t>
                  </w:r>
                </w:p>
              </w:tc>
              <w:tc>
                <w:tcPr>
                  <w:tcW w:w="1787" w:type="dxa"/>
                  <w:noWrap w:val="0"/>
                  <w:vAlign w:val="center"/>
                </w:tcPr>
                <w:p>
                  <w:pPr>
                    <w:pStyle w:val="118"/>
                    <w:bidi w:val="0"/>
                    <w:rPr>
                      <w:rFonts w:hint="eastAsia"/>
                      <w:color w:val="auto"/>
                    </w:rPr>
                  </w:pPr>
                  <w:r>
                    <w:rPr>
                      <w:rFonts w:hint="eastAsia"/>
                      <w:color w:val="auto"/>
                      <w:lang w:val="en-US" w:eastAsia="zh-CN"/>
                    </w:rPr>
                    <w:t>900-999-99</w:t>
                  </w:r>
                </w:p>
              </w:tc>
              <w:tc>
                <w:tcPr>
                  <w:tcW w:w="3123" w:type="dxa"/>
                  <w:noWrap w:val="0"/>
                  <w:vAlign w:val="center"/>
                </w:tcPr>
                <w:p>
                  <w:pPr>
                    <w:pStyle w:val="69"/>
                    <w:ind w:firstLine="0" w:firstLineChars="0"/>
                    <w:rPr>
                      <w:rFonts w:hint="eastAsia"/>
                      <w:color w:val="auto"/>
                    </w:rPr>
                  </w:pPr>
                  <w:r>
                    <w:rPr>
                      <w:color w:val="auto"/>
                    </w:rPr>
                    <w:t>由市环卫部门统一收集清运和处理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6" w:type="dxa"/>
                  <w:vMerge w:val="continue"/>
                  <w:noWrap w:val="0"/>
                  <w:vAlign w:val="center"/>
                </w:tcPr>
                <w:p>
                  <w:pPr>
                    <w:pStyle w:val="118"/>
                    <w:bidi w:val="0"/>
                    <w:rPr>
                      <w:rFonts w:hint="eastAsia"/>
                      <w:color w:val="auto"/>
                    </w:rPr>
                  </w:pPr>
                </w:p>
              </w:tc>
              <w:tc>
                <w:tcPr>
                  <w:tcW w:w="1269" w:type="dxa"/>
                  <w:noWrap w:val="0"/>
                  <w:vAlign w:val="center"/>
                </w:tcPr>
                <w:p>
                  <w:pPr>
                    <w:pStyle w:val="118"/>
                    <w:bidi w:val="0"/>
                    <w:rPr>
                      <w:rFonts w:hint="eastAsia"/>
                      <w:color w:val="auto"/>
                    </w:rPr>
                  </w:pPr>
                  <w:r>
                    <w:rPr>
                      <w:color w:val="auto"/>
                    </w:rPr>
                    <w:t>宠物毛发</w:t>
                  </w:r>
                </w:p>
              </w:tc>
              <w:tc>
                <w:tcPr>
                  <w:tcW w:w="1172" w:type="dxa"/>
                  <w:noWrap w:val="0"/>
                  <w:vAlign w:val="center"/>
                </w:tcPr>
                <w:p>
                  <w:pPr>
                    <w:pStyle w:val="118"/>
                    <w:bidi w:val="0"/>
                    <w:rPr>
                      <w:rFonts w:hint="eastAsia"/>
                      <w:color w:val="auto"/>
                    </w:rPr>
                  </w:pPr>
                  <w:r>
                    <w:rPr>
                      <w:color w:val="auto"/>
                    </w:rPr>
                    <w:t>0.0</w:t>
                  </w:r>
                  <w:r>
                    <w:rPr>
                      <w:rFonts w:hint="eastAsia"/>
                      <w:color w:val="auto"/>
                    </w:rPr>
                    <w:t>4</w:t>
                  </w:r>
                  <w:r>
                    <w:rPr>
                      <w:color w:val="auto"/>
                    </w:rPr>
                    <w:t>t/a</w:t>
                  </w:r>
                </w:p>
              </w:tc>
              <w:tc>
                <w:tcPr>
                  <w:tcW w:w="1787" w:type="dxa"/>
                  <w:noWrap w:val="0"/>
                  <w:vAlign w:val="center"/>
                </w:tcPr>
                <w:p>
                  <w:pPr>
                    <w:pStyle w:val="118"/>
                    <w:bidi w:val="0"/>
                    <w:rPr>
                      <w:color w:val="auto"/>
                    </w:rPr>
                  </w:pPr>
                  <w:r>
                    <w:rPr>
                      <w:rFonts w:hint="eastAsia"/>
                      <w:color w:val="auto"/>
                      <w:lang w:val="en-US" w:eastAsia="zh-CN"/>
                    </w:rPr>
                    <w:t>900-999-99</w:t>
                  </w:r>
                </w:p>
              </w:tc>
              <w:tc>
                <w:tcPr>
                  <w:tcW w:w="3123" w:type="dxa"/>
                  <w:noWrap w:val="0"/>
                  <w:vAlign w:val="center"/>
                </w:tcPr>
                <w:p>
                  <w:pPr>
                    <w:pStyle w:val="69"/>
                    <w:ind w:firstLine="0" w:firstLineChars="0"/>
                    <w:rPr>
                      <w:rFonts w:hint="eastAsia"/>
                      <w:color w:val="auto"/>
                    </w:rPr>
                  </w:pPr>
                  <w:r>
                    <w:rPr>
                      <w:color w:val="auto"/>
                    </w:rPr>
                    <w:t>集中收集后由环卫部门统一收运处置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6" w:type="dxa"/>
                  <w:vMerge w:val="continue"/>
                  <w:noWrap w:val="0"/>
                  <w:vAlign w:val="center"/>
                </w:tcPr>
                <w:p>
                  <w:pPr>
                    <w:pStyle w:val="118"/>
                    <w:bidi w:val="0"/>
                    <w:rPr>
                      <w:rFonts w:hint="eastAsia"/>
                      <w:color w:val="auto"/>
                    </w:rPr>
                  </w:pPr>
                </w:p>
              </w:tc>
              <w:tc>
                <w:tcPr>
                  <w:tcW w:w="1269" w:type="dxa"/>
                  <w:noWrap w:val="0"/>
                  <w:vAlign w:val="center"/>
                </w:tcPr>
                <w:p>
                  <w:pPr>
                    <w:pStyle w:val="118"/>
                    <w:bidi w:val="0"/>
                    <w:rPr>
                      <w:rFonts w:hint="eastAsia"/>
                      <w:color w:val="auto"/>
                    </w:rPr>
                  </w:pPr>
                  <w:r>
                    <w:rPr>
                      <w:color w:val="auto"/>
                    </w:rPr>
                    <w:t>宠物粪便</w:t>
                  </w:r>
                </w:p>
              </w:tc>
              <w:tc>
                <w:tcPr>
                  <w:tcW w:w="1172" w:type="dxa"/>
                  <w:noWrap w:val="0"/>
                  <w:vAlign w:val="center"/>
                </w:tcPr>
                <w:p>
                  <w:pPr>
                    <w:pStyle w:val="118"/>
                    <w:bidi w:val="0"/>
                    <w:rPr>
                      <w:rFonts w:hint="eastAsia"/>
                      <w:color w:val="auto"/>
                    </w:rPr>
                  </w:pPr>
                  <w:r>
                    <w:rPr>
                      <w:color w:val="auto"/>
                    </w:rPr>
                    <w:t>0.3t/a</w:t>
                  </w:r>
                </w:p>
              </w:tc>
              <w:tc>
                <w:tcPr>
                  <w:tcW w:w="1787" w:type="dxa"/>
                  <w:noWrap w:val="0"/>
                  <w:vAlign w:val="center"/>
                </w:tcPr>
                <w:p>
                  <w:pPr>
                    <w:pStyle w:val="118"/>
                    <w:bidi w:val="0"/>
                    <w:rPr>
                      <w:color w:val="auto"/>
                    </w:rPr>
                  </w:pPr>
                  <w:r>
                    <w:rPr>
                      <w:rFonts w:hint="eastAsia"/>
                      <w:color w:val="auto"/>
                      <w:lang w:val="en-US" w:eastAsia="zh-CN"/>
                    </w:rPr>
                    <w:t>900-999-99</w:t>
                  </w:r>
                </w:p>
              </w:tc>
              <w:tc>
                <w:tcPr>
                  <w:tcW w:w="3123" w:type="dxa"/>
                  <w:noWrap w:val="0"/>
                  <w:vAlign w:val="center"/>
                </w:tcPr>
                <w:p>
                  <w:pPr>
                    <w:pStyle w:val="69"/>
                    <w:ind w:firstLine="0" w:firstLineChars="0"/>
                    <w:rPr>
                      <w:rFonts w:hint="eastAsia"/>
                      <w:color w:val="auto"/>
                    </w:rPr>
                  </w:pPr>
                  <w:r>
                    <w:rPr>
                      <w:color w:val="auto"/>
                    </w:rPr>
                    <w:t>生石灰灭活后，由环卫部门统一收运处置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6" w:type="dxa"/>
                  <w:vMerge w:val="restart"/>
                  <w:noWrap w:val="0"/>
                  <w:vAlign w:val="center"/>
                </w:tcPr>
                <w:p>
                  <w:pPr>
                    <w:pStyle w:val="118"/>
                    <w:bidi w:val="0"/>
                    <w:rPr>
                      <w:rFonts w:hint="eastAsia"/>
                      <w:color w:val="auto"/>
                    </w:rPr>
                  </w:pPr>
                  <w:r>
                    <w:rPr>
                      <w:color w:val="auto"/>
                    </w:rPr>
                    <w:t>危险废物</w:t>
                  </w:r>
                </w:p>
              </w:tc>
              <w:tc>
                <w:tcPr>
                  <w:tcW w:w="1269" w:type="dxa"/>
                  <w:noWrap w:val="0"/>
                  <w:vAlign w:val="center"/>
                </w:tcPr>
                <w:p>
                  <w:pPr>
                    <w:pStyle w:val="118"/>
                    <w:bidi w:val="0"/>
                    <w:rPr>
                      <w:rFonts w:hint="eastAsia"/>
                      <w:color w:val="auto"/>
                    </w:rPr>
                  </w:pPr>
                  <w:r>
                    <w:rPr>
                      <w:rFonts w:hint="eastAsia"/>
                      <w:color w:val="auto"/>
                    </w:rPr>
                    <w:t>宠物尸体</w:t>
                  </w:r>
                </w:p>
              </w:tc>
              <w:tc>
                <w:tcPr>
                  <w:tcW w:w="1172" w:type="dxa"/>
                  <w:noWrap w:val="0"/>
                  <w:vAlign w:val="center"/>
                </w:tcPr>
                <w:p>
                  <w:pPr>
                    <w:pStyle w:val="118"/>
                    <w:bidi w:val="0"/>
                    <w:rPr>
                      <w:rFonts w:hint="eastAsia"/>
                      <w:color w:val="auto"/>
                    </w:rPr>
                  </w:pPr>
                  <w:r>
                    <w:rPr>
                      <w:color w:val="auto"/>
                    </w:rPr>
                    <w:t>0</w:t>
                  </w:r>
                  <w:r>
                    <w:rPr>
                      <w:rFonts w:hint="eastAsia"/>
                      <w:color w:val="auto"/>
                    </w:rPr>
                    <w:t>.0</w:t>
                  </w:r>
                  <w:r>
                    <w:rPr>
                      <w:color w:val="auto"/>
                    </w:rPr>
                    <w:t>5t/a</w:t>
                  </w:r>
                </w:p>
              </w:tc>
              <w:tc>
                <w:tcPr>
                  <w:tcW w:w="1787" w:type="dxa"/>
                  <w:noWrap w:val="0"/>
                  <w:vAlign w:val="center"/>
                </w:tcPr>
                <w:p>
                  <w:pPr>
                    <w:pStyle w:val="118"/>
                    <w:bidi w:val="0"/>
                    <w:rPr>
                      <w:color w:val="auto"/>
                    </w:rPr>
                  </w:pPr>
                  <w:r>
                    <w:rPr>
                      <w:rFonts w:hint="eastAsia"/>
                      <w:color w:val="auto"/>
                      <w:lang w:val="en-US" w:eastAsia="zh-CN"/>
                    </w:rPr>
                    <w:t>841-003-01</w:t>
                  </w:r>
                </w:p>
              </w:tc>
              <w:tc>
                <w:tcPr>
                  <w:tcW w:w="3123" w:type="dxa"/>
                  <w:noWrap w:val="0"/>
                  <w:vAlign w:val="center"/>
                </w:tcPr>
                <w:p>
                  <w:pPr>
                    <w:pStyle w:val="69"/>
                    <w:ind w:firstLine="0" w:firstLineChars="0"/>
                    <w:rPr>
                      <w:rFonts w:hint="eastAsia"/>
                      <w:color w:val="auto"/>
                    </w:rPr>
                  </w:pPr>
                  <w:r>
                    <w:rPr>
                      <w:color w:val="auto"/>
                    </w:rPr>
                    <w:t>交由资质单位处置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6" w:type="dxa"/>
                  <w:vMerge w:val="continue"/>
                  <w:noWrap w:val="0"/>
                  <w:vAlign w:val="center"/>
                </w:tcPr>
                <w:p>
                  <w:pPr>
                    <w:pStyle w:val="118"/>
                    <w:bidi w:val="0"/>
                    <w:rPr>
                      <w:rFonts w:hint="eastAsia"/>
                      <w:color w:val="auto"/>
                    </w:rPr>
                  </w:pPr>
                </w:p>
              </w:tc>
              <w:tc>
                <w:tcPr>
                  <w:tcW w:w="1269" w:type="dxa"/>
                  <w:noWrap w:val="0"/>
                  <w:vAlign w:val="center"/>
                </w:tcPr>
                <w:p>
                  <w:pPr>
                    <w:pStyle w:val="118"/>
                    <w:bidi w:val="0"/>
                    <w:rPr>
                      <w:rFonts w:hint="eastAsia"/>
                      <w:color w:val="auto"/>
                    </w:rPr>
                  </w:pPr>
                  <w:r>
                    <w:rPr>
                      <w:color w:val="auto"/>
                    </w:rPr>
                    <w:t>医疗</w:t>
                  </w:r>
                  <w:r>
                    <w:rPr>
                      <w:rFonts w:hint="eastAsia"/>
                      <w:color w:val="auto"/>
                    </w:rPr>
                    <w:t>废物</w:t>
                  </w:r>
                </w:p>
              </w:tc>
              <w:tc>
                <w:tcPr>
                  <w:tcW w:w="1172" w:type="dxa"/>
                  <w:noWrap w:val="0"/>
                  <w:vAlign w:val="center"/>
                </w:tcPr>
                <w:p>
                  <w:pPr>
                    <w:pStyle w:val="118"/>
                    <w:bidi w:val="0"/>
                    <w:rPr>
                      <w:rFonts w:hint="eastAsia"/>
                      <w:color w:val="auto"/>
                    </w:rPr>
                  </w:pPr>
                  <w:r>
                    <w:rPr>
                      <w:color w:val="auto"/>
                    </w:rPr>
                    <w:t>1.</w:t>
                  </w:r>
                  <w:r>
                    <w:rPr>
                      <w:rFonts w:hint="eastAsia"/>
                      <w:color w:val="auto"/>
                    </w:rPr>
                    <w:t>2</w:t>
                  </w:r>
                  <w:r>
                    <w:rPr>
                      <w:color w:val="auto"/>
                    </w:rPr>
                    <w:t>t/a</w:t>
                  </w:r>
                </w:p>
              </w:tc>
              <w:tc>
                <w:tcPr>
                  <w:tcW w:w="1787" w:type="dxa"/>
                  <w:noWrap w:val="0"/>
                  <w:vAlign w:val="center"/>
                </w:tcPr>
                <w:p>
                  <w:pPr>
                    <w:pStyle w:val="118"/>
                    <w:bidi w:val="0"/>
                    <w:rPr>
                      <w:color w:val="auto"/>
                    </w:rPr>
                  </w:pPr>
                  <w:r>
                    <w:rPr>
                      <w:rFonts w:hint="eastAsia"/>
                      <w:color w:val="auto"/>
                      <w:lang w:val="en-US" w:eastAsia="zh-CN"/>
                    </w:rPr>
                    <w:t>841-005-01</w:t>
                  </w:r>
                </w:p>
              </w:tc>
              <w:tc>
                <w:tcPr>
                  <w:tcW w:w="3123" w:type="dxa"/>
                  <w:noWrap w:val="0"/>
                  <w:vAlign w:val="center"/>
                </w:tcPr>
                <w:p>
                  <w:pPr>
                    <w:pStyle w:val="69"/>
                    <w:ind w:firstLine="0" w:firstLineChars="0"/>
                    <w:rPr>
                      <w:rFonts w:hint="eastAsia"/>
                      <w:color w:val="auto"/>
                    </w:rPr>
                  </w:pPr>
                  <w:r>
                    <w:rPr>
                      <w:color w:val="auto"/>
                    </w:rPr>
                    <w:t>暂存于</w:t>
                  </w:r>
                  <w:r>
                    <w:rPr>
                      <w:rFonts w:hint="eastAsia"/>
                      <w:color w:val="auto"/>
                    </w:rPr>
                    <w:t>医废间</w:t>
                  </w:r>
                  <w:r>
                    <w:rPr>
                      <w:color w:val="auto"/>
                    </w:rPr>
                    <w:t>，交由有资质单位处置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6" w:type="dxa"/>
                  <w:vMerge w:val="continue"/>
                  <w:noWrap w:val="0"/>
                  <w:vAlign w:val="center"/>
                </w:tcPr>
                <w:p>
                  <w:pPr>
                    <w:pStyle w:val="118"/>
                    <w:bidi w:val="0"/>
                    <w:rPr>
                      <w:rFonts w:hint="eastAsia"/>
                      <w:color w:val="auto"/>
                    </w:rPr>
                  </w:pPr>
                </w:p>
              </w:tc>
              <w:tc>
                <w:tcPr>
                  <w:tcW w:w="1269" w:type="dxa"/>
                  <w:noWrap w:val="0"/>
                  <w:vAlign w:val="center"/>
                </w:tcPr>
                <w:p>
                  <w:pPr>
                    <w:pStyle w:val="118"/>
                    <w:bidi w:val="0"/>
                    <w:rPr>
                      <w:rFonts w:hint="eastAsia"/>
                      <w:color w:val="auto"/>
                    </w:rPr>
                  </w:pPr>
                  <w:r>
                    <w:rPr>
                      <w:rFonts w:hint="eastAsia"/>
                      <w:color w:val="auto"/>
                    </w:rPr>
                    <w:t>废紫外灯管</w:t>
                  </w:r>
                </w:p>
              </w:tc>
              <w:tc>
                <w:tcPr>
                  <w:tcW w:w="1172" w:type="dxa"/>
                  <w:noWrap w:val="0"/>
                  <w:vAlign w:val="center"/>
                </w:tcPr>
                <w:p>
                  <w:pPr>
                    <w:pStyle w:val="118"/>
                    <w:bidi w:val="0"/>
                    <w:rPr>
                      <w:color w:val="auto"/>
                    </w:rPr>
                  </w:pPr>
                  <w:r>
                    <w:rPr>
                      <w:rFonts w:hint="eastAsia"/>
                      <w:color w:val="auto"/>
                    </w:rPr>
                    <w:t>5kg/a</w:t>
                  </w:r>
                </w:p>
              </w:tc>
              <w:tc>
                <w:tcPr>
                  <w:tcW w:w="1787" w:type="dxa"/>
                  <w:noWrap w:val="0"/>
                  <w:vAlign w:val="center"/>
                </w:tcPr>
                <w:p>
                  <w:pPr>
                    <w:pStyle w:val="118"/>
                    <w:bidi w:val="0"/>
                    <w:rPr>
                      <w:rFonts w:hint="eastAsia"/>
                      <w:color w:val="auto"/>
                    </w:rPr>
                  </w:pPr>
                  <w:r>
                    <w:rPr>
                      <w:rFonts w:hint="eastAsia"/>
                      <w:color w:val="auto"/>
                      <w:lang w:val="en-US" w:eastAsia="zh-CN"/>
                    </w:rPr>
                    <w:t>900-023-29</w:t>
                  </w:r>
                </w:p>
              </w:tc>
              <w:tc>
                <w:tcPr>
                  <w:tcW w:w="3123" w:type="dxa"/>
                  <w:noWrap w:val="0"/>
                  <w:vAlign w:val="center"/>
                </w:tcPr>
                <w:p>
                  <w:pPr>
                    <w:pStyle w:val="69"/>
                    <w:ind w:firstLine="0" w:firstLineChars="0"/>
                    <w:rPr>
                      <w:color w:val="auto"/>
                    </w:rPr>
                  </w:pPr>
                  <w:r>
                    <w:rPr>
                      <w:color w:val="auto"/>
                    </w:rPr>
                    <w:t>应暂存在</w:t>
                  </w:r>
                  <w:r>
                    <w:rPr>
                      <w:rFonts w:hint="eastAsia"/>
                      <w:color w:val="auto"/>
                    </w:rPr>
                    <w:t>医废间</w:t>
                  </w:r>
                  <w:r>
                    <w:rPr>
                      <w:color w:val="auto"/>
                    </w:rPr>
                    <w:t>内并交由有资质单位处理</w:t>
                  </w:r>
                </w:p>
              </w:tc>
            </w:tr>
          </w:tbl>
          <w:p>
            <w:pPr>
              <w:pStyle w:val="5"/>
              <w:rPr>
                <w:color w:val="auto"/>
              </w:rPr>
            </w:pPr>
            <w:r>
              <w:rPr>
                <w:color w:val="auto"/>
              </w:rPr>
              <w:t>五、环境风险</w:t>
            </w:r>
          </w:p>
          <w:p>
            <w:pPr>
              <w:ind w:firstLine="480"/>
              <w:rPr>
                <w:color w:val="auto"/>
              </w:rPr>
            </w:pPr>
            <w:r>
              <w:rPr>
                <w:color w:val="auto"/>
              </w:rPr>
              <w:t>按照《建设项目环境风险评价技术导则》（HJ169-2018）的要求，环境风险评价应以突发性事故导致的危险物质环境急性损害防控为目标，对建设项目的环境风险进行分析、预测和评估，提出环境风险预防、控制、减缓措施，明确环境风险监控及应急建议要求，为建设项目环境风险防控提供科学依据。</w:t>
            </w:r>
          </w:p>
          <w:p>
            <w:pPr>
              <w:ind w:firstLine="482"/>
              <w:rPr>
                <w:b/>
                <w:bCs/>
                <w:color w:val="auto"/>
              </w:rPr>
            </w:pPr>
            <w:r>
              <w:rPr>
                <w:rFonts w:hint="eastAsia"/>
                <w:b/>
                <w:bCs/>
                <w:color w:val="auto"/>
              </w:rPr>
              <w:t>1、</w:t>
            </w:r>
            <w:r>
              <w:rPr>
                <w:b/>
                <w:bCs/>
                <w:color w:val="auto"/>
              </w:rPr>
              <w:t>评价依据</w:t>
            </w:r>
          </w:p>
          <w:p>
            <w:pPr>
              <w:ind w:firstLine="480"/>
              <w:rPr>
                <w:rFonts w:hint="eastAsia"/>
                <w:color w:val="auto"/>
              </w:rPr>
            </w:pPr>
            <w:r>
              <w:rPr>
                <w:rFonts w:hint="eastAsia"/>
                <w:color w:val="auto"/>
              </w:rPr>
              <w:t>按照《建设项目环境风险评价技术导则》（HJ169-2018）附录B及《危险化学品重大危险源辨识》（GB1828-2018）中相关要求，本项目主要风险物质为医疗废物。因此，本次评价将医疗废物定为重要危险源。</w:t>
            </w:r>
          </w:p>
          <w:p>
            <w:pPr>
              <w:ind w:firstLine="482"/>
              <w:rPr>
                <w:rFonts w:hint="eastAsia"/>
                <w:b/>
                <w:bCs/>
                <w:color w:val="auto"/>
              </w:rPr>
            </w:pPr>
            <w:r>
              <w:rPr>
                <w:rFonts w:hint="eastAsia"/>
                <w:b/>
                <w:bCs/>
                <w:color w:val="auto"/>
              </w:rPr>
              <w:t>2、环境敏感目标调查</w:t>
            </w:r>
          </w:p>
          <w:p>
            <w:pPr>
              <w:ind w:firstLine="480"/>
              <w:rPr>
                <w:rFonts w:hint="eastAsia"/>
                <w:color w:val="auto"/>
              </w:rPr>
            </w:pPr>
            <w:r>
              <w:rPr>
                <w:rFonts w:hint="eastAsia"/>
                <w:color w:val="auto"/>
              </w:rPr>
              <w:t>项目周围主要环境敏感目标为周边住宅小区以及岷江（项目污水最终受纳水体）。</w:t>
            </w:r>
          </w:p>
          <w:p>
            <w:pPr>
              <w:ind w:firstLine="482"/>
              <w:rPr>
                <w:rFonts w:hint="eastAsia"/>
                <w:b/>
                <w:bCs/>
                <w:color w:val="auto"/>
              </w:rPr>
            </w:pPr>
            <w:r>
              <w:rPr>
                <w:rFonts w:hint="eastAsia"/>
                <w:b/>
                <w:bCs/>
                <w:color w:val="auto"/>
              </w:rPr>
              <w:t>3、风险识别</w:t>
            </w:r>
          </w:p>
          <w:p>
            <w:pPr>
              <w:ind w:firstLine="480"/>
              <w:rPr>
                <w:rFonts w:hint="eastAsia"/>
                <w:color w:val="auto"/>
              </w:rPr>
            </w:pPr>
            <w:r>
              <w:rPr>
                <w:rFonts w:hint="eastAsia"/>
                <w:color w:val="auto"/>
              </w:rPr>
              <w:t>根据《建设项目环境风险评价技术导则》（HJ169-2018）和《环境风险评价实用技术和方法》规定，风险评价首先要确定建设项目所用原辅材料的毒性、易燃易爆性等危险性级别。</w:t>
            </w:r>
          </w:p>
          <w:p>
            <w:pPr>
              <w:ind w:firstLine="480"/>
              <w:rPr>
                <w:rFonts w:hint="eastAsia"/>
                <w:color w:val="auto"/>
              </w:rPr>
            </w:pPr>
            <w:r>
              <w:rPr>
                <w:rFonts w:hint="eastAsia"/>
                <w:color w:val="auto"/>
              </w:rPr>
              <w:t>本项目风险主要包括医疗废物处置设施风险识别和处置过程所涉及的物质风险识别。包括医疗废物的收集、转移、处理处置所涉及系统。</w:t>
            </w:r>
          </w:p>
          <w:p>
            <w:pPr>
              <w:ind w:firstLine="482"/>
              <w:rPr>
                <w:rFonts w:hint="eastAsia"/>
                <w:b/>
                <w:bCs/>
                <w:color w:val="auto"/>
              </w:rPr>
            </w:pPr>
            <w:r>
              <w:rPr>
                <w:rFonts w:hint="eastAsia"/>
                <w:b/>
                <w:bCs/>
                <w:color w:val="auto"/>
              </w:rPr>
              <w:t>4、事故风险分析</w:t>
            </w:r>
          </w:p>
          <w:p>
            <w:pPr>
              <w:ind w:firstLine="480"/>
              <w:rPr>
                <w:rFonts w:hint="eastAsia"/>
                <w:color w:val="auto"/>
              </w:rPr>
            </w:pPr>
            <w:r>
              <w:rPr>
                <w:rFonts w:hint="eastAsia"/>
                <w:color w:val="auto"/>
              </w:rPr>
              <w:t>营运期环境风险主要包括：</w:t>
            </w:r>
          </w:p>
          <w:p>
            <w:pPr>
              <w:ind w:firstLine="480"/>
              <w:rPr>
                <w:rFonts w:hint="eastAsia"/>
                <w:color w:val="auto"/>
              </w:rPr>
            </w:pPr>
            <w:r>
              <w:rPr>
                <w:rFonts w:hint="eastAsia"/>
                <w:color w:val="auto"/>
              </w:rPr>
              <w:t>①污水处理设备出现故障时，外排的医疗废水对外环境的污染。</w:t>
            </w:r>
          </w:p>
          <w:p>
            <w:pPr>
              <w:ind w:firstLine="480"/>
              <w:rPr>
                <w:rFonts w:hint="eastAsia"/>
                <w:color w:val="auto"/>
              </w:rPr>
            </w:pPr>
            <w:r>
              <w:rPr>
                <w:rFonts w:hint="eastAsia"/>
                <w:color w:val="auto"/>
              </w:rPr>
              <w:t>②各类医用化学品存储、使用过程中的环境风险。</w:t>
            </w:r>
          </w:p>
          <w:p>
            <w:pPr>
              <w:ind w:firstLine="480"/>
              <w:rPr>
                <w:rFonts w:hint="eastAsia"/>
                <w:color w:val="auto"/>
              </w:rPr>
            </w:pPr>
            <w:r>
              <w:rPr>
                <w:rFonts w:hint="eastAsia"/>
                <w:color w:val="auto"/>
              </w:rPr>
              <w:t>③医疗废物发生泄漏，本项目产生的医疗废物主要为药物性废物属危险废物，如处置不当，可能对人群健康造成危害。</w:t>
            </w:r>
          </w:p>
          <w:p>
            <w:pPr>
              <w:ind w:firstLine="480"/>
              <w:rPr>
                <w:rFonts w:hint="eastAsia"/>
                <w:color w:val="auto"/>
              </w:rPr>
            </w:pPr>
            <w:r>
              <w:rPr>
                <w:rFonts w:hint="eastAsia"/>
                <w:color w:val="auto"/>
              </w:rPr>
              <w:t>④医院涉及的动物可能发生的传染病/疫情等对周边人群的影响。</w:t>
            </w:r>
          </w:p>
          <w:p>
            <w:pPr>
              <w:ind w:firstLine="480"/>
              <w:rPr>
                <w:rFonts w:hint="eastAsia"/>
                <w:color w:val="auto"/>
              </w:rPr>
            </w:pPr>
            <w:r>
              <w:rPr>
                <w:rFonts w:hint="eastAsia"/>
                <w:color w:val="auto"/>
              </w:rPr>
              <w:t>在上述风险中，考虑到项目各类医用化学品存储、使用量均较小，故评价主要针对废水事故性外排和可能涉及的动物发生的狂犬病等对周边人群的风险影响提出相关风险防范措施，并对危险化学品管理提出相关管理措施。</w:t>
            </w:r>
          </w:p>
          <w:p>
            <w:pPr>
              <w:ind w:firstLine="482"/>
              <w:rPr>
                <w:rFonts w:hint="eastAsia"/>
                <w:b/>
                <w:bCs/>
                <w:color w:val="auto"/>
              </w:rPr>
            </w:pPr>
            <w:r>
              <w:rPr>
                <w:rFonts w:hint="eastAsia"/>
                <w:b/>
                <w:bCs/>
                <w:color w:val="auto"/>
              </w:rPr>
              <w:t>5、应急处理预案</w:t>
            </w:r>
          </w:p>
          <w:p>
            <w:pPr>
              <w:ind w:firstLine="480"/>
              <w:rPr>
                <w:rFonts w:hint="eastAsia"/>
                <w:color w:val="auto"/>
              </w:rPr>
            </w:pPr>
            <w:r>
              <w:rPr>
                <w:rFonts w:hint="eastAsia"/>
                <w:color w:val="auto"/>
              </w:rPr>
              <w:t>（1）污水处理设备的风险防范措施</w:t>
            </w:r>
          </w:p>
          <w:p>
            <w:pPr>
              <w:ind w:firstLine="480"/>
              <w:rPr>
                <w:rFonts w:hint="eastAsia"/>
                <w:color w:val="auto"/>
              </w:rPr>
            </w:pPr>
            <w:r>
              <w:rPr>
                <w:rFonts w:hint="eastAsia"/>
                <w:color w:val="auto"/>
              </w:rPr>
              <w:t>A、建设单位必须防止污水事故性外排。安排专人定期对污水处理设备进行维修，确保其正常运行，严防污水事故性排放。一旦污水处理设备出现故障时，立即通知科室停止用水，减少废水产生量，同时切断消毒设施和污水管网的接口，未处理废水经备用桶（1个，容积为50L）收集后待设备恢复正常运行再由污水处理设备进行处理，防止医疗废水未经消毒处理直接排入市政污水管网。</w:t>
            </w:r>
          </w:p>
          <w:p>
            <w:pPr>
              <w:ind w:firstLine="480"/>
              <w:rPr>
                <w:rFonts w:hint="eastAsia"/>
                <w:color w:val="auto"/>
              </w:rPr>
            </w:pPr>
            <w:r>
              <w:rPr>
                <w:rFonts w:hint="eastAsia"/>
                <w:color w:val="auto"/>
              </w:rPr>
              <w:t>B、加强污水处理设备的日常检查维护，医疗废水处理系统主要配件一旦设备出现故障应立即更换处理。</w:t>
            </w:r>
          </w:p>
          <w:p>
            <w:pPr>
              <w:ind w:firstLine="480"/>
              <w:rPr>
                <w:rFonts w:hint="eastAsia"/>
                <w:color w:val="auto"/>
              </w:rPr>
            </w:pPr>
            <w:r>
              <w:rPr>
                <w:rFonts w:hint="eastAsia"/>
                <w:color w:val="auto"/>
              </w:rPr>
              <w:t>C、要求加强项目污水处理设备的日常管理工作，定期检查污水处理设备内的药剂。</w:t>
            </w:r>
          </w:p>
          <w:p>
            <w:pPr>
              <w:ind w:firstLine="480"/>
              <w:rPr>
                <w:rFonts w:hint="eastAsia"/>
                <w:color w:val="auto"/>
              </w:rPr>
            </w:pPr>
            <w:r>
              <w:rPr>
                <w:rFonts w:hint="eastAsia"/>
                <w:color w:val="auto"/>
              </w:rPr>
              <w:t>D、在污水处理实施恢复使用后，建设单位应将污水处理设备处理池内暂存的未经处理的污水有效处理，再达标外排。</w:t>
            </w:r>
          </w:p>
          <w:p>
            <w:pPr>
              <w:ind w:firstLine="480"/>
              <w:rPr>
                <w:rFonts w:hint="eastAsia"/>
                <w:color w:val="auto"/>
              </w:rPr>
            </w:pPr>
            <w:r>
              <w:rPr>
                <w:rFonts w:hint="eastAsia"/>
                <w:color w:val="auto"/>
              </w:rPr>
              <w:t>（2）化学品管理</w:t>
            </w:r>
          </w:p>
          <w:p>
            <w:pPr>
              <w:ind w:firstLine="480"/>
              <w:rPr>
                <w:rFonts w:hint="eastAsia"/>
                <w:color w:val="auto"/>
              </w:rPr>
            </w:pPr>
            <w:r>
              <w:rPr>
                <w:rFonts w:hint="eastAsia"/>
                <w:color w:val="auto"/>
              </w:rPr>
              <w:t>对于化学品的购买、储存、保管、使用等需要按照《危险化学品安全管理条例》的规定管理，化学品出入库，必须进行核查登记，并定期监测库存。做好化学品的存储及使用的安全防范措施，具体如下：</w:t>
            </w:r>
          </w:p>
          <w:p>
            <w:pPr>
              <w:ind w:firstLine="480"/>
              <w:rPr>
                <w:rFonts w:hint="eastAsia"/>
                <w:color w:val="auto"/>
              </w:rPr>
            </w:pPr>
            <w:r>
              <w:rPr>
                <w:rFonts w:hint="eastAsia"/>
                <w:color w:val="auto"/>
              </w:rPr>
              <w:t>A、化学品必须储存在专用储存柜内，其储存方式、方法与储存量必须符合国家标准，并由专人管理。</w:t>
            </w:r>
          </w:p>
          <w:p>
            <w:pPr>
              <w:ind w:firstLine="480"/>
              <w:rPr>
                <w:rFonts w:hint="eastAsia"/>
                <w:color w:val="auto"/>
              </w:rPr>
            </w:pPr>
            <w:r>
              <w:rPr>
                <w:rFonts w:hint="eastAsia"/>
                <w:color w:val="auto"/>
              </w:rPr>
              <w:t>B、化学品设有专用存储柜，应当符合国家标准对安全、消防的要求，设置明显标志。</w:t>
            </w:r>
          </w:p>
          <w:p>
            <w:pPr>
              <w:ind w:firstLine="480"/>
              <w:rPr>
                <w:rFonts w:hint="eastAsia"/>
                <w:color w:val="auto"/>
              </w:rPr>
            </w:pPr>
            <w:r>
              <w:rPr>
                <w:rFonts w:hint="eastAsia"/>
                <w:color w:val="auto"/>
              </w:rPr>
              <w:t>（3）医疗废物储存风险防范措施</w:t>
            </w:r>
          </w:p>
          <w:p>
            <w:pPr>
              <w:ind w:firstLine="480"/>
              <w:rPr>
                <w:rFonts w:hint="eastAsia"/>
                <w:color w:val="auto"/>
              </w:rPr>
            </w:pPr>
            <w:r>
              <w:rPr>
                <w:rFonts w:hint="eastAsia"/>
                <w:color w:val="auto"/>
              </w:rPr>
              <w:t>A、应当使用防渗漏、房抛洒的专用储存工具，做好医疗废物存储地周围的防渗措施。</w:t>
            </w:r>
          </w:p>
          <w:p>
            <w:pPr>
              <w:ind w:firstLine="480"/>
              <w:rPr>
                <w:rFonts w:hint="eastAsia"/>
                <w:color w:val="auto"/>
              </w:rPr>
            </w:pPr>
            <w:r>
              <w:rPr>
                <w:rFonts w:hint="eastAsia"/>
                <w:color w:val="auto"/>
              </w:rPr>
              <w:t>B、医疗废物储存工具应定期进行消毒和清洁。</w:t>
            </w:r>
          </w:p>
          <w:p>
            <w:pPr>
              <w:ind w:firstLine="480"/>
              <w:rPr>
                <w:rFonts w:hint="eastAsia"/>
                <w:color w:val="auto"/>
              </w:rPr>
            </w:pPr>
            <w:r>
              <w:rPr>
                <w:rFonts w:hint="eastAsia"/>
                <w:color w:val="auto"/>
              </w:rPr>
              <w:t>C、医疗废物应分类收集、贮存，贴上醒目标签，不得与生活垃圾混合堆放；</w:t>
            </w:r>
          </w:p>
          <w:p>
            <w:pPr>
              <w:ind w:firstLine="480"/>
              <w:rPr>
                <w:rFonts w:hint="eastAsia"/>
                <w:color w:val="auto"/>
              </w:rPr>
            </w:pPr>
            <w:r>
              <w:rPr>
                <w:rFonts w:hint="eastAsia"/>
                <w:color w:val="auto"/>
              </w:rPr>
              <w:t>（4）可能发生的传染病/疫情等对周边人群的风险防范措施</w:t>
            </w:r>
          </w:p>
          <w:p>
            <w:pPr>
              <w:ind w:firstLine="480"/>
              <w:rPr>
                <w:rFonts w:hint="eastAsia"/>
                <w:color w:val="auto"/>
              </w:rPr>
            </w:pPr>
            <w:r>
              <w:rPr>
                <w:rFonts w:hint="eastAsia"/>
                <w:color w:val="auto"/>
              </w:rPr>
              <w:t>A、在项目营业过程中，动物病防治服务范围仅针对猫、狗，不准涉及动物传染病，不涉及人畜共生病治疗科废物与生活垃圾混合的现象，应将所有被污染的生活垃圾当做危险废物处理。在检查过程中如发现传染病及人畜共生病，医院要采取隔离措施并立即将患病动物转移至专业的动物传染病防治医院。</w:t>
            </w:r>
          </w:p>
          <w:p>
            <w:pPr>
              <w:ind w:firstLine="480"/>
              <w:rPr>
                <w:rFonts w:hint="eastAsia"/>
                <w:color w:val="auto"/>
              </w:rPr>
            </w:pPr>
            <w:r>
              <w:rPr>
                <w:rFonts w:hint="eastAsia"/>
                <w:color w:val="auto"/>
              </w:rPr>
              <w:t>B、做好医院内部消毒、杀虫、灭鼠工作；严格遵守《中华人民共和国动物防疫法》、《重大动物疫情应急条例》、《动物疫情报告管理办法》 等法律法规，一旦发现宠物传染病或疑似宠物疫情的，及时按规定程序上报，不得接受患传染病或疫情的宠物，并制定相应的环境风险事故应急预案。</w:t>
            </w:r>
          </w:p>
          <w:p>
            <w:pPr>
              <w:ind w:firstLine="480"/>
              <w:rPr>
                <w:rFonts w:hint="eastAsia"/>
                <w:color w:val="auto"/>
              </w:rPr>
            </w:pPr>
            <w:r>
              <w:rPr>
                <w:rFonts w:hint="eastAsia"/>
                <w:color w:val="auto"/>
              </w:rPr>
              <w:t>C、项目在营业过程中，要有针对性地开展消毒和污染物清除工作，对宠物的排泄物要严格消毒处理。</w:t>
            </w:r>
          </w:p>
          <w:p>
            <w:pPr>
              <w:ind w:firstLine="480"/>
              <w:rPr>
                <w:rFonts w:hint="eastAsia"/>
                <w:color w:val="auto"/>
              </w:rPr>
            </w:pPr>
            <w:r>
              <w:rPr>
                <w:rFonts w:hint="eastAsia"/>
                <w:color w:val="auto"/>
              </w:rPr>
              <w:t>D、在营业过程中，加强管理，防止宠物外逃，与人群保持一定的安全距离，严禁出现宠物伤人事件。</w:t>
            </w:r>
          </w:p>
          <w:p>
            <w:pPr>
              <w:ind w:firstLine="480"/>
              <w:rPr>
                <w:rFonts w:hint="eastAsia"/>
                <w:color w:val="auto"/>
              </w:rPr>
            </w:pPr>
            <w:r>
              <w:rPr>
                <w:rFonts w:hint="eastAsia"/>
                <w:color w:val="auto"/>
              </w:rPr>
              <w:t>（5）火灾风险防范措施</w:t>
            </w:r>
          </w:p>
          <w:p>
            <w:pPr>
              <w:ind w:firstLine="480"/>
              <w:rPr>
                <w:rFonts w:hint="eastAsia"/>
                <w:color w:val="auto"/>
              </w:rPr>
            </w:pPr>
            <w:r>
              <w:rPr>
                <w:rFonts w:hint="eastAsia"/>
                <w:color w:val="auto"/>
              </w:rPr>
              <w:t>A、必须保持消防通道畅通，出入口有明显标志，应急照明，消防通道及安全门不能锁闭，疏散路线有明显的引导图例。</w:t>
            </w:r>
          </w:p>
          <w:p>
            <w:pPr>
              <w:ind w:firstLine="480"/>
              <w:rPr>
                <w:rFonts w:hint="eastAsia"/>
                <w:color w:val="auto"/>
              </w:rPr>
            </w:pPr>
            <w:r>
              <w:rPr>
                <w:rFonts w:hint="eastAsia"/>
                <w:color w:val="auto"/>
              </w:rPr>
              <w:t>B、必须配备足够的消防器材，并依托所在商品用房已建消防设施。</w:t>
            </w:r>
          </w:p>
          <w:p>
            <w:pPr>
              <w:ind w:firstLine="480"/>
              <w:rPr>
                <w:rFonts w:hint="eastAsia"/>
                <w:color w:val="auto"/>
              </w:rPr>
            </w:pPr>
            <w:r>
              <w:rPr>
                <w:rFonts w:hint="eastAsia"/>
                <w:color w:val="auto"/>
              </w:rPr>
              <w:t>C、火灾一旦发生，在消防员未赶到前全体医护人员必须保持清醒，听从指挥，根据职责和要求，分头迅速开展火灾抢救、报警、开启应急通道，疏散人流，切断电源工作。</w:t>
            </w:r>
          </w:p>
          <w:p>
            <w:pPr>
              <w:ind w:firstLine="480"/>
              <w:rPr>
                <w:rFonts w:hint="eastAsia"/>
                <w:color w:val="auto"/>
              </w:rPr>
            </w:pPr>
            <w:r>
              <w:rPr>
                <w:rFonts w:hint="eastAsia"/>
                <w:color w:val="auto"/>
              </w:rPr>
              <w:t>D、当火灾发生时，采用适当的方法组织灭火、疏散。所有参加灭火与应急疏散工 作的领导、工作人员应打开通信工具，确保通讯畅通，确保行动协调统一指挥。通过以上措施，能够迅速及时地进行抢救，疏散和保卫工作，把突发事件造成的经济损失和人员伤亡减到最低。</w:t>
            </w:r>
          </w:p>
          <w:p>
            <w:pPr>
              <w:ind w:firstLine="480"/>
              <w:rPr>
                <w:rFonts w:hint="eastAsia"/>
                <w:color w:val="auto"/>
              </w:rPr>
            </w:pPr>
            <w:r>
              <w:rPr>
                <w:rFonts w:hint="eastAsia"/>
                <w:color w:val="auto"/>
              </w:rPr>
              <w:t>（6）其它</w:t>
            </w:r>
          </w:p>
          <w:p>
            <w:pPr>
              <w:ind w:firstLine="480"/>
              <w:rPr>
                <w:rFonts w:hint="eastAsia"/>
                <w:color w:val="auto"/>
              </w:rPr>
            </w:pPr>
            <w:r>
              <w:rPr>
                <w:rFonts w:hint="eastAsia"/>
                <w:color w:val="auto"/>
              </w:rPr>
              <w:t>A、强化工作人员的责任心和安全意识，认真开展安全检查工作，发现隐患及时整改，将事故消灭在萌芽状态。</w:t>
            </w:r>
          </w:p>
          <w:p>
            <w:pPr>
              <w:ind w:firstLine="480"/>
              <w:rPr>
                <w:rFonts w:hint="eastAsia"/>
                <w:color w:val="auto"/>
              </w:rPr>
            </w:pPr>
            <w:r>
              <w:rPr>
                <w:rFonts w:hint="eastAsia"/>
                <w:color w:val="auto"/>
              </w:rPr>
              <w:t>B、制定应急预案，建立健全安全、环境管理体系，一旦发生事故，要做到快速、高效、安全处置。</w:t>
            </w:r>
          </w:p>
          <w:p>
            <w:pPr>
              <w:ind w:firstLine="480"/>
              <w:rPr>
                <w:rFonts w:hint="eastAsia"/>
                <w:color w:val="auto"/>
              </w:rPr>
            </w:pPr>
            <w:r>
              <w:rPr>
                <w:rFonts w:hint="eastAsia"/>
                <w:color w:val="auto"/>
              </w:rPr>
              <w:t>C、各类医用化学品和危险和危险废物按要求分类存放并设置警示标识；危险废物采用专用容器分类盛装。</w:t>
            </w:r>
          </w:p>
          <w:p>
            <w:pPr>
              <w:ind w:firstLine="480"/>
              <w:rPr>
                <w:rFonts w:hint="eastAsia"/>
                <w:color w:val="auto"/>
              </w:rPr>
            </w:pPr>
            <w:r>
              <w:rPr>
                <w:rFonts w:hint="eastAsia"/>
                <w:color w:val="auto"/>
              </w:rPr>
              <w:t>D、医疗废物转运过程中由于盛装容器破损、车辆密封不严或者由于交通事故造成的渗漏和遗撒，可能造成传染性病菌的传播和蔓延。出现这些情况，应立即向卫生、公安等有关部门报告，封锁现场，并采取严密的清理和消毒措施。此外，应加强对转运过程中的操作人员和司乘人员加强防护知识和安全教育，配备必要的防护工具，如防护服和消毒剂等。加强和完善危险废物的收集、暂存、交接等环节的管理，对危险废物的处理应设专人责任负责制，负责人在接管前应全面学习有关危险废物处理的有关法规和操作方法。做好危险废物有关资料的记录。</w:t>
            </w:r>
          </w:p>
          <w:p>
            <w:pPr>
              <w:ind w:firstLine="480"/>
              <w:rPr>
                <w:rFonts w:hint="eastAsia"/>
                <w:color w:val="auto"/>
              </w:rPr>
            </w:pPr>
            <w:r>
              <w:rPr>
                <w:rFonts w:hint="eastAsia"/>
                <w:color w:val="auto"/>
              </w:rPr>
              <w:t>综合上述分析，建设单位应加强管理，建立健全相应的防范应急措施，并在管理及运行中得到认真落实，则可将前述风险事故隐患降至可接受的程度。</w:t>
            </w:r>
          </w:p>
          <w:p>
            <w:pPr>
              <w:pStyle w:val="6"/>
              <w:ind w:firstLine="482"/>
              <w:rPr>
                <w:rFonts w:hint="eastAsia"/>
                <w:color w:val="auto"/>
              </w:rPr>
            </w:pPr>
            <w:r>
              <w:rPr>
                <w:rFonts w:hint="eastAsia"/>
                <w:color w:val="auto"/>
              </w:rPr>
              <w:t>6、环境风险分析结论</w:t>
            </w:r>
          </w:p>
          <w:p>
            <w:pPr>
              <w:pStyle w:val="104"/>
              <w:ind w:firstLine="480"/>
              <w:rPr>
                <w:rFonts w:hint="eastAsia"/>
                <w:color w:val="auto"/>
              </w:rPr>
            </w:pPr>
            <w:r>
              <w:rPr>
                <w:rFonts w:hint="eastAsia"/>
                <w:color w:val="auto"/>
              </w:rPr>
              <w:t>项目涉及医用酒精、二氧化氯等危险化学品，具有一定的危险性。本项目运营过程中涉及的危险物质不构成重大危险源，本环评要求建设单位严格落实环评报告中提出的风险防范措施，配备必要的防范设施，加强对设备的管理和维护，使之保持良好状况，尽早制定环境风险应急预案，认真落实，杜绝事故发生的前提下，该项目环境风险处于可接受水平，制定的风险管理措施和应急预案有效可靠，从环境风险角度分析该项目建设可行。</w:t>
            </w:r>
          </w:p>
          <w:p>
            <w:pPr>
              <w:ind w:firstLine="0" w:firstLineChars="0"/>
              <w:rPr>
                <w:rFonts w:hint="eastAsia"/>
                <w:b/>
                <w:bCs/>
                <w:color w:val="auto"/>
              </w:rPr>
            </w:pPr>
            <w:r>
              <w:rPr>
                <w:rFonts w:hint="eastAsia"/>
                <w:b/>
                <w:bCs/>
                <w:color w:val="auto"/>
              </w:rPr>
              <w:t>八</w:t>
            </w:r>
            <w:r>
              <w:rPr>
                <w:b/>
                <w:bCs/>
                <w:color w:val="auto"/>
              </w:rPr>
              <w:t>、地下水</w:t>
            </w:r>
            <w:r>
              <w:rPr>
                <w:rFonts w:hint="eastAsia"/>
                <w:b/>
                <w:bCs/>
                <w:color w:val="auto"/>
              </w:rPr>
              <w:t>和土壤分析</w:t>
            </w:r>
          </w:p>
          <w:p>
            <w:pPr>
              <w:bidi w:val="0"/>
              <w:rPr>
                <w:rFonts w:hint="eastAsia"/>
                <w:color w:val="auto"/>
                <w:lang w:eastAsia="zh-CN"/>
              </w:rPr>
            </w:pPr>
            <w:r>
              <w:rPr>
                <w:color w:val="auto"/>
              </w:rPr>
              <w:t>本项目</w:t>
            </w:r>
            <w:r>
              <w:rPr>
                <w:rFonts w:hint="eastAsia"/>
                <w:color w:val="auto"/>
                <w:lang w:eastAsia="zh-CN"/>
              </w:rPr>
              <w:t>运营期不取用地下水，也不向地下注水和排水，所有建筑均</w:t>
            </w:r>
            <w:r>
              <w:rPr>
                <w:color w:val="auto"/>
              </w:rPr>
              <w:t>进行</w:t>
            </w:r>
            <w:r>
              <w:rPr>
                <w:rFonts w:hint="eastAsia"/>
                <w:color w:val="auto"/>
                <w:lang w:eastAsia="zh-CN"/>
              </w:rPr>
              <w:t>地面</w:t>
            </w:r>
            <w:r>
              <w:rPr>
                <w:color w:val="auto"/>
              </w:rPr>
              <w:t>硬化防渗处理；</w:t>
            </w:r>
            <w:r>
              <w:rPr>
                <w:rFonts w:hint="eastAsia"/>
                <w:color w:val="auto"/>
              </w:rPr>
              <w:t>医废暂存间</w:t>
            </w:r>
            <w:r>
              <w:rPr>
                <w:color w:val="auto"/>
              </w:rPr>
              <w:t>和污水处理设备底部及管道均采取防渗、防水处理等措施，在原有地面硬化的基础上，铺设厚度为0.2mm的HDPE防渗膜作为防渗材料，贴瓷砖，确保</w:t>
            </w:r>
            <w:r>
              <w:rPr>
                <w:rFonts w:hint="eastAsia"/>
                <w:color w:val="auto"/>
              </w:rPr>
              <w:t>医废暂存间</w:t>
            </w:r>
            <w:r>
              <w:rPr>
                <w:color w:val="auto"/>
              </w:rPr>
              <w:t>下方的渗透系数≤1.0×10</w:t>
            </w:r>
            <w:r>
              <w:rPr>
                <w:color w:val="auto"/>
                <w:vertAlign w:val="superscript"/>
              </w:rPr>
              <w:t>-10</w:t>
            </w:r>
            <w:r>
              <w:rPr>
                <w:color w:val="auto"/>
              </w:rPr>
              <w:t>cm/s，污水处理设施底部及管道的渗透系数≤1.0×10</w:t>
            </w:r>
            <w:r>
              <w:rPr>
                <w:color w:val="auto"/>
                <w:vertAlign w:val="superscript"/>
              </w:rPr>
              <w:t>-7</w:t>
            </w:r>
            <w:r>
              <w:rPr>
                <w:color w:val="auto"/>
              </w:rPr>
              <w:t>cm/s，同时做好防风、防雨、防流失等措施。</w:t>
            </w:r>
            <w:r>
              <w:rPr>
                <w:rFonts w:hint="eastAsia"/>
                <w:color w:val="auto"/>
                <w:lang w:eastAsia="zh-CN"/>
              </w:rPr>
              <w:t>项目正常情况下不会对地下水及土壤环境造成污染影响。</w:t>
            </w:r>
          </w:p>
          <w:p>
            <w:pPr>
              <w:bidi w:val="0"/>
              <w:rPr>
                <w:rFonts w:hint="eastAsia"/>
                <w:color w:val="auto"/>
                <w:lang w:eastAsia="zh-CN"/>
              </w:rPr>
            </w:pPr>
            <w:r>
              <w:rPr>
                <w:rFonts w:hint="eastAsia"/>
                <w:color w:val="auto"/>
                <w:lang w:eastAsia="zh-CN"/>
              </w:rPr>
              <w:t>项目地下水与土壤污染防治措施和对策，应坚持“源头控制、分区防治、污染监控、应急响应”的原则。</w:t>
            </w:r>
          </w:p>
          <w:p>
            <w:pPr>
              <w:pStyle w:val="2"/>
              <w:numPr>
                <w:ilvl w:val="0"/>
                <w:numId w:val="28"/>
              </w:numPr>
              <w:rPr>
                <w:rFonts w:hint="default"/>
                <w:color w:val="auto"/>
                <w:lang w:val="en-US" w:eastAsia="zh-CN"/>
              </w:rPr>
            </w:pPr>
            <w:r>
              <w:rPr>
                <w:rFonts w:hint="eastAsia"/>
                <w:color w:val="auto"/>
                <w:lang w:val="en-US" w:eastAsia="zh-CN"/>
              </w:rPr>
              <w:t>项目现有治理措施</w:t>
            </w:r>
          </w:p>
          <w:p>
            <w:pPr>
              <w:rPr>
                <w:rFonts w:hint="eastAsia"/>
                <w:color w:val="auto"/>
                <w:lang w:eastAsia="zh-CN"/>
              </w:rPr>
            </w:pPr>
            <w:r>
              <w:rPr>
                <w:rFonts w:hint="eastAsia"/>
                <w:color w:val="auto"/>
                <w:lang w:val="en-US" w:eastAsia="zh-CN"/>
              </w:rPr>
              <w:t>本项目租用</w:t>
            </w:r>
            <w:r>
              <w:rPr>
                <w:rFonts w:hint="eastAsia"/>
                <w:color w:val="auto"/>
                <w:lang w:eastAsia="zh-CN"/>
              </w:rPr>
              <w:t>满芳庭</w:t>
            </w:r>
            <w:r>
              <w:rPr>
                <w:rFonts w:hint="eastAsia"/>
                <w:color w:val="auto"/>
              </w:rPr>
              <w:t>小区配套临街商铺</w:t>
            </w:r>
            <w:r>
              <w:rPr>
                <w:rFonts w:hint="eastAsia"/>
                <w:color w:val="auto"/>
                <w:lang w:eastAsia="zh-CN"/>
              </w:rPr>
              <w:t>进行建设，根据现场勘查，本项目厂区地面已采用混凝土硬化。</w:t>
            </w:r>
          </w:p>
          <w:p>
            <w:pPr>
              <w:pStyle w:val="2"/>
              <w:numPr>
                <w:ilvl w:val="0"/>
                <w:numId w:val="28"/>
              </w:numPr>
              <w:ind w:left="960" w:leftChars="200" w:hanging="480" w:hangingChars="200"/>
              <w:rPr>
                <w:rFonts w:hint="eastAsia"/>
                <w:color w:val="auto"/>
                <w:lang w:val="en-US" w:eastAsia="zh-CN"/>
              </w:rPr>
            </w:pPr>
            <w:r>
              <w:rPr>
                <w:rFonts w:hint="eastAsia"/>
                <w:color w:val="auto"/>
                <w:lang w:val="en-US" w:eastAsia="zh-CN"/>
              </w:rPr>
              <w:t>存在问题及整改措施</w:t>
            </w:r>
          </w:p>
          <w:p>
            <w:pPr>
              <w:numPr>
                <w:ilvl w:val="0"/>
                <w:numId w:val="0"/>
              </w:numPr>
              <w:ind w:leftChars="0" w:firstLine="480"/>
              <w:rPr>
                <w:rFonts w:hint="eastAsia"/>
                <w:color w:val="auto"/>
                <w:lang w:eastAsia="zh-CN"/>
              </w:rPr>
            </w:pPr>
            <w:r>
              <w:rPr>
                <w:rFonts w:hint="eastAsia"/>
                <w:color w:val="auto"/>
                <w:lang w:val="en-US" w:eastAsia="zh-CN"/>
              </w:rPr>
              <w:t>存在问题：目前厂区地面已采取20cm厚P6抗渗混凝土，等效黏土防渗层Mb≥1.5m，K≤1.0*10</w:t>
            </w:r>
            <w:r>
              <w:rPr>
                <w:rFonts w:hint="eastAsia"/>
                <w:color w:val="auto"/>
                <w:vertAlign w:val="superscript"/>
                <w:lang w:val="en-US" w:eastAsia="zh-CN"/>
              </w:rPr>
              <w:t>-7</w:t>
            </w:r>
            <w:r>
              <w:rPr>
                <w:color w:val="auto"/>
              </w:rPr>
              <w:t>cm/s</w:t>
            </w:r>
            <w:r>
              <w:rPr>
                <w:rFonts w:hint="eastAsia"/>
                <w:color w:val="auto"/>
                <w:lang w:eastAsia="zh-CN"/>
              </w:rPr>
              <w:t>，满足一般防渗区和简单防渗区要求，不能满足“源头控制、过程防控”的要求。</w:t>
            </w:r>
          </w:p>
          <w:p>
            <w:pPr>
              <w:numPr>
                <w:ilvl w:val="0"/>
                <w:numId w:val="28"/>
              </w:numPr>
              <w:ind w:left="960" w:leftChars="200" w:hanging="480" w:hangingChars="200"/>
              <w:rPr>
                <w:rFonts w:hint="eastAsia"/>
                <w:color w:val="auto"/>
                <w:lang w:val="en-US" w:eastAsia="zh-CN"/>
              </w:rPr>
            </w:pPr>
            <w:r>
              <w:rPr>
                <w:rFonts w:hint="eastAsia"/>
                <w:color w:val="auto"/>
                <w:lang w:val="en-US" w:eastAsia="zh-CN"/>
              </w:rPr>
              <w:t>整改措施</w:t>
            </w:r>
          </w:p>
          <w:p>
            <w:pPr>
              <w:numPr>
                <w:ilvl w:val="0"/>
                <w:numId w:val="29"/>
              </w:numPr>
              <w:ind w:leftChars="0" w:firstLine="480" w:firstLineChars="200"/>
              <w:rPr>
                <w:rFonts w:hint="eastAsia"/>
                <w:color w:val="auto"/>
                <w:lang w:eastAsia="zh-CN"/>
              </w:rPr>
            </w:pPr>
            <w:r>
              <w:rPr>
                <w:rFonts w:hint="eastAsia"/>
                <w:color w:val="auto"/>
                <w:lang w:eastAsia="zh-CN"/>
              </w:rPr>
              <w:t>源头控制措施</w:t>
            </w:r>
          </w:p>
          <w:p>
            <w:pPr>
              <w:pStyle w:val="2"/>
              <w:ind w:left="0" w:leftChars="0" w:firstLine="0" w:firstLineChars="0"/>
              <w:rPr>
                <w:rFonts w:hint="default"/>
                <w:color w:val="auto"/>
                <w:lang w:val="en-US" w:eastAsia="zh-CN"/>
              </w:rPr>
            </w:pPr>
            <w:r>
              <w:rPr>
                <w:rFonts w:hint="eastAsia"/>
                <w:color w:val="auto"/>
                <w:lang w:val="en-US" w:eastAsia="zh-CN"/>
              </w:rPr>
              <w:t xml:space="preserve">     1）加强环境管理，采取防止和降低污染物跑、冒、滴、漏的措施。正常运营过程中应加强巡检及时处理污染物</w:t>
            </w:r>
          </w:p>
          <w:p>
            <w:pPr>
              <w:pStyle w:val="2"/>
              <w:numPr>
                <w:ilvl w:val="0"/>
                <w:numId w:val="29"/>
              </w:numPr>
              <w:rPr>
                <w:rFonts w:hint="eastAsia"/>
                <w:color w:val="auto"/>
                <w:lang w:eastAsia="zh-CN"/>
              </w:rPr>
            </w:pPr>
            <w:r>
              <w:rPr>
                <w:rFonts w:hint="eastAsia"/>
                <w:color w:val="auto"/>
                <w:lang w:eastAsia="zh-CN"/>
              </w:rPr>
              <w:t>分区防渗措施</w:t>
            </w:r>
          </w:p>
          <w:p>
            <w:pPr>
              <w:rPr>
                <w:rFonts w:hint="eastAsia"/>
                <w:color w:val="auto"/>
                <w:lang w:eastAsia="zh-CN"/>
              </w:rPr>
            </w:pPr>
            <w:r>
              <w:rPr>
                <w:rFonts w:hint="eastAsia"/>
                <w:color w:val="auto"/>
                <w:lang w:eastAsia="zh-CN"/>
              </w:rPr>
              <w:t>结合本项目实际情况将项目厂界或者污染物泄露的途经和生产功能单元所处的位置划分重点防渗区、一般防渗区、简单防渗区、地下水污染物防治区域。</w:t>
            </w:r>
          </w:p>
          <w:p>
            <w:pPr>
              <w:pStyle w:val="2"/>
              <w:rPr>
                <w:rFonts w:hint="eastAsia"/>
                <w:color w:val="auto"/>
                <w:lang w:eastAsia="zh-CN"/>
              </w:rPr>
            </w:pPr>
            <w:r>
              <w:rPr>
                <w:rFonts w:hint="eastAsia"/>
                <w:color w:val="auto"/>
                <w:lang w:eastAsia="zh-CN"/>
              </w:rPr>
              <w:t>重点防渗区主要为：污水处理设施处、医疗废物暂存间地面。</w:t>
            </w:r>
          </w:p>
          <w:p>
            <w:pPr>
              <w:rPr>
                <w:rFonts w:hint="eastAsia"/>
                <w:color w:val="auto"/>
                <w:lang w:eastAsia="zh-CN"/>
              </w:rPr>
            </w:pPr>
            <w:r>
              <w:rPr>
                <w:rFonts w:hint="eastAsia"/>
                <w:color w:val="auto"/>
                <w:lang w:eastAsia="zh-CN"/>
              </w:rPr>
              <w:t>一般防渗区主要为：卫生间、诊疗室、住院室。</w:t>
            </w:r>
          </w:p>
          <w:p>
            <w:pPr>
              <w:pStyle w:val="2"/>
              <w:rPr>
                <w:rFonts w:hint="default"/>
                <w:color w:val="auto"/>
                <w:lang w:val="en-US" w:eastAsia="zh-CN"/>
              </w:rPr>
            </w:pPr>
            <w:r>
              <w:rPr>
                <w:rFonts w:hint="eastAsia"/>
                <w:color w:val="auto"/>
                <w:lang w:eastAsia="zh-CN"/>
              </w:rPr>
              <w:t>简单防渗区主要为：办公区、过道。</w:t>
            </w:r>
          </w:p>
          <w:p>
            <w:pPr>
              <w:pStyle w:val="117"/>
              <w:bidi w:val="0"/>
              <w:rPr>
                <w:color w:val="auto"/>
              </w:rPr>
            </w:pPr>
            <w:r>
              <w:rPr>
                <w:color w:val="auto"/>
              </w:rPr>
              <w:t>表 4-</w:t>
            </w:r>
            <w:r>
              <w:rPr>
                <w:rFonts w:hint="eastAsia"/>
                <w:color w:val="auto"/>
                <w:lang w:val="en-US" w:eastAsia="zh-CN"/>
              </w:rPr>
              <w:t>9</w:t>
            </w:r>
            <w:r>
              <w:rPr>
                <w:color w:val="auto"/>
              </w:rPr>
              <w:t xml:space="preserve">  地</w:t>
            </w:r>
            <w:r>
              <w:rPr>
                <w:rFonts w:hint="eastAsia"/>
                <w:color w:val="auto"/>
                <w:lang w:eastAsia="zh-CN"/>
              </w:rPr>
              <w:t>项目分区防渗</w:t>
            </w:r>
            <w:r>
              <w:rPr>
                <w:color w:val="auto"/>
              </w:rPr>
              <w:t>一览表</w:t>
            </w:r>
          </w:p>
          <w:tbl>
            <w:tblPr>
              <w:tblStyle w:val="3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16"/>
              <w:gridCol w:w="1320"/>
              <w:gridCol w:w="1667"/>
              <w:gridCol w:w="1367"/>
              <w:gridCol w:w="814"/>
              <w:gridCol w:w="19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16" w:type="dxa"/>
                  <w:noWrap w:val="0"/>
                  <w:vAlign w:val="center"/>
                </w:tcPr>
                <w:p>
                  <w:pPr>
                    <w:pStyle w:val="69"/>
                    <w:rPr>
                      <w:rFonts w:hint="eastAsia" w:eastAsia="宋体"/>
                      <w:color w:val="auto"/>
                      <w:lang w:eastAsia="zh-CN"/>
                    </w:rPr>
                  </w:pPr>
                  <w:r>
                    <w:rPr>
                      <w:rFonts w:hint="eastAsia"/>
                      <w:color w:val="auto"/>
                      <w:lang w:eastAsia="zh-CN"/>
                    </w:rPr>
                    <w:t>分区防渗</w:t>
                  </w:r>
                </w:p>
              </w:tc>
              <w:tc>
                <w:tcPr>
                  <w:tcW w:w="1320" w:type="dxa"/>
                  <w:noWrap w:val="0"/>
                  <w:vAlign w:val="center"/>
                </w:tcPr>
                <w:p>
                  <w:pPr>
                    <w:pStyle w:val="69"/>
                    <w:rPr>
                      <w:rFonts w:hint="eastAsia"/>
                      <w:color w:val="auto"/>
                    </w:rPr>
                  </w:pPr>
                  <w:r>
                    <w:rPr>
                      <w:rFonts w:hint="eastAsia"/>
                      <w:color w:val="auto"/>
                      <w:lang w:eastAsia="zh-CN"/>
                    </w:rPr>
                    <w:t>地下水污染隐患单元</w:t>
                  </w:r>
                </w:p>
              </w:tc>
              <w:tc>
                <w:tcPr>
                  <w:tcW w:w="1667" w:type="dxa"/>
                  <w:noWrap w:val="0"/>
                  <w:vAlign w:val="center"/>
                </w:tcPr>
                <w:p>
                  <w:pPr>
                    <w:pStyle w:val="69"/>
                    <w:rPr>
                      <w:rFonts w:hint="eastAsia"/>
                      <w:color w:val="auto"/>
                    </w:rPr>
                  </w:pPr>
                  <w:r>
                    <w:rPr>
                      <w:rFonts w:hint="eastAsia"/>
                      <w:color w:val="auto"/>
                      <w:lang w:eastAsia="zh-CN"/>
                    </w:rPr>
                    <w:t>现有</w:t>
                  </w:r>
                  <w:r>
                    <w:rPr>
                      <w:color w:val="auto"/>
                    </w:rPr>
                    <w:t>防渗措施</w:t>
                  </w:r>
                </w:p>
              </w:tc>
              <w:tc>
                <w:tcPr>
                  <w:tcW w:w="1367" w:type="dxa"/>
                  <w:noWrap w:val="0"/>
                  <w:vAlign w:val="center"/>
                </w:tcPr>
                <w:p>
                  <w:pPr>
                    <w:pStyle w:val="69"/>
                    <w:rPr>
                      <w:rFonts w:hint="eastAsia"/>
                      <w:color w:val="auto"/>
                    </w:rPr>
                  </w:pPr>
                  <w:r>
                    <w:rPr>
                      <w:color w:val="auto"/>
                    </w:rPr>
                    <w:t>防渗要求</w:t>
                  </w:r>
                </w:p>
              </w:tc>
              <w:tc>
                <w:tcPr>
                  <w:tcW w:w="814" w:type="dxa"/>
                  <w:noWrap w:val="0"/>
                  <w:vAlign w:val="center"/>
                </w:tcPr>
                <w:p>
                  <w:pPr>
                    <w:pStyle w:val="69"/>
                    <w:rPr>
                      <w:rFonts w:hint="eastAsia" w:eastAsia="宋体"/>
                      <w:color w:val="auto"/>
                      <w:lang w:eastAsia="zh-CN"/>
                    </w:rPr>
                  </w:pPr>
                  <w:r>
                    <w:rPr>
                      <w:rFonts w:hint="eastAsia"/>
                      <w:color w:val="auto"/>
                      <w:lang w:eastAsia="zh-CN"/>
                    </w:rPr>
                    <w:t>是否满足</w:t>
                  </w:r>
                </w:p>
              </w:tc>
              <w:tc>
                <w:tcPr>
                  <w:tcW w:w="1920" w:type="dxa"/>
                  <w:noWrap w:val="0"/>
                  <w:vAlign w:val="center"/>
                </w:tcPr>
                <w:p>
                  <w:pPr>
                    <w:pStyle w:val="69"/>
                    <w:rPr>
                      <w:rFonts w:hint="eastAsia"/>
                      <w:color w:val="auto"/>
                      <w:lang w:eastAsia="zh-CN"/>
                    </w:rPr>
                  </w:pPr>
                  <w:r>
                    <w:rPr>
                      <w:rFonts w:hint="eastAsia"/>
                      <w:color w:val="auto"/>
                      <w:lang w:eastAsia="zh-CN"/>
                    </w:rPr>
                    <w:t>整改措施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6" w:type="dxa"/>
                  <w:vMerge w:val="restart"/>
                  <w:noWrap w:val="0"/>
                  <w:vAlign w:val="center"/>
                </w:tcPr>
                <w:p>
                  <w:pPr>
                    <w:pStyle w:val="69"/>
                    <w:rPr>
                      <w:rFonts w:hint="eastAsia"/>
                      <w:color w:val="auto"/>
                    </w:rPr>
                  </w:pPr>
                  <w:r>
                    <w:rPr>
                      <w:color w:val="auto"/>
                    </w:rPr>
                    <w:t>重点防渗区</w:t>
                  </w:r>
                </w:p>
              </w:tc>
              <w:tc>
                <w:tcPr>
                  <w:tcW w:w="1320" w:type="dxa"/>
                  <w:noWrap w:val="0"/>
                  <w:vAlign w:val="center"/>
                </w:tcPr>
                <w:p>
                  <w:pPr>
                    <w:pStyle w:val="69"/>
                    <w:rPr>
                      <w:rFonts w:hint="eastAsia"/>
                      <w:color w:val="auto"/>
                    </w:rPr>
                  </w:pPr>
                  <w:r>
                    <w:rPr>
                      <w:color w:val="auto"/>
                    </w:rPr>
                    <w:t>污水处理设施下方</w:t>
                  </w:r>
                </w:p>
              </w:tc>
              <w:tc>
                <w:tcPr>
                  <w:tcW w:w="1667" w:type="dxa"/>
                  <w:noWrap w:val="0"/>
                  <w:vAlign w:val="center"/>
                </w:tcPr>
                <w:p>
                  <w:pPr>
                    <w:pStyle w:val="69"/>
                    <w:rPr>
                      <w:rFonts w:hint="eastAsia"/>
                      <w:color w:val="auto"/>
                    </w:rPr>
                  </w:pPr>
                  <w:r>
                    <w:rPr>
                      <w:color w:val="auto"/>
                    </w:rPr>
                    <w:t>地面铺设0.2mmHDPE防渗膜，贴瓷砖</w:t>
                  </w:r>
                </w:p>
              </w:tc>
              <w:tc>
                <w:tcPr>
                  <w:tcW w:w="1367" w:type="dxa"/>
                  <w:vMerge w:val="restart"/>
                  <w:noWrap w:val="0"/>
                  <w:vAlign w:val="center"/>
                </w:tcPr>
                <w:p>
                  <w:pPr>
                    <w:pStyle w:val="69"/>
                    <w:rPr>
                      <w:color w:val="auto"/>
                    </w:rPr>
                  </w:pPr>
                  <w:r>
                    <w:rPr>
                      <w:rFonts w:hint="eastAsia"/>
                      <w:color w:val="auto"/>
                      <w:lang w:eastAsia="zh-CN"/>
                    </w:rPr>
                    <w:t>确保防渗层等效黏土防渗层</w:t>
                  </w:r>
                  <w:r>
                    <w:rPr>
                      <w:rFonts w:hint="eastAsia"/>
                      <w:color w:val="auto"/>
                      <w:lang w:val="en-US" w:eastAsia="zh-CN"/>
                    </w:rPr>
                    <w:t>Mb≥6.0m</w:t>
                  </w:r>
                  <w:r>
                    <w:rPr>
                      <w:rFonts w:hint="eastAsia"/>
                      <w:color w:val="auto"/>
                      <w:lang w:eastAsia="zh-CN"/>
                    </w:rPr>
                    <w:t>，</w:t>
                  </w:r>
                  <w:r>
                    <w:rPr>
                      <w:color w:val="auto"/>
                    </w:rPr>
                    <w:t>渗透系数≤</w:t>
                  </w:r>
                </w:p>
                <w:p>
                  <w:pPr>
                    <w:pStyle w:val="69"/>
                    <w:rPr>
                      <w:rFonts w:hint="default" w:eastAsia="宋体"/>
                      <w:color w:val="auto"/>
                      <w:lang w:val="en-US" w:eastAsia="zh-CN"/>
                    </w:rPr>
                  </w:pPr>
                  <w:r>
                    <w:rPr>
                      <w:color w:val="auto"/>
                    </w:rPr>
                    <w:t>10</w:t>
                  </w:r>
                  <w:r>
                    <w:rPr>
                      <w:color w:val="auto"/>
                      <w:vertAlign w:val="superscript"/>
                    </w:rPr>
                    <w:t>-10</w:t>
                  </w:r>
                  <w:r>
                    <w:rPr>
                      <w:color w:val="auto"/>
                    </w:rPr>
                    <w:t>cm/s</w:t>
                  </w:r>
                  <w:r>
                    <w:rPr>
                      <w:rFonts w:hint="eastAsia"/>
                      <w:color w:val="auto"/>
                      <w:lang w:val="en-US" w:eastAsia="zh-CN"/>
                    </w:rPr>
                    <w:t>.或参照GB18598执行</w:t>
                  </w:r>
                </w:p>
              </w:tc>
              <w:tc>
                <w:tcPr>
                  <w:tcW w:w="814" w:type="dxa"/>
                  <w:noWrap w:val="0"/>
                  <w:vAlign w:val="center"/>
                </w:tcPr>
                <w:p>
                  <w:pPr>
                    <w:pStyle w:val="69"/>
                    <w:rPr>
                      <w:rFonts w:hint="eastAsia" w:eastAsia="宋体"/>
                      <w:color w:val="auto"/>
                      <w:lang w:eastAsia="zh-CN"/>
                    </w:rPr>
                  </w:pPr>
                  <w:r>
                    <w:rPr>
                      <w:rFonts w:hint="eastAsia"/>
                      <w:color w:val="auto"/>
                      <w:lang w:eastAsia="zh-CN"/>
                    </w:rPr>
                    <w:t>否</w:t>
                  </w:r>
                </w:p>
              </w:tc>
              <w:tc>
                <w:tcPr>
                  <w:tcW w:w="1920" w:type="dxa"/>
                  <w:vMerge w:val="restart"/>
                  <w:noWrap w:val="0"/>
                  <w:vAlign w:val="center"/>
                </w:tcPr>
                <w:p>
                  <w:pPr>
                    <w:pStyle w:val="69"/>
                    <w:rPr>
                      <w:color w:val="auto"/>
                    </w:rPr>
                  </w:pPr>
                  <w:r>
                    <w:rPr>
                      <w:rFonts w:hint="eastAsia"/>
                      <w:color w:val="auto"/>
                      <w:lang w:eastAsia="zh-CN"/>
                    </w:rPr>
                    <w:t>在现有基础上防渗层等效黏土防渗层</w:t>
                  </w:r>
                  <w:r>
                    <w:rPr>
                      <w:rFonts w:hint="eastAsia"/>
                      <w:color w:val="auto"/>
                      <w:lang w:val="en-US" w:eastAsia="zh-CN"/>
                    </w:rPr>
                    <w:t>Mb≥6.0m</w:t>
                  </w:r>
                  <w:r>
                    <w:rPr>
                      <w:rFonts w:hint="eastAsia"/>
                      <w:color w:val="auto"/>
                      <w:lang w:eastAsia="zh-CN"/>
                    </w:rPr>
                    <w:t>，</w:t>
                  </w:r>
                  <w:r>
                    <w:rPr>
                      <w:color w:val="auto"/>
                    </w:rPr>
                    <w:t>渗透系数≤</w:t>
                  </w:r>
                </w:p>
                <w:p>
                  <w:pPr>
                    <w:pStyle w:val="69"/>
                    <w:rPr>
                      <w:rFonts w:hint="default" w:eastAsia="宋体"/>
                      <w:color w:val="auto"/>
                      <w:lang w:val="en-US" w:eastAsia="zh-CN"/>
                    </w:rPr>
                  </w:pPr>
                  <w:r>
                    <w:rPr>
                      <w:color w:val="auto"/>
                    </w:rPr>
                    <w:t>10</w:t>
                  </w:r>
                  <w:r>
                    <w:rPr>
                      <w:color w:val="auto"/>
                      <w:vertAlign w:val="superscript"/>
                    </w:rPr>
                    <w:t>-10</w:t>
                  </w:r>
                  <w:r>
                    <w:rPr>
                      <w:color w:val="auto"/>
                    </w:rPr>
                    <w:t>cm/s</w:t>
                  </w:r>
                  <w:r>
                    <w:rPr>
                      <w:rFonts w:hint="eastAsia"/>
                      <w:color w:val="auto"/>
                      <w:lang w:eastAsia="zh-CN"/>
                    </w:rPr>
                    <w:t>，危废暂存间在防渗混凝土上刷涂至少</w:t>
                  </w:r>
                  <w:r>
                    <w:rPr>
                      <w:rFonts w:hint="eastAsia"/>
                      <w:color w:val="auto"/>
                      <w:lang w:val="en-US" w:eastAsia="zh-CN"/>
                    </w:rPr>
                    <w:t>2mm厚的环氧树脂层，液提危废收集桶下方设置托盘，密闭暂存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16" w:type="dxa"/>
                  <w:vMerge w:val="continue"/>
                  <w:noWrap w:val="0"/>
                  <w:vAlign w:val="center"/>
                </w:tcPr>
                <w:p>
                  <w:pPr>
                    <w:pStyle w:val="69"/>
                    <w:rPr>
                      <w:rFonts w:hint="eastAsia"/>
                      <w:color w:val="auto"/>
                    </w:rPr>
                  </w:pPr>
                </w:p>
              </w:tc>
              <w:tc>
                <w:tcPr>
                  <w:tcW w:w="1320" w:type="dxa"/>
                  <w:noWrap w:val="0"/>
                  <w:vAlign w:val="center"/>
                </w:tcPr>
                <w:p>
                  <w:pPr>
                    <w:pStyle w:val="69"/>
                    <w:rPr>
                      <w:rFonts w:hint="eastAsia"/>
                      <w:color w:val="auto"/>
                    </w:rPr>
                  </w:pPr>
                  <w:r>
                    <w:rPr>
                      <w:color w:val="auto"/>
                    </w:rPr>
                    <w:t>医疗废</w:t>
                  </w:r>
                  <w:r>
                    <w:rPr>
                      <w:rFonts w:hint="eastAsia"/>
                      <w:color w:val="auto"/>
                      <w:lang w:eastAsia="zh-CN"/>
                    </w:rPr>
                    <w:t>物暂存间</w:t>
                  </w:r>
                  <w:r>
                    <w:rPr>
                      <w:color w:val="auto"/>
                    </w:rPr>
                    <w:t>地面</w:t>
                  </w:r>
                </w:p>
              </w:tc>
              <w:tc>
                <w:tcPr>
                  <w:tcW w:w="1667" w:type="dxa"/>
                  <w:noWrap w:val="0"/>
                  <w:vAlign w:val="center"/>
                </w:tcPr>
                <w:p>
                  <w:pPr>
                    <w:pStyle w:val="69"/>
                    <w:rPr>
                      <w:rFonts w:hint="eastAsia"/>
                      <w:color w:val="auto"/>
                    </w:rPr>
                  </w:pPr>
                  <w:r>
                    <w:rPr>
                      <w:color w:val="auto"/>
                    </w:rPr>
                    <w:t>地面铺设0.2mmHDPE防渗膜，贴瓷砖</w:t>
                  </w:r>
                </w:p>
              </w:tc>
              <w:tc>
                <w:tcPr>
                  <w:tcW w:w="1367" w:type="dxa"/>
                  <w:vMerge w:val="continue"/>
                  <w:noWrap w:val="0"/>
                  <w:vAlign w:val="center"/>
                </w:tcPr>
                <w:p>
                  <w:pPr>
                    <w:pStyle w:val="69"/>
                    <w:rPr>
                      <w:rFonts w:hint="eastAsia"/>
                      <w:color w:val="auto"/>
                    </w:rPr>
                  </w:pPr>
                </w:p>
              </w:tc>
              <w:tc>
                <w:tcPr>
                  <w:tcW w:w="814" w:type="dxa"/>
                  <w:noWrap w:val="0"/>
                  <w:vAlign w:val="center"/>
                </w:tcPr>
                <w:p>
                  <w:pPr>
                    <w:pStyle w:val="69"/>
                    <w:rPr>
                      <w:rFonts w:hint="eastAsia" w:eastAsia="宋体"/>
                      <w:color w:val="auto"/>
                      <w:lang w:eastAsia="zh-CN"/>
                    </w:rPr>
                  </w:pPr>
                  <w:r>
                    <w:rPr>
                      <w:rFonts w:hint="eastAsia"/>
                      <w:color w:val="auto"/>
                      <w:lang w:eastAsia="zh-CN"/>
                    </w:rPr>
                    <w:t>否</w:t>
                  </w:r>
                </w:p>
              </w:tc>
              <w:tc>
                <w:tcPr>
                  <w:tcW w:w="1920" w:type="dxa"/>
                  <w:vMerge w:val="continue"/>
                  <w:noWrap w:val="0"/>
                  <w:vAlign w:val="center"/>
                </w:tcPr>
                <w:p>
                  <w:pPr>
                    <w:pStyle w:val="69"/>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6" w:type="dxa"/>
                  <w:noWrap w:val="0"/>
                  <w:vAlign w:val="center"/>
                </w:tcPr>
                <w:p>
                  <w:pPr>
                    <w:pStyle w:val="69"/>
                    <w:rPr>
                      <w:rFonts w:hint="eastAsia"/>
                      <w:color w:val="auto"/>
                    </w:rPr>
                  </w:pPr>
                  <w:r>
                    <w:rPr>
                      <w:color w:val="auto"/>
                    </w:rPr>
                    <w:t>一般防渗区</w:t>
                  </w:r>
                </w:p>
              </w:tc>
              <w:tc>
                <w:tcPr>
                  <w:tcW w:w="1320" w:type="dxa"/>
                  <w:noWrap w:val="0"/>
                  <w:vAlign w:val="center"/>
                </w:tcPr>
                <w:p>
                  <w:pPr>
                    <w:pStyle w:val="69"/>
                    <w:rPr>
                      <w:rFonts w:hint="eastAsia" w:eastAsia="宋体"/>
                      <w:color w:val="auto"/>
                      <w:lang w:eastAsia="zh-CN"/>
                    </w:rPr>
                  </w:pPr>
                  <w:r>
                    <w:rPr>
                      <w:rFonts w:hint="eastAsia"/>
                      <w:color w:val="auto"/>
                      <w:lang w:eastAsia="zh-CN"/>
                    </w:rPr>
                    <w:t>卫生间、诊疗室、住院室</w:t>
                  </w:r>
                </w:p>
              </w:tc>
              <w:tc>
                <w:tcPr>
                  <w:tcW w:w="1667" w:type="dxa"/>
                  <w:noWrap w:val="0"/>
                  <w:vAlign w:val="center"/>
                </w:tcPr>
                <w:p>
                  <w:pPr>
                    <w:pStyle w:val="69"/>
                    <w:rPr>
                      <w:color w:val="auto"/>
                    </w:rPr>
                  </w:pPr>
                  <w:r>
                    <w:rPr>
                      <w:rFonts w:hint="eastAsia"/>
                      <w:color w:val="auto"/>
                      <w:lang w:eastAsia="zh-CN"/>
                    </w:rPr>
                    <w:t>进行了地面硬化、贴了瓷砖，</w:t>
                  </w:r>
                  <w:r>
                    <w:rPr>
                      <w:color w:val="auto"/>
                    </w:rPr>
                    <w:t>渗透系数≤</w:t>
                  </w:r>
                </w:p>
                <w:p>
                  <w:pPr>
                    <w:pStyle w:val="69"/>
                    <w:rPr>
                      <w:rFonts w:hint="eastAsia"/>
                      <w:color w:val="auto"/>
                    </w:rPr>
                  </w:pPr>
                  <w:r>
                    <w:rPr>
                      <w:color w:val="auto"/>
                    </w:rPr>
                    <w:t>10</w:t>
                  </w:r>
                  <w:r>
                    <w:rPr>
                      <w:color w:val="auto"/>
                      <w:vertAlign w:val="superscript"/>
                    </w:rPr>
                    <w:t>-10</w:t>
                  </w:r>
                  <w:r>
                    <w:rPr>
                      <w:color w:val="auto"/>
                    </w:rPr>
                    <w:t>cm/s</w:t>
                  </w:r>
                </w:p>
              </w:tc>
              <w:tc>
                <w:tcPr>
                  <w:tcW w:w="1367" w:type="dxa"/>
                  <w:noWrap w:val="0"/>
                  <w:vAlign w:val="center"/>
                </w:tcPr>
                <w:p>
                  <w:pPr>
                    <w:pStyle w:val="69"/>
                    <w:rPr>
                      <w:color w:val="auto"/>
                    </w:rPr>
                  </w:pPr>
                  <w:r>
                    <w:rPr>
                      <w:color w:val="auto"/>
                    </w:rPr>
                    <w:t>渗透系数≤</w:t>
                  </w:r>
                </w:p>
                <w:p>
                  <w:pPr>
                    <w:pStyle w:val="69"/>
                    <w:rPr>
                      <w:rFonts w:hint="eastAsia"/>
                      <w:color w:val="auto"/>
                    </w:rPr>
                  </w:pPr>
                  <w:r>
                    <w:rPr>
                      <w:color w:val="auto"/>
                    </w:rPr>
                    <w:t>10</w:t>
                  </w:r>
                  <w:r>
                    <w:rPr>
                      <w:color w:val="auto"/>
                      <w:vertAlign w:val="superscript"/>
                    </w:rPr>
                    <w:t>-7</w:t>
                  </w:r>
                  <w:r>
                    <w:rPr>
                      <w:color w:val="auto"/>
                    </w:rPr>
                    <w:t>cm/s</w:t>
                  </w:r>
                </w:p>
              </w:tc>
              <w:tc>
                <w:tcPr>
                  <w:tcW w:w="814" w:type="dxa"/>
                  <w:noWrap w:val="0"/>
                  <w:vAlign w:val="center"/>
                </w:tcPr>
                <w:p>
                  <w:pPr>
                    <w:pStyle w:val="69"/>
                    <w:rPr>
                      <w:rFonts w:hint="eastAsia" w:eastAsia="宋体"/>
                      <w:color w:val="auto"/>
                      <w:lang w:eastAsia="zh-CN"/>
                    </w:rPr>
                  </w:pPr>
                  <w:r>
                    <w:rPr>
                      <w:rFonts w:hint="eastAsia"/>
                      <w:color w:val="auto"/>
                      <w:lang w:eastAsia="zh-CN"/>
                    </w:rPr>
                    <w:t>是</w:t>
                  </w:r>
                </w:p>
              </w:tc>
              <w:tc>
                <w:tcPr>
                  <w:tcW w:w="1920" w:type="dxa"/>
                  <w:noWrap w:val="0"/>
                  <w:vAlign w:val="center"/>
                </w:tcPr>
                <w:p>
                  <w:pPr>
                    <w:pStyle w:val="69"/>
                    <w:rPr>
                      <w:rFonts w:hint="eastAsia" w:eastAsia="宋体"/>
                      <w:color w:val="auto"/>
                      <w:lang w:val="en-US" w:eastAsia="zh-CN"/>
                    </w:rPr>
                  </w:pPr>
                  <w:r>
                    <w:rPr>
                      <w:rFonts w:hint="eastAsia"/>
                      <w:color w:val="auto"/>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6" w:type="dxa"/>
                  <w:noWrap w:val="0"/>
                  <w:vAlign w:val="center"/>
                </w:tcPr>
                <w:p>
                  <w:pPr>
                    <w:pStyle w:val="69"/>
                    <w:rPr>
                      <w:rFonts w:hint="eastAsia" w:eastAsia="宋体"/>
                      <w:color w:val="auto"/>
                      <w:lang w:eastAsia="zh-CN"/>
                    </w:rPr>
                  </w:pPr>
                  <w:r>
                    <w:rPr>
                      <w:rFonts w:hint="eastAsia"/>
                      <w:color w:val="auto"/>
                      <w:lang w:eastAsia="zh-CN"/>
                    </w:rPr>
                    <w:t>简单防渗区</w:t>
                  </w:r>
                </w:p>
              </w:tc>
              <w:tc>
                <w:tcPr>
                  <w:tcW w:w="1320" w:type="dxa"/>
                  <w:noWrap w:val="0"/>
                  <w:vAlign w:val="center"/>
                </w:tcPr>
                <w:p>
                  <w:pPr>
                    <w:pStyle w:val="69"/>
                    <w:rPr>
                      <w:rFonts w:hint="eastAsia" w:eastAsia="宋体"/>
                      <w:color w:val="auto"/>
                      <w:lang w:eastAsia="zh-CN"/>
                    </w:rPr>
                  </w:pPr>
                  <w:r>
                    <w:rPr>
                      <w:rFonts w:hint="eastAsia"/>
                      <w:color w:val="auto"/>
                      <w:lang w:eastAsia="zh-CN"/>
                    </w:rPr>
                    <w:t>办公区</w:t>
                  </w:r>
                </w:p>
              </w:tc>
              <w:tc>
                <w:tcPr>
                  <w:tcW w:w="1667" w:type="dxa"/>
                  <w:noWrap w:val="0"/>
                  <w:vAlign w:val="center"/>
                </w:tcPr>
                <w:p>
                  <w:pPr>
                    <w:pStyle w:val="69"/>
                    <w:rPr>
                      <w:rFonts w:hint="eastAsia" w:eastAsia="宋体"/>
                      <w:color w:val="auto"/>
                      <w:lang w:eastAsia="zh-CN"/>
                    </w:rPr>
                  </w:pPr>
                  <w:r>
                    <w:rPr>
                      <w:rFonts w:hint="eastAsia"/>
                      <w:color w:val="auto"/>
                      <w:lang w:eastAsia="zh-CN"/>
                    </w:rPr>
                    <w:t>一般地面硬化</w:t>
                  </w:r>
                </w:p>
              </w:tc>
              <w:tc>
                <w:tcPr>
                  <w:tcW w:w="1367" w:type="dxa"/>
                  <w:noWrap w:val="0"/>
                  <w:vAlign w:val="center"/>
                </w:tcPr>
                <w:p>
                  <w:pPr>
                    <w:pStyle w:val="69"/>
                    <w:rPr>
                      <w:rFonts w:hint="eastAsia" w:eastAsia="宋体"/>
                      <w:color w:val="auto"/>
                      <w:lang w:eastAsia="zh-CN"/>
                    </w:rPr>
                  </w:pPr>
                  <w:r>
                    <w:rPr>
                      <w:rFonts w:hint="eastAsia"/>
                      <w:color w:val="auto"/>
                      <w:lang w:eastAsia="zh-CN"/>
                    </w:rPr>
                    <w:t>水泥硬化</w:t>
                  </w:r>
                </w:p>
              </w:tc>
              <w:tc>
                <w:tcPr>
                  <w:tcW w:w="814" w:type="dxa"/>
                  <w:noWrap w:val="0"/>
                  <w:vAlign w:val="center"/>
                </w:tcPr>
                <w:p>
                  <w:pPr>
                    <w:pStyle w:val="69"/>
                    <w:rPr>
                      <w:rFonts w:hint="eastAsia" w:eastAsia="宋体"/>
                      <w:color w:val="auto"/>
                      <w:lang w:eastAsia="zh-CN"/>
                    </w:rPr>
                  </w:pPr>
                  <w:r>
                    <w:rPr>
                      <w:rFonts w:hint="eastAsia"/>
                      <w:color w:val="auto"/>
                      <w:lang w:eastAsia="zh-CN"/>
                    </w:rPr>
                    <w:t>是</w:t>
                  </w:r>
                </w:p>
              </w:tc>
              <w:tc>
                <w:tcPr>
                  <w:tcW w:w="1920" w:type="dxa"/>
                  <w:noWrap w:val="0"/>
                  <w:vAlign w:val="center"/>
                </w:tcPr>
                <w:p>
                  <w:pPr>
                    <w:pStyle w:val="69"/>
                    <w:rPr>
                      <w:rFonts w:hint="eastAsia" w:eastAsia="宋体"/>
                      <w:color w:val="auto"/>
                      <w:lang w:val="en-US" w:eastAsia="zh-CN"/>
                    </w:rPr>
                  </w:pPr>
                  <w:r>
                    <w:rPr>
                      <w:rFonts w:hint="eastAsia"/>
                      <w:color w:val="auto"/>
                      <w:lang w:val="en-US" w:eastAsia="zh-CN"/>
                    </w:rPr>
                    <w:t>/</w:t>
                  </w:r>
                </w:p>
              </w:tc>
            </w:tr>
          </w:tbl>
          <w:p>
            <w:pPr>
              <w:ind w:firstLine="480"/>
              <w:rPr>
                <w:rFonts w:hint="eastAsia" w:eastAsia="宋体"/>
                <w:color w:val="auto"/>
                <w:lang w:eastAsia="zh-CN"/>
              </w:rPr>
            </w:pPr>
            <w:r>
              <w:rPr>
                <w:rFonts w:hint="eastAsia"/>
                <w:color w:val="auto"/>
                <w:lang w:eastAsia="zh-CN"/>
              </w:rPr>
              <w:t>综上，</w:t>
            </w:r>
            <w:r>
              <w:rPr>
                <w:color w:val="auto"/>
              </w:rPr>
              <w:t>经过采取以上措施后，</w:t>
            </w:r>
            <w:r>
              <w:rPr>
                <w:rFonts w:hint="eastAsia"/>
                <w:color w:val="auto"/>
                <w:lang w:eastAsia="zh-CN"/>
              </w:rPr>
              <w:t>并加强维护和项目环境管理的前提下，可有效控制项目的污染物下渗现象，有效防止污染物渗漏污染地下水及土壤。</w:t>
            </w:r>
          </w:p>
          <w:p>
            <w:pPr>
              <w:ind w:firstLine="0" w:firstLineChars="0"/>
              <w:rPr>
                <w:rFonts w:hint="eastAsia"/>
                <w:b/>
                <w:bCs/>
                <w:color w:val="auto"/>
              </w:rPr>
            </w:pPr>
            <w:r>
              <w:rPr>
                <w:rFonts w:hint="eastAsia"/>
                <w:b/>
                <w:bCs/>
                <w:color w:val="auto"/>
              </w:rPr>
              <w:t>九</w:t>
            </w:r>
            <w:r>
              <w:rPr>
                <w:b/>
                <w:bCs/>
                <w:color w:val="auto"/>
              </w:rPr>
              <w:t>、生态环境</w:t>
            </w:r>
            <w:r>
              <w:rPr>
                <w:rFonts w:hint="eastAsia"/>
                <w:b/>
                <w:bCs/>
                <w:color w:val="auto"/>
              </w:rPr>
              <w:t>影响分析</w:t>
            </w:r>
          </w:p>
          <w:p>
            <w:pPr>
              <w:ind w:firstLine="480"/>
              <w:rPr>
                <w:rFonts w:hint="eastAsia"/>
                <w:color w:val="auto"/>
              </w:rPr>
            </w:pPr>
            <w:r>
              <w:rPr>
                <w:color w:val="auto"/>
              </w:rPr>
              <w:t>根据现场调查，本项目所在地由于人类活动频繁，不存在原生植被， 区域内以人工植被为主，区域内无大型野生动物和古大珍稀植物，无特殊文物保护单位等。</w:t>
            </w:r>
          </w:p>
          <w:p>
            <w:pPr>
              <w:pStyle w:val="5"/>
              <w:rPr>
                <w:color w:val="auto"/>
              </w:rPr>
            </w:pPr>
            <w:r>
              <w:rPr>
                <w:color w:val="auto"/>
              </w:rPr>
              <w:t>十、环保投资估算</w:t>
            </w:r>
          </w:p>
          <w:p>
            <w:pPr>
              <w:ind w:firstLine="480"/>
              <w:rPr>
                <w:color w:val="auto"/>
              </w:rPr>
            </w:pPr>
            <w:r>
              <w:rPr>
                <w:color w:val="auto"/>
              </w:rPr>
              <w:t>为了做好环境保护及废物的处理工作，把污染物排放对周围环境的影响降低到最低限度，本项目对“三废”污染源采取如下防治措施。本项目总投资</w:t>
            </w:r>
            <w:r>
              <w:rPr>
                <w:rFonts w:hint="eastAsia"/>
                <w:color w:val="auto"/>
              </w:rPr>
              <w:t>15</w:t>
            </w:r>
            <w:r>
              <w:rPr>
                <w:color w:val="auto"/>
              </w:rPr>
              <w:t>万元，其中环保投资</w:t>
            </w:r>
            <w:r>
              <w:rPr>
                <w:rFonts w:hint="eastAsia"/>
                <w:color w:val="auto"/>
              </w:rPr>
              <w:t>2</w:t>
            </w:r>
            <w:r>
              <w:rPr>
                <w:color w:val="auto"/>
              </w:rPr>
              <w:t>万，占总投资的</w:t>
            </w:r>
            <w:r>
              <w:rPr>
                <w:rFonts w:hint="eastAsia"/>
                <w:color w:val="auto"/>
              </w:rPr>
              <w:t>13.3</w:t>
            </w:r>
            <w:r>
              <w:rPr>
                <w:color w:val="auto"/>
              </w:rPr>
              <w:t>%。</w:t>
            </w:r>
          </w:p>
          <w:p>
            <w:pPr>
              <w:pStyle w:val="102"/>
              <w:ind w:left="422" w:hanging="422"/>
              <w:rPr>
                <w:color w:val="auto"/>
              </w:rPr>
            </w:pPr>
            <w:r>
              <w:rPr>
                <w:color w:val="auto"/>
              </w:rPr>
              <w:t>表 4-</w:t>
            </w:r>
            <w:r>
              <w:rPr>
                <w:rFonts w:hint="eastAsia"/>
                <w:color w:val="auto"/>
              </w:rPr>
              <w:t>9</w:t>
            </w:r>
            <w:r>
              <w:rPr>
                <w:color w:val="auto"/>
              </w:rPr>
              <w:t xml:space="preserve">    项目环保措施及投资估算一览表</w:t>
            </w:r>
          </w:p>
          <w:tbl>
            <w:tblPr>
              <w:tblStyle w:val="3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44"/>
              <w:gridCol w:w="1035"/>
              <w:gridCol w:w="3360"/>
              <w:gridCol w:w="1380"/>
              <w:gridCol w:w="10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4" w:type="dxa"/>
                  <w:noWrap w:val="0"/>
                  <w:vAlign w:val="center"/>
                </w:tcPr>
                <w:p>
                  <w:pPr>
                    <w:pStyle w:val="69"/>
                    <w:rPr>
                      <w:rFonts w:hint="eastAsia"/>
                      <w:color w:val="auto"/>
                    </w:rPr>
                  </w:pPr>
                  <w:r>
                    <w:rPr>
                      <w:color w:val="auto"/>
                    </w:rPr>
                    <mc:AlternateContent>
                      <mc:Choice Requires="wps">
                        <w:drawing>
                          <wp:anchor distT="0" distB="0" distL="114300" distR="114300" simplePos="0" relativeHeight="251667456" behindDoc="0" locked="0" layoutInCell="1" allowOverlap="1">
                            <wp:simplePos x="0" y="0"/>
                            <wp:positionH relativeFrom="page">
                              <wp:posOffset>69215</wp:posOffset>
                            </wp:positionH>
                            <wp:positionV relativeFrom="page">
                              <wp:posOffset>7620</wp:posOffset>
                            </wp:positionV>
                            <wp:extent cx="3175" cy="194310"/>
                            <wp:effectExtent l="0" t="0" r="15875" b="15240"/>
                            <wp:wrapNone/>
                            <wp:docPr id="26" name="矩形 26"/>
                            <wp:cNvGraphicFramePr/>
                            <a:graphic xmlns:a="http://schemas.openxmlformats.org/drawingml/2006/main">
                              <a:graphicData uri="http://schemas.microsoft.com/office/word/2010/wordprocessingShape">
                                <wps:wsp>
                                  <wps:cNvSpPr/>
                                  <wps:spPr>
                                    <a:xfrm>
                                      <a:off x="0" y="0"/>
                                      <a:ext cx="3175" cy="194310"/>
                                    </a:xfrm>
                                    <a:prstGeom prst="rect">
                                      <a:avLst/>
                                    </a:prstGeom>
                                    <a:solidFill>
                                      <a:srgbClr val="000000">
                                        <a:alpha val="80392"/>
                                      </a:srgbClr>
                                    </a:solidFill>
                                    <a:ln>
                                      <a:noFill/>
                                    </a:ln>
                                  </wps:spPr>
                                  <wps:bodyPr upright="1"/>
                                </wps:wsp>
                              </a:graphicData>
                            </a:graphic>
                          </wp:anchor>
                        </w:drawing>
                      </mc:Choice>
                      <mc:Fallback>
                        <w:pict>
                          <v:rect id="_x0000_s1026" o:spid="_x0000_s1026" o:spt="1" style="position:absolute;left:0pt;margin-left:5.45pt;margin-top:0.6pt;height:15.3pt;width:0.25pt;mso-position-horizontal-relative:page;mso-position-vertical-relative:page;z-index:251667456;mso-width-relative:page;mso-height-relative:page;" fillcolor="#000000" filled="t" stroked="f" coordsize="21600,21600" o:gfxdata="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CSH+ETWAAAABgEAAA8AAAAAAAAAAQAgAAAAIgAAAGRycy9kb3ducmV2LnhtbFBL&#10;AQIUABQAAAAIAIdO4kAh7nEEvwEAAH8DAAAOAAAAAAAAAAEAIAAAACUBAABkcnMvZTJvRG9jLnht&#10;bFBLBQYAAAAABgAGAFkBAABWBQAAAAA=&#10;">
                            <v:fill on="t" opacity="52685f" focussize="0,0"/>
                            <v:stroke on="f"/>
                            <v:imagedata o:title=""/>
                            <o:lock v:ext="edit" aspectratio="f"/>
                          </v:rect>
                        </w:pict>
                      </mc:Fallback>
                    </mc:AlternateContent>
                  </w:r>
                  <w:r>
                    <w:rPr>
                      <w:color w:val="auto"/>
                    </w:rPr>
                    <w:t>项目</w:t>
                  </w:r>
                </w:p>
              </w:tc>
              <w:tc>
                <w:tcPr>
                  <w:tcW w:w="4395" w:type="dxa"/>
                  <w:gridSpan w:val="2"/>
                  <w:noWrap w:val="0"/>
                  <w:vAlign w:val="center"/>
                </w:tcPr>
                <w:p>
                  <w:pPr>
                    <w:pStyle w:val="69"/>
                    <w:rPr>
                      <w:rFonts w:hint="eastAsia"/>
                      <w:color w:val="auto"/>
                    </w:rPr>
                  </w:pPr>
                  <w:r>
                    <w:rPr>
                      <w:color w:val="auto"/>
                    </w:rPr>
                    <w:t>内容、数量及规模</w:t>
                  </w:r>
                </w:p>
              </w:tc>
              <w:tc>
                <w:tcPr>
                  <w:tcW w:w="1380" w:type="dxa"/>
                  <w:noWrap w:val="0"/>
                  <w:vAlign w:val="center"/>
                </w:tcPr>
                <w:p>
                  <w:pPr>
                    <w:pStyle w:val="69"/>
                    <w:rPr>
                      <w:rFonts w:hint="eastAsia"/>
                      <w:color w:val="auto"/>
                    </w:rPr>
                  </w:pPr>
                  <w:r>
                    <w:rPr>
                      <w:color w:val="auto"/>
                    </w:rPr>
                    <w:t>投资</w:t>
                  </w:r>
                  <w:r>
                    <w:rPr>
                      <w:rFonts w:hint="eastAsia"/>
                      <w:color w:val="auto"/>
                    </w:rPr>
                    <w:t>（万元）</w:t>
                  </w:r>
                </w:p>
              </w:tc>
              <w:tc>
                <w:tcPr>
                  <w:tcW w:w="1027" w:type="dxa"/>
                  <w:noWrap w:val="0"/>
                  <w:vAlign w:val="center"/>
                </w:tcPr>
                <w:p>
                  <w:pPr>
                    <w:pStyle w:val="69"/>
                    <w:rPr>
                      <w:rFonts w:hint="eastAsia"/>
                      <w:color w:val="auto"/>
                    </w:rPr>
                  </w:pPr>
                  <w:r>
                    <w:rPr>
                      <w:color w:val="auto"/>
                    </w:rPr>
                    <mc:AlternateContent>
                      <mc:Choice Requires="wps">
                        <w:drawing>
                          <wp:anchor distT="0" distB="0" distL="114300" distR="114300" simplePos="0" relativeHeight="251668480" behindDoc="0" locked="0" layoutInCell="1" allowOverlap="1">
                            <wp:simplePos x="0" y="0"/>
                            <wp:positionH relativeFrom="page">
                              <wp:posOffset>521335</wp:posOffset>
                            </wp:positionH>
                            <wp:positionV relativeFrom="page">
                              <wp:posOffset>7620</wp:posOffset>
                            </wp:positionV>
                            <wp:extent cx="3175" cy="194310"/>
                            <wp:effectExtent l="0" t="0" r="15875" b="15240"/>
                            <wp:wrapNone/>
                            <wp:docPr id="25" name="矩形 25"/>
                            <wp:cNvGraphicFramePr/>
                            <a:graphic xmlns:a="http://schemas.openxmlformats.org/drawingml/2006/main">
                              <a:graphicData uri="http://schemas.microsoft.com/office/word/2010/wordprocessingShape">
                                <wps:wsp>
                                  <wps:cNvSpPr/>
                                  <wps:spPr>
                                    <a:xfrm>
                                      <a:off x="0" y="0"/>
                                      <a:ext cx="3175" cy="194310"/>
                                    </a:xfrm>
                                    <a:prstGeom prst="rect">
                                      <a:avLst/>
                                    </a:prstGeom>
                                    <a:solidFill>
                                      <a:srgbClr val="000000">
                                        <a:alpha val="70197"/>
                                      </a:srgbClr>
                                    </a:solidFill>
                                    <a:ln>
                                      <a:noFill/>
                                    </a:ln>
                                  </wps:spPr>
                                  <wps:bodyPr upright="1"/>
                                </wps:wsp>
                              </a:graphicData>
                            </a:graphic>
                          </wp:anchor>
                        </w:drawing>
                      </mc:Choice>
                      <mc:Fallback>
                        <w:pict>
                          <v:rect id="_x0000_s1026" o:spid="_x0000_s1026" o:spt="1" style="position:absolute;left:0pt;margin-left:41.05pt;margin-top:0.6pt;height:15.3pt;width:0.25pt;mso-position-horizontal-relative:page;mso-position-vertical-relative:page;z-index:251668480;mso-width-relative:page;mso-height-relative:page;" fillcolor="#000000" filled="t" stroked="f" coordsize="21600,21600" o:gfxdata="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">
                            <v:fill on="t" opacity="46004f" focussize="0,0"/>
                            <v:stroke on="f"/>
                            <v:imagedata o:title=""/>
                            <o:lock v:ext="edit" aspectratio="f"/>
                          </v:rect>
                        </w:pict>
                      </mc:Fallback>
                    </mc:AlternateContent>
                  </w:r>
                  <w:r>
                    <w:rPr>
                      <w:color w:val="auto"/>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44" w:type="dxa"/>
                  <w:vMerge w:val="restart"/>
                  <w:noWrap w:val="0"/>
                  <w:vAlign w:val="center"/>
                </w:tcPr>
                <w:p>
                  <w:pPr>
                    <w:pStyle w:val="69"/>
                    <w:rPr>
                      <w:color w:val="auto"/>
                    </w:rPr>
                  </w:pPr>
                  <w:r>
                    <w:rPr>
                      <w:color w:val="auto"/>
                    </w:rPr>
                    <w:t>废水</w:t>
                  </w:r>
                </w:p>
                <w:p>
                  <w:pPr>
                    <w:pStyle w:val="69"/>
                    <w:rPr>
                      <w:rFonts w:hint="eastAsia"/>
                      <w:color w:val="auto"/>
                    </w:rPr>
                  </w:pPr>
                  <w:r>
                    <w:rPr>
                      <w:color w:val="auto"/>
                    </w:rPr>
                    <w:t>治理</w:t>
                  </w:r>
                </w:p>
              </w:tc>
              <w:tc>
                <w:tcPr>
                  <w:tcW w:w="4395" w:type="dxa"/>
                  <w:gridSpan w:val="2"/>
                  <w:noWrap w:val="0"/>
                  <w:vAlign w:val="center"/>
                </w:tcPr>
                <w:p>
                  <w:pPr>
                    <w:pStyle w:val="69"/>
                    <w:rPr>
                      <w:rFonts w:hint="eastAsia"/>
                      <w:color w:val="auto"/>
                    </w:rPr>
                  </w:pPr>
                  <w:r>
                    <w:rPr>
                      <w:rFonts w:hint="eastAsia"/>
                      <w:color w:val="auto"/>
                    </w:rPr>
                    <w:t>卫生间处设置一台一体化的污水处理设施，进行过滤沉淀+消毒预处理后同生活污水排入满芳庭锦邻小区预处理池</w:t>
                  </w:r>
                </w:p>
              </w:tc>
              <w:tc>
                <w:tcPr>
                  <w:tcW w:w="1380" w:type="dxa"/>
                  <w:noWrap w:val="0"/>
                  <w:vAlign w:val="center"/>
                </w:tcPr>
                <w:p>
                  <w:pPr>
                    <w:pStyle w:val="69"/>
                    <w:rPr>
                      <w:color w:val="auto"/>
                    </w:rPr>
                  </w:pPr>
                  <w:r>
                    <w:rPr>
                      <w:rFonts w:hint="eastAsia"/>
                      <w:color w:val="auto"/>
                    </w:rPr>
                    <w:t>0.5</w:t>
                  </w:r>
                </w:p>
              </w:tc>
              <w:tc>
                <w:tcPr>
                  <w:tcW w:w="1027" w:type="dxa"/>
                  <w:noWrap w:val="0"/>
                  <w:vAlign w:val="center"/>
                </w:tcPr>
                <w:p>
                  <w:pPr>
                    <w:pStyle w:val="69"/>
                    <w:rPr>
                      <w:rFonts w:hint="eastAsia"/>
                      <w:color w:val="auto"/>
                    </w:rPr>
                  </w:pPr>
                  <w:r>
                    <w:rPr>
                      <w:rFonts w:hint="eastAsia"/>
                      <w:color w:val="auto"/>
                    </w:rPr>
                    <w:t>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4" w:type="dxa"/>
                  <w:vMerge w:val="continue"/>
                  <w:noWrap w:val="0"/>
                  <w:vAlign w:val="center"/>
                </w:tcPr>
                <w:p>
                  <w:pPr>
                    <w:pStyle w:val="69"/>
                    <w:rPr>
                      <w:rFonts w:hint="eastAsia"/>
                      <w:color w:val="auto"/>
                    </w:rPr>
                  </w:pPr>
                </w:p>
              </w:tc>
              <w:tc>
                <w:tcPr>
                  <w:tcW w:w="4395" w:type="dxa"/>
                  <w:gridSpan w:val="2"/>
                  <w:noWrap w:val="0"/>
                  <w:vAlign w:val="center"/>
                </w:tcPr>
                <w:p>
                  <w:pPr>
                    <w:pStyle w:val="69"/>
                    <w:rPr>
                      <w:rFonts w:hint="eastAsia"/>
                      <w:color w:val="auto"/>
                    </w:rPr>
                  </w:pPr>
                  <w:r>
                    <w:rPr>
                      <w:rFonts w:hint="eastAsia"/>
                      <w:color w:val="auto"/>
                    </w:rPr>
                    <w:t>生活污水预处理：经管道排入满芳庭锦邻小区预处理池，处理后排入市政污水管网</w:t>
                  </w:r>
                </w:p>
              </w:tc>
              <w:tc>
                <w:tcPr>
                  <w:tcW w:w="1380" w:type="dxa"/>
                  <w:noWrap w:val="0"/>
                  <w:vAlign w:val="center"/>
                </w:tcPr>
                <w:p>
                  <w:pPr>
                    <w:pStyle w:val="69"/>
                    <w:rPr>
                      <w:rFonts w:hint="eastAsia"/>
                      <w:color w:val="auto"/>
                    </w:rPr>
                  </w:pPr>
                  <w:r>
                    <w:rPr>
                      <w:color w:val="auto"/>
                    </w:rPr>
                    <w:t>/</w:t>
                  </w:r>
                </w:p>
              </w:tc>
              <w:tc>
                <w:tcPr>
                  <w:tcW w:w="1027" w:type="dxa"/>
                  <w:noWrap w:val="0"/>
                  <w:vAlign w:val="center"/>
                </w:tcPr>
                <w:p>
                  <w:pPr>
                    <w:pStyle w:val="69"/>
                    <w:rPr>
                      <w:rFonts w:hint="eastAsia"/>
                      <w:color w:val="auto"/>
                    </w:rPr>
                  </w:pPr>
                  <w:r>
                    <w:rPr>
                      <w:color w:val="auto"/>
                    </w:rPr>
                    <w:t>依托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4" w:type="dxa"/>
                  <w:noWrap w:val="0"/>
                  <w:vAlign w:val="center"/>
                </w:tcPr>
                <w:p>
                  <w:pPr>
                    <w:pStyle w:val="69"/>
                    <w:rPr>
                      <w:color w:val="auto"/>
                    </w:rPr>
                  </w:pPr>
                  <w:r>
                    <w:rPr>
                      <w:color w:val="auto"/>
                    </w:rPr>
                    <w:t>废气</w:t>
                  </w:r>
                </w:p>
                <w:p>
                  <w:pPr>
                    <w:pStyle w:val="69"/>
                    <w:rPr>
                      <w:rFonts w:hint="eastAsia"/>
                      <w:color w:val="auto"/>
                    </w:rPr>
                  </w:pPr>
                  <w:r>
                    <w:rPr>
                      <w:color w:val="auto"/>
                    </w:rPr>
                    <w:t>治理</w:t>
                  </w:r>
                </w:p>
              </w:tc>
              <w:tc>
                <w:tcPr>
                  <w:tcW w:w="4395" w:type="dxa"/>
                  <w:gridSpan w:val="2"/>
                  <w:noWrap w:val="0"/>
                  <w:vAlign w:val="center"/>
                </w:tcPr>
                <w:p>
                  <w:pPr>
                    <w:pStyle w:val="69"/>
                    <w:rPr>
                      <w:rFonts w:hint="eastAsia"/>
                      <w:color w:val="auto"/>
                    </w:rPr>
                  </w:pPr>
                  <w:r>
                    <w:rPr>
                      <w:rFonts w:hint="eastAsia"/>
                      <w:color w:val="auto"/>
                    </w:rPr>
                    <w:t>采取紫外线灯照射+环境空气消毒（用过硫酸氢钾复合粉兑水喷洒）+新风系统净化空气，定期清洁，定期开窗通风，加强院内空气流通</w:t>
                  </w:r>
                </w:p>
              </w:tc>
              <w:tc>
                <w:tcPr>
                  <w:tcW w:w="1380" w:type="dxa"/>
                  <w:noWrap w:val="0"/>
                  <w:vAlign w:val="center"/>
                </w:tcPr>
                <w:p>
                  <w:pPr>
                    <w:pStyle w:val="69"/>
                    <w:rPr>
                      <w:color w:val="auto"/>
                    </w:rPr>
                  </w:pPr>
                  <w:r>
                    <w:rPr>
                      <w:rFonts w:hint="eastAsia"/>
                      <w:color w:val="auto"/>
                    </w:rPr>
                    <w:t>0.5</w:t>
                  </w:r>
                </w:p>
              </w:tc>
              <w:tc>
                <w:tcPr>
                  <w:tcW w:w="1027" w:type="dxa"/>
                  <w:noWrap w:val="0"/>
                  <w:vAlign w:val="center"/>
                </w:tcPr>
                <w:p>
                  <w:pPr>
                    <w:pStyle w:val="69"/>
                    <w:rPr>
                      <w:rFonts w:hint="eastAsia"/>
                      <w:color w:val="auto"/>
                    </w:rPr>
                  </w:pPr>
                  <w:r>
                    <w:rPr>
                      <w:rFonts w:hint="eastAsia"/>
                      <w:color w:val="auto"/>
                    </w:rPr>
                    <w:t>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4" w:type="dxa"/>
                  <w:noWrap w:val="0"/>
                  <w:vAlign w:val="center"/>
                </w:tcPr>
                <w:p>
                  <w:pPr>
                    <w:pStyle w:val="69"/>
                    <w:rPr>
                      <w:color w:val="auto"/>
                    </w:rPr>
                  </w:pPr>
                  <w:r>
                    <w:rPr>
                      <w:color w:val="auto"/>
                    </w:rPr>
                    <w:t>噪声</w:t>
                  </w:r>
                </w:p>
                <w:p>
                  <w:pPr>
                    <w:pStyle w:val="69"/>
                    <w:rPr>
                      <w:rFonts w:hint="eastAsia"/>
                      <w:color w:val="auto"/>
                    </w:rPr>
                  </w:pPr>
                  <w:r>
                    <w:rPr>
                      <w:color w:val="auto"/>
                    </w:rPr>
                    <w:t>治理</w:t>
                  </w:r>
                </w:p>
              </w:tc>
              <w:tc>
                <w:tcPr>
                  <w:tcW w:w="4395" w:type="dxa"/>
                  <w:gridSpan w:val="2"/>
                  <w:noWrap w:val="0"/>
                  <w:vAlign w:val="center"/>
                </w:tcPr>
                <w:p>
                  <w:pPr>
                    <w:pStyle w:val="69"/>
                    <w:rPr>
                      <w:rFonts w:hint="eastAsia"/>
                      <w:color w:val="auto"/>
                    </w:rPr>
                  </w:pPr>
                  <w:r>
                    <w:rPr>
                      <w:color w:val="auto"/>
                    </w:rPr>
                    <w:t>距离衰减、宠物佩戴口罩和住院室采用隔声处理</w:t>
                  </w:r>
                </w:p>
              </w:tc>
              <w:tc>
                <w:tcPr>
                  <w:tcW w:w="1380" w:type="dxa"/>
                  <w:noWrap w:val="0"/>
                  <w:vAlign w:val="center"/>
                </w:tcPr>
                <w:p>
                  <w:pPr>
                    <w:pStyle w:val="69"/>
                    <w:rPr>
                      <w:rFonts w:hint="eastAsia"/>
                      <w:color w:val="auto"/>
                    </w:rPr>
                  </w:pPr>
                  <w:r>
                    <w:rPr>
                      <w:color w:val="auto"/>
                    </w:rPr>
                    <w:t>0.5</w:t>
                  </w:r>
                </w:p>
              </w:tc>
              <w:tc>
                <w:tcPr>
                  <w:tcW w:w="1027" w:type="dxa"/>
                  <w:noWrap w:val="0"/>
                  <w:vAlign w:val="center"/>
                </w:tcPr>
                <w:p>
                  <w:pPr>
                    <w:pStyle w:val="69"/>
                    <w:rPr>
                      <w:rFonts w:hint="eastAsia"/>
                      <w:color w:val="auto"/>
                    </w:rPr>
                  </w:pPr>
                  <w:r>
                    <w:rPr>
                      <w:rFonts w:hint="eastAsia"/>
                      <w:color w:val="auto"/>
                    </w:rPr>
                    <w:t>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44" w:type="dxa"/>
                  <w:vMerge w:val="restart"/>
                  <w:noWrap w:val="0"/>
                  <w:vAlign w:val="center"/>
                </w:tcPr>
                <w:p>
                  <w:pPr>
                    <w:pStyle w:val="69"/>
                    <w:rPr>
                      <w:color w:val="auto"/>
                    </w:rPr>
                  </w:pPr>
                  <w:r>
                    <w:rPr>
                      <w:color w:val="auto"/>
                    </w:rPr>
                    <w:t>固废</w:t>
                  </w:r>
                </w:p>
                <w:p>
                  <w:pPr>
                    <w:pStyle w:val="69"/>
                    <w:rPr>
                      <w:rFonts w:hint="eastAsia"/>
                      <w:color w:val="auto"/>
                    </w:rPr>
                  </w:pPr>
                  <w:r>
                    <w:rPr>
                      <w:color w:val="auto"/>
                    </w:rPr>
                    <w:t>处理</w:t>
                  </w:r>
                </w:p>
              </w:tc>
              <w:tc>
                <w:tcPr>
                  <w:tcW w:w="1035" w:type="dxa"/>
                  <w:noWrap w:val="0"/>
                  <w:vAlign w:val="center"/>
                </w:tcPr>
                <w:p>
                  <w:pPr>
                    <w:pStyle w:val="170"/>
                    <w:rPr>
                      <w:rFonts w:hint="eastAsia"/>
                      <w:color w:val="auto"/>
                    </w:rPr>
                  </w:pPr>
                  <w:r>
                    <w:rPr>
                      <w:rFonts w:hint="eastAsia"/>
                      <w:color w:val="auto"/>
                    </w:rPr>
                    <w:t>生活垃圾</w:t>
                  </w:r>
                </w:p>
              </w:tc>
              <w:tc>
                <w:tcPr>
                  <w:tcW w:w="3360" w:type="dxa"/>
                  <w:vMerge w:val="restart"/>
                  <w:noWrap w:val="0"/>
                  <w:vAlign w:val="center"/>
                </w:tcPr>
                <w:p>
                  <w:pPr>
                    <w:pStyle w:val="170"/>
                    <w:rPr>
                      <w:color w:val="auto"/>
                    </w:rPr>
                  </w:pPr>
                  <w:r>
                    <w:rPr>
                      <w:rFonts w:hint="eastAsia"/>
                      <w:color w:val="auto"/>
                    </w:rPr>
                    <w:t>生活垃圾收集后放置于社区生活垃圾暂存点待环卫部门转运处置；宠物毛发和粪便集中收集，喷洒消毒剂后同生活垃圾交由市环卫部门统一收集清运和处理</w:t>
                  </w:r>
                </w:p>
              </w:tc>
              <w:tc>
                <w:tcPr>
                  <w:tcW w:w="1380" w:type="dxa"/>
                  <w:vMerge w:val="restart"/>
                  <w:noWrap w:val="0"/>
                  <w:vAlign w:val="center"/>
                </w:tcPr>
                <w:p>
                  <w:pPr>
                    <w:pStyle w:val="69"/>
                    <w:rPr>
                      <w:color w:val="auto"/>
                    </w:rPr>
                  </w:pPr>
                  <w:r>
                    <w:rPr>
                      <w:rFonts w:hint="eastAsia"/>
                      <w:color w:val="auto"/>
                    </w:rPr>
                    <w:t>0.2</w:t>
                  </w:r>
                </w:p>
              </w:tc>
              <w:tc>
                <w:tcPr>
                  <w:tcW w:w="1027" w:type="dxa"/>
                  <w:noWrap w:val="0"/>
                  <w:vAlign w:val="center"/>
                </w:tcPr>
                <w:p>
                  <w:pPr>
                    <w:pStyle w:val="69"/>
                    <w:rPr>
                      <w:rFonts w:hint="eastAsia"/>
                      <w:color w:val="auto"/>
                    </w:rPr>
                  </w:pPr>
                  <w:r>
                    <w:rPr>
                      <w:rFonts w:hint="eastAsia"/>
                      <w:color w:val="auto"/>
                    </w:rPr>
                    <w:t>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4" w:type="dxa"/>
                  <w:vMerge w:val="continue"/>
                  <w:noWrap w:val="0"/>
                  <w:vAlign w:val="center"/>
                </w:tcPr>
                <w:p>
                  <w:pPr>
                    <w:pStyle w:val="69"/>
                    <w:rPr>
                      <w:rFonts w:hint="eastAsia"/>
                      <w:color w:val="auto"/>
                    </w:rPr>
                  </w:pPr>
                </w:p>
              </w:tc>
              <w:tc>
                <w:tcPr>
                  <w:tcW w:w="1035" w:type="dxa"/>
                  <w:noWrap w:val="0"/>
                  <w:vAlign w:val="center"/>
                </w:tcPr>
                <w:p>
                  <w:pPr>
                    <w:pStyle w:val="170"/>
                    <w:rPr>
                      <w:rFonts w:hint="eastAsia"/>
                      <w:color w:val="auto"/>
                    </w:rPr>
                  </w:pPr>
                  <w:r>
                    <w:rPr>
                      <w:rFonts w:hint="eastAsia"/>
                      <w:color w:val="auto"/>
                    </w:rPr>
                    <w:t>宠物粪便</w:t>
                  </w:r>
                </w:p>
              </w:tc>
              <w:tc>
                <w:tcPr>
                  <w:tcW w:w="3360" w:type="dxa"/>
                  <w:vMerge w:val="continue"/>
                  <w:noWrap w:val="0"/>
                  <w:vAlign w:val="center"/>
                </w:tcPr>
                <w:p>
                  <w:pPr>
                    <w:pStyle w:val="170"/>
                    <w:rPr>
                      <w:color w:val="auto"/>
                    </w:rPr>
                  </w:pPr>
                </w:p>
              </w:tc>
              <w:tc>
                <w:tcPr>
                  <w:tcW w:w="1380" w:type="dxa"/>
                  <w:vMerge w:val="continue"/>
                  <w:noWrap w:val="0"/>
                  <w:vAlign w:val="center"/>
                </w:tcPr>
                <w:p>
                  <w:pPr>
                    <w:pStyle w:val="69"/>
                    <w:rPr>
                      <w:rFonts w:hint="eastAsia"/>
                      <w:color w:val="auto"/>
                    </w:rPr>
                  </w:pPr>
                </w:p>
              </w:tc>
              <w:tc>
                <w:tcPr>
                  <w:tcW w:w="1027" w:type="dxa"/>
                  <w:noWrap w:val="0"/>
                  <w:vAlign w:val="center"/>
                </w:tcPr>
                <w:p>
                  <w:pPr>
                    <w:pStyle w:val="69"/>
                    <w:rPr>
                      <w:rFonts w:hint="eastAsia"/>
                      <w:color w:val="auto"/>
                    </w:rPr>
                  </w:pPr>
                  <w:r>
                    <w:rPr>
                      <w:rFonts w:hint="eastAsia"/>
                      <w:color w:val="auto"/>
                    </w:rPr>
                    <w:t>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2" w:hRule="atLeast"/>
              </w:trPr>
              <w:tc>
                <w:tcPr>
                  <w:tcW w:w="1144" w:type="dxa"/>
                  <w:vMerge w:val="continue"/>
                  <w:noWrap w:val="0"/>
                  <w:vAlign w:val="center"/>
                </w:tcPr>
                <w:p>
                  <w:pPr>
                    <w:pStyle w:val="69"/>
                    <w:rPr>
                      <w:rFonts w:hint="eastAsia"/>
                      <w:color w:val="auto"/>
                    </w:rPr>
                  </w:pPr>
                </w:p>
              </w:tc>
              <w:tc>
                <w:tcPr>
                  <w:tcW w:w="1035" w:type="dxa"/>
                  <w:noWrap w:val="0"/>
                  <w:vAlign w:val="center"/>
                </w:tcPr>
                <w:p>
                  <w:pPr>
                    <w:pStyle w:val="170"/>
                    <w:rPr>
                      <w:rFonts w:hint="eastAsia"/>
                      <w:color w:val="auto"/>
                    </w:rPr>
                  </w:pPr>
                  <w:r>
                    <w:rPr>
                      <w:rFonts w:hint="eastAsia"/>
                      <w:color w:val="auto"/>
                    </w:rPr>
                    <w:t>宠物毛发</w:t>
                  </w:r>
                </w:p>
              </w:tc>
              <w:tc>
                <w:tcPr>
                  <w:tcW w:w="3360" w:type="dxa"/>
                  <w:vMerge w:val="continue"/>
                  <w:noWrap w:val="0"/>
                  <w:vAlign w:val="center"/>
                </w:tcPr>
                <w:p>
                  <w:pPr>
                    <w:pStyle w:val="170"/>
                    <w:rPr>
                      <w:color w:val="auto"/>
                    </w:rPr>
                  </w:pPr>
                </w:p>
              </w:tc>
              <w:tc>
                <w:tcPr>
                  <w:tcW w:w="1380" w:type="dxa"/>
                  <w:vMerge w:val="continue"/>
                  <w:noWrap w:val="0"/>
                  <w:vAlign w:val="center"/>
                </w:tcPr>
                <w:p>
                  <w:pPr>
                    <w:pStyle w:val="69"/>
                    <w:rPr>
                      <w:rFonts w:hint="eastAsia"/>
                      <w:color w:val="auto"/>
                    </w:rPr>
                  </w:pPr>
                </w:p>
              </w:tc>
              <w:tc>
                <w:tcPr>
                  <w:tcW w:w="1027" w:type="dxa"/>
                  <w:noWrap w:val="0"/>
                  <w:vAlign w:val="center"/>
                </w:tcPr>
                <w:p>
                  <w:pPr>
                    <w:pStyle w:val="69"/>
                    <w:rPr>
                      <w:rFonts w:hint="eastAsia"/>
                      <w:color w:val="auto"/>
                    </w:rPr>
                  </w:pPr>
                  <w:r>
                    <w:rPr>
                      <w:rFonts w:hint="eastAsia"/>
                      <w:color w:val="auto"/>
                    </w:rPr>
                    <w:t>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6" w:hRule="atLeast"/>
              </w:trPr>
              <w:tc>
                <w:tcPr>
                  <w:tcW w:w="1144" w:type="dxa"/>
                  <w:vMerge w:val="continue"/>
                  <w:noWrap w:val="0"/>
                  <w:vAlign w:val="center"/>
                </w:tcPr>
                <w:p>
                  <w:pPr>
                    <w:pStyle w:val="69"/>
                    <w:rPr>
                      <w:rFonts w:hint="eastAsia"/>
                      <w:color w:val="auto"/>
                    </w:rPr>
                  </w:pPr>
                </w:p>
              </w:tc>
              <w:tc>
                <w:tcPr>
                  <w:tcW w:w="1035" w:type="dxa"/>
                  <w:noWrap w:val="0"/>
                  <w:vAlign w:val="center"/>
                </w:tcPr>
                <w:p>
                  <w:pPr>
                    <w:pStyle w:val="170"/>
                    <w:rPr>
                      <w:rFonts w:hint="eastAsia"/>
                      <w:color w:val="auto"/>
                    </w:rPr>
                  </w:pPr>
                  <w:r>
                    <w:rPr>
                      <w:rFonts w:hint="eastAsia"/>
                      <w:color w:val="auto"/>
                    </w:rPr>
                    <w:t>宠物尸体</w:t>
                  </w:r>
                </w:p>
              </w:tc>
              <w:tc>
                <w:tcPr>
                  <w:tcW w:w="3360" w:type="dxa"/>
                  <w:noWrap w:val="0"/>
                  <w:vAlign w:val="center"/>
                </w:tcPr>
                <w:p>
                  <w:pPr>
                    <w:pStyle w:val="170"/>
                    <w:rPr>
                      <w:color w:val="auto"/>
                    </w:rPr>
                  </w:pPr>
                  <w:r>
                    <w:rPr>
                      <w:rFonts w:hint="eastAsia"/>
                      <w:color w:val="auto"/>
                    </w:rPr>
                    <w:t>经消毒后采用密封袋封存，当天通知并交由资质单位处置，不在院内储存</w:t>
                  </w:r>
                </w:p>
              </w:tc>
              <w:tc>
                <w:tcPr>
                  <w:tcW w:w="1380" w:type="dxa"/>
                  <w:noWrap w:val="0"/>
                  <w:vAlign w:val="center"/>
                </w:tcPr>
                <w:p>
                  <w:pPr>
                    <w:pStyle w:val="69"/>
                    <w:rPr>
                      <w:color w:val="auto"/>
                    </w:rPr>
                  </w:pPr>
                  <w:r>
                    <w:rPr>
                      <w:rFonts w:hint="eastAsia"/>
                      <w:color w:val="auto"/>
                    </w:rPr>
                    <w:t>0.1</w:t>
                  </w:r>
                </w:p>
              </w:tc>
              <w:tc>
                <w:tcPr>
                  <w:tcW w:w="1027" w:type="dxa"/>
                  <w:noWrap w:val="0"/>
                  <w:vAlign w:val="center"/>
                </w:tcPr>
                <w:p>
                  <w:pPr>
                    <w:pStyle w:val="69"/>
                    <w:rPr>
                      <w:rFonts w:hint="eastAsia"/>
                      <w:color w:val="auto"/>
                    </w:rPr>
                  </w:pPr>
                  <w:r>
                    <w:rPr>
                      <w:rFonts w:hint="eastAsia"/>
                      <w:color w:val="auto"/>
                    </w:rPr>
                    <w:t>已建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1144" w:type="dxa"/>
                  <w:vMerge w:val="continue"/>
                  <w:noWrap w:val="0"/>
                  <w:vAlign w:val="center"/>
                </w:tcPr>
                <w:p>
                  <w:pPr>
                    <w:pStyle w:val="69"/>
                    <w:rPr>
                      <w:rFonts w:hint="eastAsia"/>
                      <w:color w:val="auto"/>
                    </w:rPr>
                  </w:pPr>
                </w:p>
              </w:tc>
              <w:tc>
                <w:tcPr>
                  <w:tcW w:w="1035" w:type="dxa"/>
                  <w:noWrap w:val="0"/>
                  <w:vAlign w:val="center"/>
                </w:tcPr>
                <w:p>
                  <w:pPr>
                    <w:pStyle w:val="170"/>
                    <w:rPr>
                      <w:rFonts w:hint="eastAsia"/>
                      <w:color w:val="auto"/>
                    </w:rPr>
                  </w:pPr>
                  <w:r>
                    <w:rPr>
                      <w:rFonts w:hint="eastAsia"/>
                      <w:color w:val="auto"/>
                    </w:rPr>
                    <w:t>医疗废物</w:t>
                  </w:r>
                </w:p>
              </w:tc>
              <w:tc>
                <w:tcPr>
                  <w:tcW w:w="3360" w:type="dxa"/>
                  <w:noWrap w:val="0"/>
                  <w:vAlign w:val="center"/>
                </w:tcPr>
                <w:p>
                  <w:pPr>
                    <w:pStyle w:val="170"/>
                    <w:rPr>
                      <w:color w:val="auto"/>
                    </w:rPr>
                  </w:pPr>
                  <w:r>
                    <w:rPr>
                      <w:rFonts w:hint="eastAsia"/>
                      <w:color w:val="auto"/>
                    </w:rPr>
                    <w:t>分类收集，暂存于医废暂存间，定期交由资质单位处置</w:t>
                  </w:r>
                </w:p>
              </w:tc>
              <w:tc>
                <w:tcPr>
                  <w:tcW w:w="1380" w:type="dxa"/>
                  <w:vMerge w:val="restart"/>
                  <w:noWrap w:val="0"/>
                  <w:vAlign w:val="center"/>
                </w:tcPr>
                <w:p>
                  <w:pPr>
                    <w:pStyle w:val="69"/>
                    <w:rPr>
                      <w:rFonts w:hint="eastAsia"/>
                      <w:color w:val="auto"/>
                    </w:rPr>
                  </w:pPr>
                  <w:r>
                    <w:rPr>
                      <w:color w:val="auto"/>
                    </w:rPr>
                    <w:t>0.</w:t>
                  </w:r>
                  <w:r>
                    <w:rPr>
                      <w:rFonts w:hint="eastAsia"/>
                      <w:color w:val="auto"/>
                    </w:rPr>
                    <w:t>2</w:t>
                  </w:r>
                </w:p>
              </w:tc>
              <w:tc>
                <w:tcPr>
                  <w:tcW w:w="1027" w:type="dxa"/>
                  <w:noWrap w:val="0"/>
                  <w:vAlign w:val="center"/>
                </w:tcPr>
                <w:p>
                  <w:pPr>
                    <w:pStyle w:val="170"/>
                    <w:rPr>
                      <w:rFonts w:hint="eastAsia"/>
                      <w:color w:val="auto"/>
                    </w:rPr>
                  </w:pPr>
                  <w:r>
                    <w:rPr>
                      <w:rFonts w:hint="eastAsia"/>
                      <w:color w:val="auto"/>
                    </w:rPr>
                    <w:t>整改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1144" w:type="dxa"/>
                  <w:vMerge w:val="continue"/>
                  <w:noWrap w:val="0"/>
                  <w:vAlign w:val="center"/>
                </w:tcPr>
                <w:p>
                  <w:pPr>
                    <w:pStyle w:val="69"/>
                    <w:rPr>
                      <w:rFonts w:hint="eastAsia"/>
                      <w:color w:val="auto"/>
                    </w:rPr>
                  </w:pPr>
                </w:p>
              </w:tc>
              <w:tc>
                <w:tcPr>
                  <w:tcW w:w="1035" w:type="dxa"/>
                  <w:noWrap w:val="0"/>
                  <w:vAlign w:val="center"/>
                </w:tcPr>
                <w:p>
                  <w:pPr>
                    <w:pStyle w:val="170"/>
                    <w:rPr>
                      <w:color w:val="auto"/>
                    </w:rPr>
                  </w:pPr>
                  <w:r>
                    <w:rPr>
                      <w:rFonts w:hint="eastAsia"/>
                      <w:color w:val="auto"/>
                    </w:rPr>
                    <w:t>废紫外线灯管</w:t>
                  </w:r>
                </w:p>
              </w:tc>
              <w:tc>
                <w:tcPr>
                  <w:tcW w:w="3360" w:type="dxa"/>
                  <w:noWrap w:val="0"/>
                  <w:vAlign w:val="center"/>
                </w:tcPr>
                <w:p>
                  <w:pPr>
                    <w:pStyle w:val="170"/>
                    <w:rPr>
                      <w:color w:val="auto"/>
                    </w:rPr>
                  </w:pPr>
                  <w:r>
                    <w:rPr>
                      <w:rFonts w:hint="eastAsia"/>
                      <w:color w:val="auto"/>
                    </w:rPr>
                    <w:t>收集后暂存于医废暂存间，定期交由资质单位处置</w:t>
                  </w:r>
                </w:p>
              </w:tc>
              <w:tc>
                <w:tcPr>
                  <w:tcW w:w="1380" w:type="dxa"/>
                  <w:vMerge w:val="continue"/>
                  <w:noWrap w:val="0"/>
                  <w:vAlign w:val="center"/>
                </w:tcPr>
                <w:p>
                  <w:pPr>
                    <w:pStyle w:val="69"/>
                    <w:rPr>
                      <w:color w:val="auto"/>
                    </w:rPr>
                  </w:pPr>
                </w:p>
              </w:tc>
              <w:tc>
                <w:tcPr>
                  <w:tcW w:w="1027" w:type="dxa"/>
                  <w:noWrap w:val="0"/>
                  <w:vAlign w:val="center"/>
                </w:tcPr>
                <w:p>
                  <w:pPr>
                    <w:pStyle w:val="170"/>
                    <w:rPr>
                      <w:rFonts w:hint="eastAsia"/>
                      <w:color w:val="auto"/>
                    </w:rPr>
                  </w:pPr>
                  <w:r>
                    <w:rPr>
                      <w:rFonts w:hint="eastAsia"/>
                      <w:color w:val="auto"/>
                    </w:rPr>
                    <w:t>整改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4" w:type="dxa"/>
                  <w:noWrap w:val="0"/>
                  <w:vAlign w:val="center"/>
                </w:tcPr>
                <w:p>
                  <w:pPr>
                    <w:pStyle w:val="69"/>
                    <w:rPr>
                      <w:rFonts w:hint="eastAsia"/>
                      <w:color w:val="auto"/>
                    </w:rPr>
                  </w:pPr>
                  <w:r>
                    <w:rPr>
                      <w:rFonts w:hint="eastAsia"/>
                      <w:color w:val="auto"/>
                    </w:rPr>
                    <w:t>地下水防渗处理</w:t>
                  </w:r>
                </w:p>
              </w:tc>
              <w:tc>
                <w:tcPr>
                  <w:tcW w:w="4395" w:type="dxa"/>
                  <w:gridSpan w:val="2"/>
                  <w:noWrap w:val="0"/>
                  <w:vAlign w:val="center"/>
                </w:tcPr>
                <w:p>
                  <w:pPr>
                    <w:pStyle w:val="69"/>
                    <w:rPr>
                      <w:color w:val="auto"/>
                    </w:rPr>
                  </w:pPr>
                  <w:r>
                    <w:rPr>
                      <w:color w:val="auto"/>
                    </w:rPr>
                    <w:t>在原有防渗地面基础上铺设硬质地板砖进行一般防渗处理；</w:t>
                  </w:r>
                  <w:r>
                    <w:rPr>
                      <w:rFonts w:hint="eastAsia"/>
                      <w:color w:val="auto"/>
                    </w:rPr>
                    <w:t>医废暂存间</w:t>
                  </w:r>
                  <w:r>
                    <w:rPr>
                      <w:color w:val="auto"/>
                    </w:rPr>
                    <w:t>、</w:t>
                  </w:r>
                  <w:r>
                    <w:rPr>
                      <w:rFonts w:hint="eastAsia"/>
                      <w:color w:val="auto"/>
                    </w:rPr>
                    <w:t>污水处理设备</w:t>
                  </w:r>
                  <w:r>
                    <w:rPr>
                      <w:color w:val="auto"/>
                    </w:rPr>
                    <w:t>所在位置在原有地面硬化的基础上铺设2mm厚环氧树脂地坪漆+不锈钢金属托盘</w:t>
                  </w:r>
                </w:p>
              </w:tc>
              <w:tc>
                <w:tcPr>
                  <w:tcW w:w="1380" w:type="dxa"/>
                  <w:noWrap w:val="0"/>
                  <w:vAlign w:val="center"/>
                </w:tcPr>
                <w:p>
                  <w:pPr>
                    <w:pStyle w:val="69"/>
                    <w:rPr>
                      <w:rFonts w:hint="eastAsia"/>
                      <w:color w:val="auto"/>
                    </w:rPr>
                  </w:pPr>
                  <w:r>
                    <w:rPr>
                      <w:rFonts w:hint="eastAsia"/>
                      <w:color w:val="auto"/>
                    </w:rPr>
                    <w:t>/</w:t>
                  </w:r>
                </w:p>
              </w:tc>
              <w:tc>
                <w:tcPr>
                  <w:tcW w:w="1027" w:type="dxa"/>
                  <w:noWrap w:val="0"/>
                  <w:vAlign w:val="center"/>
                </w:tcPr>
                <w:p>
                  <w:pPr>
                    <w:pStyle w:val="170"/>
                    <w:rPr>
                      <w:rFonts w:hint="eastAsia"/>
                      <w:color w:val="auto"/>
                    </w:rPr>
                  </w:pPr>
                  <w:r>
                    <w:rPr>
                      <w:rFonts w:hint="eastAsia"/>
                      <w:color w:val="auto"/>
                    </w:rPr>
                    <w:t>整改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4" w:type="dxa"/>
                  <w:noWrap w:val="0"/>
                  <w:vAlign w:val="center"/>
                </w:tcPr>
                <w:p>
                  <w:pPr>
                    <w:pStyle w:val="69"/>
                    <w:rPr>
                      <w:rFonts w:hint="eastAsia"/>
                      <w:color w:val="auto"/>
                    </w:rPr>
                  </w:pPr>
                  <w:r>
                    <w:rPr>
                      <w:rFonts w:hint="eastAsia"/>
                      <w:color w:val="auto"/>
                    </w:rPr>
                    <w:t>合计</w:t>
                  </w:r>
                </w:p>
              </w:tc>
              <w:tc>
                <w:tcPr>
                  <w:tcW w:w="4395" w:type="dxa"/>
                  <w:gridSpan w:val="2"/>
                  <w:noWrap w:val="0"/>
                  <w:vAlign w:val="center"/>
                </w:tcPr>
                <w:p>
                  <w:pPr>
                    <w:pStyle w:val="69"/>
                    <w:rPr>
                      <w:color w:val="auto"/>
                    </w:rPr>
                  </w:pPr>
                  <w:r>
                    <w:rPr>
                      <w:color w:val="auto"/>
                    </w:rPr>
                    <w:t>/</w:t>
                  </w:r>
                </w:p>
              </w:tc>
              <w:tc>
                <w:tcPr>
                  <w:tcW w:w="1380" w:type="dxa"/>
                  <w:noWrap w:val="0"/>
                  <w:vAlign w:val="center"/>
                </w:tcPr>
                <w:p>
                  <w:pPr>
                    <w:pStyle w:val="69"/>
                    <w:rPr>
                      <w:color w:val="auto"/>
                    </w:rPr>
                  </w:pPr>
                  <w:r>
                    <w:rPr>
                      <w:rFonts w:hint="eastAsia"/>
                      <w:color w:val="auto"/>
                    </w:rPr>
                    <w:t>2.0</w:t>
                  </w:r>
                </w:p>
              </w:tc>
              <w:tc>
                <w:tcPr>
                  <w:tcW w:w="1027" w:type="dxa"/>
                  <w:noWrap w:val="0"/>
                  <w:vAlign w:val="center"/>
                </w:tcPr>
                <w:p>
                  <w:pPr>
                    <w:pStyle w:val="69"/>
                    <w:rPr>
                      <w:color w:val="auto"/>
                    </w:rPr>
                  </w:pPr>
                  <w:r>
                    <w:rPr>
                      <w:color w:val="auto"/>
                    </w:rPr>
                    <w:t>/</w:t>
                  </w:r>
                </w:p>
              </w:tc>
            </w:tr>
          </w:tbl>
          <w:p>
            <w:pPr>
              <w:pStyle w:val="5"/>
              <w:rPr>
                <w:color w:val="auto"/>
              </w:rPr>
            </w:pPr>
            <w:r>
              <w:rPr>
                <w:rFonts w:hint="eastAsia"/>
                <w:color w:val="auto"/>
                <w:lang w:eastAsia="zh-CN"/>
              </w:rPr>
              <w:t>十一</w:t>
            </w:r>
            <w:r>
              <w:rPr>
                <w:color w:val="auto"/>
              </w:rPr>
              <w:t>、竣工环境保护验收</w:t>
            </w:r>
          </w:p>
          <w:p>
            <w:pPr>
              <w:pStyle w:val="104"/>
              <w:ind w:firstLine="480"/>
              <w:rPr>
                <w:color w:val="auto"/>
              </w:rPr>
            </w:pPr>
            <w:r>
              <w:rPr>
                <w:rFonts w:hint="eastAsia"/>
                <w:color w:val="auto"/>
              </w:rPr>
              <w:t>本</w:t>
            </w:r>
            <w:r>
              <w:rPr>
                <w:color w:val="auto"/>
              </w:rPr>
              <w:t>项目竣工环境保护验收要求见表</w:t>
            </w:r>
            <w:r>
              <w:rPr>
                <w:rFonts w:hint="eastAsia"/>
                <w:color w:val="auto"/>
              </w:rPr>
              <w:t>4</w:t>
            </w:r>
            <w:r>
              <w:rPr>
                <w:color w:val="auto"/>
              </w:rPr>
              <w:t>-1</w:t>
            </w:r>
            <w:r>
              <w:rPr>
                <w:rFonts w:hint="eastAsia"/>
                <w:color w:val="auto"/>
              </w:rPr>
              <w:t>0</w:t>
            </w:r>
            <w:r>
              <w:rPr>
                <w:color w:val="auto"/>
              </w:rPr>
              <w:t>。</w:t>
            </w:r>
          </w:p>
          <w:p>
            <w:pPr>
              <w:pStyle w:val="117"/>
              <w:rPr>
                <w:color w:val="auto"/>
              </w:rPr>
            </w:pPr>
            <w:r>
              <w:rPr>
                <w:color w:val="auto"/>
              </w:rPr>
              <w:t>表</w:t>
            </w:r>
            <w:r>
              <w:rPr>
                <w:rFonts w:hint="eastAsia"/>
                <w:color w:val="auto"/>
              </w:rPr>
              <w:t>4</w:t>
            </w:r>
            <w:r>
              <w:rPr>
                <w:color w:val="auto"/>
              </w:rPr>
              <w:t>-1</w:t>
            </w:r>
            <w:r>
              <w:rPr>
                <w:rFonts w:hint="eastAsia"/>
                <w:color w:val="auto"/>
              </w:rPr>
              <w:t>0</w:t>
            </w:r>
            <w:r>
              <w:rPr>
                <w:color w:val="auto"/>
              </w:rPr>
              <w:t xml:space="preserve">  环保设施竣工验收一览表</w:t>
            </w:r>
          </w:p>
          <w:tbl>
            <w:tblPr>
              <w:tblStyle w:val="3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9"/>
              <w:gridCol w:w="897"/>
              <w:gridCol w:w="1286"/>
              <w:gridCol w:w="2855"/>
              <w:gridCol w:w="24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 w:type="pct"/>
                  <w:noWrap w:val="0"/>
                  <w:vAlign w:val="center"/>
                </w:tcPr>
                <w:p>
                  <w:pPr>
                    <w:pStyle w:val="69"/>
                    <w:rPr>
                      <w:color w:val="auto"/>
                    </w:rPr>
                  </w:pPr>
                  <w:r>
                    <w:rPr>
                      <w:color w:val="auto"/>
                    </w:rPr>
                    <w:t>项目</w:t>
                  </w:r>
                </w:p>
              </w:tc>
              <w:tc>
                <w:tcPr>
                  <w:tcW w:w="1329" w:type="pct"/>
                  <w:gridSpan w:val="2"/>
                  <w:noWrap w:val="0"/>
                  <w:vAlign w:val="center"/>
                </w:tcPr>
                <w:p>
                  <w:pPr>
                    <w:pStyle w:val="69"/>
                    <w:rPr>
                      <w:color w:val="auto"/>
                    </w:rPr>
                  </w:pPr>
                  <w:r>
                    <w:rPr>
                      <w:color w:val="auto"/>
                    </w:rPr>
                    <w:t>主要控制因子</w:t>
                  </w:r>
                </w:p>
              </w:tc>
              <w:tc>
                <w:tcPr>
                  <w:tcW w:w="1739" w:type="pct"/>
                  <w:noWrap w:val="0"/>
                  <w:vAlign w:val="center"/>
                </w:tcPr>
                <w:p>
                  <w:pPr>
                    <w:pStyle w:val="69"/>
                    <w:rPr>
                      <w:color w:val="auto"/>
                    </w:rPr>
                  </w:pPr>
                  <w:r>
                    <w:rPr>
                      <w:rFonts w:hint="eastAsia"/>
                      <w:color w:val="auto"/>
                    </w:rPr>
                    <w:t>“</w:t>
                  </w:r>
                  <w:r>
                    <w:rPr>
                      <w:color w:val="auto"/>
                    </w:rPr>
                    <w:t>三同时</w:t>
                  </w:r>
                  <w:r>
                    <w:rPr>
                      <w:rFonts w:hint="eastAsia"/>
                      <w:color w:val="auto"/>
                    </w:rPr>
                    <w:t>”</w:t>
                  </w:r>
                  <w:r>
                    <w:rPr>
                      <w:color w:val="auto"/>
                    </w:rPr>
                    <w:t>竣工项目</w:t>
                  </w:r>
                </w:p>
              </w:tc>
              <w:tc>
                <w:tcPr>
                  <w:tcW w:w="1504" w:type="pct"/>
                  <w:noWrap w:val="0"/>
                  <w:vAlign w:val="center"/>
                </w:tcPr>
                <w:p>
                  <w:pPr>
                    <w:pStyle w:val="69"/>
                    <w:rPr>
                      <w:color w:val="auto"/>
                    </w:rPr>
                  </w:pPr>
                  <w:r>
                    <w:rPr>
                      <w:color w:val="auto"/>
                    </w:rPr>
                    <w:t>治理效果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4" w:hRule="atLeast"/>
                <w:jc w:val="center"/>
              </w:trPr>
              <w:tc>
                <w:tcPr>
                  <w:tcW w:w="426" w:type="pct"/>
                  <w:vMerge w:val="restart"/>
                  <w:noWrap w:val="0"/>
                  <w:vAlign w:val="center"/>
                </w:tcPr>
                <w:p>
                  <w:pPr>
                    <w:pStyle w:val="69"/>
                    <w:rPr>
                      <w:color w:val="auto"/>
                    </w:rPr>
                  </w:pPr>
                  <w:r>
                    <w:rPr>
                      <w:color w:val="auto"/>
                    </w:rPr>
                    <w:t>废气</w:t>
                  </w:r>
                </w:p>
              </w:tc>
              <w:tc>
                <w:tcPr>
                  <w:tcW w:w="1329" w:type="pct"/>
                  <w:gridSpan w:val="2"/>
                  <w:noWrap w:val="0"/>
                  <w:vAlign w:val="center"/>
                </w:tcPr>
                <w:p>
                  <w:pPr>
                    <w:pStyle w:val="69"/>
                    <w:rPr>
                      <w:rFonts w:hint="eastAsia"/>
                      <w:color w:val="auto"/>
                    </w:rPr>
                  </w:pPr>
                  <w:r>
                    <w:rPr>
                      <w:color w:val="auto"/>
                    </w:rPr>
                    <w:t>氨</w:t>
                  </w:r>
                </w:p>
              </w:tc>
              <w:tc>
                <w:tcPr>
                  <w:tcW w:w="1739" w:type="pct"/>
                  <w:vMerge w:val="restart"/>
                  <w:noWrap w:val="0"/>
                  <w:vAlign w:val="center"/>
                </w:tcPr>
                <w:p>
                  <w:pPr>
                    <w:pStyle w:val="69"/>
                    <w:rPr>
                      <w:color w:val="auto"/>
                    </w:rPr>
                  </w:pPr>
                  <w:r>
                    <w:rPr>
                      <w:rFonts w:hint="eastAsia"/>
                      <w:color w:val="auto"/>
                    </w:rPr>
                    <w:t>污水处理设备周边无组织排放</w:t>
                  </w:r>
                </w:p>
              </w:tc>
              <w:tc>
                <w:tcPr>
                  <w:tcW w:w="1504" w:type="pct"/>
                  <w:vMerge w:val="restart"/>
                  <w:noWrap w:val="0"/>
                  <w:vAlign w:val="center"/>
                </w:tcPr>
                <w:p>
                  <w:pPr>
                    <w:pStyle w:val="69"/>
                    <w:rPr>
                      <w:color w:val="auto"/>
                    </w:rPr>
                  </w:pPr>
                  <w:r>
                    <w:rPr>
                      <w:rFonts w:hint="eastAsia"/>
                      <w:color w:val="auto"/>
                    </w:rPr>
                    <w:t>《恶臭污染物排放标准》（GB14554-1993）表1标准限值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jc w:val="center"/>
              </w:trPr>
              <w:tc>
                <w:tcPr>
                  <w:tcW w:w="426" w:type="pct"/>
                  <w:vMerge w:val="continue"/>
                  <w:noWrap w:val="0"/>
                  <w:vAlign w:val="center"/>
                </w:tcPr>
                <w:p>
                  <w:pPr>
                    <w:pStyle w:val="69"/>
                    <w:rPr>
                      <w:color w:val="auto"/>
                    </w:rPr>
                  </w:pPr>
                </w:p>
              </w:tc>
              <w:tc>
                <w:tcPr>
                  <w:tcW w:w="1329" w:type="pct"/>
                  <w:gridSpan w:val="2"/>
                  <w:noWrap w:val="0"/>
                  <w:vAlign w:val="center"/>
                </w:tcPr>
                <w:p>
                  <w:pPr>
                    <w:pStyle w:val="69"/>
                    <w:rPr>
                      <w:color w:val="auto"/>
                    </w:rPr>
                  </w:pPr>
                  <w:r>
                    <w:rPr>
                      <w:color w:val="auto"/>
                    </w:rPr>
                    <w:t>硫化氢</w:t>
                  </w:r>
                </w:p>
              </w:tc>
              <w:tc>
                <w:tcPr>
                  <w:tcW w:w="1739" w:type="pct"/>
                  <w:vMerge w:val="continue"/>
                  <w:noWrap w:val="0"/>
                  <w:vAlign w:val="center"/>
                </w:tcPr>
                <w:p>
                  <w:pPr>
                    <w:pStyle w:val="69"/>
                    <w:rPr>
                      <w:rFonts w:hint="eastAsia"/>
                      <w:color w:val="auto"/>
                    </w:rPr>
                  </w:pPr>
                </w:p>
              </w:tc>
              <w:tc>
                <w:tcPr>
                  <w:tcW w:w="1504" w:type="pct"/>
                  <w:vMerge w:val="continue"/>
                  <w:noWrap w:val="0"/>
                  <w:vAlign w:val="center"/>
                </w:tcPr>
                <w:p>
                  <w:pPr>
                    <w:pStyle w:val="69"/>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8" w:hRule="atLeast"/>
                <w:jc w:val="center"/>
              </w:trPr>
              <w:tc>
                <w:tcPr>
                  <w:tcW w:w="426" w:type="pct"/>
                  <w:vMerge w:val="continue"/>
                  <w:noWrap w:val="0"/>
                  <w:vAlign w:val="center"/>
                </w:tcPr>
                <w:p>
                  <w:pPr>
                    <w:pStyle w:val="69"/>
                    <w:rPr>
                      <w:color w:val="auto"/>
                    </w:rPr>
                  </w:pPr>
                </w:p>
              </w:tc>
              <w:tc>
                <w:tcPr>
                  <w:tcW w:w="1329" w:type="pct"/>
                  <w:gridSpan w:val="2"/>
                  <w:noWrap w:val="0"/>
                  <w:vAlign w:val="center"/>
                </w:tcPr>
                <w:p>
                  <w:pPr>
                    <w:pStyle w:val="69"/>
                    <w:rPr>
                      <w:color w:val="auto"/>
                    </w:rPr>
                  </w:pPr>
                  <w:r>
                    <w:rPr>
                      <w:color w:val="auto"/>
                    </w:rPr>
                    <w:t>臭气浓度</w:t>
                  </w:r>
                </w:p>
              </w:tc>
              <w:tc>
                <w:tcPr>
                  <w:tcW w:w="1739" w:type="pct"/>
                  <w:vMerge w:val="continue"/>
                  <w:noWrap w:val="0"/>
                  <w:vAlign w:val="center"/>
                </w:tcPr>
                <w:p>
                  <w:pPr>
                    <w:pStyle w:val="69"/>
                    <w:rPr>
                      <w:rFonts w:hint="eastAsia"/>
                      <w:color w:val="auto"/>
                    </w:rPr>
                  </w:pPr>
                </w:p>
              </w:tc>
              <w:tc>
                <w:tcPr>
                  <w:tcW w:w="1504" w:type="pct"/>
                  <w:vMerge w:val="continue"/>
                  <w:noWrap w:val="0"/>
                  <w:vAlign w:val="center"/>
                </w:tcPr>
                <w:p>
                  <w:pPr>
                    <w:pStyle w:val="69"/>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7" w:hRule="atLeast"/>
                <w:jc w:val="center"/>
              </w:trPr>
              <w:tc>
                <w:tcPr>
                  <w:tcW w:w="426" w:type="pct"/>
                  <w:vMerge w:val="restart"/>
                  <w:noWrap w:val="0"/>
                  <w:vAlign w:val="center"/>
                </w:tcPr>
                <w:p>
                  <w:pPr>
                    <w:pStyle w:val="69"/>
                    <w:rPr>
                      <w:color w:val="auto"/>
                    </w:rPr>
                  </w:pPr>
                  <w:r>
                    <w:rPr>
                      <w:color w:val="auto"/>
                    </w:rPr>
                    <w:t>废水</w:t>
                  </w:r>
                </w:p>
              </w:tc>
              <w:tc>
                <w:tcPr>
                  <w:tcW w:w="1329" w:type="pct"/>
                  <w:gridSpan w:val="2"/>
                  <w:noWrap w:val="0"/>
                  <w:vAlign w:val="center"/>
                </w:tcPr>
                <w:p>
                  <w:pPr>
                    <w:pStyle w:val="69"/>
                    <w:rPr>
                      <w:color w:val="auto"/>
                    </w:rPr>
                  </w:pPr>
                  <w:r>
                    <w:rPr>
                      <w:color w:val="auto"/>
                    </w:rPr>
                    <w:t>生活污水</w:t>
                  </w:r>
                </w:p>
              </w:tc>
              <w:tc>
                <w:tcPr>
                  <w:tcW w:w="1739" w:type="pct"/>
                  <w:noWrap w:val="0"/>
                  <w:vAlign w:val="center"/>
                </w:tcPr>
                <w:p>
                  <w:pPr>
                    <w:pStyle w:val="69"/>
                    <w:rPr>
                      <w:color w:val="auto"/>
                    </w:rPr>
                  </w:pPr>
                  <w:r>
                    <w:rPr>
                      <w:color w:val="auto"/>
                    </w:rPr>
                    <w:t>利用</w:t>
                  </w:r>
                  <w:r>
                    <w:rPr>
                      <w:rFonts w:hint="eastAsia"/>
                      <w:color w:val="auto"/>
                    </w:rPr>
                    <w:t>小区预处理池进入市政污水管网</w:t>
                  </w:r>
                </w:p>
              </w:tc>
              <w:tc>
                <w:tcPr>
                  <w:tcW w:w="1504" w:type="pct"/>
                  <w:vMerge w:val="restart"/>
                  <w:noWrap w:val="0"/>
                  <w:vAlign w:val="center"/>
                </w:tcPr>
                <w:p>
                  <w:pPr>
                    <w:pStyle w:val="69"/>
                    <w:rPr>
                      <w:rFonts w:hint="eastAsia"/>
                      <w:color w:val="auto"/>
                    </w:rPr>
                  </w:pPr>
                  <w:r>
                    <w:rPr>
                      <w:rFonts w:hint="eastAsia"/>
                      <w:color w:val="auto"/>
                    </w:rPr>
                    <w:t>《污水综合排放标准》(GB8978-1996)表4中三级标准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3" w:hRule="atLeast"/>
                <w:jc w:val="center"/>
              </w:trPr>
              <w:tc>
                <w:tcPr>
                  <w:tcW w:w="426" w:type="pct"/>
                  <w:vMerge w:val="continue"/>
                  <w:noWrap w:val="0"/>
                  <w:vAlign w:val="center"/>
                </w:tcPr>
                <w:p>
                  <w:pPr>
                    <w:pStyle w:val="69"/>
                    <w:rPr>
                      <w:color w:val="auto"/>
                    </w:rPr>
                  </w:pPr>
                </w:p>
              </w:tc>
              <w:tc>
                <w:tcPr>
                  <w:tcW w:w="1329" w:type="pct"/>
                  <w:gridSpan w:val="2"/>
                  <w:noWrap w:val="0"/>
                  <w:vAlign w:val="center"/>
                </w:tcPr>
                <w:p>
                  <w:pPr>
                    <w:pStyle w:val="69"/>
                    <w:rPr>
                      <w:rFonts w:hint="eastAsia"/>
                      <w:color w:val="auto"/>
                    </w:rPr>
                  </w:pPr>
                  <w:r>
                    <w:rPr>
                      <w:rFonts w:hint="eastAsia"/>
                      <w:color w:val="auto"/>
                    </w:rPr>
                    <w:t>医疗废水</w:t>
                  </w:r>
                </w:p>
              </w:tc>
              <w:tc>
                <w:tcPr>
                  <w:tcW w:w="1739" w:type="pct"/>
                  <w:noWrap w:val="0"/>
                  <w:vAlign w:val="center"/>
                </w:tcPr>
                <w:p>
                  <w:pPr>
                    <w:pStyle w:val="69"/>
                    <w:rPr>
                      <w:rFonts w:hint="eastAsia"/>
                      <w:color w:val="auto"/>
                    </w:rPr>
                  </w:pPr>
                  <w:r>
                    <w:rPr>
                      <w:rFonts w:hint="eastAsia"/>
                      <w:color w:val="auto"/>
                    </w:rPr>
                    <w:t>医疗废水经污水处理设备处理后，利用卫生间污水管道进入小区预处理池处理，经市政污水管网流入乐山第一污水处理厂处理</w:t>
                  </w:r>
                </w:p>
              </w:tc>
              <w:tc>
                <w:tcPr>
                  <w:tcW w:w="1504" w:type="pct"/>
                  <w:vMerge w:val="continue"/>
                  <w:noWrap w:val="0"/>
                  <w:vAlign w:val="center"/>
                </w:tcPr>
                <w:p>
                  <w:pPr>
                    <w:pStyle w:val="69"/>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jc w:val="center"/>
              </w:trPr>
              <w:tc>
                <w:tcPr>
                  <w:tcW w:w="426" w:type="pct"/>
                  <w:vMerge w:val="restart"/>
                  <w:noWrap w:val="0"/>
                  <w:vAlign w:val="center"/>
                </w:tcPr>
                <w:p>
                  <w:pPr>
                    <w:pStyle w:val="69"/>
                    <w:rPr>
                      <w:color w:val="auto"/>
                    </w:rPr>
                  </w:pPr>
                  <w:r>
                    <w:rPr>
                      <w:color w:val="auto"/>
                    </w:rPr>
                    <w:t>固废</w:t>
                  </w:r>
                </w:p>
              </w:tc>
              <w:tc>
                <w:tcPr>
                  <w:tcW w:w="546" w:type="pct"/>
                  <w:vMerge w:val="restart"/>
                  <w:noWrap w:val="0"/>
                  <w:vAlign w:val="center"/>
                </w:tcPr>
                <w:p>
                  <w:pPr>
                    <w:pStyle w:val="69"/>
                    <w:rPr>
                      <w:rFonts w:hint="eastAsia"/>
                      <w:color w:val="auto"/>
                    </w:rPr>
                  </w:pPr>
                  <w:r>
                    <w:rPr>
                      <w:rFonts w:hint="eastAsia"/>
                      <w:color w:val="auto"/>
                    </w:rPr>
                    <w:t>一般固废</w:t>
                  </w:r>
                </w:p>
              </w:tc>
              <w:tc>
                <w:tcPr>
                  <w:tcW w:w="783" w:type="pct"/>
                  <w:noWrap w:val="0"/>
                  <w:vAlign w:val="center"/>
                </w:tcPr>
                <w:p>
                  <w:pPr>
                    <w:pStyle w:val="69"/>
                    <w:rPr>
                      <w:color w:val="auto"/>
                    </w:rPr>
                  </w:pPr>
                  <w:r>
                    <w:rPr>
                      <w:color w:val="auto"/>
                    </w:rPr>
                    <w:t>生活垃圾</w:t>
                  </w:r>
                </w:p>
              </w:tc>
              <w:tc>
                <w:tcPr>
                  <w:tcW w:w="1739" w:type="pct"/>
                  <w:vMerge w:val="restart"/>
                  <w:noWrap w:val="0"/>
                  <w:vAlign w:val="center"/>
                </w:tcPr>
                <w:p>
                  <w:pPr>
                    <w:pStyle w:val="69"/>
                    <w:rPr>
                      <w:color w:val="auto"/>
                    </w:rPr>
                  </w:pPr>
                  <w:r>
                    <w:rPr>
                      <w:rFonts w:hint="eastAsia"/>
                      <w:color w:val="auto"/>
                    </w:rPr>
                    <w:t>集中</w:t>
                  </w:r>
                  <w:r>
                    <w:rPr>
                      <w:color w:val="auto"/>
                    </w:rPr>
                    <w:t>收集后</w:t>
                  </w:r>
                  <w:r>
                    <w:rPr>
                      <w:rFonts w:hint="eastAsia"/>
                      <w:color w:val="auto"/>
                    </w:rPr>
                    <w:t>，</w:t>
                  </w:r>
                  <w:r>
                    <w:rPr>
                      <w:color w:val="auto"/>
                    </w:rPr>
                    <w:t>由环卫部门统一收集处理</w:t>
                  </w:r>
                </w:p>
              </w:tc>
              <w:tc>
                <w:tcPr>
                  <w:tcW w:w="1504" w:type="pct"/>
                  <w:vMerge w:val="restart"/>
                  <w:noWrap w:val="0"/>
                  <w:vAlign w:val="center"/>
                </w:tcPr>
                <w:p>
                  <w:pPr>
                    <w:pStyle w:val="69"/>
                    <w:rPr>
                      <w:color w:val="auto"/>
                    </w:rPr>
                  </w:pPr>
                  <w:r>
                    <w:rPr>
                      <w:rFonts w:hint="eastAsia"/>
                      <w:color w:val="auto"/>
                    </w:rPr>
                    <w:t>《一般工业固体废物贮存和填埋污染控制标准》（GB18599-2020）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 w:hRule="atLeast"/>
                <w:jc w:val="center"/>
              </w:trPr>
              <w:tc>
                <w:tcPr>
                  <w:tcW w:w="426" w:type="pct"/>
                  <w:vMerge w:val="continue"/>
                  <w:noWrap w:val="0"/>
                  <w:vAlign w:val="center"/>
                </w:tcPr>
                <w:p>
                  <w:pPr>
                    <w:pStyle w:val="69"/>
                    <w:rPr>
                      <w:color w:val="auto"/>
                    </w:rPr>
                  </w:pPr>
                </w:p>
              </w:tc>
              <w:tc>
                <w:tcPr>
                  <w:tcW w:w="546" w:type="pct"/>
                  <w:vMerge w:val="continue"/>
                  <w:noWrap w:val="0"/>
                  <w:vAlign w:val="center"/>
                </w:tcPr>
                <w:p>
                  <w:pPr>
                    <w:pStyle w:val="69"/>
                    <w:rPr>
                      <w:color w:val="auto"/>
                    </w:rPr>
                  </w:pPr>
                </w:p>
              </w:tc>
              <w:tc>
                <w:tcPr>
                  <w:tcW w:w="783" w:type="pct"/>
                  <w:noWrap w:val="0"/>
                  <w:vAlign w:val="center"/>
                </w:tcPr>
                <w:p>
                  <w:pPr>
                    <w:pStyle w:val="69"/>
                    <w:rPr>
                      <w:color w:val="auto"/>
                    </w:rPr>
                  </w:pPr>
                  <w:r>
                    <w:rPr>
                      <w:color w:val="auto"/>
                    </w:rPr>
                    <w:t>宠物毛发</w:t>
                  </w:r>
                </w:p>
              </w:tc>
              <w:tc>
                <w:tcPr>
                  <w:tcW w:w="1739" w:type="pct"/>
                  <w:vMerge w:val="continue"/>
                  <w:noWrap w:val="0"/>
                  <w:vAlign w:val="center"/>
                </w:tcPr>
                <w:p>
                  <w:pPr>
                    <w:pStyle w:val="69"/>
                    <w:rPr>
                      <w:rFonts w:hint="eastAsia"/>
                      <w:color w:val="auto"/>
                    </w:rPr>
                  </w:pPr>
                </w:p>
              </w:tc>
              <w:tc>
                <w:tcPr>
                  <w:tcW w:w="1504" w:type="pct"/>
                  <w:vMerge w:val="continue"/>
                  <w:noWrap w:val="0"/>
                  <w:vAlign w:val="center"/>
                </w:tcPr>
                <w:p>
                  <w:pPr>
                    <w:pStyle w:val="69"/>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426" w:type="pct"/>
                  <w:vMerge w:val="continue"/>
                  <w:noWrap w:val="0"/>
                  <w:vAlign w:val="center"/>
                </w:tcPr>
                <w:p>
                  <w:pPr>
                    <w:pStyle w:val="69"/>
                    <w:rPr>
                      <w:color w:val="auto"/>
                    </w:rPr>
                  </w:pPr>
                </w:p>
              </w:tc>
              <w:tc>
                <w:tcPr>
                  <w:tcW w:w="546" w:type="pct"/>
                  <w:vMerge w:val="continue"/>
                  <w:noWrap w:val="0"/>
                  <w:vAlign w:val="center"/>
                </w:tcPr>
                <w:p>
                  <w:pPr>
                    <w:pStyle w:val="69"/>
                    <w:rPr>
                      <w:color w:val="auto"/>
                    </w:rPr>
                  </w:pPr>
                </w:p>
              </w:tc>
              <w:tc>
                <w:tcPr>
                  <w:tcW w:w="783" w:type="pct"/>
                  <w:noWrap w:val="0"/>
                  <w:vAlign w:val="center"/>
                </w:tcPr>
                <w:p>
                  <w:pPr>
                    <w:pStyle w:val="69"/>
                    <w:rPr>
                      <w:color w:val="auto"/>
                    </w:rPr>
                  </w:pPr>
                  <w:r>
                    <w:rPr>
                      <w:color w:val="auto"/>
                    </w:rPr>
                    <w:t>宠物粪便</w:t>
                  </w:r>
                </w:p>
              </w:tc>
              <w:tc>
                <w:tcPr>
                  <w:tcW w:w="1739" w:type="pct"/>
                  <w:vMerge w:val="continue"/>
                  <w:noWrap w:val="0"/>
                  <w:vAlign w:val="center"/>
                </w:tcPr>
                <w:p>
                  <w:pPr>
                    <w:pStyle w:val="69"/>
                    <w:rPr>
                      <w:rFonts w:hint="eastAsia"/>
                      <w:color w:val="auto"/>
                    </w:rPr>
                  </w:pPr>
                </w:p>
              </w:tc>
              <w:tc>
                <w:tcPr>
                  <w:tcW w:w="1504" w:type="pct"/>
                  <w:vMerge w:val="continue"/>
                  <w:noWrap w:val="0"/>
                  <w:vAlign w:val="center"/>
                </w:tcPr>
                <w:p>
                  <w:pPr>
                    <w:pStyle w:val="69"/>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0" w:hRule="atLeast"/>
                <w:jc w:val="center"/>
              </w:trPr>
              <w:tc>
                <w:tcPr>
                  <w:tcW w:w="426" w:type="pct"/>
                  <w:vMerge w:val="continue"/>
                  <w:noWrap w:val="0"/>
                  <w:vAlign w:val="center"/>
                </w:tcPr>
                <w:p>
                  <w:pPr>
                    <w:pStyle w:val="69"/>
                    <w:rPr>
                      <w:color w:val="auto"/>
                    </w:rPr>
                  </w:pPr>
                </w:p>
              </w:tc>
              <w:tc>
                <w:tcPr>
                  <w:tcW w:w="546" w:type="pct"/>
                  <w:vMerge w:val="restart"/>
                  <w:noWrap w:val="0"/>
                  <w:vAlign w:val="center"/>
                </w:tcPr>
                <w:p>
                  <w:pPr>
                    <w:pStyle w:val="69"/>
                    <w:rPr>
                      <w:rFonts w:hint="eastAsia"/>
                      <w:color w:val="auto"/>
                    </w:rPr>
                  </w:pPr>
                  <w:r>
                    <w:rPr>
                      <w:rFonts w:hint="eastAsia"/>
                      <w:color w:val="auto"/>
                    </w:rPr>
                    <w:t>危险废物</w:t>
                  </w:r>
                </w:p>
              </w:tc>
              <w:tc>
                <w:tcPr>
                  <w:tcW w:w="783" w:type="pct"/>
                  <w:noWrap w:val="0"/>
                  <w:vAlign w:val="center"/>
                </w:tcPr>
                <w:p>
                  <w:pPr>
                    <w:pStyle w:val="69"/>
                    <w:rPr>
                      <w:rFonts w:hint="eastAsia"/>
                      <w:color w:val="auto"/>
                    </w:rPr>
                  </w:pPr>
                  <w:r>
                    <w:rPr>
                      <w:rFonts w:hint="eastAsia"/>
                      <w:color w:val="auto"/>
                    </w:rPr>
                    <w:t>宠物尸体</w:t>
                  </w:r>
                </w:p>
              </w:tc>
              <w:tc>
                <w:tcPr>
                  <w:tcW w:w="1739" w:type="pct"/>
                  <w:noWrap w:val="0"/>
                  <w:vAlign w:val="center"/>
                </w:tcPr>
                <w:p>
                  <w:pPr>
                    <w:pStyle w:val="69"/>
                    <w:rPr>
                      <w:color w:val="auto"/>
                    </w:rPr>
                  </w:pPr>
                  <w:r>
                    <w:rPr>
                      <w:rFonts w:hint="eastAsia"/>
                      <w:color w:val="auto"/>
                    </w:rPr>
                    <w:t>经消毒后采用密封袋封存，当天通知并交由资质单位处置，不在院内储存</w:t>
                  </w:r>
                </w:p>
              </w:tc>
              <w:tc>
                <w:tcPr>
                  <w:tcW w:w="1504" w:type="pct"/>
                  <w:vMerge w:val="restart"/>
                  <w:noWrap w:val="0"/>
                  <w:vAlign w:val="center"/>
                </w:tcPr>
                <w:p>
                  <w:pPr>
                    <w:pStyle w:val="69"/>
                    <w:rPr>
                      <w:rFonts w:hint="eastAsia"/>
                      <w:color w:val="auto"/>
                    </w:rPr>
                  </w:pPr>
                  <w:r>
                    <w:rPr>
                      <w:rFonts w:hint="eastAsia"/>
                      <w:color w:val="auto"/>
                    </w:rPr>
                    <w:t>《危险废物贮存污染物控制标准》</w:t>
                  </w:r>
                  <w:r>
                    <w:rPr>
                      <w:color w:val="auto"/>
                    </w:rPr>
                    <w:t>（GB18597-2001）</w:t>
                  </w:r>
                  <w:r>
                    <w:rPr>
                      <w:rFonts w:hint="eastAsia"/>
                      <w:color w:val="auto"/>
                    </w:rPr>
                    <w:t>及其修改单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426" w:type="pct"/>
                  <w:vMerge w:val="continue"/>
                  <w:noWrap w:val="0"/>
                  <w:vAlign w:val="center"/>
                </w:tcPr>
                <w:p>
                  <w:pPr>
                    <w:pStyle w:val="69"/>
                    <w:rPr>
                      <w:color w:val="auto"/>
                    </w:rPr>
                  </w:pPr>
                </w:p>
              </w:tc>
              <w:tc>
                <w:tcPr>
                  <w:tcW w:w="546" w:type="pct"/>
                  <w:vMerge w:val="continue"/>
                  <w:noWrap w:val="0"/>
                  <w:vAlign w:val="center"/>
                </w:tcPr>
                <w:p>
                  <w:pPr>
                    <w:pStyle w:val="69"/>
                    <w:rPr>
                      <w:rFonts w:hint="eastAsia"/>
                      <w:color w:val="auto"/>
                    </w:rPr>
                  </w:pPr>
                </w:p>
              </w:tc>
              <w:tc>
                <w:tcPr>
                  <w:tcW w:w="783" w:type="pct"/>
                  <w:noWrap w:val="0"/>
                  <w:vAlign w:val="center"/>
                </w:tcPr>
                <w:p>
                  <w:pPr>
                    <w:pStyle w:val="69"/>
                    <w:rPr>
                      <w:rFonts w:hint="eastAsia"/>
                      <w:color w:val="auto"/>
                    </w:rPr>
                  </w:pPr>
                  <w:r>
                    <w:rPr>
                      <w:rFonts w:hint="eastAsia"/>
                      <w:color w:val="auto"/>
                    </w:rPr>
                    <w:t>医疗废物</w:t>
                  </w:r>
                </w:p>
              </w:tc>
              <w:tc>
                <w:tcPr>
                  <w:tcW w:w="1739" w:type="pct"/>
                  <w:vMerge w:val="restart"/>
                  <w:noWrap w:val="0"/>
                  <w:vAlign w:val="center"/>
                </w:tcPr>
                <w:p>
                  <w:pPr>
                    <w:pStyle w:val="69"/>
                    <w:rPr>
                      <w:rFonts w:hint="eastAsia"/>
                      <w:color w:val="auto"/>
                    </w:rPr>
                  </w:pPr>
                  <w:r>
                    <w:rPr>
                      <w:rFonts w:hint="eastAsia"/>
                      <w:color w:val="auto"/>
                    </w:rPr>
                    <w:t>病理组织暂存在专用冰柜内，分类收集包装，进入医废暂存间，定期交由资质单位处置</w:t>
                  </w:r>
                </w:p>
              </w:tc>
              <w:tc>
                <w:tcPr>
                  <w:tcW w:w="1504" w:type="pct"/>
                  <w:vMerge w:val="continue"/>
                  <w:noWrap w:val="0"/>
                  <w:vAlign w:val="center"/>
                </w:tcPr>
                <w:p>
                  <w:pPr>
                    <w:pStyle w:val="69"/>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426" w:type="pct"/>
                  <w:vMerge w:val="continue"/>
                  <w:noWrap w:val="0"/>
                  <w:vAlign w:val="center"/>
                </w:tcPr>
                <w:p>
                  <w:pPr>
                    <w:pStyle w:val="69"/>
                    <w:rPr>
                      <w:color w:val="auto"/>
                    </w:rPr>
                  </w:pPr>
                </w:p>
              </w:tc>
              <w:tc>
                <w:tcPr>
                  <w:tcW w:w="546" w:type="pct"/>
                  <w:vMerge w:val="continue"/>
                  <w:noWrap w:val="0"/>
                  <w:vAlign w:val="center"/>
                </w:tcPr>
                <w:p>
                  <w:pPr>
                    <w:pStyle w:val="69"/>
                    <w:rPr>
                      <w:rFonts w:hint="eastAsia"/>
                      <w:color w:val="auto"/>
                    </w:rPr>
                  </w:pPr>
                </w:p>
              </w:tc>
              <w:tc>
                <w:tcPr>
                  <w:tcW w:w="783" w:type="pct"/>
                  <w:noWrap w:val="0"/>
                  <w:vAlign w:val="center"/>
                </w:tcPr>
                <w:p>
                  <w:pPr>
                    <w:pStyle w:val="69"/>
                    <w:rPr>
                      <w:rFonts w:hint="eastAsia"/>
                      <w:color w:val="auto"/>
                    </w:rPr>
                  </w:pPr>
                  <w:r>
                    <w:rPr>
                      <w:rFonts w:hint="eastAsia"/>
                      <w:color w:val="auto"/>
                    </w:rPr>
                    <w:t>废药物、药品</w:t>
                  </w:r>
                </w:p>
              </w:tc>
              <w:tc>
                <w:tcPr>
                  <w:tcW w:w="1739" w:type="pct"/>
                  <w:vMerge w:val="continue"/>
                  <w:noWrap w:val="0"/>
                  <w:vAlign w:val="center"/>
                </w:tcPr>
                <w:p>
                  <w:pPr>
                    <w:pStyle w:val="69"/>
                    <w:rPr>
                      <w:rFonts w:hint="eastAsia"/>
                      <w:color w:val="auto"/>
                    </w:rPr>
                  </w:pPr>
                </w:p>
              </w:tc>
              <w:tc>
                <w:tcPr>
                  <w:tcW w:w="1504" w:type="pct"/>
                  <w:vMerge w:val="continue"/>
                  <w:noWrap w:val="0"/>
                  <w:vAlign w:val="center"/>
                </w:tcPr>
                <w:p>
                  <w:pPr>
                    <w:pStyle w:val="69"/>
                    <w:rPr>
                      <w:rFonts w:hint="eastAsia"/>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 w:type="pct"/>
                  <w:noWrap w:val="0"/>
                  <w:vAlign w:val="center"/>
                </w:tcPr>
                <w:p>
                  <w:pPr>
                    <w:pStyle w:val="69"/>
                    <w:rPr>
                      <w:color w:val="auto"/>
                    </w:rPr>
                  </w:pPr>
                  <w:r>
                    <w:rPr>
                      <w:color w:val="auto"/>
                    </w:rPr>
                    <w:t>噪声</w:t>
                  </w:r>
                </w:p>
              </w:tc>
              <w:tc>
                <w:tcPr>
                  <w:tcW w:w="1329" w:type="pct"/>
                  <w:gridSpan w:val="2"/>
                  <w:noWrap w:val="0"/>
                  <w:vAlign w:val="center"/>
                </w:tcPr>
                <w:p>
                  <w:pPr>
                    <w:pStyle w:val="69"/>
                    <w:rPr>
                      <w:color w:val="auto"/>
                    </w:rPr>
                  </w:pPr>
                  <w:r>
                    <w:rPr>
                      <w:color w:val="auto"/>
                    </w:rPr>
                    <w:t>厂界噪声</w:t>
                  </w:r>
                </w:p>
              </w:tc>
              <w:tc>
                <w:tcPr>
                  <w:tcW w:w="1739" w:type="pct"/>
                  <w:noWrap w:val="0"/>
                  <w:vAlign w:val="center"/>
                </w:tcPr>
                <w:p>
                  <w:pPr>
                    <w:pStyle w:val="69"/>
                    <w:rPr>
                      <w:rFonts w:hint="eastAsia"/>
                      <w:color w:val="auto"/>
                    </w:rPr>
                  </w:pPr>
                  <w:r>
                    <w:rPr>
                      <w:rFonts w:hint="eastAsia"/>
                      <w:color w:val="auto"/>
                    </w:rPr>
                    <w:t>选用低噪声门窗、优化设备布局、基础减震，高噪声设备设置减震垫</w:t>
                  </w:r>
                </w:p>
              </w:tc>
              <w:tc>
                <w:tcPr>
                  <w:tcW w:w="1504" w:type="pct"/>
                  <w:noWrap w:val="0"/>
                  <w:vAlign w:val="center"/>
                </w:tcPr>
                <w:p>
                  <w:pPr>
                    <w:pStyle w:val="69"/>
                    <w:rPr>
                      <w:color w:val="auto"/>
                    </w:rPr>
                  </w:pPr>
                  <w:r>
                    <w:rPr>
                      <w:rFonts w:hint="eastAsia"/>
                      <w:color w:val="auto"/>
                    </w:rPr>
                    <w:t>《工业企业厂界环境噪声排放标准》（</w:t>
                  </w:r>
                  <w:r>
                    <w:rPr>
                      <w:color w:val="auto"/>
                    </w:rPr>
                    <w:t>GB12348-2008</w:t>
                  </w:r>
                  <w:r>
                    <w:rPr>
                      <w:rFonts w:hint="eastAsia"/>
                      <w:color w:val="auto"/>
                    </w:rPr>
                    <w:t>）</w:t>
                  </w:r>
                  <w:r>
                    <w:rPr>
                      <w:color w:val="auto"/>
                    </w:rPr>
                    <w:t xml:space="preserve">2 </w:t>
                  </w:r>
                  <w:r>
                    <w:rPr>
                      <w:rFonts w:hint="eastAsia"/>
                      <w:color w:val="auto"/>
                    </w:rPr>
                    <w:t>类标准</w:t>
                  </w:r>
                </w:p>
              </w:tc>
            </w:tr>
          </w:tbl>
          <w:p>
            <w:pPr>
              <w:pStyle w:val="17"/>
              <w:ind w:left="1680" w:right="1680" w:firstLine="480"/>
              <w:rPr>
                <w:rFonts w:hint="eastAsia"/>
                <w:color w:val="auto"/>
              </w:rPr>
            </w:pPr>
          </w:p>
        </w:tc>
      </w:tr>
    </w:tbl>
    <w:p>
      <w:pPr>
        <w:spacing w:line="360" w:lineRule="auto"/>
        <w:ind w:firstLine="562"/>
        <w:rPr>
          <w:rFonts w:hint="eastAsia" w:ascii="宋体" w:cs="宋体"/>
          <w:b/>
          <w:color w:val="auto"/>
          <w:kern w:val="0"/>
          <w:sz w:val="28"/>
          <w:szCs w:val="28"/>
        </w:rPr>
        <w:sectPr>
          <w:pgSz w:w="11907" w:h="16840"/>
          <w:pgMar w:top="1701" w:right="1531" w:bottom="2127" w:left="1531" w:header="851" w:footer="851" w:gutter="0"/>
          <w:pgNumType w:fmt="decimal"/>
          <w:cols w:space="720" w:num="1"/>
          <w:docGrid w:linePitch="312" w:charSpace="0"/>
        </w:sectPr>
      </w:pPr>
    </w:p>
    <w:p>
      <w:pPr>
        <w:pStyle w:val="3"/>
        <w:rPr>
          <w:color w:val="auto"/>
        </w:rPr>
      </w:pPr>
      <w:bookmarkStart w:id="113" w:name="_Toc14539"/>
      <w:bookmarkStart w:id="114" w:name="_Toc872"/>
      <w:bookmarkStart w:id="115" w:name="_Toc21701"/>
      <w:bookmarkStart w:id="116" w:name="_Toc14072"/>
      <w:r>
        <w:rPr>
          <w:rFonts w:hint="eastAsia"/>
          <w:color w:val="auto"/>
        </w:rPr>
        <w:t>五、环境保护措施监督检查清单</w:t>
      </w:r>
      <w:bookmarkEnd w:id="113"/>
      <w:bookmarkEnd w:id="114"/>
      <w:bookmarkEnd w:id="115"/>
      <w:bookmarkEnd w:id="116"/>
    </w:p>
    <w:tbl>
      <w:tblPr>
        <w:tblStyle w:val="3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056"/>
        <w:gridCol w:w="1315"/>
        <w:gridCol w:w="1123"/>
        <w:gridCol w:w="4041"/>
        <w:gridCol w:w="7"/>
        <w:gridCol w:w="1518"/>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056" w:type="dxa"/>
            <w:tcBorders>
              <w:tl2br w:val="single" w:color="auto" w:sz="4" w:space="0"/>
            </w:tcBorders>
            <w:noWrap w:val="0"/>
            <w:vAlign w:val="center"/>
          </w:tcPr>
          <w:p>
            <w:pPr>
              <w:pStyle w:val="69"/>
              <w:rPr>
                <w:rFonts w:hint="eastAsia"/>
                <w:color w:val="auto"/>
              </w:rPr>
            </w:pPr>
            <w:r>
              <w:rPr>
                <w:rFonts w:hint="eastAsia"/>
                <w:color w:val="auto"/>
              </w:rPr>
              <w:t>内容</w:t>
            </w:r>
          </w:p>
          <w:p>
            <w:pPr>
              <w:pStyle w:val="69"/>
              <w:rPr>
                <w:rFonts w:hint="eastAsia"/>
                <w:color w:val="auto"/>
              </w:rPr>
            </w:pPr>
          </w:p>
          <w:p>
            <w:pPr>
              <w:pStyle w:val="69"/>
              <w:rPr>
                <w:rFonts w:hint="eastAsia"/>
                <w:color w:val="auto"/>
              </w:rPr>
            </w:pPr>
            <w:r>
              <w:rPr>
                <w:rFonts w:hint="eastAsia"/>
                <w:color w:val="auto"/>
              </w:rPr>
              <w:t>要素</w:t>
            </w:r>
          </w:p>
        </w:tc>
        <w:tc>
          <w:tcPr>
            <w:tcW w:w="1315" w:type="dxa"/>
            <w:noWrap w:val="0"/>
            <w:vAlign w:val="center"/>
          </w:tcPr>
          <w:p>
            <w:pPr>
              <w:pStyle w:val="69"/>
              <w:rPr>
                <w:rFonts w:hint="eastAsia"/>
                <w:color w:val="auto"/>
              </w:rPr>
            </w:pPr>
            <w:r>
              <w:rPr>
                <w:rFonts w:hint="eastAsia"/>
                <w:color w:val="auto"/>
              </w:rPr>
              <w:t>排放口(编号、名称)/污染源</w:t>
            </w:r>
          </w:p>
        </w:tc>
        <w:tc>
          <w:tcPr>
            <w:tcW w:w="1123" w:type="dxa"/>
            <w:noWrap w:val="0"/>
            <w:vAlign w:val="center"/>
          </w:tcPr>
          <w:p>
            <w:pPr>
              <w:pStyle w:val="69"/>
              <w:rPr>
                <w:rFonts w:hint="eastAsia"/>
                <w:color w:val="auto"/>
              </w:rPr>
            </w:pPr>
            <w:r>
              <w:rPr>
                <w:rFonts w:hint="eastAsia"/>
                <w:color w:val="auto"/>
              </w:rPr>
              <w:t>污染物项目</w:t>
            </w:r>
          </w:p>
        </w:tc>
        <w:tc>
          <w:tcPr>
            <w:tcW w:w="4041" w:type="dxa"/>
            <w:noWrap w:val="0"/>
            <w:vAlign w:val="center"/>
          </w:tcPr>
          <w:p>
            <w:pPr>
              <w:pStyle w:val="69"/>
              <w:rPr>
                <w:rFonts w:hint="eastAsia"/>
                <w:color w:val="auto"/>
              </w:rPr>
            </w:pPr>
            <w:r>
              <w:rPr>
                <w:rFonts w:hint="eastAsia"/>
                <w:color w:val="auto"/>
              </w:rPr>
              <w:t>环境保护措施</w:t>
            </w:r>
          </w:p>
        </w:tc>
        <w:tc>
          <w:tcPr>
            <w:tcW w:w="1525" w:type="dxa"/>
            <w:gridSpan w:val="2"/>
            <w:noWrap w:val="0"/>
            <w:vAlign w:val="center"/>
          </w:tcPr>
          <w:p>
            <w:pPr>
              <w:pStyle w:val="69"/>
              <w:rPr>
                <w:rFonts w:hint="eastAsia"/>
                <w:color w:val="auto"/>
              </w:rPr>
            </w:pPr>
            <w:r>
              <w:rPr>
                <w:rFonts w:hint="eastAsia"/>
                <w:color w:val="auto"/>
              </w:rPr>
              <w:t>执行标准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056" w:type="dxa"/>
            <w:vMerge w:val="restart"/>
            <w:noWrap w:val="0"/>
            <w:vAlign w:val="center"/>
          </w:tcPr>
          <w:p>
            <w:pPr>
              <w:pStyle w:val="69"/>
              <w:rPr>
                <w:rFonts w:hint="eastAsia"/>
                <w:color w:val="auto"/>
              </w:rPr>
            </w:pPr>
            <w:r>
              <w:rPr>
                <w:rFonts w:hint="eastAsia"/>
                <w:color w:val="auto"/>
              </w:rPr>
              <w:t>大气环境</w:t>
            </w:r>
          </w:p>
        </w:tc>
        <w:tc>
          <w:tcPr>
            <w:tcW w:w="1315" w:type="dxa"/>
            <w:noWrap w:val="0"/>
            <w:vAlign w:val="center"/>
          </w:tcPr>
          <w:p>
            <w:pPr>
              <w:pStyle w:val="69"/>
              <w:rPr>
                <w:rFonts w:hint="eastAsia"/>
                <w:color w:val="auto"/>
              </w:rPr>
            </w:pPr>
            <w:r>
              <w:rPr>
                <w:rFonts w:hint="eastAsia"/>
                <w:color w:val="auto"/>
              </w:rPr>
              <w:t>医废间</w:t>
            </w:r>
            <w:r>
              <w:rPr>
                <w:color w:val="auto"/>
              </w:rPr>
              <w:t>异味</w:t>
            </w:r>
            <w:r>
              <w:rPr>
                <w:rFonts w:hint="eastAsia"/>
                <w:color w:val="auto"/>
              </w:rPr>
              <w:t>、</w:t>
            </w:r>
            <w:r>
              <w:rPr>
                <w:color w:val="auto"/>
              </w:rPr>
              <w:t>污水处理</w:t>
            </w:r>
            <w:r>
              <w:rPr>
                <w:rFonts w:hint="eastAsia"/>
                <w:color w:val="auto"/>
              </w:rPr>
              <w:t>设施</w:t>
            </w:r>
            <w:r>
              <w:rPr>
                <w:color w:val="auto"/>
              </w:rPr>
              <w:t>异味</w:t>
            </w:r>
            <w:r>
              <w:rPr>
                <w:rFonts w:hint="eastAsia"/>
                <w:color w:val="auto"/>
              </w:rPr>
              <w:t>、宠物散发的异味、</w:t>
            </w:r>
            <w:r>
              <w:rPr>
                <w:color w:val="auto"/>
              </w:rPr>
              <w:t>带菌空气</w:t>
            </w:r>
          </w:p>
        </w:tc>
        <w:tc>
          <w:tcPr>
            <w:tcW w:w="1123" w:type="dxa"/>
            <w:noWrap w:val="0"/>
            <w:vAlign w:val="center"/>
          </w:tcPr>
          <w:p>
            <w:pPr>
              <w:pStyle w:val="69"/>
              <w:rPr>
                <w:rFonts w:hint="eastAsia"/>
                <w:color w:val="auto"/>
              </w:rPr>
            </w:pPr>
            <w:r>
              <w:rPr>
                <w:rFonts w:hint="eastAsia"/>
                <w:color w:val="auto"/>
              </w:rPr>
              <w:t>氨、</w:t>
            </w:r>
            <w:r>
              <w:rPr>
                <w:color w:val="auto"/>
              </w:rPr>
              <w:t>硫化氢</w:t>
            </w:r>
            <w:r>
              <w:rPr>
                <w:rFonts w:hint="eastAsia"/>
                <w:color w:val="auto"/>
              </w:rPr>
              <w:t>、臭气浓度</w:t>
            </w:r>
          </w:p>
        </w:tc>
        <w:tc>
          <w:tcPr>
            <w:tcW w:w="4041" w:type="dxa"/>
            <w:noWrap w:val="0"/>
            <w:vAlign w:val="center"/>
          </w:tcPr>
          <w:p>
            <w:pPr>
              <w:pStyle w:val="69"/>
              <w:rPr>
                <w:rFonts w:hint="eastAsia"/>
                <w:color w:val="auto"/>
              </w:rPr>
            </w:pPr>
            <w:r>
              <w:rPr>
                <w:color w:val="auto"/>
              </w:rPr>
              <w:t>做好医疗废物的密封、清运和消毒工作，做好</w:t>
            </w:r>
            <w:r>
              <w:rPr>
                <w:rFonts w:hint="eastAsia"/>
                <w:color w:val="auto"/>
              </w:rPr>
              <w:t>暂存间</w:t>
            </w:r>
            <w:r>
              <w:rPr>
                <w:color w:val="auto"/>
              </w:rPr>
              <w:t>的防鼠、防蚊蝇等措施</w:t>
            </w:r>
            <w:r>
              <w:rPr>
                <w:rFonts w:hint="eastAsia"/>
                <w:color w:val="auto"/>
              </w:rPr>
              <w:t>；</w:t>
            </w:r>
            <w:r>
              <w:rPr>
                <w:color w:val="auto"/>
              </w:rPr>
              <w:t>定期进行设备的清洁和消毒</w:t>
            </w:r>
            <w:r>
              <w:rPr>
                <w:rFonts w:hint="eastAsia"/>
                <w:color w:val="auto"/>
              </w:rPr>
              <w:t>；日常采用移动式紫外线灯照射+环境消毒（用过硫酸氢钾复合粉兑水喷洒）+新风系统净化空气，</w:t>
            </w:r>
            <w:r>
              <w:rPr>
                <w:color w:val="auto"/>
              </w:rPr>
              <w:t>加强室内通风，同时增加清洗次数，并采用除臭剂进行室内空气净化</w:t>
            </w:r>
            <w:r>
              <w:rPr>
                <w:rFonts w:hint="eastAsia"/>
                <w:color w:val="auto"/>
              </w:rPr>
              <w:t>。</w:t>
            </w:r>
          </w:p>
        </w:tc>
        <w:tc>
          <w:tcPr>
            <w:tcW w:w="1525" w:type="dxa"/>
            <w:gridSpan w:val="2"/>
            <w:noWrap w:val="0"/>
            <w:vAlign w:val="center"/>
          </w:tcPr>
          <w:p>
            <w:pPr>
              <w:pStyle w:val="69"/>
              <w:rPr>
                <w:rFonts w:hint="eastAsia"/>
                <w:color w:val="auto"/>
              </w:rPr>
            </w:pPr>
            <w:r>
              <w:rPr>
                <w:rFonts w:hint="eastAsia"/>
                <w:color w:val="auto"/>
              </w:rPr>
              <w:t>《恶臭污染物排放标准》（GB14554-1993）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056" w:type="dxa"/>
            <w:vMerge w:val="restart"/>
            <w:noWrap w:val="0"/>
            <w:vAlign w:val="center"/>
          </w:tcPr>
          <w:p>
            <w:pPr>
              <w:pStyle w:val="69"/>
              <w:rPr>
                <w:rFonts w:hint="eastAsia"/>
                <w:color w:val="auto"/>
              </w:rPr>
            </w:pPr>
            <w:r>
              <w:rPr>
                <w:rFonts w:hint="eastAsia"/>
                <w:color w:val="auto"/>
              </w:rPr>
              <w:t>地表水环境</w:t>
            </w:r>
          </w:p>
        </w:tc>
        <w:tc>
          <w:tcPr>
            <w:tcW w:w="1315" w:type="dxa"/>
            <w:noWrap w:val="0"/>
            <w:vAlign w:val="center"/>
          </w:tcPr>
          <w:p>
            <w:pPr>
              <w:pStyle w:val="69"/>
              <w:rPr>
                <w:rFonts w:hint="eastAsia"/>
                <w:color w:val="auto"/>
              </w:rPr>
            </w:pPr>
            <w:r>
              <w:rPr>
                <w:color w:val="auto"/>
              </w:rPr>
              <w:t>生活污水</w:t>
            </w:r>
          </w:p>
        </w:tc>
        <w:tc>
          <w:tcPr>
            <w:tcW w:w="1123" w:type="dxa"/>
            <w:vMerge w:val="restart"/>
            <w:noWrap w:val="0"/>
            <w:vAlign w:val="center"/>
          </w:tcPr>
          <w:p>
            <w:pPr>
              <w:pStyle w:val="69"/>
              <w:rPr>
                <w:rFonts w:hint="eastAsia"/>
                <w:color w:val="auto"/>
              </w:rPr>
            </w:pPr>
            <w:r>
              <w:rPr>
                <w:color w:val="auto"/>
              </w:rPr>
              <w:t>COD、BOD</w:t>
            </w:r>
            <w:r>
              <w:rPr>
                <w:color w:val="auto"/>
                <w:vertAlign w:val="subscript"/>
              </w:rPr>
              <w:t>5</w:t>
            </w:r>
            <w:r>
              <w:rPr>
                <w:color w:val="auto"/>
              </w:rPr>
              <w:t>、SS、NH</w:t>
            </w:r>
            <w:r>
              <w:rPr>
                <w:color w:val="auto"/>
                <w:vertAlign w:val="subscript"/>
              </w:rPr>
              <w:t>3</w:t>
            </w:r>
            <w:r>
              <w:rPr>
                <w:color w:val="auto"/>
              </w:rPr>
              <w:t>-N</w:t>
            </w:r>
          </w:p>
        </w:tc>
        <w:tc>
          <w:tcPr>
            <w:tcW w:w="4041" w:type="dxa"/>
            <w:noWrap w:val="0"/>
            <w:vAlign w:val="center"/>
          </w:tcPr>
          <w:p>
            <w:pPr>
              <w:pStyle w:val="69"/>
              <w:rPr>
                <w:rFonts w:hint="eastAsia"/>
                <w:color w:val="auto"/>
              </w:rPr>
            </w:pPr>
            <w:r>
              <w:rPr>
                <w:color w:val="auto"/>
              </w:rPr>
              <w:t>利用卫生间污水管道进入</w:t>
            </w:r>
            <w:r>
              <w:rPr>
                <w:rFonts w:hint="eastAsia"/>
                <w:color w:val="auto"/>
              </w:rPr>
              <w:t>满芳庭锦邻小区预处理池</w:t>
            </w:r>
            <w:r>
              <w:rPr>
                <w:color w:val="auto"/>
              </w:rPr>
              <w:t>处理，最终进入</w:t>
            </w:r>
            <w:r>
              <w:rPr>
                <w:rFonts w:hint="eastAsia"/>
                <w:color w:val="auto"/>
              </w:rPr>
              <w:t>乐山第一污水处理厂</w:t>
            </w:r>
            <w:r>
              <w:rPr>
                <w:color w:val="auto"/>
              </w:rPr>
              <w:t>处理达标后排入</w:t>
            </w:r>
            <w:r>
              <w:rPr>
                <w:rFonts w:hint="eastAsia"/>
                <w:color w:val="auto"/>
              </w:rPr>
              <w:t>岷江</w:t>
            </w:r>
          </w:p>
        </w:tc>
        <w:tc>
          <w:tcPr>
            <w:tcW w:w="1525" w:type="dxa"/>
            <w:gridSpan w:val="2"/>
            <w:vMerge w:val="restart"/>
            <w:noWrap w:val="0"/>
            <w:vAlign w:val="center"/>
          </w:tcPr>
          <w:p>
            <w:pPr>
              <w:pStyle w:val="69"/>
              <w:rPr>
                <w:color w:val="auto"/>
              </w:rPr>
            </w:pPr>
            <w:r>
              <w:rPr>
                <w:color w:val="auto"/>
              </w:rPr>
              <w:t>《污水综合排放标准》（GB8978- 1996）表4中</w:t>
            </w:r>
            <w:r>
              <w:rPr>
                <w:rFonts w:hint="eastAsia"/>
                <w:color w:val="auto"/>
              </w:rPr>
              <w:t>三</w:t>
            </w:r>
            <w:r>
              <w:rPr>
                <w:color w:val="auto"/>
              </w:rPr>
              <w:t>级标准</w:t>
            </w:r>
          </w:p>
          <w:p>
            <w:pPr>
              <w:pStyle w:val="69"/>
              <w:rPr>
                <w:rFonts w:hint="eastAsia"/>
                <w:color w:val="auto"/>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056" w:type="dxa"/>
            <w:vMerge w:val="continue"/>
            <w:noWrap w:val="0"/>
            <w:vAlign w:val="center"/>
          </w:tcPr>
          <w:p>
            <w:pPr>
              <w:pStyle w:val="69"/>
              <w:rPr>
                <w:rFonts w:hint="eastAsia"/>
                <w:color w:val="auto"/>
              </w:rPr>
            </w:pPr>
          </w:p>
        </w:tc>
        <w:tc>
          <w:tcPr>
            <w:tcW w:w="1315" w:type="dxa"/>
            <w:noWrap w:val="0"/>
            <w:vAlign w:val="center"/>
          </w:tcPr>
          <w:p>
            <w:pPr>
              <w:pStyle w:val="69"/>
              <w:rPr>
                <w:rFonts w:hint="eastAsia"/>
                <w:color w:val="auto"/>
              </w:rPr>
            </w:pPr>
            <w:r>
              <w:rPr>
                <w:color w:val="auto"/>
              </w:rPr>
              <w:t>医疗废水</w:t>
            </w:r>
          </w:p>
        </w:tc>
        <w:tc>
          <w:tcPr>
            <w:tcW w:w="1123" w:type="dxa"/>
            <w:vMerge w:val="continue"/>
            <w:noWrap w:val="0"/>
            <w:vAlign w:val="center"/>
          </w:tcPr>
          <w:p>
            <w:pPr>
              <w:pStyle w:val="69"/>
              <w:rPr>
                <w:rFonts w:hint="eastAsia"/>
                <w:color w:val="auto"/>
              </w:rPr>
            </w:pPr>
          </w:p>
        </w:tc>
        <w:tc>
          <w:tcPr>
            <w:tcW w:w="4041" w:type="dxa"/>
            <w:noWrap w:val="0"/>
            <w:vAlign w:val="center"/>
          </w:tcPr>
          <w:p>
            <w:pPr>
              <w:pStyle w:val="69"/>
              <w:rPr>
                <w:rFonts w:hint="eastAsia"/>
                <w:color w:val="auto"/>
              </w:rPr>
            </w:pPr>
            <w:r>
              <w:rPr>
                <w:rFonts w:hint="eastAsia"/>
                <w:color w:val="auto"/>
              </w:rPr>
              <w:t>污水处理设备消毒</w:t>
            </w:r>
            <w:r>
              <w:rPr>
                <w:color w:val="auto"/>
              </w:rPr>
              <w:t>处理后</w:t>
            </w:r>
            <w:r>
              <w:rPr>
                <w:rFonts w:hint="eastAsia"/>
                <w:color w:val="auto"/>
              </w:rPr>
              <w:t>，通过管道排入</w:t>
            </w:r>
            <w:r>
              <w:rPr>
                <w:rFonts w:hint="eastAsia"/>
                <w:color w:val="auto"/>
                <w:lang w:val="zh-CN"/>
              </w:rPr>
              <w:t>满芳庭锦邻</w:t>
            </w:r>
            <w:r>
              <w:rPr>
                <w:rFonts w:hint="eastAsia"/>
                <w:color w:val="auto"/>
              </w:rPr>
              <w:t>小区预处理池，通过市政污水管网排</w:t>
            </w:r>
            <w:r>
              <w:rPr>
                <w:color w:val="auto"/>
              </w:rPr>
              <w:t>入</w:t>
            </w:r>
            <w:r>
              <w:rPr>
                <w:rFonts w:hint="eastAsia"/>
                <w:color w:val="auto"/>
              </w:rPr>
              <w:t>乐山第一污水处理厂</w:t>
            </w:r>
            <w:r>
              <w:rPr>
                <w:color w:val="auto"/>
              </w:rPr>
              <w:t>处理达标后排入</w:t>
            </w:r>
            <w:r>
              <w:rPr>
                <w:rFonts w:hint="eastAsia"/>
                <w:color w:val="auto"/>
              </w:rPr>
              <w:t>岷江</w:t>
            </w:r>
          </w:p>
        </w:tc>
        <w:tc>
          <w:tcPr>
            <w:tcW w:w="1525" w:type="dxa"/>
            <w:gridSpan w:val="2"/>
            <w:vMerge w:val="continue"/>
            <w:noWrap w:val="0"/>
            <w:vAlign w:val="center"/>
          </w:tcPr>
          <w:p>
            <w:pPr>
              <w:pStyle w:val="69"/>
              <w:rPr>
                <w:rFonts w:hint="eastAsia"/>
                <w:color w:val="auto"/>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056" w:type="dxa"/>
            <w:vMerge w:val="restart"/>
            <w:noWrap w:val="0"/>
            <w:vAlign w:val="center"/>
          </w:tcPr>
          <w:p>
            <w:pPr>
              <w:pStyle w:val="69"/>
              <w:rPr>
                <w:rFonts w:hint="eastAsia"/>
                <w:color w:val="auto"/>
              </w:rPr>
            </w:pPr>
            <w:r>
              <w:rPr>
                <w:rFonts w:hint="eastAsia"/>
                <w:color w:val="auto"/>
              </w:rPr>
              <w:t>声环境</w:t>
            </w:r>
          </w:p>
        </w:tc>
        <w:tc>
          <w:tcPr>
            <w:tcW w:w="1315" w:type="dxa"/>
            <w:noWrap w:val="0"/>
            <w:vAlign w:val="center"/>
          </w:tcPr>
          <w:p>
            <w:pPr>
              <w:pStyle w:val="69"/>
              <w:rPr>
                <w:rFonts w:hint="eastAsia"/>
                <w:color w:val="auto"/>
              </w:rPr>
            </w:pPr>
            <w:r>
              <w:rPr>
                <w:rFonts w:hint="eastAsia"/>
                <w:color w:val="auto"/>
              </w:rPr>
              <w:t>空调外机</w:t>
            </w:r>
          </w:p>
        </w:tc>
        <w:tc>
          <w:tcPr>
            <w:tcW w:w="1123" w:type="dxa"/>
            <w:vMerge w:val="restart"/>
            <w:noWrap w:val="0"/>
            <w:vAlign w:val="center"/>
          </w:tcPr>
          <w:p>
            <w:pPr>
              <w:pStyle w:val="69"/>
              <w:rPr>
                <w:rFonts w:hint="eastAsia"/>
                <w:color w:val="auto"/>
              </w:rPr>
            </w:pPr>
            <w:r>
              <w:rPr>
                <w:rFonts w:hint="eastAsia"/>
                <w:color w:val="auto"/>
              </w:rPr>
              <w:t>噪声</w:t>
            </w:r>
          </w:p>
        </w:tc>
        <w:tc>
          <w:tcPr>
            <w:tcW w:w="4041" w:type="dxa"/>
            <w:noWrap w:val="0"/>
            <w:vAlign w:val="center"/>
          </w:tcPr>
          <w:p>
            <w:pPr>
              <w:pStyle w:val="69"/>
              <w:rPr>
                <w:rFonts w:hint="eastAsia"/>
                <w:color w:val="auto"/>
              </w:rPr>
            </w:pPr>
            <w:r>
              <w:rPr>
                <w:rFonts w:hint="eastAsia"/>
                <w:color w:val="auto"/>
              </w:rPr>
              <w:t>噪声较小，且项目只在白天营业，空调运转时产生的噪声经商业用房隔声和 距离衰减后对周围住户不会产生较大影响</w:t>
            </w:r>
          </w:p>
        </w:tc>
        <w:tc>
          <w:tcPr>
            <w:tcW w:w="1525" w:type="dxa"/>
            <w:gridSpan w:val="2"/>
            <w:vMerge w:val="restart"/>
            <w:noWrap w:val="0"/>
            <w:vAlign w:val="center"/>
          </w:tcPr>
          <w:p>
            <w:pPr>
              <w:pStyle w:val="69"/>
              <w:rPr>
                <w:rFonts w:hint="eastAsia"/>
                <w:color w:val="auto"/>
              </w:rPr>
            </w:pPr>
            <w:r>
              <w:rPr>
                <w:rFonts w:hint="eastAsia"/>
                <w:color w:val="auto"/>
              </w:rPr>
              <w:t>《工业企业厂界环境噪声排放标准》（GB12348-2008）中2类标准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056" w:type="dxa"/>
            <w:vMerge w:val="continue"/>
            <w:noWrap w:val="0"/>
            <w:vAlign w:val="center"/>
          </w:tcPr>
          <w:p>
            <w:pPr>
              <w:pStyle w:val="69"/>
              <w:rPr>
                <w:rFonts w:hint="eastAsia"/>
                <w:color w:val="auto"/>
              </w:rPr>
            </w:pPr>
          </w:p>
        </w:tc>
        <w:tc>
          <w:tcPr>
            <w:tcW w:w="1315" w:type="dxa"/>
            <w:noWrap w:val="0"/>
            <w:vAlign w:val="center"/>
          </w:tcPr>
          <w:p>
            <w:pPr>
              <w:pStyle w:val="69"/>
              <w:rPr>
                <w:rFonts w:hint="eastAsia"/>
                <w:color w:val="auto"/>
              </w:rPr>
            </w:pPr>
            <w:r>
              <w:rPr>
                <w:rFonts w:hint="eastAsia"/>
                <w:color w:val="auto"/>
              </w:rPr>
              <w:t>宠物叫声</w:t>
            </w:r>
          </w:p>
        </w:tc>
        <w:tc>
          <w:tcPr>
            <w:tcW w:w="1123" w:type="dxa"/>
            <w:vMerge w:val="continue"/>
            <w:noWrap w:val="0"/>
            <w:vAlign w:val="center"/>
          </w:tcPr>
          <w:p>
            <w:pPr>
              <w:pStyle w:val="69"/>
              <w:rPr>
                <w:rFonts w:hint="eastAsia"/>
                <w:color w:val="auto"/>
              </w:rPr>
            </w:pPr>
          </w:p>
        </w:tc>
        <w:tc>
          <w:tcPr>
            <w:tcW w:w="4041" w:type="dxa"/>
            <w:noWrap w:val="0"/>
            <w:vAlign w:val="center"/>
          </w:tcPr>
          <w:p>
            <w:pPr>
              <w:pStyle w:val="69"/>
              <w:rPr>
                <w:rFonts w:hint="eastAsia"/>
                <w:color w:val="auto"/>
              </w:rPr>
            </w:pPr>
            <w:r>
              <w:rPr>
                <w:rFonts w:hint="eastAsia"/>
                <w:color w:val="auto"/>
              </w:rPr>
              <w:t>采用实体隔墙、吸声材料、各科室全部使用隔音门、加强宠物管理、留院观察，宠物佩戴口罩等</w:t>
            </w:r>
          </w:p>
        </w:tc>
        <w:tc>
          <w:tcPr>
            <w:tcW w:w="1525" w:type="dxa"/>
            <w:gridSpan w:val="2"/>
            <w:vMerge w:val="continue"/>
            <w:noWrap w:val="0"/>
            <w:vAlign w:val="center"/>
          </w:tcPr>
          <w:p>
            <w:pPr>
              <w:pStyle w:val="69"/>
              <w:rPr>
                <w:rFonts w:hint="eastAsia"/>
                <w:color w:val="auto"/>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056" w:type="dxa"/>
            <w:noWrap w:val="0"/>
            <w:vAlign w:val="center"/>
          </w:tcPr>
          <w:p>
            <w:pPr>
              <w:pStyle w:val="69"/>
              <w:rPr>
                <w:rFonts w:hint="eastAsia"/>
                <w:color w:val="auto"/>
              </w:rPr>
            </w:pPr>
            <w:r>
              <w:rPr>
                <w:rFonts w:hint="eastAsia"/>
                <w:color w:val="auto"/>
              </w:rPr>
              <w:t>电磁辐射</w:t>
            </w:r>
          </w:p>
        </w:tc>
        <w:tc>
          <w:tcPr>
            <w:tcW w:w="1315" w:type="dxa"/>
            <w:noWrap w:val="0"/>
            <w:vAlign w:val="center"/>
          </w:tcPr>
          <w:p>
            <w:pPr>
              <w:pStyle w:val="69"/>
              <w:rPr>
                <w:rFonts w:hint="eastAsia"/>
                <w:color w:val="auto"/>
              </w:rPr>
            </w:pPr>
            <w:r>
              <w:rPr>
                <w:rFonts w:hint="eastAsia"/>
                <w:color w:val="auto"/>
              </w:rPr>
              <w:t>/</w:t>
            </w:r>
          </w:p>
        </w:tc>
        <w:tc>
          <w:tcPr>
            <w:tcW w:w="1123" w:type="dxa"/>
            <w:noWrap w:val="0"/>
            <w:vAlign w:val="center"/>
          </w:tcPr>
          <w:p>
            <w:pPr>
              <w:pStyle w:val="69"/>
              <w:rPr>
                <w:rFonts w:hint="eastAsia"/>
                <w:color w:val="auto"/>
              </w:rPr>
            </w:pPr>
            <w:r>
              <w:rPr>
                <w:rFonts w:hint="eastAsia"/>
                <w:color w:val="auto"/>
              </w:rPr>
              <w:t>/</w:t>
            </w:r>
          </w:p>
        </w:tc>
        <w:tc>
          <w:tcPr>
            <w:tcW w:w="4041" w:type="dxa"/>
            <w:noWrap w:val="0"/>
            <w:vAlign w:val="center"/>
          </w:tcPr>
          <w:p>
            <w:pPr>
              <w:pStyle w:val="69"/>
              <w:rPr>
                <w:rFonts w:hint="eastAsia"/>
                <w:color w:val="auto"/>
              </w:rPr>
            </w:pPr>
            <w:r>
              <w:rPr>
                <w:rFonts w:hint="eastAsia"/>
                <w:color w:val="auto"/>
              </w:rPr>
              <w:t>/</w:t>
            </w:r>
          </w:p>
        </w:tc>
        <w:tc>
          <w:tcPr>
            <w:tcW w:w="1525" w:type="dxa"/>
            <w:gridSpan w:val="2"/>
            <w:noWrap w:val="0"/>
            <w:vAlign w:val="center"/>
          </w:tcPr>
          <w:p>
            <w:pPr>
              <w:pStyle w:val="69"/>
              <w:rPr>
                <w:rFonts w:hint="eastAsia"/>
                <w:color w:val="auto"/>
              </w:rPr>
            </w:pPr>
            <w:r>
              <w:rPr>
                <w:rFonts w:hint="eastAsia"/>
                <w:color w:val="auto"/>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056" w:type="dxa"/>
            <w:vMerge w:val="restart"/>
            <w:noWrap w:val="0"/>
            <w:vAlign w:val="center"/>
          </w:tcPr>
          <w:p>
            <w:pPr>
              <w:pStyle w:val="69"/>
              <w:rPr>
                <w:rFonts w:hint="eastAsia"/>
                <w:color w:val="auto"/>
              </w:rPr>
            </w:pPr>
            <w:r>
              <w:rPr>
                <w:rFonts w:hint="eastAsia"/>
                <w:color w:val="auto"/>
              </w:rPr>
              <w:t>固体废物</w:t>
            </w:r>
          </w:p>
        </w:tc>
        <w:tc>
          <w:tcPr>
            <w:tcW w:w="1315" w:type="dxa"/>
            <w:vMerge w:val="restart"/>
            <w:noWrap w:val="0"/>
            <w:vAlign w:val="center"/>
          </w:tcPr>
          <w:p>
            <w:pPr>
              <w:pStyle w:val="69"/>
              <w:rPr>
                <w:rFonts w:hint="eastAsia"/>
                <w:color w:val="auto"/>
              </w:rPr>
            </w:pPr>
            <w:r>
              <w:rPr>
                <w:rFonts w:hint="eastAsia"/>
                <w:color w:val="auto"/>
              </w:rPr>
              <w:t>一般固废</w:t>
            </w:r>
          </w:p>
        </w:tc>
        <w:tc>
          <w:tcPr>
            <w:tcW w:w="1123" w:type="dxa"/>
            <w:noWrap w:val="0"/>
            <w:vAlign w:val="center"/>
          </w:tcPr>
          <w:p>
            <w:pPr>
              <w:pStyle w:val="69"/>
              <w:rPr>
                <w:rFonts w:hint="eastAsia"/>
                <w:color w:val="auto"/>
              </w:rPr>
            </w:pPr>
            <w:r>
              <w:rPr>
                <w:rFonts w:hint="eastAsia"/>
                <w:color w:val="auto"/>
              </w:rPr>
              <w:t>生活垃圾</w:t>
            </w:r>
          </w:p>
        </w:tc>
        <w:tc>
          <w:tcPr>
            <w:tcW w:w="4048" w:type="dxa"/>
            <w:gridSpan w:val="2"/>
            <w:vMerge w:val="restart"/>
            <w:noWrap w:val="0"/>
            <w:vAlign w:val="center"/>
          </w:tcPr>
          <w:p>
            <w:pPr>
              <w:pStyle w:val="69"/>
              <w:rPr>
                <w:rFonts w:hint="eastAsia"/>
                <w:color w:val="auto"/>
              </w:rPr>
            </w:pPr>
            <w:r>
              <w:rPr>
                <w:rFonts w:hint="eastAsia"/>
                <w:color w:val="auto"/>
              </w:rPr>
              <w:t>生活垃圾收集后放置于社区生活垃圾暂存点待环卫部门转运处置；</w:t>
            </w:r>
          </w:p>
          <w:p>
            <w:pPr>
              <w:pStyle w:val="69"/>
              <w:rPr>
                <w:rFonts w:hint="eastAsia"/>
                <w:color w:val="auto"/>
              </w:rPr>
            </w:pPr>
            <w:r>
              <w:rPr>
                <w:rFonts w:hint="eastAsia"/>
                <w:color w:val="auto"/>
              </w:rPr>
              <w:t>宠物毛发和粪便集中收集，喷洒消毒剂后同生活垃圾交由市环卫部门统一收集清运和处理</w:t>
            </w:r>
          </w:p>
        </w:tc>
        <w:tc>
          <w:tcPr>
            <w:tcW w:w="1518" w:type="dxa"/>
            <w:vMerge w:val="restart"/>
            <w:noWrap w:val="0"/>
            <w:vAlign w:val="center"/>
          </w:tcPr>
          <w:p>
            <w:pPr>
              <w:pStyle w:val="69"/>
              <w:rPr>
                <w:rFonts w:hint="eastAsia"/>
                <w:color w:val="auto"/>
              </w:rPr>
            </w:pPr>
            <w:r>
              <w:rPr>
                <w:rFonts w:hint="eastAsia"/>
                <w:color w:val="auto"/>
              </w:rPr>
              <w:t>《一般工业固体废物贮存和填埋污染控制标准》（GB18599-2020）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056" w:type="dxa"/>
            <w:vMerge w:val="continue"/>
            <w:noWrap w:val="0"/>
            <w:vAlign w:val="center"/>
          </w:tcPr>
          <w:p>
            <w:pPr>
              <w:pStyle w:val="69"/>
              <w:rPr>
                <w:rFonts w:hint="eastAsia"/>
                <w:color w:val="auto"/>
              </w:rPr>
            </w:pPr>
          </w:p>
        </w:tc>
        <w:tc>
          <w:tcPr>
            <w:tcW w:w="1315" w:type="dxa"/>
            <w:vMerge w:val="continue"/>
            <w:noWrap w:val="0"/>
            <w:vAlign w:val="center"/>
          </w:tcPr>
          <w:p>
            <w:pPr>
              <w:pStyle w:val="69"/>
              <w:rPr>
                <w:rFonts w:hint="eastAsia"/>
                <w:color w:val="auto"/>
              </w:rPr>
            </w:pPr>
          </w:p>
        </w:tc>
        <w:tc>
          <w:tcPr>
            <w:tcW w:w="1123" w:type="dxa"/>
            <w:noWrap w:val="0"/>
            <w:vAlign w:val="center"/>
          </w:tcPr>
          <w:p>
            <w:pPr>
              <w:pStyle w:val="69"/>
              <w:rPr>
                <w:rFonts w:hint="eastAsia"/>
                <w:color w:val="auto"/>
              </w:rPr>
            </w:pPr>
            <w:r>
              <w:rPr>
                <w:rFonts w:hint="eastAsia"/>
                <w:color w:val="auto"/>
              </w:rPr>
              <w:t>宠物粪便</w:t>
            </w:r>
          </w:p>
        </w:tc>
        <w:tc>
          <w:tcPr>
            <w:tcW w:w="4048" w:type="dxa"/>
            <w:gridSpan w:val="2"/>
            <w:vMerge w:val="continue"/>
            <w:noWrap w:val="0"/>
            <w:vAlign w:val="center"/>
          </w:tcPr>
          <w:p>
            <w:pPr>
              <w:pStyle w:val="69"/>
              <w:rPr>
                <w:rFonts w:hint="eastAsia"/>
                <w:color w:val="auto"/>
              </w:rPr>
            </w:pPr>
          </w:p>
        </w:tc>
        <w:tc>
          <w:tcPr>
            <w:tcW w:w="1518" w:type="dxa"/>
            <w:vMerge w:val="continue"/>
            <w:noWrap w:val="0"/>
            <w:vAlign w:val="center"/>
          </w:tcPr>
          <w:p>
            <w:pPr>
              <w:pStyle w:val="69"/>
              <w:rPr>
                <w:rFonts w:hint="eastAsia"/>
                <w:color w:val="auto"/>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056" w:type="dxa"/>
            <w:vMerge w:val="continue"/>
            <w:noWrap w:val="0"/>
            <w:vAlign w:val="center"/>
          </w:tcPr>
          <w:p>
            <w:pPr>
              <w:pStyle w:val="69"/>
              <w:rPr>
                <w:rFonts w:hint="eastAsia"/>
                <w:color w:val="auto"/>
              </w:rPr>
            </w:pPr>
          </w:p>
        </w:tc>
        <w:tc>
          <w:tcPr>
            <w:tcW w:w="1315" w:type="dxa"/>
            <w:vMerge w:val="continue"/>
            <w:noWrap w:val="0"/>
            <w:vAlign w:val="center"/>
          </w:tcPr>
          <w:p>
            <w:pPr>
              <w:pStyle w:val="69"/>
              <w:rPr>
                <w:rFonts w:hint="eastAsia"/>
                <w:color w:val="auto"/>
              </w:rPr>
            </w:pPr>
          </w:p>
        </w:tc>
        <w:tc>
          <w:tcPr>
            <w:tcW w:w="1123" w:type="dxa"/>
            <w:noWrap w:val="0"/>
            <w:vAlign w:val="center"/>
          </w:tcPr>
          <w:p>
            <w:pPr>
              <w:pStyle w:val="69"/>
              <w:rPr>
                <w:rFonts w:hint="eastAsia"/>
                <w:color w:val="auto"/>
              </w:rPr>
            </w:pPr>
            <w:r>
              <w:rPr>
                <w:rFonts w:hint="eastAsia"/>
                <w:color w:val="auto"/>
              </w:rPr>
              <w:t>宠物毛发</w:t>
            </w:r>
          </w:p>
        </w:tc>
        <w:tc>
          <w:tcPr>
            <w:tcW w:w="4048" w:type="dxa"/>
            <w:gridSpan w:val="2"/>
            <w:vMerge w:val="continue"/>
            <w:noWrap w:val="0"/>
            <w:vAlign w:val="center"/>
          </w:tcPr>
          <w:p>
            <w:pPr>
              <w:pStyle w:val="69"/>
              <w:rPr>
                <w:rFonts w:hint="eastAsia"/>
                <w:color w:val="auto"/>
              </w:rPr>
            </w:pPr>
          </w:p>
        </w:tc>
        <w:tc>
          <w:tcPr>
            <w:tcW w:w="1518" w:type="dxa"/>
            <w:vMerge w:val="continue"/>
            <w:noWrap w:val="0"/>
            <w:vAlign w:val="center"/>
          </w:tcPr>
          <w:p>
            <w:pPr>
              <w:pStyle w:val="69"/>
              <w:rPr>
                <w:rFonts w:hint="eastAsia"/>
                <w:color w:val="auto"/>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056" w:type="dxa"/>
            <w:vMerge w:val="continue"/>
            <w:noWrap w:val="0"/>
            <w:vAlign w:val="center"/>
          </w:tcPr>
          <w:p>
            <w:pPr>
              <w:pStyle w:val="69"/>
              <w:rPr>
                <w:rFonts w:hint="eastAsia"/>
                <w:color w:val="auto"/>
              </w:rPr>
            </w:pPr>
          </w:p>
        </w:tc>
        <w:tc>
          <w:tcPr>
            <w:tcW w:w="1315" w:type="dxa"/>
            <w:vMerge w:val="restart"/>
            <w:noWrap w:val="0"/>
            <w:vAlign w:val="center"/>
          </w:tcPr>
          <w:p>
            <w:pPr>
              <w:pStyle w:val="69"/>
              <w:rPr>
                <w:rFonts w:hint="eastAsia"/>
                <w:color w:val="auto"/>
              </w:rPr>
            </w:pPr>
            <w:r>
              <w:rPr>
                <w:rFonts w:hint="eastAsia"/>
                <w:color w:val="auto"/>
              </w:rPr>
              <w:t>危险废物</w:t>
            </w:r>
          </w:p>
        </w:tc>
        <w:tc>
          <w:tcPr>
            <w:tcW w:w="1123" w:type="dxa"/>
            <w:noWrap w:val="0"/>
            <w:vAlign w:val="center"/>
          </w:tcPr>
          <w:p>
            <w:pPr>
              <w:pStyle w:val="69"/>
              <w:rPr>
                <w:rFonts w:hint="eastAsia"/>
                <w:color w:val="auto"/>
              </w:rPr>
            </w:pPr>
            <w:r>
              <w:rPr>
                <w:rFonts w:hint="eastAsia"/>
                <w:color w:val="auto"/>
              </w:rPr>
              <w:t>宠物尸体</w:t>
            </w:r>
          </w:p>
        </w:tc>
        <w:tc>
          <w:tcPr>
            <w:tcW w:w="4048" w:type="dxa"/>
            <w:gridSpan w:val="2"/>
            <w:noWrap w:val="0"/>
            <w:vAlign w:val="center"/>
          </w:tcPr>
          <w:p>
            <w:pPr>
              <w:pStyle w:val="69"/>
              <w:rPr>
                <w:rFonts w:hint="eastAsia"/>
                <w:color w:val="auto"/>
              </w:rPr>
            </w:pPr>
            <w:r>
              <w:rPr>
                <w:rFonts w:hint="eastAsia"/>
                <w:color w:val="auto"/>
              </w:rPr>
              <w:t>经消毒后采用密封袋封存，当天通知并交由资质单位处置，不在院内储存</w:t>
            </w:r>
          </w:p>
        </w:tc>
        <w:tc>
          <w:tcPr>
            <w:tcW w:w="1518" w:type="dxa"/>
            <w:vMerge w:val="restart"/>
            <w:noWrap w:val="0"/>
            <w:vAlign w:val="center"/>
          </w:tcPr>
          <w:p>
            <w:pPr>
              <w:pStyle w:val="69"/>
              <w:rPr>
                <w:color w:val="auto"/>
              </w:rPr>
            </w:pPr>
            <w:r>
              <w:rPr>
                <w:rFonts w:hint="eastAsia"/>
                <w:color w:val="auto"/>
              </w:rPr>
              <w:t>《危险废物贮存污染物控制标准》</w:t>
            </w:r>
            <w:r>
              <w:rPr>
                <w:color w:val="auto"/>
              </w:rPr>
              <w:t>（GB18597-2001）</w:t>
            </w:r>
            <w:r>
              <w:rPr>
                <w:rFonts w:hint="eastAsia"/>
                <w:color w:val="auto"/>
              </w:rPr>
              <w:t>及其修改单</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056" w:type="dxa"/>
            <w:vMerge w:val="continue"/>
            <w:noWrap w:val="0"/>
            <w:vAlign w:val="center"/>
          </w:tcPr>
          <w:p>
            <w:pPr>
              <w:pStyle w:val="69"/>
              <w:rPr>
                <w:rFonts w:hint="eastAsia"/>
                <w:color w:val="auto"/>
              </w:rPr>
            </w:pPr>
          </w:p>
        </w:tc>
        <w:tc>
          <w:tcPr>
            <w:tcW w:w="1315" w:type="dxa"/>
            <w:vMerge w:val="continue"/>
            <w:noWrap w:val="0"/>
            <w:vAlign w:val="center"/>
          </w:tcPr>
          <w:p>
            <w:pPr>
              <w:pStyle w:val="69"/>
              <w:rPr>
                <w:rFonts w:hint="eastAsia"/>
                <w:color w:val="auto"/>
              </w:rPr>
            </w:pPr>
          </w:p>
        </w:tc>
        <w:tc>
          <w:tcPr>
            <w:tcW w:w="1123" w:type="dxa"/>
            <w:noWrap w:val="0"/>
            <w:vAlign w:val="center"/>
          </w:tcPr>
          <w:p>
            <w:pPr>
              <w:pStyle w:val="69"/>
              <w:rPr>
                <w:rFonts w:hint="eastAsia"/>
                <w:color w:val="auto"/>
              </w:rPr>
            </w:pPr>
            <w:r>
              <w:rPr>
                <w:color w:val="auto"/>
              </w:rPr>
              <w:t>医疗</w:t>
            </w:r>
            <w:r>
              <w:rPr>
                <w:rFonts w:hint="eastAsia"/>
                <w:color w:val="auto"/>
              </w:rPr>
              <w:t>废物</w:t>
            </w:r>
          </w:p>
        </w:tc>
        <w:tc>
          <w:tcPr>
            <w:tcW w:w="4048" w:type="dxa"/>
            <w:gridSpan w:val="2"/>
            <w:noWrap w:val="0"/>
            <w:vAlign w:val="center"/>
          </w:tcPr>
          <w:p>
            <w:pPr>
              <w:pStyle w:val="69"/>
              <w:rPr>
                <w:rFonts w:hint="eastAsia"/>
                <w:color w:val="auto"/>
              </w:rPr>
            </w:pPr>
            <w:r>
              <w:rPr>
                <w:rFonts w:hint="eastAsia"/>
                <w:color w:val="auto"/>
              </w:rPr>
              <w:t>分类收集，暂存于医废暂存间，定期交由资质单位处置；病理组织暂存在专用冰柜内，与其它医疗废物一起交由有资质的单位进行统一处置，</w:t>
            </w:r>
          </w:p>
        </w:tc>
        <w:tc>
          <w:tcPr>
            <w:tcW w:w="1518" w:type="dxa"/>
            <w:vMerge w:val="continue"/>
            <w:noWrap w:val="0"/>
            <w:vAlign w:val="center"/>
          </w:tcPr>
          <w:p>
            <w:pPr>
              <w:pStyle w:val="69"/>
              <w:rPr>
                <w:rFonts w:hint="eastAsia"/>
                <w:color w:val="auto"/>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056" w:type="dxa"/>
            <w:vMerge w:val="continue"/>
            <w:noWrap w:val="0"/>
            <w:vAlign w:val="center"/>
          </w:tcPr>
          <w:p>
            <w:pPr>
              <w:pStyle w:val="69"/>
              <w:rPr>
                <w:rFonts w:hint="eastAsia"/>
                <w:color w:val="auto"/>
              </w:rPr>
            </w:pPr>
          </w:p>
        </w:tc>
        <w:tc>
          <w:tcPr>
            <w:tcW w:w="1315" w:type="dxa"/>
            <w:vMerge w:val="continue"/>
            <w:noWrap w:val="0"/>
            <w:vAlign w:val="center"/>
          </w:tcPr>
          <w:p>
            <w:pPr>
              <w:pStyle w:val="69"/>
              <w:rPr>
                <w:rFonts w:hint="eastAsia"/>
                <w:color w:val="auto"/>
              </w:rPr>
            </w:pPr>
          </w:p>
        </w:tc>
        <w:tc>
          <w:tcPr>
            <w:tcW w:w="1123" w:type="dxa"/>
            <w:noWrap w:val="0"/>
            <w:vAlign w:val="center"/>
          </w:tcPr>
          <w:p>
            <w:pPr>
              <w:pStyle w:val="69"/>
              <w:rPr>
                <w:color w:val="auto"/>
              </w:rPr>
            </w:pPr>
            <w:r>
              <w:rPr>
                <w:color w:val="auto"/>
              </w:rPr>
              <w:t>废紫外灯管</w:t>
            </w:r>
          </w:p>
        </w:tc>
        <w:tc>
          <w:tcPr>
            <w:tcW w:w="4048" w:type="dxa"/>
            <w:gridSpan w:val="2"/>
            <w:noWrap w:val="0"/>
            <w:vAlign w:val="center"/>
          </w:tcPr>
          <w:p>
            <w:pPr>
              <w:pStyle w:val="69"/>
              <w:rPr>
                <w:rFonts w:hint="eastAsia"/>
                <w:color w:val="auto"/>
              </w:rPr>
            </w:pPr>
            <w:r>
              <w:rPr>
                <w:rFonts w:hint="eastAsia"/>
                <w:color w:val="auto"/>
              </w:rPr>
              <w:t>收集后暂存于医废暂存间，定期交由资质单位处置</w:t>
            </w:r>
          </w:p>
        </w:tc>
        <w:tc>
          <w:tcPr>
            <w:tcW w:w="1518" w:type="dxa"/>
            <w:vMerge w:val="continue"/>
            <w:noWrap w:val="0"/>
            <w:vAlign w:val="center"/>
          </w:tcPr>
          <w:p>
            <w:pPr>
              <w:pStyle w:val="69"/>
              <w:rPr>
                <w:rFonts w:hint="eastAsia"/>
                <w:color w:val="auto"/>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056" w:type="dxa"/>
            <w:noWrap w:val="0"/>
            <w:vAlign w:val="center"/>
          </w:tcPr>
          <w:p>
            <w:pPr>
              <w:pStyle w:val="69"/>
              <w:rPr>
                <w:rFonts w:hint="eastAsia"/>
                <w:color w:val="auto"/>
              </w:rPr>
            </w:pPr>
            <w:r>
              <w:rPr>
                <w:rFonts w:hint="eastAsia"/>
                <w:color w:val="auto"/>
              </w:rPr>
              <w:t>土壤及地下水</w:t>
            </w:r>
          </w:p>
          <w:p>
            <w:pPr>
              <w:pStyle w:val="69"/>
              <w:rPr>
                <w:rFonts w:hint="eastAsia"/>
                <w:color w:val="auto"/>
              </w:rPr>
            </w:pPr>
            <w:r>
              <w:rPr>
                <w:rFonts w:hint="eastAsia"/>
                <w:color w:val="auto"/>
              </w:rPr>
              <w:t>污染防治措施</w:t>
            </w:r>
          </w:p>
        </w:tc>
        <w:tc>
          <w:tcPr>
            <w:tcW w:w="8004" w:type="dxa"/>
            <w:gridSpan w:val="5"/>
            <w:noWrap w:val="0"/>
            <w:vAlign w:val="top"/>
          </w:tcPr>
          <w:p>
            <w:pPr>
              <w:pStyle w:val="69"/>
              <w:jc w:val="both"/>
              <w:rPr>
                <w:rFonts w:hint="eastAsia"/>
                <w:color w:val="auto"/>
              </w:rPr>
            </w:pPr>
            <w:r>
              <w:rPr>
                <w:rFonts w:hint="eastAsia"/>
                <w:color w:val="auto"/>
              </w:rPr>
              <w:t>一般防渗区采用防渗混凝土硬化地面+硬质地板砖；重点防渗区包括医废暂存间、污水处理设施所在位置，防渗混凝土地面+2mm厚环氧树脂地坪漆；污水处理设备所在区域：防渗混凝土地面+不锈钢金属托盘</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056" w:type="dxa"/>
            <w:noWrap w:val="0"/>
            <w:vAlign w:val="center"/>
          </w:tcPr>
          <w:p>
            <w:pPr>
              <w:pStyle w:val="69"/>
              <w:rPr>
                <w:rFonts w:hint="eastAsia"/>
                <w:color w:val="auto"/>
              </w:rPr>
            </w:pPr>
            <w:r>
              <w:rPr>
                <w:rFonts w:hint="eastAsia"/>
                <w:color w:val="auto"/>
              </w:rPr>
              <w:t>生态保护措施</w:t>
            </w:r>
          </w:p>
        </w:tc>
        <w:tc>
          <w:tcPr>
            <w:tcW w:w="8004" w:type="dxa"/>
            <w:gridSpan w:val="5"/>
            <w:noWrap w:val="0"/>
            <w:vAlign w:val="top"/>
          </w:tcPr>
          <w:p>
            <w:pPr>
              <w:pStyle w:val="69"/>
              <w:jc w:val="both"/>
              <w:rPr>
                <w:rFonts w:hint="eastAsia"/>
                <w:color w:val="auto"/>
              </w:rPr>
            </w:pPr>
            <w:r>
              <w:rPr>
                <w:rFonts w:hint="eastAsia"/>
                <w:color w:val="auto"/>
              </w:rPr>
              <w:t>项目所在地为城市环境，生态环境受人类活动影响显著，无珍稀动植物，区域内无自然保护区、风景名胜区等生态敏感区分布。项目各类污染物在采取有效的环保措施后均能做到达标排放。因此，不会对区域生态环境产生不良影响，无须特殊的生态保护措施。</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056" w:type="dxa"/>
            <w:noWrap w:val="0"/>
            <w:vAlign w:val="center"/>
          </w:tcPr>
          <w:p>
            <w:pPr>
              <w:pStyle w:val="69"/>
              <w:rPr>
                <w:color w:val="auto"/>
              </w:rPr>
            </w:pPr>
            <w:r>
              <w:rPr>
                <w:rFonts w:hint="eastAsia"/>
                <w:color w:val="auto"/>
              </w:rPr>
              <w:t>环境风险</w:t>
            </w:r>
          </w:p>
          <w:p>
            <w:pPr>
              <w:pStyle w:val="69"/>
              <w:rPr>
                <w:rFonts w:hint="eastAsia"/>
                <w:color w:val="auto"/>
              </w:rPr>
            </w:pPr>
            <w:r>
              <w:rPr>
                <w:rFonts w:hint="eastAsia"/>
                <w:color w:val="auto"/>
              </w:rPr>
              <w:t>防范措施</w:t>
            </w:r>
          </w:p>
        </w:tc>
        <w:tc>
          <w:tcPr>
            <w:tcW w:w="8004" w:type="dxa"/>
            <w:gridSpan w:val="5"/>
            <w:noWrap w:val="0"/>
            <w:vAlign w:val="top"/>
          </w:tcPr>
          <w:p>
            <w:pPr>
              <w:pStyle w:val="69"/>
              <w:jc w:val="both"/>
              <w:rPr>
                <w:rFonts w:hint="eastAsia"/>
                <w:color w:val="auto"/>
              </w:rPr>
            </w:pPr>
            <w:r>
              <w:rPr>
                <w:rFonts w:hint="eastAsia"/>
                <w:color w:val="auto"/>
              </w:rPr>
              <w:t>加强对化学品管理：</w:t>
            </w:r>
          </w:p>
          <w:p>
            <w:pPr>
              <w:pStyle w:val="69"/>
              <w:jc w:val="both"/>
              <w:rPr>
                <w:rFonts w:hint="eastAsia"/>
                <w:color w:val="auto"/>
              </w:rPr>
            </w:pPr>
            <w:r>
              <w:rPr>
                <w:rFonts w:hint="eastAsia"/>
                <w:color w:val="auto"/>
              </w:rPr>
              <w:t>对于化学品的购买、储存、保管、使用等需要按照《危险化学品安全管理条例》的规定管理，化学品出入库，必须进行核查登记，并定期监测库存。做好化学品的存储及使用的安全防范措施，具体如下：</w:t>
            </w:r>
          </w:p>
          <w:p>
            <w:pPr>
              <w:pStyle w:val="69"/>
              <w:jc w:val="both"/>
              <w:rPr>
                <w:rFonts w:hint="eastAsia"/>
                <w:color w:val="auto"/>
              </w:rPr>
            </w:pPr>
            <w:r>
              <w:rPr>
                <w:rFonts w:hint="eastAsia"/>
                <w:color w:val="auto"/>
              </w:rPr>
              <w:t>A、化学品必须储存在专用储存柜内，其储存方式、方法与储存量必须符合国家标准，并由专人管理。</w:t>
            </w:r>
          </w:p>
          <w:p>
            <w:pPr>
              <w:pStyle w:val="69"/>
              <w:jc w:val="both"/>
              <w:rPr>
                <w:rFonts w:hint="eastAsia"/>
                <w:color w:val="auto"/>
              </w:rPr>
            </w:pPr>
            <w:r>
              <w:rPr>
                <w:rFonts w:hint="eastAsia"/>
                <w:color w:val="auto"/>
              </w:rPr>
              <w:t xml:space="preserve">B、化学品设有专用存储柜，应当符合国家标准对安全、消防的要求，设置明显标志。 </w:t>
            </w:r>
          </w:p>
          <w:p>
            <w:pPr>
              <w:pStyle w:val="69"/>
              <w:jc w:val="both"/>
              <w:rPr>
                <w:rFonts w:hint="eastAsia"/>
                <w:color w:val="auto"/>
              </w:rPr>
            </w:pPr>
            <w:r>
              <w:rPr>
                <w:rFonts w:hint="eastAsia"/>
                <w:color w:val="auto"/>
              </w:rPr>
              <w:t>医疗废物储存风险防范措施：</w:t>
            </w:r>
          </w:p>
          <w:p>
            <w:pPr>
              <w:pStyle w:val="69"/>
              <w:jc w:val="both"/>
              <w:rPr>
                <w:rFonts w:hint="eastAsia"/>
                <w:color w:val="auto"/>
              </w:rPr>
            </w:pPr>
            <w:r>
              <w:rPr>
                <w:rFonts w:hint="eastAsia"/>
                <w:color w:val="auto"/>
              </w:rPr>
              <w:t xml:space="preserve">A、应当使用防渗漏、防抛洒的专用储存工具，做好医疗废物存储地周围的防渗措施。 </w:t>
            </w:r>
          </w:p>
          <w:p>
            <w:pPr>
              <w:pStyle w:val="69"/>
              <w:jc w:val="both"/>
              <w:rPr>
                <w:rFonts w:hint="eastAsia"/>
                <w:color w:val="auto"/>
              </w:rPr>
            </w:pPr>
            <w:r>
              <w:rPr>
                <w:rFonts w:hint="eastAsia"/>
                <w:color w:val="auto"/>
              </w:rPr>
              <w:t xml:space="preserve">B、医疗废物储存工具应定期进行消毒和清洁。 </w:t>
            </w:r>
          </w:p>
          <w:p>
            <w:pPr>
              <w:pStyle w:val="69"/>
              <w:jc w:val="both"/>
              <w:rPr>
                <w:rFonts w:hint="eastAsia"/>
                <w:color w:val="auto"/>
              </w:rPr>
            </w:pPr>
            <w:r>
              <w:rPr>
                <w:rFonts w:hint="eastAsia"/>
                <w:color w:val="auto"/>
              </w:rPr>
              <w:t>C、医疗废物应分类收集、贮存，贴上醒目标签，不得与生活垃圾混合堆放；发生危险废物与生活垃圾混合的现象，应将所有被污染的生活垃圾当做危险废物处理。</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056" w:type="dxa"/>
            <w:noWrap w:val="0"/>
            <w:vAlign w:val="center"/>
          </w:tcPr>
          <w:p>
            <w:pPr>
              <w:pStyle w:val="69"/>
              <w:rPr>
                <w:color w:val="auto"/>
              </w:rPr>
            </w:pPr>
            <w:r>
              <w:rPr>
                <w:rFonts w:hint="eastAsia"/>
                <w:color w:val="auto"/>
              </w:rPr>
              <w:t>其他环境</w:t>
            </w:r>
          </w:p>
          <w:p>
            <w:pPr>
              <w:pStyle w:val="69"/>
              <w:rPr>
                <w:rFonts w:hint="eastAsia"/>
                <w:color w:val="auto"/>
              </w:rPr>
            </w:pPr>
            <w:r>
              <w:rPr>
                <w:rFonts w:hint="eastAsia"/>
                <w:color w:val="auto"/>
              </w:rPr>
              <w:t>管理要求</w:t>
            </w:r>
          </w:p>
        </w:tc>
        <w:tc>
          <w:tcPr>
            <w:tcW w:w="8004" w:type="dxa"/>
            <w:gridSpan w:val="5"/>
            <w:noWrap w:val="0"/>
            <w:vAlign w:val="top"/>
          </w:tcPr>
          <w:p>
            <w:pPr>
              <w:pStyle w:val="69"/>
              <w:jc w:val="both"/>
              <w:rPr>
                <w:rFonts w:hint="eastAsia"/>
                <w:color w:val="auto"/>
              </w:rPr>
            </w:pPr>
            <w:r>
              <w:rPr>
                <w:rFonts w:hint="eastAsia"/>
                <w:color w:val="auto"/>
              </w:rPr>
              <w:t>环境及医疗器械卫生消毒制度：</w:t>
            </w:r>
          </w:p>
          <w:p>
            <w:pPr>
              <w:pStyle w:val="69"/>
              <w:jc w:val="both"/>
              <w:rPr>
                <w:rFonts w:hint="eastAsia"/>
                <w:color w:val="auto"/>
              </w:rPr>
            </w:pPr>
            <w:r>
              <w:rPr>
                <w:rFonts w:hint="eastAsia"/>
                <w:color w:val="auto"/>
              </w:rPr>
              <w:t xml:space="preserve">①保持室内清洁，每天工作结束后应进行彻底消毒处理； </w:t>
            </w:r>
          </w:p>
          <w:p>
            <w:pPr>
              <w:pStyle w:val="69"/>
              <w:jc w:val="both"/>
              <w:rPr>
                <w:rFonts w:hint="eastAsia"/>
                <w:color w:val="auto"/>
              </w:rPr>
            </w:pPr>
            <w:r>
              <w:rPr>
                <w:rFonts w:hint="eastAsia"/>
                <w:color w:val="auto"/>
              </w:rPr>
              <w:t>②工作人员必须穿工作服、带工作帽、戴口罩、手套。使用合格的一次性检验用品；</w:t>
            </w:r>
          </w:p>
          <w:p>
            <w:pPr>
              <w:pStyle w:val="69"/>
              <w:jc w:val="both"/>
              <w:rPr>
                <w:rFonts w:hint="eastAsia"/>
                <w:color w:val="auto"/>
              </w:rPr>
            </w:pPr>
            <w:r>
              <w:rPr>
                <w:rFonts w:hint="eastAsia"/>
                <w:color w:val="auto"/>
              </w:rPr>
              <w:t xml:space="preserve">③无菌物品如：棉签、棉球、纱布等应在有效期内使用，开封后使用时间不得超过24小时； </w:t>
            </w:r>
          </w:p>
          <w:p>
            <w:pPr>
              <w:pStyle w:val="69"/>
              <w:jc w:val="both"/>
              <w:rPr>
                <w:rFonts w:hint="eastAsia"/>
                <w:color w:val="auto"/>
              </w:rPr>
            </w:pPr>
            <w:r>
              <w:rPr>
                <w:rFonts w:hint="eastAsia"/>
                <w:color w:val="auto"/>
              </w:rPr>
              <w:t>④各种医疗器械应及时消毒、清洗；各种废弃标本分类处理。进行治疗时，必须先洗手或消毒。结束操作后也应及时洗手，毛巾专用，并每天消毒。</w:t>
            </w:r>
          </w:p>
          <w:p>
            <w:pPr>
              <w:pStyle w:val="69"/>
              <w:jc w:val="both"/>
              <w:rPr>
                <w:rFonts w:hint="eastAsia"/>
                <w:color w:val="auto"/>
              </w:rPr>
            </w:pPr>
            <w:r>
              <w:rPr>
                <w:rFonts w:hint="eastAsia"/>
                <w:color w:val="auto"/>
              </w:rPr>
              <w:t>危险废物处置和管理</w:t>
            </w:r>
          </w:p>
          <w:p>
            <w:pPr>
              <w:pStyle w:val="69"/>
              <w:jc w:val="both"/>
              <w:rPr>
                <w:rFonts w:hint="eastAsia"/>
                <w:color w:val="auto"/>
              </w:rPr>
            </w:pPr>
            <w:r>
              <w:rPr>
                <w:rFonts w:hint="eastAsia"/>
                <w:color w:val="auto"/>
              </w:rPr>
              <w:t>对诊疗过程中产生的医疗废物要求及时交予资质单位处置，并做好医疗废弃物的转运台账。</w:t>
            </w:r>
          </w:p>
        </w:tc>
      </w:tr>
    </w:tbl>
    <w:p>
      <w:pPr>
        <w:pStyle w:val="3"/>
        <w:rPr>
          <w:rFonts w:ascii="黑体" w:hAnsi="黑体"/>
          <w:snapToGrid w:val="0"/>
          <w:color w:val="auto"/>
        </w:rPr>
      </w:pPr>
      <w:r>
        <w:rPr>
          <w:snapToGrid w:val="0"/>
          <w:color w:val="auto"/>
        </w:rPr>
        <w:t xml:space="preserve"> </w:t>
      </w:r>
      <w:r>
        <w:rPr>
          <w:snapToGrid w:val="0"/>
          <w:color w:val="auto"/>
        </w:rPr>
        <w:br w:type="page"/>
      </w:r>
      <w:bookmarkStart w:id="117" w:name="_Toc167"/>
      <w:bookmarkStart w:id="118" w:name="_Toc1298"/>
      <w:bookmarkStart w:id="119" w:name="_Toc6330"/>
      <w:bookmarkStart w:id="120" w:name="_Toc14048"/>
      <w:r>
        <w:rPr>
          <w:rFonts w:hint="eastAsia" w:ascii="黑体" w:hAnsi="黑体"/>
          <w:snapToGrid w:val="0"/>
          <w:color w:val="auto"/>
        </w:rPr>
        <w:t>六、结论</w:t>
      </w:r>
      <w:bookmarkEnd w:id="117"/>
      <w:bookmarkEnd w:id="118"/>
      <w:bookmarkEnd w:id="119"/>
      <w:bookmarkEnd w:id="120"/>
    </w:p>
    <w:tbl>
      <w:tblPr>
        <w:tblStyle w:val="3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8865"/>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1991" w:hRule="atLeast"/>
          <w:jc w:val="center"/>
        </w:trPr>
        <w:tc>
          <w:tcPr>
            <w:tcW w:w="8865" w:type="dxa"/>
            <w:noWrap w:val="0"/>
            <w:vAlign w:val="top"/>
          </w:tcPr>
          <w:p>
            <w:pPr>
              <w:spacing w:line="360" w:lineRule="auto"/>
              <w:ind w:firstLine="480"/>
              <w:rPr>
                <w:rFonts w:ascii="宋体" w:cs="宋体"/>
                <w:color w:val="auto"/>
              </w:rPr>
            </w:pPr>
            <w:r>
              <w:rPr>
                <w:rFonts w:hint="eastAsia" w:ascii="宋体" w:cs="宋体"/>
                <w:color w:val="auto"/>
              </w:rPr>
              <w:t>综上所述，本项目符合国家产业政策，选址符合功能定位和发展规划要求。采取的污染防治措施可使污染物达标排放；项目总平面布置基本合理。项目所在区域内无重大环境制约要素，环境质量现状较好。因此，本项目只要全面严格落实环境影响报告表和工程设计提出的环保对策及措施，严格执行“三同时”制度，确保项目产生的污染物达标排放。则本项目的建设从环保角度上是可行的。</w:t>
            </w:r>
          </w:p>
        </w:tc>
      </w:tr>
    </w:tbl>
    <w:p>
      <w:pPr>
        <w:ind w:firstLine="480"/>
        <w:rPr>
          <w:rFonts w:ascii="宋体"/>
          <w:color w:val="auto"/>
        </w:rPr>
        <w:sectPr>
          <w:pgSz w:w="11906" w:h="16838"/>
          <w:pgMar w:top="1701" w:right="1531" w:bottom="1701" w:left="1531" w:header="851" w:footer="851" w:gutter="0"/>
          <w:pgNumType w:fmt="decimal"/>
          <w:cols w:space="720" w:num="1"/>
          <w:docGrid w:linePitch="312" w:charSpace="0"/>
        </w:sectPr>
      </w:pPr>
    </w:p>
    <w:p>
      <w:pPr>
        <w:pStyle w:val="33"/>
        <w:spacing w:beforeAutospacing="0" w:afterAutospacing="0" w:line="648" w:lineRule="auto"/>
        <w:ind w:firstLine="640"/>
        <w:outlineLvl w:val="0"/>
        <w:rPr>
          <w:rFonts w:ascii="黑体" w:hAnsi="黑体" w:eastAsia="黑体"/>
          <w:snapToGrid w:val="0"/>
          <w:color w:val="auto"/>
          <w:sz w:val="32"/>
          <w:szCs w:val="32"/>
        </w:rPr>
      </w:pPr>
      <w:bookmarkStart w:id="121" w:name="_Toc16947"/>
      <w:bookmarkStart w:id="122" w:name="_Toc25402"/>
      <w:bookmarkStart w:id="123" w:name="_Toc31291"/>
      <w:bookmarkStart w:id="124" w:name="_Toc24580"/>
      <w:bookmarkStart w:id="125" w:name="_Toc24026"/>
      <w:bookmarkStart w:id="126" w:name="_Toc15435"/>
      <w:bookmarkStart w:id="127" w:name="_Toc20952"/>
      <w:bookmarkStart w:id="128" w:name="_Toc20721"/>
      <w:r>
        <w:rPr>
          <w:rFonts w:hint="eastAsia" w:ascii="黑体" w:hAnsi="黑体" w:eastAsia="黑体"/>
          <w:snapToGrid w:val="0"/>
          <w:color w:val="auto"/>
          <w:sz w:val="32"/>
          <w:szCs w:val="32"/>
        </w:rPr>
        <w:t>附表</w:t>
      </w:r>
      <w:bookmarkEnd w:id="121"/>
      <w:bookmarkEnd w:id="122"/>
      <w:bookmarkEnd w:id="123"/>
      <w:bookmarkEnd w:id="124"/>
      <w:bookmarkEnd w:id="125"/>
      <w:bookmarkEnd w:id="126"/>
      <w:bookmarkEnd w:id="127"/>
      <w:bookmarkEnd w:id="128"/>
    </w:p>
    <w:p>
      <w:pPr>
        <w:pStyle w:val="4"/>
        <w:rPr>
          <w:rFonts w:hint="eastAsia"/>
          <w:color w:val="auto"/>
        </w:rPr>
      </w:pPr>
      <w:bookmarkStart w:id="129" w:name="_Toc25333"/>
      <w:bookmarkStart w:id="130" w:name="_Toc30869"/>
      <w:bookmarkStart w:id="131" w:name="_Toc29877"/>
      <w:bookmarkStart w:id="132" w:name="_Toc13462"/>
      <w:bookmarkStart w:id="133" w:name="_Toc19775"/>
      <w:bookmarkStart w:id="134" w:name="_Toc55"/>
      <w:bookmarkStart w:id="135" w:name="_Toc30513"/>
      <w:bookmarkStart w:id="136" w:name="_Toc3732"/>
      <w:bookmarkStart w:id="137" w:name="_Toc13454"/>
      <w:r>
        <w:rPr>
          <w:rFonts w:hint="eastAsia"/>
          <w:color w:val="auto"/>
        </w:rPr>
        <w:t>建设项目污染物排放量汇总表</w:t>
      </w:r>
      <w:bookmarkEnd w:id="129"/>
      <w:bookmarkEnd w:id="130"/>
      <w:bookmarkEnd w:id="131"/>
      <w:bookmarkEnd w:id="132"/>
      <w:bookmarkEnd w:id="133"/>
      <w:bookmarkEnd w:id="134"/>
      <w:bookmarkEnd w:id="135"/>
      <w:bookmarkEnd w:id="136"/>
      <w:bookmarkEnd w:id="137"/>
    </w:p>
    <w:tbl>
      <w:tblPr>
        <w:tblStyle w:val="38"/>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292"/>
        <w:gridCol w:w="2100"/>
        <w:gridCol w:w="1666"/>
        <w:gridCol w:w="1350"/>
        <w:gridCol w:w="1550"/>
        <w:gridCol w:w="1650"/>
        <w:gridCol w:w="1395"/>
        <w:gridCol w:w="1959"/>
        <w:gridCol w:w="826"/>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92" w:type="dxa"/>
            <w:tcBorders>
              <w:tl2br w:val="single" w:color="auto" w:sz="4" w:space="0"/>
            </w:tcBorders>
            <w:noWrap w:val="0"/>
            <w:tcMar>
              <w:left w:w="28" w:type="dxa"/>
              <w:right w:w="28" w:type="dxa"/>
            </w:tcMar>
            <w:vAlign w:val="center"/>
          </w:tcPr>
          <w:p>
            <w:pPr>
              <w:pStyle w:val="103"/>
              <w:spacing w:beforeLines="0" w:afterLines="0" w:line="240" w:lineRule="auto"/>
              <w:ind w:firstLine="0" w:firstLineChars="0"/>
              <w:rPr>
                <w:rFonts w:hint="eastAsia" w:hAnsi="宋体" w:cs="宋体"/>
                <w:snapToGrid w:val="0"/>
                <w:color w:val="auto"/>
                <w:spacing w:val="-6"/>
                <w:kern w:val="21"/>
                <w:sz w:val="21"/>
                <w:szCs w:val="21"/>
              </w:rPr>
            </w:pPr>
            <w:r>
              <w:rPr>
                <w:rFonts w:hint="eastAsia" w:hAnsi="宋体" w:cs="宋体"/>
                <w:snapToGrid w:val="0"/>
                <w:color w:val="auto"/>
                <w:spacing w:val="-6"/>
                <w:kern w:val="21"/>
                <w:sz w:val="21"/>
                <w:szCs w:val="21"/>
              </w:rPr>
              <w:t>项目</w:t>
            </w:r>
          </w:p>
          <w:p>
            <w:pPr>
              <w:pStyle w:val="103"/>
              <w:spacing w:beforeLines="0" w:afterLines="0" w:line="240" w:lineRule="auto"/>
              <w:ind w:firstLine="0" w:firstLineChars="0"/>
              <w:rPr>
                <w:rFonts w:hint="eastAsia" w:hAnsi="宋体" w:cs="宋体"/>
                <w:snapToGrid w:val="0"/>
                <w:color w:val="auto"/>
                <w:spacing w:val="-6"/>
                <w:kern w:val="21"/>
                <w:sz w:val="21"/>
                <w:szCs w:val="21"/>
              </w:rPr>
            </w:pPr>
            <w:r>
              <w:rPr>
                <w:rFonts w:hint="eastAsia" w:hAnsi="宋体" w:cs="宋体"/>
                <w:snapToGrid w:val="0"/>
                <w:color w:val="auto"/>
                <w:spacing w:val="-6"/>
                <w:kern w:val="21"/>
                <w:sz w:val="21"/>
                <w:szCs w:val="21"/>
              </w:rPr>
              <w:t>分类</w:t>
            </w:r>
          </w:p>
        </w:tc>
        <w:tc>
          <w:tcPr>
            <w:tcW w:w="2100" w:type="dxa"/>
            <w:noWrap w:val="0"/>
            <w:tcMar>
              <w:left w:w="28" w:type="dxa"/>
              <w:right w:w="28" w:type="dxa"/>
            </w:tcMar>
            <w:vAlign w:val="center"/>
          </w:tcPr>
          <w:p>
            <w:pPr>
              <w:pStyle w:val="103"/>
              <w:spacing w:beforeLines="0" w:afterLines="0" w:line="240" w:lineRule="auto"/>
              <w:ind w:firstLine="0" w:firstLineChars="0"/>
              <w:rPr>
                <w:rFonts w:hint="eastAsia" w:hAnsi="宋体" w:cs="宋体"/>
                <w:snapToGrid w:val="0"/>
                <w:color w:val="auto"/>
                <w:spacing w:val="-6"/>
                <w:kern w:val="21"/>
                <w:sz w:val="21"/>
                <w:szCs w:val="21"/>
              </w:rPr>
            </w:pPr>
            <w:r>
              <w:rPr>
                <w:rFonts w:hint="eastAsia" w:hAnsi="宋体" w:cs="宋体"/>
                <w:snapToGrid w:val="0"/>
                <w:color w:val="auto"/>
                <w:spacing w:val="-6"/>
                <w:kern w:val="21"/>
                <w:sz w:val="21"/>
                <w:szCs w:val="21"/>
              </w:rPr>
              <w:t>污染物名称</w:t>
            </w:r>
          </w:p>
        </w:tc>
        <w:tc>
          <w:tcPr>
            <w:tcW w:w="1666" w:type="dxa"/>
            <w:noWrap w:val="0"/>
            <w:tcMar>
              <w:left w:w="28" w:type="dxa"/>
              <w:right w:w="28" w:type="dxa"/>
            </w:tcMar>
            <w:vAlign w:val="center"/>
          </w:tcPr>
          <w:p>
            <w:pPr>
              <w:pStyle w:val="103"/>
              <w:spacing w:beforeLines="0" w:afterLines="0" w:line="240" w:lineRule="auto"/>
              <w:ind w:firstLine="0" w:firstLineChars="0"/>
              <w:rPr>
                <w:rFonts w:hint="eastAsia" w:hAnsi="宋体" w:cs="宋体"/>
                <w:snapToGrid w:val="0"/>
                <w:color w:val="auto"/>
                <w:spacing w:val="-6"/>
                <w:kern w:val="21"/>
                <w:sz w:val="21"/>
                <w:szCs w:val="21"/>
              </w:rPr>
            </w:pPr>
            <w:r>
              <w:rPr>
                <w:rFonts w:hint="eastAsia" w:hAnsi="宋体" w:cs="宋体"/>
                <w:snapToGrid w:val="0"/>
                <w:color w:val="auto"/>
                <w:spacing w:val="-6"/>
                <w:kern w:val="21"/>
                <w:sz w:val="21"/>
                <w:szCs w:val="21"/>
              </w:rPr>
              <w:t>现有工程</w:t>
            </w:r>
          </w:p>
          <w:p>
            <w:pPr>
              <w:pStyle w:val="103"/>
              <w:spacing w:beforeLines="0" w:afterLines="0" w:line="240" w:lineRule="auto"/>
              <w:ind w:firstLine="0" w:firstLineChars="0"/>
              <w:rPr>
                <w:rFonts w:hint="eastAsia" w:hAnsi="宋体" w:cs="宋体"/>
                <w:snapToGrid w:val="0"/>
                <w:color w:val="auto"/>
                <w:spacing w:val="-6"/>
                <w:kern w:val="21"/>
                <w:sz w:val="21"/>
                <w:szCs w:val="21"/>
              </w:rPr>
            </w:pPr>
            <w:r>
              <w:rPr>
                <w:rFonts w:hint="eastAsia" w:hAnsi="宋体" w:cs="宋体"/>
                <w:snapToGrid w:val="0"/>
                <w:color w:val="auto"/>
                <w:spacing w:val="-6"/>
                <w:kern w:val="21"/>
                <w:sz w:val="21"/>
                <w:szCs w:val="21"/>
              </w:rPr>
              <w:t>排放量（固体废物产生量）</w:t>
            </w:r>
            <w:r>
              <w:rPr>
                <w:rFonts w:hint="eastAsia" w:hAnsi="宋体" w:cs="宋体"/>
                <w:snapToGrid w:val="0"/>
                <w:color w:val="auto"/>
                <w:spacing w:val="-6"/>
                <w:kern w:val="21"/>
                <w:sz w:val="21"/>
                <w:szCs w:val="21"/>
              </w:rPr>
              <w:fldChar w:fldCharType="begin"/>
            </w:r>
            <w:r>
              <w:rPr>
                <w:rFonts w:hint="eastAsia" w:hAnsi="宋体" w:cs="宋体"/>
                <w:snapToGrid w:val="0"/>
                <w:color w:val="auto"/>
                <w:spacing w:val="-6"/>
                <w:kern w:val="21"/>
                <w:sz w:val="21"/>
                <w:szCs w:val="21"/>
              </w:rPr>
              <w:instrText xml:space="preserve"> = 1 \* GB3 \* MERGEFORMAT </w:instrText>
            </w:r>
            <w:r>
              <w:rPr>
                <w:rFonts w:hint="eastAsia" w:hAnsi="宋体" w:cs="宋体"/>
                <w:snapToGrid w:val="0"/>
                <w:color w:val="auto"/>
                <w:spacing w:val="-6"/>
                <w:kern w:val="21"/>
                <w:sz w:val="21"/>
                <w:szCs w:val="21"/>
              </w:rPr>
              <w:fldChar w:fldCharType="separate"/>
            </w:r>
            <w:r>
              <w:rPr>
                <w:rFonts w:hint="eastAsia" w:hAnsi="宋体" w:cs="宋体"/>
                <w:color w:val="auto"/>
                <w:kern w:val="2"/>
                <w:sz w:val="21"/>
                <w:szCs w:val="21"/>
              </w:rPr>
              <w:t>①</w:t>
            </w:r>
            <w:r>
              <w:rPr>
                <w:rFonts w:hint="eastAsia" w:hAnsi="宋体" w:cs="宋体"/>
                <w:snapToGrid w:val="0"/>
                <w:color w:val="auto"/>
                <w:spacing w:val="-6"/>
                <w:kern w:val="21"/>
                <w:sz w:val="21"/>
                <w:szCs w:val="21"/>
              </w:rPr>
              <w:fldChar w:fldCharType="end"/>
            </w:r>
          </w:p>
        </w:tc>
        <w:tc>
          <w:tcPr>
            <w:tcW w:w="1350" w:type="dxa"/>
            <w:noWrap w:val="0"/>
            <w:tcMar>
              <w:left w:w="28" w:type="dxa"/>
              <w:right w:w="28" w:type="dxa"/>
            </w:tcMar>
            <w:vAlign w:val="center"/>
          </w:tcPr>
          <w:p>
            <w:pPr>
              <w:pStyle w:val="103"/>
              <w:spacing w:beforeLines="0" w:afterLines="0" w:line="240" w:lineRule="auto"/>
              <w:ind w:firstLine="0" w:firstLineChars="0"/>
              <w:rPr>
                <w:rFonts w:hint="eastAsia" w:hAnsi="宋体" w:cs="宋体"/>
                <w:snapToGrid w:val="0"/>
                <w:color w:val="auto"/>
                <w:spacing w:val="-6"/>
                <w:kern w:val="21"/>
                <w:sz w:val="21"/>
                <w:szCs w:val="21"/>
              </w:rPr>
            </w:pPr>
            <w:r>
              <w:rPr>
                <w:rFonts w:hint="eastAsia" w:hAnsi="宋体" w:cs="宋体"/>
                <w:snapToGrid w:val="0"/>
                <w:color w:val="auto"/>
                <w:spacing w:val="-6"/>
                <w:kern w:val="21"/>
                <w:sz w:val="21"/>
                <w:szCs w:val="21"/>
              </w:rPr>
              <w:t>现有工程</w:t>
            </w:r>
          </w:p>
          <w:p>
            <w:pPr>
              <w:pStyle w:val="103"/>
              <w:spacing w:beforeLines="0" w:afterLines="0" w:line="240" w:lineRule="auto"/>
              <w:ind w:firstLine="0" w:firstLineChars="0"/>
              <w:rPr>
                <w:rFonts w:hint="eastAsia" w:hAnsi="宋体" w:cs="宋体"/>
                <w:snapToGrid w:val="0"/>
                <w:color w:val="auto"/>
                <w:spacing w:val="-6"/>
                <w:kern w:val="21"/>
                <w:sz w:val="21"/>
                <w:szCs w:val="21"/>
              </w:rPr>
            </w:pPr>
            <w:r>
              <w:rPr>
                <w:rFonts w:hint="eastAsia" w:hAnsi="宋体" w:cs="宋体"/>
                <w:snapToGrid w:val="0"/>
                <w:color w:val="auto"/>
                <w:spacing w:val="-6"/>
                <w:kern w:val="21"/>
                <w:sz w:val="21"/>
                <w:szCs w:val="21"/>
              </w:rPr>
              <w:t>许可排放量</w:t>
            </w:r>
          </w:p>
          <w:p>
            <w:pPr>
              <w:pStyle w:val="103"/>
              <w:spacing w:beforeLines="0" w:afterLines="0"/>
              <w:ind w:firstLine="0" w:firstLineChars="0"/>
              <w:rPr>
                <w:rFonts w:hint="eastAsia" w:hAnsi="宋体" w:cs="宋体"/>
                <w:snapToGrid w:val="0"/>
                <w:color w:val="auto"/>
                <w:spacing w:val="-6"/>
                <w:kern w:val="21"/>
                <w:sz w:val="21"/>
                <w:szCs w:val="21"/>
              </w:rPr>
            </w:pPr>
            <w:r>
              <w:rPr>
                <w:rFonts w:hint="eastAsia" w:hAnsi="宋体" w:cs="宋体"/>
                <w:snapToGrid w:val="0"/>
                <w:color w:val="auto"/>
                <w:spacing w:val="-6"/>
                <w:kern w:val="21"/>
                <w:sz w:val="21"/>
                <w:szCs w:val="21"/>
              </w:rPr>
              <w:fldChar w:fldCharType="begin"/>
            </w:r>
            <w:r>
              <w:rPr>
                <w:rFonts w:hint="eastAsia" w:hAnsi="宋体" w:cs="宋体"/>
                <w:snapToGrid w:val="0"/>
                <w:color w:val="auto"/>
                <w:spacing w:val="-6"/>
                <w:kern w:val="21"/>
                <w:sz w:val="21"/>
                <w:szCs w:val="21"/>
              </w:rPr>
              <w:instrText xml:space="preserve"> = 2 \* GB3 \* MERGEFORMAT </w:instrText>
            </w:r>
            <w:r>
              <w:rPr>
                <w:rFonts w:hint="eastAsia" w:hAnsi="宋体" w:cs="宋体"/>
                <w:snapToGrid w:val="0"/>
                <w:color w:val="auto"/>
                <w:spacing w:val="-6"/>
                <w:kern w:val="21"/>
                <w:sz w:val="21"/>
                <w:szCs w:val="21"/>
              </w:rPr>
              <w:fldChar w:fldCharType="separate"/>
            </w:r>
            <w:r>
              <w:rPr>
                <w:rFonts w:hint="eastAsia" w:hAnsi="宋体" w:cs="宋体"/>
                <w:snapToGrid w:val="0"/>
                <w:color w:val="auto"/>
                <w:spacing w:val="-6"/>
                <w:kern w:val="21"/>
                <w:sz w:val="21"/>
                <w:szCs w:val="21"/>
              </w:rPr>
              <w:t>②</w:t>
            </w:r>
            <w:r>
              <w:rPr>
                <w:rFonts w:hint="eastAsia" w:hAnsi="宋体" w:cs="宋体"/>
                <w:snapToGrid w:val="0"/>
                <w:color w:val="auto"/>
                <w:spacing w:val="-6"/>
                <w:kern w:val="21"/>
                <w:sz w:val="21"/>
                <w:szCs w:val="21"/>
              </w:rPr>
              <w:fldChar w:fldCharType="end"/>
            </w:r>
          </w:p>
        </w:tc>
        <w:tc>
          <w:tcPr>
            <w:tcW w:w="1550" w:type="dxa"/>
            <w:noWrap w:val="0"/>
            <w:tcMar>
              <w:left w:w="28" w:type="dxa"/>
              <w:right w:w="28" w:type="dxa"/>
            </w:tcMar>
            <w:vAlign w:val="center"/>
          </w:tcPr>
          <w:p>
            <w:pPr>
              <w:pStyle w:val="103"/>
              <w:spacing w:beforeLines="0" w:afterLines="0" w:line="240" w:lineRule="auto"/>
              <w:ind w:firstLine="0" w:firstLineChars="0"/>
              <w:rPr>
                <w:rFonts w:hint="eastAsia" w:hAnsi="宋体" w:cs="宋体"/>
                <w:snapToGrid w:val="0"/>
                <w:color w:val="auto"/>
                <w:spacing w:val="-6"/>
                <w:kern w:val="21"/>
                <w:sz w:val="21"/>
                <w:szCs w:val="21"/>
              </w:rPr>
            </w:pPr>
            <w:r>
              <w:rPr>
                <w:rFonts w:hint="eastAsia" w:hAnsi="宋体" w:cs="宋体"/>
                <w:snapToGrid w:val="0"/>
                <w:color w:val="auto"/>
                <w:spacing w:val="-6"/>
                <w:kern w:val="21"/>
                <w:sz w:val="21"/>
                <w:szCs w:val="21"/>
              </w:rPr>
              <w:t>在建工程</w:t>
            </w:r>
          </w:p>
          <w:p>
            <w:pPr>
              <w:pStyle w:val="103"/>
              <w:spacing w:beforeLines="0" w:afterLines="0" w:line="240" w:lineRule="auto"/>
              <w:ind w:firstLine="0" w:firstLineChars="0"/>
              <w:rPr>
                <w:rFonts w:hint="eastAsia" w:hAnsi="宋体" w:cs="宋体"/>
                <w:snapToGrid w:val="0"/>
                <w:color w:val="auto"/>
                <w:spacing w:val="-6"/>
                <w:kern w:val="21"/>
                <w:sz w:val="21"/>
                <w:szCs w:val="21"/>
              </w:rPr>
            </w:pPr>
            <w:r>
              <w:rPr>
                <w:rFonts w:hint="eastAsia" w:hAnsi="宋体" w:cs="宋体"/>
                <w:snapToGrid w:val="0"/>
                <w:color w:val="auto"/>
                <w:spacing w:val="-6"/>
                <w:kern w:val="21"/>
                <w:sz w:val="21"/>
                <w:szCs w:val="21"/>
              </w:rPr>
              <w:t>排放量（固体废物产生量）</w:t>
            </w:r>
            <w:r>
              <w:rPr>
                <w:rFonts w:hint="eastAsia" w:hAnsi="宋体" w:cs="宋体"/>
                <w:snapToGrid w:val="0"/>
                <w:color w:val="auto"/>
                <w:spacing w:val="-6"/>
                <w:kern w:val="21"/>
                <w:sz w:val="21"/>
                <w:szCs w:val="21"/>
              </w:rPr>
              <w:fldChar w:fldCharType="begin"/>
            </w:r>
            <w:r>
              <w:rPr>
                <w:rFonts w:hint="eastAsia" w:hAnsi="宋体" w:cs="宋体"/>
                <w:snapToGrid w:val="0"/>
                <w:color w:val="auto"/>
                <w:spacing w:val="-6"/>
                <w:kern w:val="21"/>
                <w:sz w:val="21"/>
                <w:szCs w:val="21"/>
              </w:rPr>
              <w:instrText xml:space="preserve"> = 3 \* GB3 \* MERGEFORMAT </w:instrText>
            </w:r>
            <w:r>
              <w:rPr>
                <w:rFonts w:hint="eastAsia" w:hAnsi="宋体" w:cs="宋体"/>
                <w:snapToGrid w:val="0"/>
                <w:color w:val="auto"/>
                <w:spacing w:val="-6"/>
                <w:kern w:val="21"/>
                <w:sz w:val="21"/>
                <w:szCs w:val="21"/>
              </w:rPr>
              <w:fldChar w:fldCharType="separate"/>
            </w:r>
            <w:r>
              <w:rPr>
                <w:rFonts w:hint="eastAsia" w:hAnsi="宋体" w:cs="宋体"/>
                <w:color w:val="auto"/>
                <w:kern w:val="2"/>
                <w:sz w:val="21"/>
                <w:szCs w:val="21"/>
              </w:rPr>
              <w:t>③</w:t>
            </w:r>
            <w:r>
              <w:rPr>
                <w:rFonts w:hint="eastAsia" w:hAnsi="宋体" w:cs="宋体"/>
                <w:snapToGrid w:val="0"/>
                <w:color w:val="auto"/>
                <w:spacing w:val="-6"/>
                <w:kern w:val="21"/>
                <w:sz w:val="21"/>
                <w:szCs w:val="21"/>
              </w:rPr>
              <w:fldChar w:fldCharType="end"/>
            </w:r>
          </w:p>
        </w:tc>
        <w:tc>
          <w:tcPr>
            <w:tcW w:w="1650" w:type="dxa"/>
            <w:noWrap w:val="0"/>
            <w:tcMar>
              <w:left w:w="28" w:type="dxa"/>
              <w:right w:w="28" w:type="dxa"/>
            </w:tcMar>
            <w:vAlign w:val="center"/>
          </w:tcPr>
          <w:p>
            <w:pPr>
              <w:pStyle w:val="103"/>
              <w:spacing w:beforeLines="0" w:afterLines="0" w:line="240" w:lineRule="auto"/>
              <w:ind w:firstLine="0" w:firstLineChars="0"/>
              <w:rPr>
                <w:rFonts w:hint="eastAsia" w:hAnsi="宋体" w:cs="宋体"/>
                <w:snapToGrid w:val="0"/>
                <w:color w:val="auto"/>
                <w:spacing w:val="-6"/>
                <w:kern w:val="21"/>
                <w:sz w:val="21"/>
                <w:szCs w:val="21"/>
              </w:rPr>
            </w:pPr>
            <w:r>
              <w:rPr>
                <w:rFonts w:hint="eastAsia" w:hAnsi="宋体" w:cs="宋体"/>
                <w:snapToGrid w:val="0"/>
                <w:color w:val="auto"/>
                <w:spacing w:val="-6"/>
                <w:kern w:val="21"/>
                <w:sz w:val="21"/>
                <w:szCs w:val="21"/>
              </w:rPr>
              <w:t>本项目</w:t>
            </w:r>
          </w:p>
          <w:p>
            <w:pPr>
              <w:pStyle w:val="103"/>
              <w:spacing w:beforeLines="0" w:afterLines="0" w:line="240" w:lineRule="auto"/>
              <w:ind w:firstLine="0" w:firstLineChars="0"/>
              <w:rPr>
                <w:rFonts w:hint="eastAsia" w:hAnsi="宋体" w:cs="宋体"/>
                <w:snapToGrid w:val="0"/>
                <w:color w:val="auto"/>
                <w:spacing w:val="-6"/>
                <w:kern w:val="21"/>
                <w:sz w:val="21"/>
                <w:szCs w:val="21"/>
              </w:rPr>
            </w:pPr>
            <w:r>
              <w:rPr>
                <w:rFonts w:hint="eastAsia" w:hAnsi="宋体" w:cs="宋体"/>
                <w:snapToGrid w:val="0"/>
                <w:color w:val="auto"/>
                <w:spacing w:val="-6"/>
                <w:kern w:val="21"/>
                <w:sz w:val="21"/>
                <w:szCs w:val="21"/>
              </w:rPr>
              <w:t>排放量（固体废物产生量）</w:t>
            </w:r>
            <w:r>
              <w:rPr>
                <w:rFonts w:hint="eastAsia" w:hAnsi="宋体" w:cs="宋体"/>
                <w:snapToGrid w:val="0"/>
                <w:color w:val="auto"/>
                <w:spacing w:val="-6"/>
                <w:kern w:val="21"/>
                <w:sz w:val="21"/>
                <w:szCs w:val="21"/>
              </w:rPr>
              <w:fldChar w:fldCharType="begin"/>
            </w:r>
            <w:r>
              <w:rPr>
                <w:rFonts w:hint="eastAsia" w:hAnsi="宋体" w:cs="宋体"/>
                <w:snapToGrid w:val="0"/>
                <w:color w:val="auto"/>
                <w:spacing w:val="-6"/>
                <w:kern w:val="21"/>
                <w:sz w:val="21"/>
                <w:szCs w:val="21"/>
              </w:rPr>
              <w:instrText xml:space="preserve"> = 4 \* GB3 \* MERGEFORMAT </w:instrText>
            </w:r>
            <w:r>
              <w:rPr>
                <w:rFonts w:hint="eastAsia" w:hAnsi="宋体" w:cs="宋体"/>
                <w:snapToGrid w:val="0"/>
                <w:color w:val="auto"/>
                <w:spacing w:val="-6"/>
                <w:kern w:val="21"/>
                <w:sz w:val="21"/>
                <w:szCs w:val="21"/>
              </w:rPr>
              <w:fldChar w:fldCharType="separate"/>
            </w:r>
            <w:r>
              <w:rPr>
                <w:rFonts w:hint="eastAsia" w:hAnsi="宋体" w:cs="宋体"/>
                <w:color w:val="auto"/>
                <w:kern w:val="2"/>
                <w:sz w:val="21"/>
                <w:szCs w:val="21"/>
              </w:rPr>
              <w:t>④</w:t>
            </w:r>
            <w:r>
              <w:rPr>
                <w:rFonts w:hint="eastAsia" w:hAnsi="宋体" w:cs="宋体"/>
                <w:snapToGrid w:val="0"/>
                <w:color w:val="auto"/>
                <w:spacing w:val="-6"/>
                <w:kern w:val="21"/>
                <w:sz w:val="21"/>
                <w:szCs w:val="21"/>
              </w:rPr>
              <w:fldChar w:fldCharType="end"/>
            </w:r>
          </w:p>
        </w:tc>
        <w:tc>
          <w:tcPr>
            <w:tcW w:w="1395" w:type="dxa"/>
            <w:noWrap w:val="0"/>
            <w:tcMar>
              <w:left w:w="28" w:type="dxa"/>
              <w:right w:w="28" w:type="dxa"/>
            </w:tcMar>
            <w:vAlign w:val="center"/>
          </w:tcPr>
          <w:p>
            <w:pPr>
              <w:pStyle w:val="103"/>
              <w:spacing w:beforeLines="0" w:afterLines="0" w:line="240" w:lineRule="auto"/>
              <w:ind w:firstLine="0" w:firstLineChars="0"/>
              <w:rPr>
                <w:rFonts w:hint="eastAsia" w:hAnsi="宋体" w:cs="宋体"/>
                <w:snapToGrid w:val="0"/>
                <w:color w:val="auto"/>
                <w:spacing w:val="-16"/>
                <w:kern w:val="21"/>
                <w:sz w:val="21"/>
                <w:szCs w:val="21"/>
              </w:rPr>
            </w:pPr>
            <w:r>
              <w:rPr>
                <w:rFonts w:hint="eastAsia" w:hAnsi="宋体" w:cs="宋体"/>
                <w:snapToGrid w:val="0"/>
                <w:color w:val="auto"/>
                <w:spacing w:val="-16"/>
                <w:kern w:val="21"/>
                <w:sz w:val="21"/>
                <w:szCs w:val="21"/>
              </w:rPr>
              <w:t>以新带老削减量</w:t>
            </w:r>
          </w:p>
          <w:p>
            <w:pPr>
              <w:pStyle w:val="103"/>
              <w:spacing w:beforeLines="0" w:afterLines="0" w:line="240" w:lineRule="auto"/>
              <w:ind w:firstLine="0" w:firstLineChars="0"/>
              <w:rPr>
                <w:rFonts w:hint="eastAsia" w:hAnsi="宋体" w:cs="宋体"/>
                <w:snapToGrid w:val="0"/>
                <w:color w:val="auto"/>
                <w:spacing w:val="-16"/>
                <w:kern w:val="21"/>
                <w:sz w:val="21"/>
                <w:szCs w:val="21"/>
              </w:rPr>
            </w:pPr>
            <w:r>
              <w:rPr>
                <w:rFonts w:hint="eastAsia" w:hAnsi="宋体" w:cs="宋体"/>
                <w:snapToGrid w:val="0"/>
                <w:color w:val="auto"/>
                <w:spacing w:val="-16"/>
                <w:kern w:val="21"/>
                <w:sz w:val="21"/>
                <w:szCs w:val="21"/>
              </w:rPr>
              <w:t>（新建项目不填）</w:t>
            </w:r>
            <w:r>
              <w:rPr>
                <w:rFonts w:hint="eastAsia" w:hAnsi="宋体" w:cs="宋体"/>
                <w:snapToGrid w:val="0"/>
                <w:color w:val="auto"/>
                <w:spacing w:val="-16"/>
                <w:kern w:val="21"/>
                <w:sz w:val="21"/>
                <w:szCs w:val="21"/>
              </w:rPr>
              <w:fldChar w:fldCharType="begin"/>
            </w:r>
            <w:r>
              <w:rPr>
                <w:rFonts w:hint="eastAsia" w:hAnsi="宋体" w:cs="宋体"/>
                <w:snapToGrid w:val="0"/>
                <w:color w:val="auto"/>
                <w:spacing w:val="-16"/>
                <w:kern w:val="21"/>
                <w:sz w:val="21"/>
                <w:szCs w:val="21"/>
              </w:rPr>
              <w:instrText xml:space="preserve"> = 5 \* GB3 \* MERGEFORMAT </w:instrText>
            </w:r>
            <w:r>
              <w:rPr>
                <w:rFonts w:hint="eastAsia" w:hAnsi="宋体" w:cs="宋体"/>
                <w:snapToGrid w:val="0"/>
                <w:color w:val="auto"/>
                <w:spacing w:val="-16"/>
                <w:kern w:val="21"/>
                <w:sz w:val="21"/>
                <w:szCs w:val="21"/>
              </w:rPr>
              <w:fldChar w:fldCharType="separate"/>
            </w:r>
            <w:r>
              <w:rPr>
                <w:rFonts w:hint="eastAsia" w:hAnsi="宋体" w:cs="宋体"/>
                <w:color w:val="auto"/>
                <w:kern w:val="2"/>
                <w:sz w:val="21"/>
                <w:szCs w:val="21"/>
              </w:rPr>
              <w:t>⑤</w:t>
            </w:r>
            <w:r>
              <w:rPr>
                <w:rFonts w:hint="eastAsia" w:hAnsi="宋体" w:cs="宋体"/>
                <w:snapToGrid w:val="0"/>
                <w:color w:val="auto"/>
                <w:spacing w:val="-16"/>
                <w:kern w:val="21"/>
                <w:sz w:val="21"/>
                <w:szCs w:val="21"/>
              </w:rPr>
              <w:fldChar w:fldCharType="end"/>
            </w:r>
          </w:p>
        </w:tc>
        <w:tc>
          <w:tcPr>
            <w:tcW w:w="1959" w:type="dxa"/>
            <w:noWrap w:val="0"/>
            <w:tcMar>
              <w:left w:w="28" w:type="dxa"/>
              <w:right w:w="28" w:type="dxa"/>
            </w:tcMar>
            <w:vAlign w:val="center"/>
          </w:tcPr>
          <w:p>
            <w:pPr>
              <w:pStyle w:val="103"/>
              <w:spacing w:beforeLines="0" w:afterLines="0" w:line="240" w:lineRule="auto"/>
              <w:ind w:firstLine="0" w:firstLineChars="0"/>
              <w:rPr>
                <w:rFonts w:hint="eastAsia" w:hAnsi="宋体" w:cs="宋体"/>
                <w:snapToGrid w:val="0"/>
                <w:color w:val="auto"/>
                <w:spacing w:val="-16"/>
                <w:kern w:val="21"/>
                <w:sz w:val="21"/>
                <w:szCs w:val="21"/>
              </w:rPr>
            </w:pPr>
            <w:r>
              <w:rPr>
                <w:rFonts w:hint="eastAsia" w:hAnsi="宋体" w:cs="宋体"/>
                <w:snapToGrid w:val="0"/>
                <w:color w:val="auto"/>
                <w:spacing w:val="-16"/>
                <w:kern w:val="21"/>
                <w:sz w:val="21"/>
                <w:szCs w:val="21"/>
              </w:rPr>
              <w:t>本项目建成后</w:t>
            </w:r>
          </w:p>
          <w:p>
            <w:pPr>
              <w:pStyle w:val="103"/>
              <w:spacing w:beforeLines="0" w:afterLines="0" w:line="240" w:lineRule="auto"/>
              <w:ind w:firstLine="0" w:firstLineChars="0"/>
              <w:rPr>
                <w:rFonts w:hint="eastAsia" w:hAnsi="宋体" w:cs="宋体"/>
                <w:snapToGrid w:val="0"/>
                <w:color w:val="auto"/>
                <w:spacing w:val="-16"/>
                <w:kern w:val="21"/>
                <w:sz w:val="21"/>
                <w:szCs w:val="21"/>
              </w:rPr>
            </w:pPr>
            <w:r>
              <w:rPr>
                <w:rFonts w:hint="eastAsia" w:hAnsi="宋体" w:cs="宋体"/>
                <w:snapToGrid w:val="0"/>
                <w:color w:val="auto"/>
                <w:spacing w:val="-16"/>
                <w:kern w:val="21"/>
                <w:sz w:val="21"/>
                <w:szCs w:val="21"/>
              </w:rPr>
              <w:t>全厂排放量（固体废物产生量）</w:t>
            </w:r>
            <w:r>
              <w:rPr>
                <w:rFonts w:hint="eastAsia" w:hAnsi="宋体" w:cs="宋体"/>
                <w:snapToGrid w:val="0"/>
                <w:color w:val="auto"/>
                <w:spacing w:val="-16"/>
                <w:kern w:val="21"/>
                <w:sz w:val="21"/>
                <w:szCs w:val="21"/>
              </w:rPr>
              <w:fldChar w:fldCharType="begin"/>
            </w:r>
            <w:r>
              <w:rPr>
                <w:rFonts w:hint="eastAsia" w:hAnsi="宋体" w:cs="宋体"/>
                <w:snapToGrid w:val="0"/>
                <w:color w:val="auto"/>
                <w:spacing w:val="-16"/>
                <w:kern w:val="21"/>
                <w:sz w:val="21"/>
                <w:szCs w:val="21"/>
              </w:rPr>
              <w:instrText xml:space="preserve"> = 6 \* GB3 \* MERGEFORMAT </w:instrText>
            </w:r>
            <w:r>
              <w:rPr>
                <w:rFonts w:hint="eastAsia" w:hAnsi="宋体" w:cs="宋体"/>
                <w:snapToGrid w:val="0"/>
                <w:color w:val="auto"/>
                <w:spacing w:val="-16"/>
                <w:kern w:val="21"/>
                <w:sz w:val="21"/>
                <w:szCs w:val="21"/>
              </w:rPr>
              <w:fldChar w:fldCharType="separate"/>
            </w:r>
            <w:r>
              <w:rPr>
                <w:rFonts w:hint="eastAsia" w:hAnsi="宋体" w:cs="宋体"/>
                <w:color w:val="auto"/>
                <w:kern w:val="2"/>
                <w:sz w:val="21"/>
                <w:szCs w:val="21"/>
              </w:rPr>
              <w:t>⑥</w:t>
            </w:r>
            <w:r>
              <w:rPr>
                <w:rFonts w:hint="eastAsia" w:hAnsi="宋体" w:cs="宋体"/>
                <w:snapToGrid w:val="0"/>
                <w:color w:val="auto"/>
                <w:spacing w:val="-16"/>
                <w:kern w:val="21"/>
                <w:sz w:val="21"/>
                <w:szCs w:val="21"/>
              </w:rPr>
              <w:fldChar w:fldCharType="end"/>
            </w:r>
          </w:p>
        </w:tc>
        <w:tc>
          <w:tcPr>
            <w:tcW w:w="826" w:type="dxa"/>
            <w:noWrap w:val="0"/>
            <w:tcMar>
              <w:left w:w="28" w:type="dxa"/>
              <w:right w:w="28" w:type="dxa"/>
            </w:tcMar>
            <w:vAlign w:val="center"/>
          </w:tcPr>
          <w:p>
            <w:pPr>
              <w:pStyle w:val="103"/>
              <w:spacing w:beforeLines="0" w:afterLines="0" w:line="240" w:lineRule="auto"/>
              <w:ind w:firstLine="0" w:firstLineChars="0"/>
              <w:rPr>
                <w:rFonts w:hint="eastAsia" w:hAnsi="宋体" w:cs="宋体"/>
                <w:snapToGrid w:val="0"/>
                <w:color w:val="auto"/>
                <w:spacing w:val="-6"/>
                <w:kern w:val="21"/>
                <w:sz w:val="21"/>
                <w:szCs w:val="21"/>
              </w:rPr>
            </w:pPr>
            <w:r>
              <w:rPr>
                <w:rFonts w:hint="eastAsia" w:hAnsi="宋体" w:cs="宋体"/>
                <w:snapToGrid w:val="0"/>
                <w:color w:val="auto"/>
                <w:spacing w:val="-6"/>
                <w:kern w:val="21"/>
                <w:sz w:val="21"/>
                <w:szCs w:val="21"/>
              </w:rPr>
              <w:t>变化量</w:t>
            </w:r>
          </w:p>
          <w:p>
            <w:pPr>
              <w:pStyle w:val="103"/>
              <w:spacing w:beforeLines="0" w:afterLines="0" w:line="240" w:lineRule="auto"/>
              <w:ind w:firstLine="0" w:firstLineChars="0"/>
              <w:rPr>
                <w:rFonts w:hint="eastAsia" w:hAnsi="宋体" w:cs="宋体"/>
                <w:snapToGrid w:val="0"/>
                <w:color w:val="auto"/>
                <w:spacing w:val="-6"/>
                <w:kern w:val="21"/>
                <w:sz w:val="21"/>
                <w:szCs w:val="21"/>
              </w:rPr>
            </w:pPr>
            <w:r>
              <w:rPr>
                <w:rFonts w:hint="eastAsia" w:hAnsi="宋体" w:cs="宋体"/>
                <w:snapToGrid w:val="0"/>
                <w:color w:val="auto"/>
                <w:spacing w:val="-6"/>
                <w:kern w:val="21"/>
                <w:sz w:val="21"/>
                <w:szCs w:val="21"/>
              </w:rPr>
              <w:fldChar w:fldCharType="begin"/>
            </w:r>
            <w:r>
              <w:rPr>
                <w:rFonts w:hint="eastAsia" w:hAnsi="宋体" w:cs="宋体"/>
                <w:snapToGrid w:val="0"/>
                <w:color w:val="auto"/>
                <w:spacing w:val="-6"/>
                <w:kern w:val="21"/>
                <w:sz w:val="21"/>
                <w:szCs w:val="21"/>
              </w:rPr>
              <w:instrText xml:space="preserve"> = 7 \* GB3 \* MERGEFORMAT </w:instrText>
            </w:r>
            <w:r>
              <w:rPr>
                <w:rFonts w:hint="eastAsia" w:hAnsi="宋体" w:cs="宋体"/>
                <w:snapToGrid w:val="0"/>
                <w:color w:val="auto"/>
                <w:spacing w:val="-6"/>
                <w:kern w:val="21"/>
                <w:sz w:val="21"/>
                <w:szCs w:val="21"/>
              </w:rPr>
              <w:fldChar w:fldCharType="separate"/>
            </w:r>
            <w:r>
              <w:rPr>
                <w:rFonts w:hint="eastAsia" w:hAnsi="宋体" w:cs="宋体"/>
                <w:color w:val="auto"/>
                <w:kern w:val="2"/>
                <w:sz w:val="21"/>
                <w:szCs w:val="21"/>
              </w:rPr>
              <w:t>⑦</w:t>
            </w:r>
            <w:r>
              <w:rPr>
                <w:rFonts w:hint="eastAsia" w:hAnsi="宋体" w:cs="宋体"/>
                <w:snapToGrid w:val="0"/>
                <w:color w:val="auto"/>
                <w:spacing w:val="-6"/>
                <w:kern w:val="21"/>
                <w:sz w:val="21"/>
                <w:szCs w:val="21"/>
              </w:rPr>
              <w:fldChar w:fldCharType="end"/>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92" w:type="dxa"/>
            <w:vMerge w:val="restar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r>
              <w:rPr>
                <w:rFonts w:hint="eastAsia" w:hAnsi="宋体" w:cs="宋体"/>
                <w:snapToGrid w:val="0"/>
                <w:color w:val="auto"/>
                <w:kern w:val="21"/>
                <w:sz w:val="21"/>
                <w:szCs w:val="21"/>
              </w:rPr>
              <w:t>废气</w:t>
            </w:r>
          </w:p>
        </w:tc>
        <w:tc>
          <w:tcPr>
            <w:tcW w:w="2100" w:type="dxa"/>
            <w:noWrap w:val="0"/>
            <w:vAlign w:val="center"/>
          </w:tcPr>
          <w:p>
            <w:pPr>
              <w:spacing w:before="140" w:line="185" w:lineRule="auto"/>
              <w:ind w:firstLine="0" w:firstLineChars="0"/>
              <w:jc w:val="center"/>
              <w:rPr>
                <w:rFonts w:hint="eastAsia" w:ascii="宋体" w:hAnsi="宋体" w:cs="宋体"/>
                <w:color w:val="auto"/>
                <w:spacing w:val="-5"/>
                <w:sz w:val="21"/>
                <w:szCs w:val="21"/>
              </w:rPr>
            </w:pPr>
            <w:r>
              <w:rPr>
                <w:rFonts w:hint="eastAsia" w:ascii="宋体" w:hAnsi="宋体" w:cs="宋体"/>
                <w:color w:val="auto"/>
                <w:spacing w:val="-5"/>
                <w:sz w:val="21"/>
                <w:szCs w:val="21"/>
              </w:rPr>
              <w:t>医废暂存间的异味</w:t>
            </w:r>
          </w:p>
        </w:tc>
        <w:tc>
          <w:tcPr>
            <w:tcW w:w="1666"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350"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550"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650" w:type="dxa"/>
            <w:noWrap w:val="0"/>
            <w:vAlign w:val="center"/>
          </w:tcPr>
          <w:p>
            <w:pPr>
              <w:spacing w:before="137" w:line="184" w:lineRule="auto"/>
              <w:ind w:firstLine="400"/>
              <w:jc w:val="center"/>
              <w:rPr>
                <w:rFonts w:hint="eastAsia" w:ascii="宋体" w:hAnsi="宋体" w:cs="宋体"/>
                <w:snapToGrid w:val="0"/>
                <w:color w:val="auto"/>
                <w:kern w:val="21"/>
                <w:sz w:val="21"/>
                <w:szCs w:val="21"/>
              </w:rPr>
            </w:pPr>
            <w:r>
              <w:rPr>
                <w:rFonts w:hint="eastAsia" w:ascii="宋体" w:hAnsi="宋体" w:cs="宋体"/>
                <w:color w:val="auto"/>
                <w:spacing w:val="-5"/>
                <w:sz w:val="21"/>
                <w:szCs w:val="21"/>
              </w:rPr>
              <w:t>少量</w:t>
            </w:r>
          </w:p>
        </w:tc>
        <w:tc>
          <w:tcPr>
            <w:tcW w:w="1395"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959" w:type="dxa"/>
            <w:noWrap w:val="0"/>
            <w:vAlign w:val="center"/>
          </w:tcPr>
          <w:p>
            <w:pPr>
              <w:spacing w:before="137" w:line="184" w:lineRule="auto"/>
              <w:ind w:firstLine="400"/>
              <w:jc w:val="center"/>
              <w:rPr>
                <w:rFonts w:hint="eastAsia" w:ascii="宋体" w:hAnsi="宋体" w:cs="宋体"/>
                <w:snapToGrid w:val="0"/>
                <w:color w:val="auto"/>
                <w:kern w:val="21"/>
                <w:sz w:val="21"/>
                <w:szCs w:val="21"/>
              </w:rPr>
            </w:pPr>
            <w:r>
              <w:rPr>
                <w:rFonts w:hint="eastAsia" w:ascii="宋体" w:hAnsi="宋体" w:cs="宋体"/>
                <w:color w:val="auto"/>
                <w:spacing w:val="-5"/>
                <w:sz w:val="21"/>
                <w:szCs w:val="21"/>
              </w:rPr>
              <w:t>少量</w:t>
            </w:r>
          </w:p>
        </w:tc>
        <w:tc>
          <w:tcPr>
            <w:tcW w:w="826"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92" w:type="dxa"/>
            <w:vMerge w:val="continue"/>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2100" w:type="dxa"/>
            <w:noWrap w:val="0"/>
            <w:vAlign w:val="center"/>
          </w:tcPr>
          <w:p>
            <w:pPr>
              <w:spacing w:before="140" w:line="185" w:lineRule="auto"/>
              <w:ind w:firstLine="0" w:firstLineChars="0"/>
              <w:jc w:val="center"/>
              <w:rPr>
                <w:rFonts w:hint="eastAsia" w:ascii="宋体" w:hAnsi="宋体" w:cs="宋体"/>
                <w:color w:val="auto"/>
                <w:spacing w:val="-5"/>
                <w:sz w:val="21"/>
                <w:szCs w:val="21"/>
              </w:rPr>
            </w:pPr>
            <w:r>
              <w:rPr>
                <w:rFonts w:hint="eastAsia" w:ascii="宋体" w:hAnsi="宋体" w:cs="宋体"/>
                <w:color w:val="auto"/>
                <w:spacing w:val="-5"/>
                <w:sz w:val="21"/>
                <w:szCs w:val="21"/>
              </w:rPr>
              <w:t>污水处理设备废气</w:t>
            </w:r>
          </w:p>
        </w:tc>
        <w:tc>
          <w:tcPr>
            <w:tcW w:w="1666"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350"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550"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650" w:type="dxa"/>
            <w:noWrap w:val="0"/>
            <w:vAlign w:val="center"/>
          </w:tcPr>
          <w:p>
            <w:pPr>
              <w:spacing w:before="138" w:line="184" w:lineRule="auto"/>
              <w:ind w:firstLine="400"/>
              <w:jc w:val="center"/>
              <w:rPr>
                <w:rFonts w:hint="eastAsia" w:ascii="宋体" w:hAnsi="宋体" w:cs="宋体"/>
                <w:snapToGrid w:val="0"/>
                <w:color w:val="auto"/>
                <w:kern w:val="21"/>
                <w:sz w:val="21"/>
                <w:szCs w:val="21"/>
              </w:rPr>
            </w:pPr>
            <w:r>
              <w:rPr>
                <w:rFonts w:hint="eastAsia" w:ascii="宋体" w:hAnsi="宋体" w:cs="宋体"/>
                <w:color w:val="auto"/>
                <w:spacing w:val="-5"/>
                <w:sz w:val="21"/>
                <w:szCs w:val="21"/>
              </w:rPr>
              <w:t>少量</w:t>
            </w:r>
          </w:p>
        </w:tc>
        <w:tc>
          <w:tcPr>
            <w:tcW w:w="1395"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959" w:type="dxa"/>
            <w:noWrap w:val="0"/>
            <w:vAlign w:val="center"/>
          </w:tcPr>
          <w:p>
            <w:pPr>
              <w:spacing w:before="138" w:line="184" w:lineRule="auto"/>
              <w:ind w:firstLine="400"/>
              <w:jc w:val="center"/>
              <w:rPr>
                <w:rFonts w:hint="eastAsia" w:ascii="宋体" w:hAnsi="宋体" w:cs="宋体"/>
                <w:snapToGrid w:val="0"/>
                <w:color w:val="auto"/>
                <w:kern w:val="21"/>
                <w:sz w:val="21"/>
                <w:szCs w:val="21"/>
              </w:rPr>
            </w:pPr>
            <w:r>
              <w:rPr>
                <w:rFonts w:hint="eastAsia" w:ascii="宋体" w:hAnsi="宋体" w:cs="宋体"/>
                <w:color w:val="auto"/>
                <w:spacing w:val="-5"/>
                <w:sz w:val="21"/>
                <w:szCs w:val="21"/>
              </w:rPr>
              <w:t>少量</w:t>
            </w:r>
          </w:p>
        </w:tc>
        <w:tc>
          <w:tcPr>
            <w:tcW w:w="826"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92" w:type="dxa"/>
            <w:vMerge w:val="continue"/>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2100" w:type="dxa"/>
            <w:noWrap w:val="0"/>
            <w:vAlign w:val="center"/>
          </w:tcPr>
          <w:p>
            <w:pPr>
              <w:spacing w:before="140" w:line="185" w:lineRule="auto"/>
              <w:ind w:firstLine="0" w:firstLineChars="0"/>
              <w:jc w:val="center"/>
              <w:rPr>
                <w:rFonts w:hint="eastAsia" w:ascii="宋体" w:hAnsi="宋体" w:cs="宋体"/>
                <w:color w:val="auto"/>
                <w:spacing w:val="-5"/>
                <w:sz w:val="21"/>
                <w:szCs w:val="21"/>
              </w:rPr>
            </w:pPr>
            <w:r>
              <w:rPr>
                <w:rFonts w:hint="eastAsia" w:ascii="宋体" w:hAnsi="宋体" w:cs="宋体"/>
                <w:color w:val="auto"/>
                <w:spacing w:val="-5"/>
                <w:sz w:val="21"/>
                <w:szCs w:val="21"/>
              </w:rPr>
              <w:t>宠物异味</w:t>
            </w:r>
          </w:p>
        </w:tc>
        <w:tc>
          <w:tcPr>
            <w:tcW w:w="1666"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350"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550"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650" w:type="dxa"/>
            <w:noWrap w:val="0"/>
            <w:vAlign w:val="center"/>
          </w:tcPr>
          <w:p>
            <w:pPr>
              <w:spacing w:before="139" w:line="184" w:lineRule="auto"/>
              <w:ind w:firstLine="400"/>
              <w:jc w:val="center"/>
              <w:rPr>
                <w:rFonts w:hint="eastAsia" w:ascii="宋体" w:hAnsi="宋体" w:cs="宋体"/>
                <w:snapToGrid w:val="0"/>
                <w:color w:val="auto"/>
                <w:kern w:val="21"/>
                <w:sz w:val="21"/>
                <w:szCs w:val="21"/>
              </w:rPr>
            </w:pPr>
            <w:r>
              <w:rPr>
                <w:rFonts w:hint="eastAsia" w:ascii="宋体" w:hAnsi="宋体" w:cs="宋体"/>
                <w:color w:val="auto"/>
                <w:spacing w:val="-5"/>
                <w:sz w:val="21"/>
                <w:szCs w:val="21"/>
              </w:rPr>
              <w:t>少量</w:t>
            </w:r>
          </w:p>
        </w:tc>
        <w:tc>
          <w:tcPr>
            <w:tcW w:w="1395"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959" w:type="dxa"/>
            <w:noWrap w:val="0"/>
            <w:vAlign w:val="center"/>
          </w:tcPr>
          <w:p>
            <w:pPr>
              <w:spacing w:before="139" w:line="184" w:lineRule="auto"/>
              <w:ind w:firstLine="400"/>
              <w:jc w:val="center"/>
              <w:rPr>
                <w:rFonts w:hint="eastAsia" w:ascii="宋体" w:hAnsi="宋体" w:cs="宋体"/>
                <w:snapToGrid w:val="0"/>
                <w:color w:val="auto"/>
                <w:kern w:val="21"/>
                <w:sz w:val="21"/>
                <w:szCs w:val="21"/>
              </w:rPr>
            </w:pPr>
            <w:r>
              <w:rPr>
                <w:rFonts w:hint="eastAsia" w:ascii="宋体" w:hAnsi="宋体" w:cs="宋体"/>
                <w:color w:val="auto"/>
                <w:spacing w:val="-5"/>
                <w:sz w:val="21"/>
                <w:szCs w:val="21"/>
              </w:rPr>
              <w:t>少量</w:t>
            </w:r>
          </w:p>
        </w:tc>
        <w:tc>
          <w:tcPr>
            <w:tcW w:w="826"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92" w:type="dxa"/>
            <w:vMerge w:val="continue"/>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2100" w:type="dxa"/>
            <w:noWrap w:val="0"/>
            <w:vAlign w:val="center"/>
          </w:tcPr>
          <w:p>
            <w:pPr>
              <w:spacing w:before="140" w:line="185" w:lineRule="auto"/>
              <w:ind w:firstLine="0" w:firstLineChars="0"/>
              <w:jc w:val="center"/>
              <w:rPr>
                <w:rFonts w:hint="eastAsia" w:ascii="宋体" w:hAnsi="宋体" w:cs="宋体"/>
                <w:color w:val="auto"/>
                <w:spacing w:val="-5"/>
                <w:sz w:val="21"/>
                <w:szCs w:val="21"/>
              </w:rPr>
            </w:pPr>
            <w:r>
              <w:rPr>
                <w:rFonts w:hint="eastAsia" w:ascii="宋体" w:hAnsi="宋体" w:cs="宋体"/>
                <w:color w:val="auto"/>
                <w:spacing w:val="-5"/>
                <w:sz w:val="21"/>
                <w:szCs w:val="21"/>
              </w:rPr>
              <w:t>院内带菌空气</w:t>
            </w:r>
          </w:p>
        </w:tc>
        <w:tc>
          <w:tcPr>
            <w:tcW w:w="1666"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350"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550"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650" w:type="dxa"/>
            <w:noWrap w:val="0"/>
            <w:vAlign w:val="center"/>
          </w:tcPr>
          <w:p>
            <w:pPr>
              <w:spacing w:before="140" w:line="184" w:lineRule="auto"/>
              <w:ind w:firstLine="400"/>
              <w:jc w:val="center"/>
              <w:rPr>
                <w:rFonts w:hint="eastAsia" w:ascii="宋体" w:hAnsi="宋体" w:cs="宋体"/>
                <w:snapToGrid w:val="0"/>
                <w:color w:val="auto"/>
                <w:kern w:val="21"/>
                <w:sz w:val="21"/>
                <w:szCs w:val="21"/>
              </w:rPr>
            </w:pPr>
            <w:r>
              <w:rPr>
                <w:rFonts w:hint="eastAsia" w:ascii="宋体" w:hAnsi="宋体" w:cs="宋体"/>
                <w:color w:val="auto"/>
                <w:spacing w:val="-5"/>
                <w:sz w:val="21"/>
                <w:szCs w:val="21"/>
              </w:rPr>
              <w:t>少量</w:t>
            </w:r>
          </w:p>
        </w:tc>
        <w:tc>
          <w:tcPr>
            <w:tcW w:w="1395"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959" w:type="dxa"/>
            <w:noWrap w:val="0"/>
            <w:vAlign w:val="center"/>
          </w:tcPr>
          <w:p>
            <w:pPr>
              <w:spacing w:before="140" w:line="184" w:lineRule="auto"/>
              <w:ind w:firstLine="400"/>
              <w:jc w:val="center"/>
              <w:rPr>
                <w:rFonts w:hint="eastAsia" w:ascii="宋体" w:hAnsi="宋体" w:cs="宋体"/>
                <w:snapToGrid w:val="0"/>
                <w:color w:val="auto"/>
                <w:kern w:val="21"/>
                <w:sz w:val="21"/>
                <w:szCs w:val="21"/>
              </w:rPr>
            </w:pPr>
            <w:r>
              <w:rPr>
                <w:rFonts w:hint="eastAsia" w:ascii="宋体" w:hAnsi="宋体" w:cs="宋体"/>
                <w:color w:val="auto"/>
                <w:spacing w:val="-5"/>
                <w:sz w:val="21"/>
                <w:szCs w:val="21"/>
              </w:rPr>
              <w:t>少量</w:t>
            </w:r>
          </w:p>
        </w:tc>
        <w:tc>
          <w:tcPr>
            <w:tcW w:w="826"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92" w:type="dxa"/>
            <w:vMerge w:val="restar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r>
              <w:rPr>
                <w:rFonts w:hint="eastAsia" w:hAnsi="宋体" w:cs="宋体"/>
                <w:snapToGrid w:val="0"/>
                <w:color w:val="auto"/>
                <w:kern w:val="21"/>
                <w:sz w:val="21"/>
                <w:szCs w:val="21"/>
              </w:rPr>
              <w:t>废水</w:t>
            </w:r>
          </w:p>
        </w:tc>
        <w:tc>
          <w:tcPr>
            <w:tcW w:w="2100" w:type="dxa"/>
            <w:noWrap w:val="0"/>
            <w:vAlign w:val="center"/>
          </w:tcPr>
          <w:p>
            <w:pPr>
              <w:spacing w:before="177" w:line="180" w:lineRule="auto"/>
              <w:ind w:firstLine="404"/>
              <w:jc w:val="center"/>
              <w:rPr>
                <w:rFonts w:hint="eastAsia" w:ascii="宋体" w:hAnsi="宋体" w:cs="宋体"/>
                <w:snapToGrid w:val="0"/>
                <w:color w:val="auto"/>
                <w:kern w:val="21"/>
                <w:sz w:val="21"/>
                <w:szCs w:val="21"/>
              </w:rPr>
            </w:pPr>
            <w:r>
              <w:rPr>
                <w:rFonts w:hint="eastAsia" w:ascii="宋体" w:hAnsi="宋体" w:cs="宋体"/>
                <w:color w:val="auto"/>
                <w:spacing w:val="-4"/>
                <w:sz w:val="21"/>
                <w:szCs w:val="21"/>
              </w:rPr>
              <w:t>COD</w:t>
            </w:r>
          </w:p>
        </w:tc>
        <w:tc>
          <w:tcPr>
            <w:tcW w:w="1666"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350"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550"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650" w:type="dxa"/>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r>
              <w:rPr>
                <w:rFonts w:hint="eastAsia" w:hAnsi="宋体" w:cs="宋体"/>
                <w:snapToGrid w:val="0"/>
                <w:color w:val="auto"/>
                <w:kern w:val="21"/>
                <w:sz w:val="21"/>
                <w:szCs w:val="21"/>
              </w:rPr>
              <w:t>0.198</w:t>
            </w:r>
            <w:r>
              <w:rPr>
                <w:rFonts w:hint="eastAsia" w:hAnsi="宋体" w:cs="宋体"/>
                <w:color w:val="auto"/>
                <w:spacing w:val="-2"/>
                <w:sz w:val="21"/>
                <w:szCs w:val="21"/>
              </w:rPr>
              <w:t>t/a</w:t>
            </w:r>
          </w:p>
        </w:tc>
        <w:tc>
          <w:tcPr>
            <w:tcW w:w="1395"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959" w:type="dxa"/>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r>
              <w:rPr>
                <w:rFonts w:hint="eastAsia" w:hAnsi="宋体" w:cs="宋体"/>
                <w:snapToGrid w:val="0"/>
                <w:color w:val="auto"/>
                <w:kern w:val="21"/>
                <w:sz w:val="21"/>
                <w:szCs w:val="21"/>
              </w:rPr>
              <w:t>0.198</w:t>
            </w:r>
            <w:r>
              <w:rPr>
                <w:rFonts w:hint="eastAsia" w:hAnsi="宋体" w:cs="宋体"/>
                <w:color w:val="auto"/>
                <w:spacing w:val="-2"/>
                <w:sz w:val="21"/>
                <w:szCs w:val="21"/>
              </w:rPr>
              <w:t>t/a</w:t>
            </w:r>
          </w:p>
        </w:tc>
        <w:tc>
          <w:tcPr>
            <w:tcW w:w="826"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92" w:type="dxa"/>
            <w:vMerge w:val="continue"/>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2100" w:type="dxa"/>
            <w:noWrap w:val="0"/>
            <w:vAlign w:val="center"/>
          </w:tcPr>
          <w:p>
            <w:pPr>
              <w:spacing w:before="181" w:line="180" w:lineRule="auto"/>
              <w:ind w:firstLine="416"/>
              <w:jc w:val="center"/>
              <w:rPr>
                <w:rFonts w:hint="eastAsia" w:ascii="宋体" w:hAnsi="宋体" w:cs="宋体"/>
                <w:snapToGrid w:val="0"/>
                <w:color w:val="auto"/>
                <w:kern w:val="21"/>
                <w:sz w:val="21"/>
                <w:szCs w:val="21"/>
              </w:rPr>
            </w:pPr>
            <w:r>
              <w:rPr>
                <w:rFonts w:hint="eastAsia" w:ascii="宋体" w:hAnsi="宋体" w:cs="宋体"/>
                <w:color w:val="auto"/>
                <w:spacing w:val="-1"/>
                <w:sz w:val="21"/>
                <w:szCs w:val="21"/>
              </w:rPr>
              <w:t>NH</w:t>
            </w:r>
            <w:r>
              <w:rPr>
                <w:rFonts w:hint="eastAsia" w:ascii="宋体" w:hAnsi="宋体" w:cs="宋体"/>
                <w:color w:val="auto"/>
                <w:spacing w:val="-1"/>
                <w:position w:val="-1"/>
                <w:sz w:val="21"/>
                <w:szCs w:val="21"/>
              </w:rPr>
              <w:t>3</w:t>
            </w:r>
            <w:r>
              <w:rPr>
                <w:rFonts w:hint="eastAsia" w:ascii="宋体" w:hAnsi="宋体" w:cs="宋体"/>
                <w:color w:val="auto"/>
                <w:spacing w:val="-1"/>
                <w:sz w:val="21"/>
                <w:szCs w:val="21"/>
              </w:rPr>
              <w:t>-N</w:t>
            </w:r>
          </w:p>
        </w:tc>
        <w:tc>
          <w:tcPr>
            <w:tcW w:w="1666"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350"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550"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650" w:type="dxa"/>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r>
              <w:rPr>
                <w:rFonts w:hint="eastAsia" w:hAnsi="宋体" w:cs="宋体"/>
                <w:snapToGrid w:val="0"/>
                <w:color w:val="auto"/>
                <w:kern w:val="21"/>
                <w:sz w:val="21"/>
                <w:szCs w:val="21"/>
              </w:rPr>
              <w:t>0.01782</w:t>
            </w:r>
            <w:r>
              <w:rPr>
                <w:rFonts w:hint="eastAsia" w:hAnsi="宋体" w:cs="宋体"/>
                <w:color w:val="auto"/>
                <w:spacing w:val="-2"/>
                <w:sz w:val="21"/>
                <w:szCs w:val="21"/>
              </w:rPr>
              <w:t>t/a</w:t>
            </w:r>
          </w:p>
        </w:tc>
        <w:tc>
          <w:tcPr>
            <w:tcW w:w="1395"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959" w:type="dxa"/>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r>
              <w:rPr>
                <w:rFonts w:hint="eastAsia" w:hAnsi="宋体" w:cs="宋体"/>
                <w:snapToGrid w:val="0"/>
                <w:color w:val="auto"/>
                <w:kern w:val="21"/>
                <w:sz w:val="21"/>
                <w:szCs w:val="21"/>
              </w:rPr>
              <w:t>0.01782</w:t>
            </w:r>
            <w:r>
              <w:rPr>
                <w:rFonts w:hint="eastAsia" w:hAnsi="宋体" w:cs="宋体"/>
                <w:color w:val="auto"/>
                <w:spacing w:val="-2"/>
                <w:sz w:val="21"/>
                <w:szCs w:val="21"/>
              </w:rPr>
              <w:t>t/a</w:t>
            </w:r>
          </w:p>
        </w:tc>
        <w:tc>
          <w:tcPr>
            <w:tcW w:w="826"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92" w:type="dxa"/>
            <w:vMerge w:val="continue"/>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2100" w:type="dxa"/>
            <w:noWrap w:val="0"/>
            <w:vAlign w:val="center"/>
          </w:tcPr>
          <w:p>
            <w:pPr>
              <w:spacing w:before="143" w:line="184" w:lineRule="auto"/>
              <w:ind w:firstLine="396"/>
              <w:jc w:val="center"/>
              <w:rPr>
                <w:rFonts w:hint="eastAsia" w:ascii="宋体" w:hAnsi="宋体" w:cs="宋体"/>
                <w:snapToGrid w:val="0"/>
                <w:color w:val="auto"/>
                <w:kern w:val="21"/>
                <w:sz w:val="21"/>
                <w:szCs w:val="21"/>
              </w:rPr>
            </w:pPr>
            <w:r>
              <w:rPr>
                <w:rFonts w:hint="eastAsia" w:ascii="宋体" w:hAnsi="宋体" w:cs="宋体"/>
                <w:color w:val="auto"/>
                <w:spacing w:val="-6"/>
                <w:sz w:val="21"/>
                <w:szCs w:val="21"/>
              </w:rPr>
              <w:t>总磷</w:t>
            </w:r>
          </w:p>
        </w:tc>
        <w:tc>
          <w:tcPr>
            <w:tcW w:w="1666"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350"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550"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650" w:type="dxa"/>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r>
              <w:rPr>
                <w:rFonts w:hint="eastAsia" w:hAnsi="宋体" w:cs="宋体"/>
                <w:snapToGrid w:val="0"/>
                <w:color w:val="auto"/>
                <w:kern w:val="21"/>
                <w:sz w:val="21"/>
                <w:szCs w:val="21"/>
              </w:rPr>
              <w:t>0.003168</w:t>
            </w:r>
            <w:r>
              <w:rPr>
                <w:rFonts w:hint="eastAsia" w:hAnsi="宋体" w:cs="宋体"/>
                <w:color w:val="auto"/>
                <w:spacing w:val="-2"/>
                <w:sz w:val="21"/>
                <w:szCs w:val="21"/>
              </w:rPr>
              <w:t>t/a</w:t>
            </w:r>
          </w:p>
        </w:tc>
        <w:tc>
          <w:tcPr>
            <w:tcW w:w="1395"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959" w:type="dxa"/>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r>
              <w:rPr>
                <w:rFonts w:hint="eastAsia" w:hAnsi="宋体" w:cs="宋体"/>
                <w:snapToGrid w:val="0"/>
                <w:color w:val="auto"/>
                <w:kern w:val="21"/>
                <w:sz w:val="21"/>
                <w:szCs w:val="21"/>
              </w:rPr>
              <w:t>0.003168</w:t>
            </w:r>
            <w:r>
              <w:rPr>
                <w:rFonts w:hint="eastAsia" w:hAnsi="宋体" w:cs="宋体"/>
                <w:color w:val="auto"/>
                <w:spacing w:val="-2"/>
                <w:sz w:val="21"/>
                <w:szCs w:val="21"/>
              </w:rPr>
              <w:t>t/a</w:t>
            </w:r>
          </w:p>
        </w:tc>
        <w:tc>
          <w:tcPr>
            <w:tcW w:w="826"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92" w:type="dxa"/>
            <w:vMerge w:val="restar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r>
              <w:rPr>
                <w:rFonts w:hint="eastAsia" w:hAnsi="宋体" w:cs="宋体"/>
                <w:snapToGrid w:val="0"/>
                <w:color w:val="auto"/>
                <w:kern w:val="21"/>
                <w:sz w:val="21"/>
                <w:szCs w:val="21"/>
              </w:rPr>
              <w:t>一般</w:t>
            </w:r>
          </w:p>
          <w:p>
            <w:pPr>
              <w:pStyle w:val="103"/>
              <w:spacing w:beforeLines="0" w:afterLines="0" w:line="240" w:lineRule="auto"/>
              <w:ind w:firstLine="0" w:firstLineChars="0"/>
              <w:rPr>
                <w:rFonts w:hint="eastAsia" w:hAnsi="宋体" w:cs="宋体"/>
                <w:snapToGrid w:val="0"/>
                <w:color w:val="auto"/>
                <w:kern w:val="21"/>
                <w:sz w:val="21"/>
                <w:szCs w:val="21"/>
              </w:rPr>
            </w:pPr>
            <w:r>
              <w:rPr>
                <w:rFonts w:hint="eastAsia" w:hAnsi="宋体" w:cs="宋体"/>
                <w:snapToGrid w:val="0"/>
                <w:color w:val="auto"/>
                <w:kern w:val="21"/>
                <w:sz w:val="21"/>
                <w:szCs w:val="21"/>
              </w:rPr>
              <w:t>固体废物</w:t>
            </w:r>
          </w:p>
        </w:tc>
        <w:tc>
          <w:tcPr>
            <w:tcW w:w="2100" w:type="dxa"/>
            <w:noWrap w:val="0"/>
            <w:vAlign w:val="center"/>
          </w:tcPr>
          <w:p>
            <w:pPr>
              <w:spacing w:before="144" w:line="184" w:lineRule="auto"/>
              <w:ind w:firstLine="0" w:firstLineChars="0"/>
              <w:jc w:val="center"/>
              <w:rPr>
                <w:rFonts w:hint="eastAsia" w:ascii="宋体" w:hAnsi="宋体" w:cs="宋体"/>
                <w:snapToGrid w:val="0"/>
                <w:color w:val="auto"/>
                <w:kern w:val="21"/>
                <w:sz w:val="21"/>
                <w:szCs w:val="21"/>
              </w:rPr>
            </w:pPr>
            <w:r>
              <w:rPr>
                <w:rFonts w:hint="eastAsia" w:ascii="宋体" w:hAnsi="宋体" w:cs="宋体"/>
                <w:color w:val="auto"/>
                <w:spacing w:val="-5"/>
                <w:sz w:val="21"/>
                <w:szCs w:val="21"/>
              </w:rPr>
              <w:t>生活垃圾</w:t>
            </w:r>
          </w:p>
        </w:tc>
        <w:tc>
          <w:tcPr>
            <w:tcW w:w="1666"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350"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550"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650" w:type="dxa"/>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r>
              <w:rPr>
                <w:rFonts w:hint="eastAsia" w:hAnsi="宋体" w:cs="宋体"/>
                <w:snapToGrid w:val="0"/>
                <w:color w:val="auto"/>
                <w:kern w:val="21"/>
                <w:sz w:val="21"/>
                <w:szCs w:val="21"/>
              </w:rPr>
              <w:t>1.27</w:t>
            </w:r>
            <w:r>
              <w:rPr>
                <w:rFonts w:hint="eastAsia" w:hAnsi="宋体" w:cs="宋体"/>
                <w:color w:val="auto"/>
                <w:spacing w:val="-2"/>
                <w:sz w:val="21"/>
                <w:szCs w:val="21"/>
              </w:rPr>
              <w:t>t/a</w:t>
            </w:r>
          </w:p>
        </w:tc>
        <w:tc>
          <w:tcPr>
            <w:tcW w:w="1395"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959" w:type="dxa"/>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r>
              <w:rPr>
                <w:rFonts w:hint="eastAsia" w:hAnsi="宋体" w:cs="宋体"/>
                <w:snapToGrid w:val="0"/>
                <w:color w:val="auto"/>
                <w:kern w:val="21"/>
                <w:sz w:val="21"/>
                <w:szCs w:val="21"/>
              </w:rPr>
              <w:t>1.27</w:t>
            </w:r>
            <w:r>
              <w:rPr>
                <w:rFonts w:hint="eastAsia" w:hAnsi="宋体" w:cs="宋体"/>
                <w:color w:val="auto"/>
                <w:spacing w:val="-2"/>
                <w:sz w:val="21"/>
                <w:szCs w:val="21"/>
              </w:rPr>
              <w:t>t/a</w:t>
            </w:r>
          </w:p>
        </w:tc>
        <w:tc>
          <w:tcPr>
            <w:tcW w:w="826"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92" w:type="dxa"/>
            <w:vMerge w:val="continue"/>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2100" w:type="dxa"/>
            <w:noWrap w:val="0"/>
            <w:vAlign w:val="center"/>
          </w:tcPr>
          <w:p>
            <w:pPr>
              <w:spacing w:before="145" w:line="184" w:lineRule="auto"/>
              <w:ind w:firstLine="0" w:firstLineChars="0"/>
              <w:jc w:val="center"/>
              <w:rPr>
                <w:rFonts w:hint="eastAsia" w:ascii="宋体" w:hAnsi="宋体" w:cs="宋体"/>
                <w:snapToGrid w:val="0"/>
                <w:color w:val="auto"/>
                <w:kern w:val="21"/>
                <w:sz w:val="21"/>
                <w:szCs w:val="21"/>
              </w:rPr>
            </w:pPr>
            <w:r>
              <w:rPr>
                <w:rFonts w:hint="eastAsia" w:ascii="宋体" w:hAnsi="宋体" w:cs="宋体"/>
                <w:color w:val="auto"/>
                <w:spacing w:val="-5"/>
                <w:sz w:val="21"/>
                <w:szCs w:val="21"/>
              </w:rPr>
              <w:t>宠物毛发</w:t>
            </w:r>
          </w:p>
        </w:tc>
        <w:tc>
          <w:tcPr>
            <w:tcW w:w="1666"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350"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550"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650" w:type="dxa"/>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r>
              <w:rPr>
                <w:rFonts w:hint="eastAsia" w:hAnsi="宋体" w:cs="宋体"/>
                <w:snapToGrid w:val="0"/>
                <w:color w:val="auto"/>
                <w:kern w:val="21"/>
                <w:sz w:val="21"/>
                <w:szCs w:val="21"/>
              </w:rPr>
              <w:t>0.04</w:t>
            </w:r>
            <w:r>
              <w:rPr>
                <w:rFonts w:hint="eastAsia" w:hAnsi="宋体" w:cs="宋体"/>
                <w:color w:val="auto"/>
                <w:spacing w:val="-2"/>
                <w:sz w:val="21"/>
                <w:szCs w:val="21"/>
              </w:rPr>
              <w:t>t/a</w:t>
            </w:r>
          </w:p>
        </w:tc>
        <w:tc>
          <w:tcPr>
            <w:tcW w:w="1395"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959" w:type="dxa"/>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r>
              <w:rPr>
                <w:rFonts w:hint="eastAsia" w:hAnsi="宋体" w:cs="宋体"/>
                <w:snapToGrid w:val="0"/>
                <w:color w:val="auto"/>
                <w:kern w:val="21"/>
                <w:sz w:val="21"/>
                <w:szCs w:val="21"/>
              </w:rPr>
              <w:t>0.04</w:t>
            </w:r>
            <w:r>
              <w:rPr>
                <w:rFonts w:hint="eastAsia" w:hAnsi="宋体" w:cs="宋体"/>
                <w:color w:val="auto"/>
                <w:spacing w:val="-2"/>
                <w:sz w:val="21"/>
                <w:szCs w:val="21"/>
              </w:rPr>
              <w:t>t/a</w:t>
            </w:r>
          </w:p>
        </w:tc>
        <w:tc>
          <w:tcPr>
            <w:tcW w:w="826"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92" w:type="dxa"/>
            <w:vMerge w:val="continue"/>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2100" w:type="dxa"/>
            <w:noWrap w:val="0"/>
            <w:vAlign w:val="center"/>
          </w:tcPr>
          <w:p>
            <w:pPr>
              <w:spacing w:before="145" w:line="184" w:lineRule="auto"/>
              <w:ind w:firstLine="0" w:firstLineChars="0"/>
              <w:jc w:val="center"/>
              <w:rPr>
                <w:rFonts w:hint="eastAsia" w:ascii="宋体" w:hAnsi="宋体" w:cs="宋体"/>
                <w:color w:val="auto"/>
                <w:spacing w:val="-5"/>
                <w:sz w:val="21"/>
                <w:szCs w:val="21"/>
              </w:rPr>
            </w:pPr>
            <w:r>
              <w:rPr>
                <w:rFonts w:hint="eastAsia" w:ascii="宋体" w:hAnsi="宋体" w:cs="宋体"/>
                <w:color w:val="auto"/>
                <w:spacing w:val="-5"/>
                <w:sz w:val="21"/>
                <w:szCs w:val="21"/>
              </w:rPr>
              <w:t>宠物粪便</w:t>
            </w:r>
          </w:p>
        </w:tc>
        <w:tc>
          <w:tcPr>
            <w:tcW w:w="1666"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350"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550"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650" w:type="dxa"/>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r>
              <w:rPr>
                <w:rFonts w:hint="eastAsia" w:hAnsi="宋体" w:cs="宋体"/>
                <w:snapToGrid w:val="0"/>
                <w:color w:val="auto"/>
                <w:kern w:val="21"/>
                <w:sz w:val="21"/>
                <w:szCs w:val="21"/>
              </w:rPr>
              <w:t>0.3</w:t>
            </w:r>
            <w:r>
              <w:rPr>
                <w:rFonts w:hint="eastAsia" w:hAnsi="宋体" w:cs="宋体"/>
                <w:color w:val="auto"/>
                <w:spacing w:val="-2"/>
                <w:sz w:val="21"/>
                <w:szCs w:val="21"/>
              </w:rPr>
              <w:t>t/a</w:t>
            </w:r>
          </w:p>
        </w:tc>
        <w:tc>
          <w:tcPr>
            <w:tcW w:w="1395"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959" w:type="dxa"/>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r>
              <w:rPr>
                <w:rFonts w:hint="eastAsia" w:hAnsi="宋体" w:cs="宋体"/>
                <w:snapToGrid w:val="0"/>
                <w:color w:val="auto"/>
                <w:kern w:val="21"/>
                <w:sz w:val="21"/>
                <w:szCs w:val="21"/>
              </w:rPr>
              <w:t>0.3</w:t>
            </w:r>
            <w:r>
              <w:rPr>
                <w:rFonts w:hint="eastAsia" w:hAnsi="宋体" w:cs="宋体"/>
                <w:color w:val="auto"/>
                <w:spacing w:val="-2"/>
                <w:sz w:val="21"/>
                <w:szCs w:val="21"/>
              </w:rPr>
              <w:t>t/a</w:t>
            </w:r>
          </w:p>
        </w:tc>
        <w:tc>
          <w:tcPr>
            <w:tcW w:w="826"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92" w:type="dxa"/>
            <w:vMerge w:val="restart"/>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r>
              <w:rPr>
                <w:rFonts w:hint="eastAsia" w:hAnsi="宋体" w:cs="宋体"/>
                <w:snapToGrid w:val="0"/>
                <w:color w:val="auto"/>
                <w:kern w:val="21"/>
                <w:sz w:val="21"/>
                <w:szCs w:val="21"/>
              </w:rPr>
              <w:t>危险废物</w:t>
            </w:r>
          </w:p>
        </w:tc>
        <w:tc>
          <w:tcPr>
            <w:tcW w:w="2100" w:type="dxa"/>
            <w:noWrap w:val="0"/>
            <w:vAlign w:val="center"/>
          </w:tcPr>
          <w:p>
            <w:pPr>
              <w:spacing w:before="145" w:line="184" w:lineRule="auto"/>
              <w:ind w:firstLine="0" w:firstLineChars="0"/>
              <w:jc w:val="center"/>
              <w:rPr>
                <w:rFonts w:hint="eastAsia" w:ascii="宋体" w:hAnsi="宋体" w:cs="宋体"/>
                <w:color w:val="auto"/>
                <w:spacing w:val="-5"/>
                <w:sz w:val="21"/>
                <w:szCs w:val="21"/>
              </w:rPr>
            </w:pPr>
            <w:r>
              <w:rPr>
                <w:rFonts w:hint="eastAsia" w:ascii="宋体" w:hAnsi="宋体" w:cs="宋体"/>
                <w:color w:val="auto"/>
                <w:spacing w:val="-5"/>
                <w:sz w:val="21"/>
                <w:szCs w:val="21"/>
              </w:rPr>
              <w:t>宠物尸体</w:t>
            </w:r>
          </w:p>
        </w:tc>
        <w:tc>
          <w:tcPr>
            <w:tcW w:w="1666"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350"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550"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650" w:type="dxa"/>
            <w:noWrap w:val="0"/>
            <w:vAlign w:val="center"/>
          </w:tcPr>
          <w:p>
            <w:pPr>
              <w:pStyle w:val="69"/>
              <w:rPr>
                <w:rFonts w:hint="eastAsia" w:ascii="宋体" w:hAnsi="宋体" w:cs="宋体"/>
                <w:snapToGrid w:val="0"/>
                <w:color w:val="auto"/>
                <w:kern w:val="21"/>
              </w:rPr>
            </w:pPr>
            <w:r>
              <w:rPr>
                <w:rFonts w:hint="eastAsia" w:ascii="宋体" w:hAnsi="宋体" w:cs="宋体"/>
                <w:color w:val="auto"/>
              </w:rPr>
              <w:t>0.05t/a</w:t>
            </w:r>
          </w:p>
        </w:tc>
        <w:tc>
          <w:tcPr>
            <w:tcW w:w="1395"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959" w:type="dxa"/>
            <w:noWrap w:val="0"/>
            <w:vAlign w:val="center"/>
          </w:tcPr>
          <w:p>
            <w:pPr>
              <w:pStyle w:val="69"/>
              <w:rPr>
                <w:rFonts w:hint="eastAsia" w:ascii="宋体" w:hAnsi="宋体" w:cs="宋体"/>
                <w:color w:val="auto"/>
              </w:rPr>
            </w:pPr>
            <w:r>
              <w:rPr>
                <w:rFonts w:hint="eastAsia" w:ascii="宋体" w:hAnsi="宋体" w:cs="宋体"/>
                <w:color w:val="auto"/>
              </w:rPr>
              <w:t>0.05t/a</w:t>
            </w:r>
          </w:p>
        </w:tc>
        <w:tc>
          <w:tcPr>
            <w:tcW w:w="826"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92" w:type="dxa"/>
            <w:vMerge w:val="continue"/>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2100" w:type="dxa"/>
            <w:noWrap w:val="0"/>
            <w:vAlign w:val="center"/>
          </w:tcPr>
          <w:p>
            <w:pPr>
              <w:spacing w:before="145" w:line="184" w:lineRule="auto"/>
              <w:ind w:firstLine="0" w:firstLineChars="0"/>
              <w:jc w:val="center"/>
              <w:rPr>
                <w:rFonts w:hint="eastAsia" w:ascii="宋体" w:hAnsi="宋体" w:cs="宋体"/>
                <w:color w:val="auto"/>
                <w:spacing w:val="-5"/>
                <w:sz w:val="21"/>
                <w:szCs w:val="21"/>
              </w:rPr>
            </w:pPr>
            <w:r>
              <w:rPr>
                <w:rFonts w:hint="eastAsia" w:ascii="宋体" w:hAnsi="宋体" w:cs="宋体"/>
                <w:color w:val="auto"/>
                <w:spacing w:val="-5"/>
                <w:sz w:val="21"/>
                <w:szCs w:val="21"/>
              </w:rPr>
              <w:t>医疗垃圾</w:t>
            </w:r>
          </w:p>
        </w:tc>
        <w:tc>
          <w:tcPr>
            <w:tcW w:w="1666"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350"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550"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650" w:type="dxa"/>
            <w:noWrap w:val="0"/>
            <w:vAlign w:val="center"/>
          </w:tcPr>
          <w:p>
            <w:pPr>
              <w:pStyle w:val="69"/>
              <w:rPr>
                <w:rFonts w:hint="eastAsia" w:ascii="宋体" w:hAnsi="宋体" w:cs="宋体"/>
                <w:snapToGrid w:val="0"/>
                <w:color w:val="auto"/>
                <w:kern w:val="21"/>
              </w:rPr>
            </w:pPr>
            <w:r>
              <w:rPr>
                <w:rFonts w:hint="eastAsia" w:ascii="宋体" w:hAnsi="宋体" w:cs="宋体"/>
                <w:color w:val="auto"/>
              </w:rPr>
              <w:t>1.2t/a</w:t>
            </w:r>
          </w:p>
        </w:tc>
        <w:tc>
          <w:tcPr>
            <w:tcW w:w="1395"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959" w:type="dxa"/>
            <w:noWrap w:val="0"/>
            <w:vAlign w:val="center"/>
          </w:tcPr>
          <w:p>
            <w:pPr>
              <w:pStyle w:val="69"/>
              <w:rPr>
                <w:rFonts w:hint="eastAsia" w:ascii="宋体" w:hAnsi="宋体" w:cs="宋体"/>
                <w:color w:val="auto"/>
              </w:rPr>
            </w:pPr>
            <w:r>
              <w:rPr>
                <w:rFonts w:hint="eastAsia" w:ascii="宋体" w:hAnsi="宋体" w:cs="宋体"/>
                <w:color w:val="auto"/>
              </w:rPr>
              <w:t>1.2t/a</w:t>
            </w:r>
          </w:p>
        </w:tc>
        <w:tc>
          <w:tcPr>
            <w:tcW w:w="826"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292" w:type="dxa"/>
            <w:vMerge w:val="continue"/>
            <w:noWrap w:val="0"/>
            <w:vAlign w:val="center"/>
          </w:tcPr>
          <w:p>
            <w:pPr>
              <w:pStyle w:val="103"/>
              <w:spacing w:beforeLines="0" w:afterLines="0" w:line="240" w:lineRule="auto"/>
              <w:ind w:firstLine="0" w:firstLineChars="0"/>
              <w:rPr>
                <w:rFonts w:hint="eastAsia" w:hAnsi="宋体" w:cs="宋体"/>
                <w:snapToGrid w:val="0"/>
                <w:color w:val="auto"/>
                <w:kern w:val="21"/>
                <w:sz w:val="21"/>
                <w:szCs w:val="21"/>
              </w:rPr>
            </w:pPr>
          </w:p>
        </w:tc>
        <w:tc>
          <w:tcPr>
            <w:tcW w:w="2100" w:type="dxa"/>
            <w:noWrap w:val="0"/>
            <w:vAlign w:val="center"/>
          </w:tcPr>
          <w:p>
            <w:pPr>
              <w:spacing w:before="145" w:line="184" w:lineRule="auto"/>
              <w:ind w:firstLine="0" w:firstLineChars="0"/>
              <w:jc w:val="center"/>
              <w:rPr>
                <w:rFonts w:hint="eastAsia" w:ascii="宋体" w:hAnsi="宋体" w:cs="宋体"/>
                <w:color w:val="auto"/>
                <w:spacing w:val="-5"/>
                <w:sz w:val="21"/>
                <w:szCs w:val="21"/>
              </w:rPr>
            </w:pPr>
            <w:r>
              <w:rPr>
                <w:rFonts w:hint="eastAsia" w:ascii="宋体" w:hAnsi="宋体" w:cs="宋体"/>
                <w:color w:val="auto"/>
                <w:spacing w:val="-5"/>
                <w:sz w:val="21"/>
                <w:szCs w:val="21"/>
              </w:rPr>
              <w:t>废紫外灯管</w:t>
            </w:r>
          </w:p>
        </w:tc>
        <w:tc>
          <w:tcPr>
            <w:tcW w:w="1666"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350"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550"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650" w:type="dxa"/>
            <w:noWrap w:val="0"/>
            <w:vAlign w:val="center"/>
          </w:tcPr>
          <w:p>
            <w:pPr>
              <w:pStyle w:val="69"/>
              <w:rPr>
                <w:rFonts w:ascii="宋体" w:hAnsi="宋体" w:cs="宋体"/>
                <w:color w:val="auto"/>
              </w:rPr>
            </w:pPr>
            <w:r>
              <w:rPr>
                <w:rFonts w:hint="eastAsia" w:ascii="宋体" w:hAnsi="宋体" w:cs="宋体"/>
                <w:color w:val="auto"/>
              </w:rPr>
              <w:t>0.005t/a</w:t>
            </w:r>
          </w:p>
        </w:tc>
        <w:tc>
          <w:tcPr>
            <w:tcW w:w="1395"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c>
          <w:tcPr>
            <w:tcW w:w="1959" w:type="dxa"/>
            <w:noWrap w:val="0"/>
            <w:vAlign w:val="center"/>
          </w:tcPr>
          <w:p>
            <w:pPr>
              <w:pStyle w:val="69"/>
              <w:rPr>
                <w:rFonts w:hint="eastAsia" w:ascii="宋体" w:hAnsi="宋体" w:cs="宋体"/>
                <w:color w:val="auto"/>
              </w:rPr>
            </w:pPr>
            <w:r>
              <w:rPr>
                <w:rFonts w:hint="eastAsia" w:ascii="宋体" w:hAnsi="宋体" w:cs="宋体"/>
                <w:color w:val="auto"/>
              </w:rPr>
              <w:t>0.005t/a</w:t>
            </w:r>
          </w:p>
        </w:tc>
        <w:tc>
          <w:tcPr>
            <w:tcW w:w="826" w:type="dxa"/>
            <w:noWrap w:val="0"/>
            <w:vAlign w:val="center"/>
          </w:tcPr>
          <w:p>
            <w:pPr>
              <w:pStyle w:val="105"/>
              <w:spacing w:before="24" w:after="24"/>
              <w:ind w:firstLine="420"/>
              <w:rPr>
                <w:rFonts w:hint="eastAsia" w:hAnsi="宋体" w:cs="宋体"/>
                <w:snapToGrid w:val="0"/>
                <w:color w:val="auto"/>
                <w:kern w:val="21"/>
                <w:szCs w:val="21"/>
              </w:rPr>
            </w:pPr>
            <w:r>
              <w:rPr>
                <w:rFonts w:hint="eastAsia"/>
                <w:color w:val="auto"/>
              </w:rPr>
              <w:t>-</w:t>
            </w:r>
          </w:p>
        </w:tc>
      </w:tr>
    </w:tbl>
    <w:p>
      <w:pPr>
        <w:pStyle w:val="103"/>
        <w:spacing w:before="192" w:beforeLines="80" w:after="24"/>
        <w:ind w:firstLine="480"/>
        <w:jc w:val="left"/>
        <w:rPr>
          <w:rFonts w:hint="eastAsia" w:hAnsi="宋体" w:eastAsia="黑体"/>
          <w:color w:val="auto"/>
        </w:rPr>
      </w:pPr>
      <w:r>
        <w:rPr>
          <w:rFonts w:hAnsi="宋体"/>
          <w:snapToGrid w:val="0"/>
          <w:color w:val="auto"/>
          <w:kern w:val="21"/>
          <w:szCs w:val="21"/>
        </w:rPr>
        <w:t>注：</w:t>
      </w:r>
      <w:r>
        <w:rPr>
          <w:rFonts w:hAnsi="宋体"/>
          <w:snapToGrid w:val="0"/>
          <w:color w:val="auto"/>
          <w:spacing w:val="-16"/>
          <w:kern w:val="21"/>
          <w:szCs w:val="21"/>
        </w:rPr>
        <w:fldChar w:fldCharType="begin"/>
      </w:r>
      <w:r>
        <w:rPr>
          <w:rFonts w:hAnsi="宋体"/>
          <w:snapToGrid w:val="0"/>
          <w:color w:val="auto"/>
          <w:spacing w:val="-16"/>
          <w:kern w:val="21"/>
          <w:szCs w:val="21"/>
        </w:rPr>
        <w:instrText xml:space="preserve"> = 6 \* GB3 \* MERGEFORMAT </w:instrText>
      </w:r>
      <w:r>
        <w:rPr>
          <w:rFonts w:hAnsi="宋体"/>
          <w:snapToGrid w:val="0"/>
          <w:color w:val="auto"/>
          <w:spacing w:val="-16"/>
          <w:kern w:val="21"/>
          <w:szCs w:val="21"/>
        </w:rPr>
        <w:fldChar w:fldCharType="separate"/>
      </w:r>
      <w:r>
        <w:rPr>
          <w:rFonts w:hint="eastAsia" w:hAnsi="宋体"/>
          <w:color w:val="auto"/>
          <w:szCs w:val="21"/>
        </w:rPr>
        <w:t>⑥</w:t>
      </w:r>
      <w:r>
        <w:rPr>
          <w:rFonts w:hAnsi="宋体"/>
          <w:snapToGrid w:val="0"/>
          <w:color w:val="auto"/>
          <w:spacing w:val="-16"/>
          <w:kern w:val="21"/>
          <w:szCs w:val="21"/>
        </w:rPr>
        <w:fldChar w:fldCharType="end"/>
      </w:r>
      <w:r>
        <w:rPr>
          <w:rFonts w:hAnsi="宋体"/>
          <w:snapToGrid w:val="0"/>
          <w:color w:val="auto"/>
          <w:spacing w:val="-16"/>
          <w:kern w:val="21"/>
          <w:szCs w:val="21"/>
        </w:rPr>
        <w:t>=</w:t>
      </w:r>
      <w:r>
        <w:rPr>
          <w:rFonts w:hAnsi="宋体"/>
          <w:snapToGrid w:val="0"/>
          <w:color w:val="auto"/>
          <w:spacing w:val="-6"/>
          <w:kern w:val="21"/>
          <w:szCs w:val="21"/>
        </w:rPr>
        <w:fldChar w:fldCharType="begin"/>
      </w:r>
      <w:r>
        <w:rPr>
          <w:rFonts w:hAnsi="宋体"/>
          <w:snapToGrid w:val="0"/>
          <w:color w:val="auto"/>
          <w:spacing w:val="-6"/>
          <w:kern w:val="21"/>
          <w:szCs w:val="21"/>
        </w:rPr>
        <w:instrText xml:space="preserve"> = 1 \* GB3 \* MERGEFORMAT </w:instrText>
      </w:r>
      <w:r>
        <w:rPr>
          <w:rFonts w:hAnsi="宋体"/>
          <w:snapToGrid w:val="0"/>
          <w:color w:val="auto"/>
          <w:spacing w:val="-6"/>
          <w:kern w:val="21"/>
          <w:szCs w:val="21"/>
        </w:rPr>
        <w:fldChar w:fldCharType="separate"/>
      </w:r>
      <w:r>
        <w:rPr>
          <w:rFonts w:hint="eastAsia" w:hAnsi="宋体"/>
          <w:color w:val="auto"/>
          <w:szCs w:val="21"/>
        </w:rPr>
        <w:t>①</w:t>
      </w:r>
      <w:r>
        <w:rPr>
          <w:rFonts w:hAnsi="宋体"/>
          <w:snapToGrid w:val="0"/>
          <w:color w:val="auto"/>
          <w:spacing w:val="-6"/>
          <w:kern w:val="21"/>
          <w:szCs w:val="21"/>
        </w:rPr>
        <w:fldChar w:fldCharType="end"/>
      </w:r>
      <w:r>
        <w:rPr>
          <w:rFonts w:hAnsi="宋体"/>
          <w:snapToGrid w:val="0"/>
          <w:color w:val="auto"/>
          <w:spacing w:val="-6"/>
          <w:kern w:val="21"/>
          <w:szCs w:val="21"/>
        </w:rPr>
        <w:t>+</w:t>
      </w:r>
      <w:r>
        <w:rPr>
          <w:rFonts w:hAnsi="宋体"/>
          <w:snapToGrid w:val="0"/>
          <w:color w:val="auto"/>
          <w:spacing w:val="-6"/>
          <w:kern w:val="21"/>
          <w:szCs w:val="21"/>
        </w:rPr>
        <w:fldChar w:fldCharType="begin"/>
      </w:r>
      <w:r>
        <w:rPr>
          <w:rFonts w:hAnsi="宋体"/>
          <w:snapToGrid w:val="0"/>
          <w:color w:val="auto"/>
          <w:spacing w:val="-6"/>
          <w:kern w:val="21"/>
          <w:szCs w:val="21"/>
        </w:rPr>
        <w:instrText xml:space="preserve"> = 3 \* GB3 \* MERGEFORMAT </w:instrText>
      </w:r>
      <w:r>
        <w:rPr>
          <w:rFonts w:hAnsi="宋体"/>
          <w:snapToGrid w:val="0"/>
          <w:color w:val="auto"/>
          <w:spacing w:val="-6"/>
          <w:kern w:val="21"/>
          <w:szCs w:val="21"/>
        </w:rPr>
        <w:fldChar w:fldCharType="separate"/>
      </w:r>
      <w:r>
        <w:rPr>
          <w:rFonts w:hint="eastAsia" w:hAnsi="宋体"/>
          <w:color w:val="auto"/>
          <w:szCs w:val="21"/>
        </w:rPr>
        <w:t>③</w:t>
      </w:r>
      <w:r>
        <w:rPr>
          <w:rFonts w:hAnsi="宋体"/>
          <w:snapToGrid w:val="0"/>
          <w:color w:val="auto"/>
          <w:spacing w:val="-6"/>
          <w:kern w:val="21"/>
          <w:szCs w:val="21"/>
        </w:rPr>
        <w:fldChar w:fldCharType="end"/>
      </w:r>
      <w:r>
        <w:rPr>
          <w:rFonts w:hAnsi="宋体"/>
          <w:snapToGrid w:val="0"/>
          <w:color w:val="auto"/>
          <w:spacing w:val="-6"/>
          <w:kern w:val="21"/>
          <w:szCs w:val="21"/>
        </w:rPr>
        <w:t>+</w:t>
      </w:r>
      <w:r>
        <w:rPr>
          <w:rFonts w:hAnsi="宋体"/>
          <w:snapToGrid w:val="0"/>
          <w:color w:val="auto"/>
          <w:spacing w:val="-6"/>
          <w:kern w:val="21"/>
          <w:szCs w:val="21"/>
        </w:rPr>
        <w:fldChar w:fldCharType="begin"/>
      </w:r>
      <w:r>
        <w:rPr>
          <w:rFonts w:hAnsi="宋体"/>
          <w:snapToGrid w:val="0"/>
          <w:color w:val="auto"/>
          <w:spacing w:val="-6"/>
          <w:kern w:val="21"/>
          <w:szCs w:val="21"/>
        </w:rPr>
        <w:instrText xml:space="preserve"> = 4 \* GB3 \* MERGEFORMAT </w:instrText>
      </w:r>
      <w:r>
        <w:rPr>
          <w:rFonts w:hAnsi="宋体"/>
          <w:snapToGrid w:val="0"/>
          <w:color w:val="auto"/>
          <w:spacing w:val="-6"/>
          <w:kern w:val="21"/>
          <w:szCs w:val="21"/>
        </w:rPr>
        <w:fldChar w:fldCharType="separate"/>
      </w:r>
      <w:r>
        <w:rPr>
          <w:rFonts w:hint="eastAsia" w:hAnsi="宋体"/>
          <w:color w:val="auto"/>
          <w:szCs w:val="21"/>
        </w:rPr>
        <w:t>④</w:t>
      </w:r>
      <w:r>
        <w:rPr>
          <w:rFonts w:hAnsi="宋体"/>
          <w:snapToGrid w:val="0"/>
          <w:color w:val="auto"/>
          <w:spacing w:val="-6"/>
          <w:kern w:val="21"/>
          <w:szCs w:val="21"/>
        </w:rPr>
        <w:fldChar w:fldCharType="end"/>
      </w:r>
      <w:r>
        <w:rPr>
          <w:rFonts w:hAnsi="宋体"/>
          <w:snapToGrid w:val="0"/>
          <w:color w:val="auto"/>
          <w:spacing w:val="-6"/>
          <w:kern w:val="21"/>
          <w:szCs w:val="21"/>
        </w:rPr>
        <w:t>-</w:t>
      </w:r>
      <w:r>
        <w:rPr>
          <w:rFonts w:hAnsi="宋体"/>
          <w:snapToGrid w:val="0"/>
          <w:color w:val="auto"/>
          <w:spacing w:val="-16"/>
          <w:kern w:val="21"/>
          <w:szCs w:val="21"/>
        </w:rPr>
        <w:fldChar w:fldCharType="begin"/>
      </w:r>
      <w:r>
        <w:rPr>
          <w:rFonts w:hAnsi="宋体"/>
          <w:snapToGrid w:val="0"/>
          <w:color w:val="auto"/>
          <w:spacing w:val="-16"/>
          <w:kern w:val="21"/>
          <w:szCs w:val="21"/>
        </w:rPr>
        <w:instrText xml:space="preserve"> = 5 \* GB3 \* MERGEFORMAT </w:instrText>
      </w:r>
      <w:r>
        <w:rPr>
          <w:rFonts w:hAnsi="宋体"/>
          <w:snapToGrid w:val="0"/>
          <w:color w:val="auto"/>
          <w:spacing w:val="-16"/>
          <w:kern w:val="21"/>
          <w:szCs w:val="21"/>
        </w:rPr>
        <w:fldChar w:fldCharType="separate"/>
      </w:r>
      <w:r>
        <w:rPr>
          <w:rFonts w:hint="eastAsia" w:hAnsi="宋体"/>
          <w:color w:val="auto"/>
          <w:szCs w:val="21"/>
        </w:rPr>
        <w:t>⑤</w:t>
      </w:r>
      <w:r>
        <w:rPr>
          <w:rFonts w:hAnsi="宋体"/>
          <w:snapToGrid w:val="0"/>
          <w:color w:val="auto"/>
          <w:spacing w:val="-16"/>
          <w:kern w:val="21"/>
          <w:szCs w:val="21"/>
        </w:rPr>
        <w:fldChar w:fldCharType="end"/>
      </w:r>
      <w:r>
        <w:rPr>
          <w:rFonts w:hAnsi="宋体"/>
          <w:snapToGrid w:val="0"/>
          <w:color w:val="auto"/>
          <w:spacing w:val="-16"/>
          <w:kern w:val="21"/>
          <w:szCs w:val="21"/>
        </w:rPr>
        <w:t>；</w:t>
      </w:r>
      <w:r>
        <w:rPr>
          <w:rFonts w:hAnsi="宋体"/>
          <w:snapToGrid w:val="0"/>
          <w:color w:val="auto"/>
          <w:spacing w:val="-6"/>
          <w:kern w:val="21"/>
          <w:szCs w:val="21"/>
        </w:rPr>
        <w:fldChar w:fldCharType="begin"/>
      </w:r>
      <w:r>
        <w:rPr>
          <w:rFonts w:hAnsi="宋体"/>
          <w:snapToGrid w:val="0"/>
          <w:color w:val="auto"/>
          <w:spacing w:val="-6"/>
          <w:kern w:val="21"/>
          <w:szCs w:val="21"/>
        </w:rPr>
        <w:instrText xml:space="preserve"> = 7 \* GB3 \* MERGEFORMAT </w:instrText>
      </w:r>
      <w:r>
        <w:rPr>
          <w:rFonts w:hAnsi="宋体"/>
          <w:snapToGrid w:val="0"/>
          <w:color w:val="auto"/>
          <w:spacing w:val="-6"/>
          <w:kern w:val="21"/>
          <w:szCs w:val="21"/>
        </w:rPr>
        <w:fldChar w:fldCharType="separate"/>
      </w:r>
      <w:r>
        <w:rPr>
          <w:rFonts w:hint="eastAsia" w:hAnsi="宋体"/>
          <w:color w:val="auto"/>
          <w:szCs w:val="21"/>
        </w:rPr>
        <w:t>⑦</w:t>
      </w:r>
      <w:r>
        <w:rPr>
          <w:rFonts w:hAnsi="宋体"/>
          <w:snapToGrid w:val="0"/>
          <w:color w:val="auto"/>
          <w:spacing w:val="-6"/>
          <w:kern w:val="21"/>
          <w:szCs w:val="21"/>
        </w:rPr>
        <w:fldChar w:fldCharType="end"/>
      </w:r>
      <w:r>
        <w:rPr>
          <w:rFonts w:hAnsi="宋体"/>
          <w:snapToGrid w:val="0"/>
          <w:color w:val="auto"/>
          <w:spacing w:val="-6"/>
          <w:kern w:val="21"/>
          <w:szCs w:val="21"/>
        </w:rPr>
        <w:t>=</w:t>
      </w:r>
      <w:r>
        <w:rPr>
          <w:rFonts w:hAnsi="宋体"/>
          <w:snapToGrid w:val="0"/>
          <w:color w:val="auto"/>
          <w:spacing w:val="-16"/>
          <w:kern w:val="21"/>
          <w:szCs w:val="21"/>
        </w:rPr>
        <w:fldChar w:fldCharType="begin"/>
      </w:r>
      <w:r>
        <w:rPr>
          <w:rFonts w:hAnsi="宋体"/>
          <w:snapToGrid w:val="0"/>
          <w:color w:val="auto"/>
          <w:spacing w:val="-16"/>
          <w:kern w:val="21"/>
          <w:szCs w:val="21"/>
        </w:rPr>
        <w:instrText xml:space="preserve"> = 6 \* GB3 \* MERGEFORMAT </w:instrText>
      </w:r>
      <w:r>
        <w:rPr>
          <w:rFonts w:hAnsi="宋体"/>
          <w:snapToGrid w:val="0"/>
          <w:color w:val="auto"/>
          <w:spacing w:val="-16"/>
          <w:kern w:val="21"/>
          <w:szCs w:val="21"/>
        </w:rPr>
        <w:fldChar w:fldCharType="separate"/>
      </w:r>
      <w:r>
        <w:rPr>
          <w:rFonts w:hint="eastAsia" w:hAnsi="宋体"/>
          <w:color w:val="auto"/>
          <w:szCs w:val="21"/>
        </w:rPr>
        <w:t>⑥</w:t>
      </w:r>
      <w:r>
        <w:rPr>
          <w:rFonts w:hAnsi="宋体"/>
          <w:snapToGrid w:val="0"/>
          <w:color w:val="auto"/>
          <w:spacing w:val="-16"/>
          <w:kern w:val="21"/>
          <w:szCs w:val="21"/>
        </w:rPr>
        <w:fldChar w:fldCharType="end"/>
      </w:r>
      <w:r>
        <w:rPr>
          <w:rFonts w:hAnsi="宋体"/>
          <w:snapToGrid w:val="0"/>
          <w:color w:val="auto"/>
          <w:spacing w:val="-16"/>
          <w:kern w:val="21"/>
          <w:szCs w:val="21"/>
        </w:rPr>
        <w:t>-</w:t>
      </w:r>
      <w:r>
        <w:rPr>
          <w:rFonts w:hAnsi="宋体"/>
          <w:snapToGrid w:val="0"/>
          <w:color w:val="auto"/>
          <w:spacing w:val="-6"/>
          <w:kern w:val="21"/>
          <w:szCs w:val="21"/>
        </w:rPr>
        <w:fldChar w:fldCharType="begin"/>
      </w:r>
      <w:r>
        <w:rPr>
          <w:rFonts w:hAnsi="宋体"/>
          <w:snapToGrid w:val="0"/>
          <w:color w:val="auto"/>
          <w:spacing w:val="-6"/>
          <w:kern w:val="21"/>
          <w:szCs w:val="21"/>
        </w:rPr>
        <w:instrText xml:space="preserve"> = 1 \* GB3 \* MERGEFORMAT </w:instrText>
      </w:r>
      <w:r>
        <w:rPr>
          <w:rFonts w:hAnsi="宋体"/>
          <w:snapToGrid w:val="0"/>
          <w:color w:val="auto"/>
          <w:spacing w:val="-6"/>
          <w:kern w:val="21"/>
          <w:szCs w:val="21"/>
        </w:rPr>
        <w:fldChar w:fldCharType="separate"/>
      </w:r>
      <w:r>
        <w:rPr>
          <w:rFonts w:hint="eastAsia" w:hAnsi="宋体"/>
          <w:color w:val="auto"/>
          <w:szCs w:val="21"/>
        </w:rPr>
        <w:t>①</w:t>
      </w:r>
      <w:r>
        <w:rPr>
          <w:rFonts w:hAnsi="宋体"/>
          <w:snapToGrid w:val="0"/>
          <w:color w:val="auto"/>
          <w:spacing w:val="-6"/>
          <w:kern w:val="21"/>
          <w:szCs w:val="21"/>
        </w:rPr>
        <w:fldChar w:fldCharType="end"/>
      </w:r>
    </w:p>
    <w:p/>
    <w:p/>
    <w:p>
      <w:pPr>
        <w:rPr>
          <w:rFonts w:ascii="仿宋_GB2312" w:hAnsi="仿宋_GB2312" w:eastAsia="仿宋_GB2312" w:cs="仿宋_GB2312"/>
          <w:sz w:val="36"/>
          <w:szCs w:val="36"/>
        </w:rPr>
      </w:pPr>
    </w:p>
    <w:p>
      <w:pPr>
        <w:pStyle w:val="47"/>
        <w:rPr>
          <w:rFonts w:hint="eastAsia"/>
        </w:rPr>
      </w:pPr>
    </w:p>
    <w:sectPr>
      <w:headerReference r:id="rId42" w:type="default"/>
      <w:footerReference r:id="rId43" w:type="default"/>
      <w:pgSz w:w="11906" w:h="16838"/>
      <w:pgMar w:top="1701" w:right="1531" w:bottom="1701" w:left="1531" w:header="851" w:footer="851" w:gutter="0"/>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BA"/>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幼圆">
    <w:altName w:val="宋体"/>
    <w:panose1 w:val="02010509060101010101"/>
    <w:charset w:val="86"/>
    <w:family w:val="modern"/>
    <w:pitch w:val="default"/>
    <w:sig w:usb0="00000000" w:usb1="00000000" w:usb2="00000000" w:usb3="00000000" w:csb0="00040000" w:csb1="00000000"/>
  </w:font>
  <w:font w:name="Cambria">
    <w:panose1 w:val="02040503050406030204"/>
    <w:charset w:val="00"/>
    <w:family w:val="roman"/>
    <w:pitch w:val="default"/>
    <w:sig w:usb0="E00006FF" w:usb1="420024FF" w:usb2="02000000" w:usb3="00000000" w:csb0="2000019F" w:csb1="00000000"/>
  </w:font>
  <w:font w:name="TimesNewRomanPSMT">
    <w:altName w:val="Times New Roman"/>
    <w:panose1 w:val="00000000000000000000"/>
    <w:charset w:val="00"/>
    <w:family w:val="roman"/>
    <w:pitch w:val="default"/>
    <w:sig w:usb0="00000000" w:usb1="00000000" w:usb2="00000000" w:usb3="00000000" w:csb0="00040001" w:csb1="00000000"/>
  </w:font>
  <w:font w:name="楷体_GB2312">
    <w:altName w:val="楷体"/>
    <w:panose1 w:val="02010609030101010101"/>
    <w:charset w:val="86"/>
    <w:family w:val="modern"/>
    <w:pitch w:val="default"/>
    <w:sig w:usb0="00000000" w:usb1="00000000" w:usb2="00000000" w:usb3="00000000" w:csb0="00040000" w:csb1="00000000"/>
  </w:font>
  <w:font w:name="Courier">
    <w:altName w:val="Courier New"/>
    <w:panose1 w:val="02070409020205020404"/>
    <w:charset w:val="00"/>
    <w:family w:val="modern"/>
    <w:pitch w:val="default"/>
    <w:sig w:usb0="00000000" w:usb1="00000000" w:usb2="00000000" w:usb3="00000000" w:csb0="00000001" w:csb1="00000000"/>
  </w:font>
  <w:font w:name="PMingLiU">
    <w:altName w:val="PMingLiU-ExtB"/>
    <w:panose1 w:val="02020500000000000000"/>
    <w:charset w:val="88"/>
    <w:family w:val="roman"/>
    <w:pitch w:val="default"/>
    <w:sig w:usb0="00000000" w:usb1="00000000" w:usb2="00000016" w:usb3="00000000" w:csb0="00100001" w:csb1="00000000"/>
  </w:font>
  <w:font w:name="宋?">
    <w:altName w:val="宋体"/>
    <w:panose1 w:val="00000000000000000000"/>
    <w:charset w:val="81"/>
    <w:family w:val="auto"/>
    <w:pitch w:val="default"/>
    <w:sig w:usb0="00000000" w:usb1="00000000" w:usb2="00000010" w:usb3="00000000" w:csb0="00080000" w:csb1="00000000"/>
  </w:font>
  <w:font w:name="MingLiU">
    <w:altName w:val="PMingLiU-ExtB"/>
    <w:panose1 w:val="02020509000000000000"/>
    <w:charset w:val="88"/>
    <w:family w:val="modern"/>
    <w:pitch w:val="default"/>
    <w:sig w:usb0="00000000" w:usb1="00000000" w:usb2="00000016" w:usb3="00000000" w:csb0="00100001" w:csb1="00000000"/>
  </w:font>
  <w:font w:name="华文中宋">
    <w:altName w:val="宋体"/>
    <w:panose1 w:val="02010600040101010101"/>
    <w:charset w:val="86"/>
    <w:family w:val="auto"/>
    <w:pitch w:val="default"/>
    <w:sig w:usb0="00000000" w:usb1="00000000" w:usb2="00000010" w:usb3="00000000" w:csb0="0004009F" w:csb1="00000000"/>
  </w:font>
  <w:font w:name="仿宋">
    <w:panose1 w:val="02010609060101010101"/>
    <w:charset w:val="86"/>
    <w:family w:val="auto"/>
    <w:pitch w:val="default"/>
    <w:sig w:usb0="800002BF" w:usb1="38CF7CFA" w:usb2="00000016" w:usb3="00000000" w:csb0="00040001" w:csb1="00000000"/>
  </w:font>
  <w:font w:name="ˎ̥">
    <w:altName w:val="Times New Roman"/>
    <w:panose1 w:val="00000000000000000000"/>
    <w:charset w:val="00"/>
    <w:family w:val="roman"/>
    <w:pitch w:val="default"/>
    <w:sig w:usb0="00000000" w:usb1="00000000" w:usb2="00000000" w:usb3="00000000" w:csb0="00040001" w:csb1="00000000"/>
  </w:font>
  <w:font w:name="华文仿宋">
    <w:altName w:val="仿宋"/>
    <w:panose1 w:val="02010600040101010101"/>
    <w:charset w:val="86"/>
    <w:family w:val="auto"/>
    <w:pitch w:val="default"/>
    <w:sig w:usb0="00000000" w:usb1="00000000" w:usb2="00000010" w:usb3="00000000" w:csb0="0004009F" w:csb1="00000000"/>
  </w:font>
  <w:font w:name="Segoe UI Symbol">
    <w:panose1 w:val="020B0502040204020203"/>
    <w:charset w:val="00"/>
    <w:family w:val="swiss"/>
    <w:pitch w:val="default"/>
    <w:sig w:usb0="800001E3" w:usb1="1200FFEF" w:usb2="00040000" w:usb3="04000000" w:csb0="00000001" w:csb1="40000000"/>
  </w:font>
  <w:font w:name="Wingdings 2">
    <w:altName w:val="Wingdings"/>
    <w:panose1 w:val="05020102010507070707"/>
    <w:charset w:val="00"/>
    <w:family w:val="auto"/>
    <w:pitch w:val="default"/>
    <w:sig w:usb0="00000000" w:usb1="00000000" w:usb2="00000000" w:usb3="00000000" w:csb0="80000000" w:csb1="00000000"/>
  </w:font>
  <w:font w:name="Cambria Math">
    <w:panose1 w:val="02040503050406030204"/>
    <w:charset w:val="00"/>
    <w:family w:val="roman"/>
    <w:pitch w:val="default"/>
    <w:sig w:usb0="E00006FF" w:usb1="420024FF" w:usb2="02000000" w:usb3="00000000" w:csb0="2000019F" w:csb1="00000000"/>
  </w:font>
  <w:font w:name="方正小标宋_GBK">
    <w:altName w:val="微软雅黑"/>
    <w:panose1 w:val="02000000000000000000"/>
    <w:charset w:val="86"/>
    <w:family w:val="roman"/>
    <w:pitch w:val="default"/>
    <w:sig w:usb0="00000000" w:usb1="00000000" w:usb2="00082016" w:usb3="00000000" w:csb0="00040001" w:csb1="00000000"/>
  </w:font>
  <w:font w:name="Helvetica">
    <w:altName w:val="Arial"/>
    <w:panose1 w:val="020B0604020202020204"/>
    <w:charset w:val="00"/>
    <w:family w:val="swiss"/>
    <w:pitch w:val="default"/>
    <w:sig w:usb0="00000000" w:usb1="00000000" w:usb2="00000009" w:usb3="00000000" w:csb0="000001FF" w:csb1="00000000"/>
  </w:font>
  <w:font w:name="微软雅黑">
    <w:panose1 w:val="020B0503020204020204"/>
    <w:charset w:val="86"/>
    <w:family w:val="auto"/>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font>
  <w:font w:name="PMingLiU-ExtB">
    <w:panose1 w:val="02020500000000000000"/>
    <w:charset w:val="88"/>
    <w:family w:val="auto"/>
    <w:pitch w:val="default"/>
    <w:sig w:usb0="8000002F" w:usb1="02000008" w:usb2="00000000"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ind w:right="360" w:firstLine="360"/>
      <w:jc w:val="cen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framePr w:wrap="around" w:vAnchor="text" w:hAnchor="margin" w:xAlign="center" w:y="1"/>
      <w:ind w:firstLine="360"/>
      <w:rPr>
        <w:rStyle w:val="42"/>
      </w:rPr>
    </w:pPr>
    <w:r>
      <w:fldChar w:fldCharType="begin"/>
    </w:r>
    <w:r>
      <w:rPr>
        <w:rStyle w:val="42"/>
      </w:rPr>
      <w:instrText xml:space="preserve">PAGE  </w:instrText>
    </w:r>
    <w:r>
      <w:fldChar w:fldCharType="end"/>
    </w:r>
  </w:p>
  <w:p>
    <w:pPr>
      <w:pStyle w:val="23"/>
      <w:ind w:right="360" w:firstLine="360"/>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ind w:firstLine="360"/>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ind w:right="360" w:firstLine="360"/>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ind w:right="360" w:firstLine="360"/>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23"/>
                          </w:pPr>
                          <w:r>
                            <w:fldChar w:fldCharType="begin"/>
                          </w:r>
                          <w:r>
                            <w:instrText xml:space="preserve"> PAGE  \* MERGEFORMAT </w:instrText>
                          </w:r>
                          <w:r>
                            <w:fldChar w:fldCharType="separate"/>
                          </w:r>
                          <w:r>
                            <w:t>1</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CdLckgyQEAAJsDAAAOAAAAAAAAAAEAIAAAAB4BAABkcnMvZTJvRG9j&#10;LnhtbFBLBQYAAAAABgAGAFkBAABZBQAAAAA=&#10;">
              <v:fill on="f" focussize="0,0"/>
              <v:stroke on="f"/>
              <v:imagedata o:title=""/>
              <o:lock v:ext="edit" aspectratio="f"/>
              <v:textbox inset="0mm,0mm,0mm,0mm" style="mso-fit-shape-to-text:t;">
                <w:txbxContent>
                  <w:p>
                    <w:pPr>
                      <w:pStyle w:val="2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framePr w:wrap="around" w:vAnchor="text" w:hAnchor="margin" w:xAlign="outside" w:y="1"/>
      <w:ind w:firstLine="560"/>
      <w:rPr>
        <w:rStyle w:val="42"/>
        <w:rFonts w:ascii="宋体" w:hAnsi="宋体"/>
        <w:sz w:val="28"/>
        <w:szCs w:val="28"/>
      </w:rPr>
    </w:pPr>
  </w:p>
  <w:p>
    <w:pPr>
      <w:pStyle w:val="23"/>
      <w:ind w:right="360" w:firstLine="360"/>
      <w:jc w:val="cente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framePr w:wrap="around" w:vAnchor="text" w:hAnchor="margin" w:xAlign="center" w:y="1"/>
      <w:ind w:firstLine="360"/>
      <w:rPr>
        <w:rStyle w:val="42"/>
      </w:rPr>
    </w:pPr>
    <w:r>
      <w:fldChar w:fldCharType="begin"/>
    </w:r>
    <w:r>
      <w:rPr>
        <w:rStyle w:val="42"/>
      </w:rPr>
      <w:instrText xml:space="preserve">PAGE  </w:instrText>
    </w:r>
    <w:r>
      <w:fldChar w:fldCharType="end"/>
    </w:r>
  </w:p>
  <w:p>
    <w:pPr>
      <w:pStyle w:val="23"/>
      <w:ind w:right="360" w:firstLine="360"/>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ind w:firstLine="360"/>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rPr>
        <w:rFonts w:hint="eastAsia" w:eastAsia="宋体"/>
        <w:lang w:val="en-US" w:eastAsia="zh-CN"/>
      </w:rPr>
    </w:pPr>
    <w:r>
      <w:rPr>
        <w:sz w:val="18"/>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23"/>
                          </w:pPr>
                          <w:r>
                            <w:fldChar w:fldCharType="begin"/>
                          </w:r>
                          <w:r>
                            <w:instrText xml:space="preserve"> PAGE  \* MERGEFORMAT </w:instrText>
                          </w:r>
                          <w:r>
                            <w:fldChar w:fldCharType="separate"/>
                          </w:r>
                          <w:r>
                            <w:t>1</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DOqXm5zwAAAAUBAAAPAAAAAAAAAAEAIAAAACIAAABkcnMvZG93bnJldi54&#10;bWxQSwECFAAUAAAACACHTuJAjOwyWMoBAACbAwAADgAAAAAAAAABACAAAAAeAQAAZHJzL2Uyb0Rv&#10;Yy54bWxQSwUGAAAAAAYABgBZAQAAWgUAAAAA&#10;">
              <v:fill on="f" focussize="0,0"/>
              <v:stroke on="f"/>
              <v:imagedata o:title=""/>
              <o:lock v:ext="edit" aspectratio="f"/>
              <v:textbox inset="0mm,0mm,0mm,0mm" style="mso-fit-shape-to-text:t;">
                <w:txbxContent>
                  <w:p>
                    <w:pPr>
                      <w:pStyle w:val="2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framePr w:wrap="around" w:vAnchor="text" w:hAnchor="margin" w:xAlign="outside" w:y="1"/>
      <w:rPr>
        <w:rStyle w:val="42"/>
        <w:rFonts w:ascii="宋体" w:hAnsi="宋体"/>
        <w:sz w:val="28"/>
        <w:szCs w:val="28"/>
      </w:rPr>
    </w:pPr>
    <w:r>
      <w:rPr>
        <w:rStyle w:val="42"/>
        <w:rFonts w:hint="eastAsia" w:ascii="宋体" w:hAnsi="宋体"/>
        <w:sz w:val="28"/>
        <w:szCs w:val="28"/>
      </w:rPr>
      <w:t>—</w:t>
    </w:r>
    <w:r>
      <w:rPr>
        <w:rStyle w:val="42"/>
        <w:rFonts w:hint="eastAsia" w:ascii="宋体" w:hAnsi="宋体"/>
        <w:sz w:val="20"/>
      </w:rPr>
      <w:t xml:space="preserve">  </w:t>
    </w:r>
    <w:r>
      <w:rPr>
        <w:rStyle w:val="42"/>
        <w:rFonts w:ascii="宋体" w:hAnsi="宋体"/>
        <w:sz w:val="26"/>
        <w:szCs w:val="26"/>
      </w:rPr>
      <w:fldChar w:fldCharType="begin"/>
    </w:r>
    <w:r>
      <w:rPr>
        <w:rStyle w:val="42"/>
        <w:rFonts w:ascii="宋体" w:hAnsi="宋体"/>
        <w:sz w:val="26"/>
        <w:szCs w:val="26"/>
      </w:rPr>
      <w:instrText xml:space="preserve">PAGE  </w:instrText>
    </w:r>
    <w:r>
      <w:rPr>
        <w:rStyle w:val="42"/>
        <w:rFonts w:ascii="宋体" w:hAnsi="宋体"/>
        <w:sz w:val="26"/>
        <w:szCs w:val="26"/>
      </w:rPr>
      <w:fldChar w:fldCharType="separate"/>
    </w:r>
    <w:r>
      <w:rPr>
        <w:rStyle w:val="42"/>
        <w:rFonts w:ascii="宋体" w:hAnsi="宋体"/>
        <w:sz w:val="26"/>
        <w:szCs w:val="26"/>
      </w:rPr>
      <w:t>67</w:t>
    </w:r>
    <w:r>
      <w:rPr>
        <w:rStyle w:val="42"/>
        <w:rFonts w:ascii="宋体" w:hAnsi="宋体"/>
        <w:sz w:val="26"/>
        <w:szCs w:val="26"/>
      </w:rPr>
      <w:fldChar w:fldCharType="end"/>
    </w:r>
    <w:r>
      <w:rPr>
        <w:rStyle w:val="42"/>
        <w:rFonts w:hint="eastAsia" w:ascii="宋体" w:hAnsi="宋体"/>
        <w:sz w:val="20"/>
      </w:rPr>
      <w:t xml:space="preserve">  </w:t>
    </w:r>
    <w:r>
      <w:rPr>
        <w:rStyle w:val="42"/>
        <w:rFonts w:hint="eastAsia" w:ascii="宋体" w:hAnsi="宋体"/>
        <w:sz w:val="28"/>
        <w:szCs w:val="28"/>
      </w:rPr>
      <w:t>—</w:t>
    </w:r>
  </w:p>
  <w:p>
    <w:pPr>
      <w:pStyle w:val="23"/>
      <w:ind w:right="360" w:firstLine="36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framePr w:wrap="around" w:vAnchor="text" w:hAnchor="margin" w:xAlign="center" w:y="1"/>
      <w:rPr>
        <w:rStyle w:val="42"/>
      </w:rPr>
    </w:pPr>
    <w:r>
      <w:fldChar w:fldCharType="begin"/>
    </w:r>
    <w:r>
      <w:rPr>
        <w:rStyle w:val="42"/>
      </w:rPr>
      <w:instrText xml:space="preserve">PAGE  </w:instrText>
    </w:r>
    <w:r>
      <w:fldChar w:fldCharType="separate"/>
    </w:r>
    <w:r>
      <w:rPr>
        <w:rStyle w:val="42"/>
      </w:rPr>
      <w:t>3</w:t>
    </w:r>
    <w:r>
      <w:fldChar w:fldCharType="end"/>
    </w:r>
  </w:p>
  <w:p>
    <w:pPr>
      <w:pStyle w:val="23"/>
      <w:ind w:right="360"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538710349"/>
      <w:docPartObj>
        <w:docPartGallery w:val="autotext"/>
      </w:docPartObj>
    </w:sdtPr>
    <w:sdtContent>
      <w:p>
        <w:pPr>
          <w:pStyle w:val="23"/>
          <w:jc w:val="center"/>
        </w:pPr>
        <w:r>
          <w:fldChar w:fldCharType="begin"/>
        </w:r>
        <w:r>
          <w:instrText xml:space="preserve">PAGE   \* MERGEFORMAT</w:instrText>
        </w:r>
        <w:r>
          <w:fldChar w:fldCharType="separate"/>
        </w:r>
        <w:r>
          <w:rPr>
            <w:lang w:val="zh-CN"/>
          </w:rPr>
          <w:t>74</w:t>
        </w:r>
        <w: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ind w:right="360" w:firstLine="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framePr w:wrap="around" w:vAnchor="text" w:hAnchor="margin" w:xAlign="center" w:y="1"/>
      <w:ind w:firstLine="360"/>
      <w:rPr>
        <w:rStyle w:val="42"/>
      </w:rPr>
    </w:pPr>
    <w:r>
      <w:fldChar w:fldCharType="begin"/>
    </w:r>
    <w:r>
      <w:rPr>
        <w:rStyle w:val="42"/>
      </w:rPr>
      <w:instrText xml:space="preserve">PAGE  </w:instrText>
    </w:r>
    <w:r>
      <w:fldChar w:fldCharType="end"/>
    </w:r>
  </w:p>
  <w:p>
    <w:pPr>
      <w:pStyle w:val="23"/>
      <w:ind w:right="360" w:firstLine="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ind w:firstLine="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ind w:right="360" w:firstLine="360"/>
    </w:pP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23"/>
                            <w:ind w:firstLine="360"/>
                          </w:pPr>
                          <w:r>
                            <w:fldChar w:fldCharType="begin"/>
                          </w:r>
                          <w:r>
                            <w:instrText xml:space="preserve"> PAGE  \* MERGEFORMAT </w:instrText>
                          </w:r>
                          <w:r>
                            <w:fldChar w:fldCharType="separate"/>
                          </w:r>
                          <w:r>
                            <w:t>36</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CMOBTKyQEAAJsDAAAOAAAAAAAAAAEAIAAAAB4BAABkcnMvZTJvRG9j&#10;LnhtbFBLBQYAAAAABgAGAFkBAABZBQAAAAA=&#10;">
              <v:fill on="f" focussize="0,0"/>
              <v:stroke on="f"/>
              <v:imagedata o:title=""/>
              <o:lock v:ext="edit" aspectratio="f"/>
              <v:textbox inset="0mm,0mm,0mm,0mm" style="mso-fit-shape-to-text:t;">
                <w:txbxContent>
                  <w:p>
                    <w:pPr>
                      <w:pStyle w:val="23"/>
                      <w:ind w:firstLine="360"/>
                    </w:pPr>
                    <w:r>
                      <w:fldChar w:fldCharType="begin"/>
                    </w:r>
                    <w:r>
                      <w:instrText xml:space="preserve"> PAGE  \* MERGEFORMAT </w:instrText>
                    </w:r>
                    <w:r>
                      <w:fldChar w:fldCharType="separate"/>
                    </w:r>
                    <w:r>
                      <w:t>36</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ind w:right="360" w:firstLine="360"/>
    </w:pPr>
    <w: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23"/>
                            <w:ind w:firstLine="360"/>
                          </w:pPr>
                          <w:r>
                            <w:fldChar w:fldCharType="begin"/>
                          </w:r>
                          <w:r>
                            <w:instrText xml:space="preserve"> PAGE  \* MERGEFORMAT </w:instrText>
                          </w:r>
                          <w:r>
                            <w:fldChar w:fldCharType="separate"/>
                          </w:r>
                          <w:r>
                            <w:t>51</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AG2SbqyQEAAJsDAAAOAAAAAAAAAAEAIAAAAB4BAABkcnMvZTJvRG9j&#10;LnhtbFBLBQYAAAAABgAGAFkBAABZBQAAAAA=&#10;">
              <v:fill on="f" focussize="0,0"/>
              <v:stroke on="f"/>
              <v:imagedata o:title=""/>
              <o:lock v:ext="edit" aspectratio="f"/>
              <v:textbox inset="0mm,0mm,0mm,0mm" style="mso-fit-shape-to-text:t;">
                <w:txbxContent>
                  <w:p>
                    <w:pPr>
                      <w:pStyle w:val="23"/>
                      <w:ind w:firstLine="360"/>
                    </w:pPr>
                    <w:r>
                      <w:fldChar w:fldCharType="begin"/>
                    </w:r>
                    <w:r>
                      <w:instrText xml:space="preserve"> PAGE  \* MERGEFORMAT </w:instrText>
                    </w:r>
                    <w:r>
                      <w:fldChar w:fldCharType="separate"/>
                    </w:r>
                    <w:r>
                      <w:t>51</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ind w:right="360" w:firstLine="360"/>
      <w:jc w:val="cente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tabs>
        <w:tab w:val="center" w:pos="4153"/>
        <w:tab w:val="right" w:pos="8306"/>
      </w:tabs>
      <w:ind w:firstLine="0" w:firstLineChars="0"/>
      <w:jc w:val="left"/>
      <w:rPr>
        <w:sz w:val="24"/>
        <w:szCs w:val="28"/>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ind w:firstLine="360"/>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bottom w:val="none" w:color="auto" w:sz="0" w:space="1"/>
      </w:pBdr>
      <w:ind w:firstLine="0" w:firstLineChars="0"/>
      <w:jc w:val="both"/>
      <w:rPr>
        <w:sz w:val="24"/>
        <w:szCs w:val="24"/>
        <w:u w:val="single"/>
      </w:rPr>
    </w:pPr>
    <w:r>
      <w:rPr>
        <w:rFonts w:hint="eastAsia"/>
        <w:sz w:val="24"/>
        <w:szCs w:val="24"/>
        <w:u w:val="single"/>
      </w:rPr>
      <w:t xml:space="preserve">宠爱宠物医院项目                                        </w:t>
    </w:r>
    <w:r>
      <w:rPr>
        <w:sz w:val="24"/>
        <w:szCs w:val="24"/>
        <w:u w:val="single"/>
      </w:rPr>
      <w:t xml:space="preserve">   </w:t>
    </w:r>
    <w:r>
      <w:rPr>
        <w:rFonts w:hint="eastAsia"/>
        <w:sz w:val="24"/>
        <w:szCs w:val="24"/>
        <w:u w:val="single"/>
      </w:rPr>
      <w:t xml:space="preserve">环境影响报告表  </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bottom w:val="none" w:color="auto" w:sz="0" w:space="1"/>
      </w:pBdr>
      <w:ind w:firstLine="0" w:firstLineChars="0"/>
      <w:jc w:val="both"/>
      <w:rPr>
        <w:sz w:val="24"/>
        <w:szCs w:val="24"/>
      </w:rPr>
    </w:pPr>
    <w:r>
      <w:rPr>
        <w:rFonts w:hint="eastAsia"/>
        <w:sz w:val="24"/>
        <w:szCs w:val="24"/>
      </w:rPr>
      <w:t>宠爱宠物医院项目                                                                       环境影响报告表</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bottom w:val="none" w:color="auto" w:sz="0" w:space="1"/>
      </w:pBdr>
      <w:ind w:firstLine="0" w:firstLineChars="0"/>
      <w:jc w:val="both"/>
      <w:rPr>
        <w:sz w:val="24"/>
        <w:szCs w:val="24"/>
      </w:rPr>
    </w:pPr>
    <w:r>
      <w:rPr>
        <w:rFonts w:hint="eastAsia"/>
        <w:sz w:val="24"/>
        <w:szCs w:val="24"/>
      </w:rPr>
      <w:t xml:space="preserve">宠爱宠物医院项目                                           环境影响报告表              </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bottom w:val="none" w:color="auto" w:sz="0" w:space="1"/>
      </w:pBdr>
      <w:ind w:firstLine="0" w:firstLineChars="0"/>
      <w:jc w:val="both"/>
      <w:rPr>
        <w:sz w:val="24"/>
        <w:szCs w:val="24"/>
        <w:u w:val="single"/>
      </w:rPr>
    </w:pPr>
    <w:r>
      <w:rPr>
        <w:rFonts w:hint="eastAsia"/>
        <w:sz w:val="24"/>
        <w:szCs w:val="24"/>
        <w:u w:val="single"/>
      </w:rPr>
      <w:t xml:space="preserve">宠爱宠物医院项目                                       </w:t>
    </w:r>
    <w:r>
      <w:rPr>
        <w:sz w:val="24"/>
        <w:szCs w:val="24"/>
        <w:u w:val="single"/>
      </w:rPr>
      <w:t xml:space="preserve">   </w:t>
    </w:r>
    <w:r>
      <w:rPr>
        <w:rFonts w:hint="eastAsia"/>
        <w:sz w:val="24"/>
        <w:szCs w:val="24"/>
        <w:u w:val="single"/>
      </w:rPr>
      <w:t xml:space="preserve"> 环境影响报告表    </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bottom w:val="none" w:color="auto" w:sz="0" w:space="1"/>
      </w:pBd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ind w:firstLine="360"/>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ind w:firstLine="360"/>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ind w:firstLine="0" w:firstLineChars="0"/>
      <w:jc w:val="left"/>
      <w:rPr>
        <w:sz w:val="24"/>
        <w:szCs w:val="24"/>
      </w:rPr>
    </w:pPr>
    <w:r>
      <w:rPr>
        <w:rFonts w:hint="eastAsia"/>
        <w:sz w:val="24"/>
        <w:szCs w:val="24"/>
        <w:lang w:eastAsia="zh-CN"/>
      </w:rPr>
      <w:t>乐山市市中区派美动物医院</w:t>
    </w:r>
    <w:r>
      <w:rPr>
        <w:rFonts w:hint="eastAsia"/>
        <w:sz w:val="24"/>
        <w:szCs w:val="24"/>
      </w:rPr>
      <w:t xml:space="preserve">                                   环境影响报告表                                                              </w: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ind w:firstLine="0" w:firstLineChars="0"/>
      <w:jc w:val="left"/>
      <w:rPr>
        <w:sz w:val="24"/>
        <w:szCs w:val="24"/>
      </w:rPr>
    </w:pPr>
    <w:r>
      <w:rPr>
        <w:rFonts w:hint="eastAsia"/>
        <w:sz w:val="24"/>
        <w:szCs w:val="24"/>
        <w:lang w:eastAsia="zh-CN"/>
      </w:rPr>
      <w:t>乐山市市中区派美动物医院</w:t>
    </w:r>
    <w:r>
      <w:rPr>
        <w:rFonts w:hint="eastAsia"/>
        <w:sz w:val="24"/>
        <w:szCs w:val="24"/>
      </w:rPr>
      <w:t xml:space="preserve">                            </w:t>
    </w:r>
    <w:r>
      <w:rPr>
        <w:rFonts w:hint="eastAsia"/>
        <w:sz w:val="24"/>
        <w:szCs w:val="24"/>
        <w:lang w:val="en-US" w:eastAsia="zh-CN"/>
      </w:rPr>
      <w:t xml:space="preserve">   </w:t>
    </w:r>
    <w:r>
      <w:rPr>
        <w:rFonts w:hint="eastAsia"/>
        <w:sz w:val="24"/>
        <w:szCs w:val="24"/>
      </w:rPr>
      <w:t xml:space="preserve"> 环境影响报告表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ind w:firstLine="420"/>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thinThickSmallGap" w:color="auto" w:sz="12" w:space="1"/>
      </w:pBdr>
      <w:tabs>
        <w:tab w:val="center" w:pos="4153"/>
        <w:tab w:val="right" w:pos="8306"/>
      </w:tabs>
      <w:ind w:firstLine="0" w:firstLineChars="0"/>
      <w:jc w:val="left"/>
      <w:rPr>
        <w:szCs w:val="28"/>
      </w:rPr>
    </w:pPr>
    <w:r>
      <w:rPr>
        <w:rFonts w:hint="eastAsia"/>
        <w:sz w:val="24"/>
        <w:szCs w:val="24"/>
        <w:lang w:eastAsia="zh-CN"/>
      </w:rPr>
      <w:t>乐山市市中区派美动物医院</w:t>
    </w:r>
    <w:r>
      <w:rPr>
        <w:rFonts w:hint="eastAsia"/>
        <w:szCs w:val="28"/>
      </w:rPr>
      <w:t xml:space="preserve">                                                                       环境影响报告表</w: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thinThickSmallGap" w:color="auto" w:sz="12" w:space="1"/>
      </w:pBdr>
      <w:tabs>
        <w:tab w:val="center" w:pos="4153"/>
        <w:tab w:val="right" w:pos="8306"/>
      </w:tabs>
      <w:ind w:firstLine="0" w:firstLineChars="0"/>
      <w:jc w:val="left"/>
      <w:rPr>
        <w:szCs w:val="28"/>
      </w:rPr>
    </w:pPr>
    <w:r>
      <w:rPr>
        <w:rFonts w:hint="eastAsia"/>
        <w:sz w:val="24"/>
        <w:szCs w:val="24"/>
        <w:lang w:eastAsia="zh-CN"/>
      </w:rPr>
      <w:t>乐山市市中区派美动物医院</w:t>
    </w:r>
    <w:r>
      <w:rPr>
        <w:rFonts w:hint="eastAsia"/>
        <w:szCs w:val="28"/>
      </w:rPr>
      <w:t xml:space="preserve">                       </w:t>
    </w:r>
    <w:r>
      <w:rPr>
        <w:rFonts w:hint="eastAsia"/>
        <w:szCs w:val="28"/>
        <w:lang w:val="en-US" w:eastAsia="zh-CN"/>
      </w:rPr>
      <w:t xml:space="preserve">      </w:t>
    </w:r>
    <w:r>
      <w:rPr>
        <w:rFonts w:hint="eastAsia"/>
        <w:szCs w:val="28"/>
      </w:rPr>
      <w:t xml:space="preserve">   环境影响报告表                              </w: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ind w:firstLine="0" w:firstLineChars="0"/>
      <w:jc w:val="left"/>
      <w:rPr>
        <w:sz w:val="24"/>
        <w:szCs w:val="24"/>
      </w:rPr>
    </w:pPr>
    <w:r>
      <w:rPr>
        <w:rFonts w:hint="eastAsia"/>
        <w:sz w:val="24"/>
        <w:szCs w:val="24"/>
        <w:lang w:eastAsia="zh-CN"/>
      </w:rPr>
      <w:t>乐山市市中区派美动物医院</w:t>
    </w:r>
    <w:r>
      <w:rPr>
        <w:rFonts w:hint="eastAsia"/>
        <w:sz w:val="24"/>
        <w:szCs w:val="24"/>
      </w:rPr>
      <w:t xml:space="preserve">                                  环境影响报告表                                </w: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ind w:firstLine="42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thinThickSmallGap" w:color="auto" w:sz="12" w:space="1"/>
      </w:pBdr>
      <w:tabs>
        <w:tab w:val="center" w:pos="4153"/>
        <w:tab w:val="right" w:pos="8306"/>
      </w:tabs>
      <w:ind w:firstLine="0" w:firstLineChars="0"/>
      <w:jc w:val="left"/>
      <w:rPr>
        <w:sz w:val="24"/>
        <w:szCs w:val="28"/>
      </w:rPr>
    </w:pPr>
    <w:r>
      <w:rPr>
        <w:rFonts w:hint="eastAsia"/>
        <w:sz w:val="24"/>
        <w:szCs w:val="28"/>
        <w:lang w:eastAsia="zh-CN"/>
      </w:rPr>
      <w:t>乐山市市中区嘉和宠物医院</w:t>
    </w:r>
    <w:r>
      <w:rPr>
        <w:rFonts w:hint="eastAsia"/>
        <w:sz w:val="24"/>
        <w:szCs w:val="28"/>
      </w:rPr>
      <w:t xml:space="preserve">    </w:t>
    </w:r>
    <w:r>
      <w:rPr>
        <w:rFonts w:hint="eastAsia"/>
        <w:sz w:val="24"/>
        <w:szCs w:val="28"/>
        <w:lang w:val="en-US" w:eastAsia="zh-CN"/>
      </w:rPr>
      <w:t xml:space="preserve"> </w:t>
    </w:r>
    <w:r>
      <w:rPr>
        <w:rFonts w:hint="eastAsia"/>
        <w:sz w:val="24"/>
        <w:szCs w:val="28"/>
      </w:rPr>
      <w:t xml:space="preserve">                              环境影响报告表</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thinThickSmallGap" w:color="auto" w:sz="12" w:space="1"/>
      </w:pBdr>
      <w:tabs>
        <w:tab w:val="center" w:pos="4153"/>
        <w:tab w:val="right" w:pos="8306"/>
      </w:tabs>
      <w:ind w:firstLine="0" w:firstLineChars="0"/>
      <w:jc w:val="left"/>
      <w:rPr>
        <w:sz w:val="24"/>
        <w:szCs w:val="28"/>
      </w:rPr>
    </w:pPr>
    <w:r>
      <w:rPr>
        <w:rFonts w:hint="eastAsia"/>
        <w:sz w:val="24"/>
        <w:szCs w:val="28"/>
        <w:lang w:eastAsia="zh-CN"/>
      </w:rPr>
      <w:t>乐山市市中区嘉和宠物医院</w:t>
    </w:r>
    <w:r>
      <w:rPr>
        <w:rFonts w:hint="eastAsia"/>
        <w:sz w:val="24"/>
        <w:szCs w:val="28"/>
      </w:rPr>
      <w:t xml:space="preserve">    </w:t>
    </w:r>
    <w:r>
      <w:rPr>
        <w:rFonts w:hint="eastAsia"/>
        <w:sz w:val="24"/>
        <w:szCs w:val="28"/>
        <w:lang w:val="en-US" w:eastAsia="zh-CN"/>
      </w:rPr>
      <w:t xml:space="preserve"> </w:t>
    </w:r>
    <w:r>
      <w:rPr>
        <w:rFonts w:hint="eastAsia"/>
        <w:sz w:val="24"/>
        <w:szCs w:val="28"/>
      </w:rPr>
      <w:t xml:space="preserve">                             </w:t>
    </w:r>
    <w:r>
      <w:rPr>
        <w:rFonts w:hint="eastAsia"/>
        <w:sz w:val="24"/>
        <w:szCs w:val="28"/>
        <w:lang w:val="en-US" w:eastAsia="zh-CN"/>
      </w:rPr>
      <w:t xml:space="preserve">                                      </w:t>
    </w:r>
    <w:r>
      <w:rPr>
        <w:rFonts w:hint="eastAsia"/>
        <w:sz w:val="24"/>
        <w:szCs w:val="28"/>
      </w:rPr>
      <w:t xml:space="preserve"> 环境影响报告表</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thinThickSmallGap" w:color="auto" w:sz="12" w:space="1"/>
      </w:pBdr>
      <w:tabs>
        <w:tab w:val="center" w:pos="4153"/>
        <w:tab w:val="right" w:pos="8306"/>
      </w:tabs>
      <w:ind w:firstLine="0" w:firstLineChars="0"/>
      <w:jc w:val="left"/>
      <w:rPr>
        <w:sz w:val="24"/>
        <w:szCs w:val="28"/>
      </w:rPr>
    </w:pPr>
    <w:r>
      <w:rPr>
        <w:rFonts w:hint="eastAsia"/>
        <w:sz w:val="24"/>
        <w:szCs w:val="28"/>
        <w:lang w:eastAsia="zh-CN"/>
      </w:rPr>
      <w:t>乐山市市中区嘉和宠物医院</w:t>
    </w:r>
    <w:r>
      <w:rPr>
        <w:rFonts w:hint="eastAsia"/>
        <w:sz w:val="24"/>
        <w:szCs w:val="28"/>
      </w:rPr>
      <w:t xml:space="preserve">                        </w:t>
    </w:r>
    <w:r>
      <w:rPr>
        <w:rFonts w:hint="eastAsia"/>
        <w:sz w:val="24"/>
        <w:szCs w:val="28"/>
        <w:lang w:val="en-US" w:eastAsia="zh-CN"/>
      </w:rPr>
      <w:t xml:space="preserve">  </w:t>
    </w:r>
    <w:r>
      <w:rPr>
        <w:rFonts w:hint="eastAsia"/>
        <w:sz w:val="24"/>
        <w:szCs w:val="28"/>
      </w:rPr>
      <w:t xml:space="preserve">         环境影响报告表</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thinThickSmallGap" w:color="auto" w:sz="12" w:space="1"/>
      </w:pBdr>
      <w:tabs>
        <w:tab w:val="center" w:pos="4153"/>
        <w:tab w:val="right" w:pos="8306"/>
      </w:tabs>
      <w:ind w:firstLine="0" w:firstLineChars="0"/>
      <w:jc w:val="left"/>
      <w:rPr>
        <w:sz w:val="24"/>
        <w:szCs w:val="28"/>
      </w:rPr>
    </w:pPr>
    <w:r>
      <w:rPr>
        <w:rFonts w:hint="eastAsia"/>
        <w:sz w:val="24"/>
        <w:szCs w:val="28"/>
        <w:lang w:eastAsia="zh-CN"/>
      </w:rPr>
      <w:t>乐山市市中区嘉和宠物医院</w:t>
    </w:r>
    <w:r>
      <w:rPr>
        <w:rFonts w:hint="eastAsia"/>
        <w:sz w:val="24"/>
        <w:szCs w:val="28"/>
      </w:rPr>
      <w:t xml:space="preserve">   </w:t>
    </w:r>
    <w:r>
      <w:rPr>
        <w:rFonts w:hint="eastAsia"/>
        <w:sz w:val="24"/>
        <w:szCs w:val="28"/>
        <w:lang w:val="en-US" w:eastAsia="zh-CN"/>
      </w:rPr>
      <w:t xml:space="preserve">   </w:t>
    </w:r>
    <w:r>
      <w:rPr>
        <w:rFonts w:hint="eastAsia"/>
        <w:sz w:val="24"/>
        <w:szCs w:val="28"/>
      </w:rPr>
      <w:t xml:space="preserve">                             环境影响报告表                                                                             </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bottom w:val="none" w:color="auto" w:sz="0" w:space="1"/>
      </w:pBd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31C19EE"/>
    <w:multiLevelType w:val="singleLevel"/>
    <w:tmpl w:val="831C19EE"/>
    <w:lvl w:ilvl="0" w:tentative="0">
      <w:start w:val="1"/>
      <w:numFmt w:val="chineseCounting"/>
      <w:suff w:val="nothing"/>
      <w:lvlText w:val="%1、"/>
      <w:lvlJc w:val="left"/>
      <w:rPr>
        <w:rFonts w:hint="eastAsia"/>
      </w:rPr>
    </w:lvl>
  </w:abstractNum>
  <w:abstractNum w:abstractNumId="1">
    <w:nsid w:val="ABA549F5"/>
    <w:multiLevelType w:val="singleLevel"/>
    <w:tmpl w:val="ABA549F5"/>
    <w:lvl w:ilvl="0" w:tentative="0">
      <w:start w:val="1"/>
      <w:numFmt w:val="decimal"/>
      <w:suff w:val="nothing"/>
      <w:lvlText w:val="%1、"/>
      <w:lvlJc w:val="left"/>
    </w:lvl>
  </w:abstractNum>
  <w:abstractNum w:abstractNumId="2">
    <w:nsid w:val="AC7E2A70"/>
    <w:multiLevelType w:val="singleLevel"/>
    <w:tmpl w:val="AC7E2A70"/>
    <w:lvl w:ilvl="0" w:tentative="0">
      <w:start w:val="1"/>
      <w:numFmt w:val="chineseCounting"/>
      <w:suff w:val="nothing"/>
      <w:lvlText w:val="%1、"/>
      <w:lvlJc w:val="left"/>
      <w:rPr>
        <w:rFonts w:hint="eastAsia"/>
      </w:rPr>
    </w:lvl>
  </w:abstractNum>
  <w:abstractNum w:abstractNumId="3">
    <w:nsid w:val="ADB698DE"/>
    <w:multiLevelType w:val="singleLevel"/>
    <w:tmpl w:val="ADB698DE"/>
    <w:lvl w:ilvl="0" w:tentative="0">
      <w:start w:val="1"/>
      <w:numFmt w:val="chineseCounting"/>
      <w:suff w:val="nothing"/>
      <w:lvlText w:val="%1、"/>
      <w:lvlJc w:val="left"/>
      <w:rPr>
        <w:rFonts w:hint="eastAsia"/>
      </w:rPr>
    </w:lvl>
  </w:abstractNum>
  <w:abstractNum w:abstractNumId="4">
    <w:nsid w:val="B9B387F6"/>
    <w:multiLevelType w:val="singleLevel"/>
    <w:tmpl w:val="B9B387F6"/>
    <w:lvl w:ilvl="0" w:tentative="0">
      <w:start w:val="3"/>
      <w:numFmt w:val="chineseCounting"/>
      <w:suff w:val="nothing"/>
      <w:lvlText w:val="%1、"/>
      <w:lvlJc w:val="left"/>
      <w:rPr>
        <w:rFonts w:hint="eastAsia"/>
      </w:rPr>
    </w:lvl>
  </w:abstractNum>
  <w:abstractNum w:abstractNumId="5">
    <w:nsid w:val="D772E627"/>
    <w:multiLevelType w:val="singleLevel"/>
    <w:tmpl w:val="D772E627"/>
    <w:lvl w:ilvl="0" w:tentative="0">
      <w:start w:val="1"/>
      <w:numFmt w:val="decimal"/>
      <w:suff w:val="nothing"/>
      <w:lvlText w:val="%1、"/>
      <w:lvlJc w:val="left"/>
    </w:lvl>
  </w:abstractNum>
  <w:abstractNum w:abstractNumId="6">
    <w:nsid w:val="E090AA8E"/>
    <w:multiLevelType w:val="singleLevel"/>
    <w:tmpl w:val="E090AA8E"/>
    <w:lvl w:ilvl="0" w:tentative="0">
      <w:start w:val="1"/>
      <w:numFmt w:val="decimal"/>
      <w:suff w:val="nothing"/>
      <w:lvlText w:val="%1、"/>
      <w:lvlJc w:val="left"/>
    </w:lvl>
  </w:abstractNum>
  <w:abstractNum w:abstractNumId="7">
    <w:nsid w:val="E5679CCF"/>
    <w:multiLevelType w:val="singleLevel"/>
    <w:tmpl w:val="E5679CCF"/>
    <w:lvl w:ilvl="0" w:tentative="0">
      <w:start w:val="2"/>
      <w:numFmt w:val="decimal"/>
      <w:suff w:val="nothing"/>
      <w:lvlText w:val="%1、"/>
      <w:lvlJc w:val="left"/>
    </w:lvl>
  </w:abstractNum>
  <w:abstractNum w:abstractNumId="8">
    <w:nsid w:val="EB9DC458"/>
    <w:multiLevelType w:val="singleLevel"/>
    <w:tmpl w:val="EB9DC458"/>
    <w:lvl w:ilvl="0" w:tentative="0">
      <w:start w:val="1"/>
      <w:numFmt w:val="decimal"/>
      <w:suff w:val="space"/>
      <w:lvlText w:val="（%1）"/>
      <w:lvlJc w:val="left"/>
    </w:lvl>
  </w:abstractNum>
  <w:abstractNum w:abstractNumId="9">
    <w:nsid w:val="EE5D5171"/>
    <w:multiLevelType w:val="singleLevel"/>
    <w:tmpl w:val="EE5D5171"/>
    <w:lvl w:ilvl="0" w:tentative="0">
      <w:start w:val="1"/>
      <w:numFmt w:val="decimal"/>
      <w:suff w:val="nothing"/>
      <w:lvlText w:val="（%1）"/>
      <w:lvlJc w:val="left"/>
    </w:lvl>
  </w:abstractNum>
  <w:abstractNum w:abstractNumId="10">
    <w:nsid w:val="F62052DB"/>
    <w:multiLevelType w:val="singleLevel"/>
    <w:tmpl w:val="F62052DB"/>
    <w:lvl w:ilvl="0" w:tentative="0">
      <w:start w:val="1"/>
      <w:numFmt w:val="decimal"/>
      <w:suff w:val="nothing"/>
      <w:lvlText w:val="%1、"/>
      <w:lvlJc w:val="left"/>
    </w:lvl>
  </w:abstractNum>
  <w:abstractNum w:abstractNumId="11">
    <w:nsid w:val="F7090ABA"/>
    <w:multiLevelType w:val="singleLevel"/>
    <w:tmpl w:val="F7090ABA"/>
    <w:lvl w:ilvl="0" w:tentative="0">
      <w:start w:val="1"/>
      <w:numFmt w:val="decimal"/>
      <w:suff w:val="nothing"/>
      <w:lvlText w:val="%1、"/>
      <w:lvlJc w:val="left"/>
    </w:lvl>
  </w:abstractNum>
  <w:abstractNum w:abstractNumId="12">
    <w:nsid w:val="0000000F"/>
    <w:multiLevelType w:val="multilevel"/>
    <w:tmpl w:val="0000000F"/>
    <w:lvl w:ilvl="0" w:tentative="0">
      <w:start w:val="1"/>
      <w:numFmt w:val="decimal"/>
      <w:lvlText w:val="%1"/>
      <w:lvlJc w:val="left"/>
      <w:pPr>
        <w:tabs>
          <w:tab w:val="left" w:pos="432"/>
        </w:tabs>
        <w:ind w:left="432" w:hanging="432"/>
      </w:pPr>
      <w:rPr>
        <w:rFonts w:hint="eastAsia"/>
      </w:rPr>
    </w:lvl>
    <w:lvl w:ilvl="1" w:tentative="0">
      <w:start w:val="1"/>
      <w:numFmt w:val="decimal"/>
      <w:lvlText w:val="%1.%2"/>
      <w:lvlJc w:val="left"/>
      <w:pPr>
        <w:tabs>
          <w:tab w:val="left" w:pos="576"/>
        </w:tabs>
        <w:ind w:left="576" w:hanging="576"/>
      </w:pPr>
      <w:rPr>
        <w:rFonts w:hint="eastAsia"/>
      </w:rPr>
    </w:lvl>
    <w:lvl w:ilvl="2" w:tentative="0">
      <w:start w:val="1"/>
      <w:numFmt w:val="decimal"/>
      <w:lvlText w:val="%1.%2.%3"/>
      <w:lvlJc w:val="left"/>
      <w:pPr>
        <w:tabs>
          <w:tab w:val="left" w:pos="720"/>
        </w:tabs>
        <w:ind w:left="720" w:hanging="720"/>
      </w:pPr>
      <w:rPr>
        <w:rFonts w:hint="eastAsia"/>
      </w:rPr>
    </w:lvl>
    <w:lvl w:ilvl="3" w:tentative="0">
      <w:start w:val="1"/>
      <w:numFmt w:val="decimal"/>
      <w:pStyle w:val="6"/>
      <w:lvlText w:val="%1.%2.%3.%4"/>
      <w:lvlJc w:val="left"/>
      <w:pPr>
        <w:tabs>
          <w:tab w:val="left" w:pos="864"/>
        </w:tabs>
        <w:ind w:left="864" w:hanging="864"/>
      </w:pPr>
      <w:rPr>
        <w:rFonts w:hint="eastAsia"/>
      </w:rPr>
    </w:lvl>
    <w:lvl w:ilvl="4" w:tentative="0">
      <w:start w:val="1"/>
      <w:numFmt w:val="decimal"/>
      <w:lvlText w:val="%1.%2.%3.%4.%5"/>
      <w:lvlJc w:val="left"/>
      <w:pPr>
        <w:tabs>
          <w:tab w:val="left" w:pos="1800"/>
        </w:tabs>
        <w:ind w:left="1008" w:hanging="1008"/>
      </w:pPr>
      <w:rPr>
        <w:rFonts w:hint="eastAsia"/>
      </w:rPr>
    </w:lvl>
    <w:lvl w:ilvl="5" w:tentative="0">
      <w:start w:val="1"/>
      <w:numFmt w:val="decima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13">
    <w:nsid w:val="055470AF"/>
    <w:multiLevelType w:val="singleLevel"/>
    <w:tmpl w:val="055470AF"/>
    <w:lvl w:ilvl="0" w:tentative="0">
      <w:start w:val="1"/>
      <w:numFmt w:val="decimal"/>
      <w:suff w:val="nothing"/>
      <w:lvlText w:val="（%1）"/>
      <w:lvlJc w:val="left"/>
    </w:lvl>
  </w:abstractNum>
  <w:abstractNum w:abstractNumId="14">
    <w:nsid w:val="0A425B84"/>
    <w:multiLevelType w:val="singleLevel"/>
    <w:tmpl w:val="0A425B84"/>
    <w:lvl w:ilvl="0" w:tentative="0">
      <w:start w:val="2"/>
      <w:numFmt w:val="decimal"/>
      <w:lvlText w:val="%1."/>
      <w:lvlJc w:val="left"/>
      <w:pPr>
        <w:tabs>
          <w:tab w:val="left" w:pos="312"/>
        </w:tabs>
      </w:pPr>
    </w:lvl>
  </w:abstractNum>
  <w:abstractNum w:abstractNumId="15">
    <w:nsid w:val="14E0EC76"/>
    <w:multiLevelType w:val="singleLevel"/>
    <w:tmpl w:val="14E0EC76"/>
    <w:lvl w:ilvl="0" w:tentative="0">
      <w:start w:val="1"/>
      <w:numFmt w:val="decimal"/>
      <w:suff w:val="nothing"/>
      <w:lvlText w:val="%1）"/>
      <w:lvlJc w:val="left"/>
    </w:lvl>
  </w:abstractNum>
  <w:abstractNum w:abstractNumId="16">
    <w:nsid w:val="159932C8"/>
    <w:multiLevelType w:val="singleLevel"/>
    <w:tmpl w:val="159932C8"/>
    <w:lvl w:ilvl="0" w:tentative="0">
      <w:start w:val="4"/>
      <w:numFmt w:val="decimal"/>
      <w:suff w:val="nothing"/>
      <w:lvlText w:val="（%1）"/>
      <w:lvlJc w:val="left"/>
    </w:lvl>
  </w:abstractNum>
  <w:abstractNum w:abstractNumId="17">
    <w:nsid w:val="15E8D3A3"/>
    <w:multiLevelType w:val="singleLevel"/>
    <w:tmpl w:val="15E8D3A3"/>
    <w:lvl w:ilvl="0" w:tentative="0">
      <w:start w:val="16"/>
      <w:numFmt w:val="chineseCounting"/>
      <w:suff w:val="nothing"/>
      <w:lvlText w:val="（%1）"/>
      <w:lvlJc w:val="left"/>
      <w:rPr>
        <w:rFonts w:hint="eastAsia"/>
      </w:rPr>
    </w:lvl>
  </w:abstractNum>
  <w:abstractNum w:abstractNumId="18">
    <w:nsid w:val="172E0BC0"/>
    <w:multiLevelType w:val="singleLevel"/>
    <w:tmpl w:val="172E0BC0"/>
    <w:lvl w:ilvl="0" w:tentative="0">
      <w:start w:val="1"/>
      <w:numFmt w:val="decimal"/>
      <w:suff w:val="nothing"/>
      <w:lvlText w:val="%1、"/>
      <w:lvlJc w:val="left"/>
    </w:lvl>
  </w:abstractNum>
  <w:abstractNum w:abstractNumId="19">
    <w:nsid w:val="173B65ED"/>
    <w:multiLevelType w:val="singleLevel"/>
    <w:tmpl w:val="173B65ED"/>
    <w:lvl w:ilvl="0" w:tentative="0">
      <w:start w:val="2"/>
      <w:numFmt w:val="decimal"/>
      <w:suff w:val="nothing"/>
      <w:lvlText w:val="%1、"/>
      <w:lvlJc w:val="left"/>
    </w:lvl>
  </w:abstractNum>
  <w:abstractNum w:abstractNumId="20">
    <w:nsid w:val="2AB56E37"/>
    <w:multiLevelType w:val="singleLevel"/>
    <w:tmpl w:val="2AB56E37"/>
    <w:lvl w:ilvl="0" w:tentative="0">
      <w:start w:val="1"/>
      <w:numFmt w:val="bullet"/>
      <w:lvlText w:val=""/>
      <w:lvlJc w:val="left"/>
      <w:pPr>
        <w:tabs>
          <w:tab w:val="left" w:pos="420"/>
        </w:tabs>
        <w:ind w:left="840" w:hanging="420"/>
      </w:pPr>
      <w:rPr>
        <w:rFonts w:hint="default" w:ascii="Wingdings" w:hAnsi="Wingdings"/>
      </w:rPr>
    </w:lvl>
  </w:abstractNum>
  <w:abstractNum w:abstractNumId="21">
    <w:nsid w:val="2EDA3AAC"/>
    <w:multiLevelType w:val="singleLevel"/>
    <w:tmpl w:val="2EDA3AAC"/>
    <w:lvl w:ilvl="0" w:tentative="0">
      <w:start w:val="1"/>
      <w:numFmt w:val="decimal"/>
      <w:suff w:val="nothing"/>
      <w:lvlText w:val="%1、"/>
      <w:lvlJc w:val="left"/>
    </w:lvl>
  </w:abstractNum>
  <w:abstractNum w:abstractNumId="22">
    <w:nsid w:val="3150E228"/>
    <w:multiLevelType w:val="singleLevel"/>
    <w:tmpl w:val="3150E228"/>
    <w:lvl w:ilvl="0" w:tentative="0">
      <w:start w:val="1"/>
      <w:numFmt w:val="decimal"/>
      <w:suff w:val="nothing"/>
      <w:lvlText w:val="（%1）"/>
      <w:lvlJc w:val="left"/>
    </w:lvl>
  </w:abstractNum>
  <w:abstractNum w:abstractNumId="23">
    <w:nsid w:val="363E5F7E"/>
    <w:multiLevelType w:val="singleLevel"/>
    <w:tmpl w:val="363E5F7E"/>
    <w:lvl w:ilvl="0" w:tentative="0">
      <w:start w:val="1"/>
      <w:numFmt w:val="decimal"/>
      <w:suff w:val="nothing"/>
      <w:lvlText w:val="（%1）"/>
      <w:lvlJc w:val="left"/>
    </w:lvl>
  </w:abstractNum>
  <w:abstractNum w:abstractNumId="24">
    <w:nsid w:val="3C3D778B"/>
    <w:multiLevelType w:val="singleLevel"/>
    <w:tmpl w:val="3C3D778B"/>
    <w:lvl w:ilvl="0" w:tentative="0">
      <w:start w:val="4"/>
      <w:numFmt w:val="decimal"/>
      <w:suff w:val="nothing"/>
      <w:lvlText w:val="（%1）"/>
      <w:lvlJc w:val="left"/>
    </w:lvl>
  </w:abstractNum>
  <w:abstractNum w:abstractNumId="25">
    <w:nsid w:val="3CD906C9"/>
    <w:multiLevelType w:val="singleLevel"/>
    <w:tmpl w:val="3CD906C9"/>
    <w:lvl w:ilvl="0" w:tentative="0">
      <w:start w:val="1"/>
      <w:numFmt w:val="chineseCounting"/>
      <w:suff w:val="nothing"/>
      <w:lvlText w:val="%1、"/>
      <w:lvlJc w:val="left"/>
      <w:rPr>
        <w:rFonts w:hint="eastAsia"/>
      </w:rPr>
    </w:lvl>
  </w:abstractNum>
  <w:abstractNum w:abstractNumId="26">
    <w:nsid w:val="3D1C0CE8"/>
    <w:multiLevelType w:val="multilevel"/>
    <w:tmpl w:val="3D1C0CE8"/>
    <w:lvl w:ilvl="0" w:tentative="0">
      <w:start w:val="1"/>
      <w:numFmt w:val="decimalEnclosedCircle"/>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27">
    <w:nsid w:val="76F5B82F"/>
    <w:multiLevelType w:val="singleLevel"/>
    <w:tmpl w:val="76F5B82F"/>
    <w:lvl w:ilvl="0" w:tentative="0">
      <w:start w:val="1"/>
      <w:numFmt w:val="decimal"/>
      <w:suff w:val="nothing"/>
      <w:lvlText w:val="%1、"/>
      <w:lvlJc w:val="left"/>
    </w:lvl>
  </w:abstractNum>
  <w:abstractNum w:abstractNumId="28">
    <w:nsid w:val="7ED14685"/>
    <w:multiLevelType w:val="singleLevel"/>
    <w:tmpl w:val="7ED14685"/>
    <w:lvl w:ilvl="0" w:tentative="0">
      <w:start w:val="1"/>
      <w:numFmt w:val="bullet"/>
      <w:pStyle w:val="20"/>
      <w:lvlText w:val=""/>
      <w:lvlJc w:val="left"/>
      <w:pPr>
        <w:tabs>
          <w:tab w:val="left" w:pos="2040"/>
        </w:tabs>
        <w:ind w:left="2040" w:hanging="360"/>
      </w:pPr>
      <w:rPr>
        <w:rFonts w:hint="default" w:ascii="Wingdings" w:hAnsi="Wingdings"/>
      </w:rPr>
    </w:lvl>
  </w:abstractNum>
  <w:num w:numId="1">
    <w:abstractNumId w:val="12"/>
  </w:num>
  <w:num w:numId="2">
    <w:abstractNumId w:val="28"/>
  </w:num>
  <w:num w:numId="3">
    <w:abstractNumId w:val="17"/>
  </w:num>
  <w:num w:numId="4">
    <w:abstractNumId w:val="26"/>
  </w:num>
  <w:num w:numId="5">
    <w:abstractNumId w:val="5"/>
  </w:num>
  <w:num w:numId="6">
    <w:abstractNumId w:val="6"/>
  </w:num>
  <w:num w:numId="7">
    <w:abstractNumId w:val="25"/>
  </w:num>
  <w:num w:numId="8">
    <w:abstractNumId w:val="20"/>
  </w:num>
  <w:num w:numId="9">
    <w:abstractNumId w:val="8"/>
  </w:num>
  <w:num w:numId="10">
    <w:abstractNumId w:val="4"/>
  </w:num>
  <w:num w:numId="11">
    <w:abstractNumId w:val="3"/>
  </w:num>
  <w:num w:numId="12">
    <w:abstractNumId w:val="24"/>
  </w:num>
  <w:num w:numId="13">
    <w:abstractNumId w:val="10"/>
  </w:num>
  <w:num w:numId="14">
    <w:abstractNumId w:val="11"/>
  </w:num>
  <w:num w:numId="15">
    <w:abstractNumId w:val="9"/>
  </w:num>
  <w:num w:numId="16">
    <w:abstractNumId w:val="16"/>
  </w:num>
  <w:num w:numId="17">
    <w:abstractNumId w:val="0"/>
  </w:num>
  <w:num w:numId="18">
    <w:abstractNumId w:val="2"/>
  </w:num>
  <w:num w:numId="19">
    <w:abstractNumId w:val="22"/>
  </w:num>
  <w:num w:numId="20">
    <w:abstractNumId w:val="21"/>
  </w:num>
  <w:num w:numId="21">
    <w:abstractNumId w:val="19"/>
  </w:num>
  <w:num w:numId="22">
    <w:abstractNumId w:val="18"/>
  </w:num>
  <w:num w:numId="23">
    <w:abstractNumId w:val="23"/>
  </w:num>
  <w:num w:numId="24">
    <w:abstractNumId w:val="15"/>
  </w:num>
  <w:num w:numId="25">
    <w:abstractNumId w:val="7"/>
  </w:num>
  <w:num w:numId="26">
    <w:abstractNumId w:val="27"/>
  </w:num>
  <w:num w:numId="27">
    <w:abstractNumId w:val="14"/>
  </w:num>
  <w:num w:numId="28">
    <w:abstractNumId w:val="1"/>
  </w:num>
  <w:num w:numId="2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9"/>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3"/>
    </o:shapelayout>
  </w:hdrShapeDefaults>
  <w:endnotePr>
    <w:numFmt w:val="decimal"/>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4CC51681"/>
    <w:rsid w:val="00143723"/>
    <w:rsid w:val="00150902"/>
    <w:rsid w:val="0025035E"/>
    <w:rsid w:val="006A2EAD"/>
    <w:rsid w:val="00854F9C"/>
    <w:rsid w:val="00B4697A"/>
    <w:rsid w:val="00CE1CF4"/>
    <w:rsid w:val="00D34727"/>
    <w:rsid w:val="00EA480F"/>
    <w:rsid w:val="00F53CD5"/>
    <w:rsid w:val="01392CC3"/>
    <w:rsid w:val="01594742"/>
    <w:rsid w:val="015E0AA1"/>
    <w:rsid w:val="01962E2B"/>
    <w:rsid w:val="01C74BCA"/>
    <w:rsid w:val="01D62705"/>
    <w:rsid w:val="021F4145"/>
    <w:rsid w:val="024E3BCD"/>
    <w:rsid w:val="02805672"/>
    <w:rsid w:val="02D87096"/>
    <w:rsid w:val="02E2183C"/>
    <w:rsid w:val="0307687D"/>
    <w:rsid w:val="035D21FD"/>
    <w:rsid w:val="03DF2239"/>
    <w:rsid w:val="045D3736"/>
    <w:rsid w:val="04AE0DC8"/>
    <w:rsid w:val="04B97B11"/>
    <w:rsid w:val="04C55C41"/>
    <w:rsid w:val="04E747C2"/>
    <w:rsid w:val="050A70B6"/>
    <w:rsid w:val="05180283"/>
    <w:rsid w:val="059C7B24"/>
    <w:rsid w:val="06614682"/>
    <w:rsid w:val="067512AC"/>
    <w:rsid w:val="08195139"/>
    <w:rsid w:val="08352131"/>
    <w:rsid w:val="083B1DE4"/>
    <w:rsid w:val="084F0D5C"/>
    <w:rsid w:val="08560496"/>
    <w:rsid w:val="08932046"/>
    <w:rsid w:val="08D07CD7"/>
    <w:rsid w:val="08D609C0"/>
    <w:rsid w:val="093D7238"/>
    <w:rsid w:val="09D23B5C"/>
    <w:rsid w:val="0A300F3E"/>
    <w:rsid w:val="0A690A42"/>
    <w:rsid w:val="0ABA277E"/>
    <w:rsid w:val="0AD304EE"/>
    <w:rsid w:val="0B0D5A73"/>
    <w:rsid w:val="0B100C28"/>
    <w:rsid w:val="0B641641"/>
    <w:rsid w:val="0B737DFC"/>
    <w:rsid w:val="0C1E1312"/>
    <w:rsid w:val="0C266E4F"/>
    <w:rsid w:val="0C7F6F4E"/>
    <w:rsid w:val="0C946F6B"/>
    <w:rsid w:val="0CDB0707"/>
    <w:rsid w:val="0DDD7799"/>
    <w:rsid w:val="0DFD3960"/>
    <w:rsid w:val="0E1657E1"/>
    <w:rsid w:val="0F2A6253"/>
    <w:rsid w:val="10FB3257"/>
    <w:rsid w:val="1116403C"/>
    <w:rsid w:val="11A744E6"/>
    <w:rsid w:val="11CF60C1"/>
    <w:rsid w:val="1208464E"/>
    <w:rsid w:val="12614BA6"/>
    <w:rsid w:val="128B36DF"/>
    <w:rsid w:val="14521FBF"/>
    <w:rsid w:val="14AE4611"/>
    <w:rsid w:val="150E5154"/>
    <w:rsid w:val="159A2B43"/>
    <w:rsid w:val="15AA5CF1"/>
    <w:rsid w:val="16223187"/>
    <w:rsid w:val="170718E6"/>
    <w:rsid w:val="175627CE"/>
    <w:rsid w:val="18047AE0"/>
    <w:rsid w:val="18C97015"/>
    <w:rsid w:val="18CA0832"/>
    <w:rsid w:val="192C0E0C"/>
    <w:rsid w:val="194B3136"/>
    <w:rsid w:val="197E6AA6"/>
    <w:rsid w:val="19903300"/>
    <w:rsid w:val="19AB256E"/>
    <w:rsid w:val="1A1B7E99"/>
    <w:rsid w:val="1A3E41FA"/>
    <w:rsid w:val="1AF12A44"/>
    <w:rsid w:val="1B1A26E2"/>
    <w:rsid w:val="1B306FCF"/>
    <w:rsid w:val="1B3D691D"/>
    <w:rsid w:val="1B4C7724"/>
    <w:rsid w:val="1BED4E39"/>
    <w:rsid w:val="1C1F0578"/>
    <w:rsid w:val="1C28039D"/>
    <w:rsid w:val="1D4650ED"/>
    <w:rsid w:val="1D753DB0"/>
    <w:rsid w:val="1D915310"/>
    <w:rsid w:val="1D962123"/>
    <w:rsid w:val="1DC70DEC"/>
    <w:rsid w:val="1DDF4CD2"/>
    <w:rsid w:val="1E042A1B"/>
    <w:rsid w:val="1E25248A"/>
    <w:rsid w:val="1E3F2025"/>
    <w:rsid w:val="1F9A238D"/>
    <w:rsid w:val="1FDC1987"/>
    <w:rsid w:val="1FDE7D08"/>
    <w:rsid w:val="203F12C3"/>
    <w:rsid w:val="206146C8"/>
    <w:rsid w:val="20645E17"/>
    <w:rsid w:val="20C71CD9"/>
    <w:rsid w:val="21000432"/>
    <w:rsid w:val="211D50C8"/>
    <w:rsid w:val="216A4C05"/>
    <w:rsid w:val="21863D0D"/>
    <w:rsid w:val="2216046A"/>
    <w:rsid w:val="223B4BFE"/>
    <w:rsid w:val="22644AB9"/>
    <w:rsid w:val="22876AFD"/>
    <w:rsid w:val="23163EB2"/>
    <w:rsid w:val="2427107E"/>
    <w:rsid w:val="245A3DCA"/>
    <w:rsid w:val="24B94350"/>
    <w:rsid w:val="253F118A"/>
    <w:rsid w:val="2578310B"/>
    <w:rsid w:val="25D8356A"/>
    <w:rsid w:val="25E71BEC"/>
    <w:rsid w:val="25EC6ED5"/>
    <w:rsid w:val="25F015C5"/>
    <w:rsid w:val="26571D40"/>
    <w:rsid w:val="27804D47"/>
    <w:rsid w:val="28145128"/>
    <w:rsid w:val="282838DA"/>
    <w:rsid w:val="28571D32"/>
    <w:rsid w:val="29933722"/>
    <w:rsid w:val="29AA51F0"/>
    <w:rsid w:val="29DA4EBE"/>
    <w:rsid w:val="2A3253DE"/>
    <w:rsid w:val="2A356872"/>
    <w:rsid w:val="2A546059"/>
    <w:rsid w:val="2A5D2D01"/>
    <w:rsid w:val="2AF27BEF"/>
    <w:rsid w:val="2B0077CF"/>
    <w:rsid w:val="2B01741F"/>
    <w:rsid w:val="2B1C040B"/>
    <w:rsid w:val="2B1F6EF2"/>
    <w:rsid w:val="2B71731C"/>
    <w:rsid w:val="2BB0437F"/>
    <w:rsid w:val="2CD261A7"/>
    <w:rsid w:val="2D6477FE"/>
    <w:rsid w:val="2D833FE8"/>
    <w:rsid w:val="2DEE303D"/>
    <w:rsid w:val="2DF7769F"/>
    <w:rsid w:val="2DFF55A7"/>
    <w:rsid w:val="2EAE0106"/>
    <w:rsid w:val="2EC652B2"/>
    <w:rsid w:val="2F344423"/>
    <w:rsid w:val="30CF1B19"/>
    <w:rsid w:val="30FD7924"/>
    <w:rsid w:val="311E24FD"/>
    <w:rsid w:val="315A5151"/>
    <w:rsid w:val="31746F9C"/>
    <w:rsid w:val="31873AFA"/>
    <w:rsid w:val="31E45D99"/>
    <w:rsid w:val="325B6989"/>
    <w:rsid w:val="32B722E3"/>
    <w:rsid w:val="32E55AEF"/>
    <w:rsid w:val="336C325E"/>
    <w:rsid w:val="34C60C67"/>
    <w:rsid w:val="350E0B57"/>
    <w:rsid w:val="354B7504"/>
    <w:rsid w:val="35A35FAD"/>
    <w:rsid w:val="36106FD5"/>
    <w:rsid w:val="36B01313"/>
    <w:rsid w:val="36B93809"/>
    <w:rsid w:val="36C631E8"/>
    <w:rsid w:val="3788036E"/>
    <w:rsid w:val="37A924CB"/>
    <w:rsid w:val="383F1698"/>
    <w:rsid w:val="38534CB7"/>
    <w:rsid w:val="38A56D41"/>
    <w:rsid w:val="38B54033"/>
    <w:rsid w:val="39212C99"/>
    <w:rsid w:val="39740B10"/>
    <w:rsid w:val="398639BF"/>
    <w:rsid w:val="39A26D13"/>
    <w:rsid w:val="39AE25A1"/>
    <w:rsid w:val="39F914CF"/>
    <w:rsid w:val="3A147AAC"/>
    <w:rsid w:val="3AFE72DB"/>
    <w:rsid w:val="3B2565A9"/>
    <w:rsid w:val="3B993EB6"/>
    <w:rsid w:val="3BE15BA1"/>
    <w:rsid w:val="3C1B6DEE"/>
    <w:rsid w:val="3CAD29AD"/>
    <w:rsid w:val="3CCF454A"/>
    <w:rsid w:val="3CE25A6A"/>
    <w:rsid w:val="3D6852CB"/>
    <w:rsid w:val="3D9D1094"/>
    <w:rsid w:val="3E6A3F16"/>
    <w:rsid w:val="3E7E1783"/>
    <w:rsid w:val="3F0223F3"/>
    <w:rsid w:val="3F281E38"/>
    <w:rsid w:val="3FC6242C"/>
    <w:rsid w:val="3FD35A41"/>
    <w:rsid w:val="3FDC4DBB"/>
    <w:rsid w:val="40061E82"/>
    <w:rsid w:val="405E0770"/>
    <w:rsid w:val="40616FB3"/>
    <w:rsid w:val="40722C94"/>
    <w:rsid w:val="40994365"/>
    <w:rsid w:val="40FF6E50"/>
    <w:rsid w:val="41104488"/>
    <w:rsid w:val="4162197F"/>
    <w:rsid w:val="41722AF1"/>
    <w:rsid w:val="41DD508C"/>
    <w:rsid w:val="425303BA"/>
    <w:rsid w:val="428E3330"/>
    <w:rsid w:val="42AB7666"/>
    <w:rsid w:val="42BB005F"/>
    <w:rsid w:val="42BC36B5"/>
    <w:rsid w:val="42C72DDD"/>
    <w:rsid w:val="441F2B8F"/>
    <w:rsid w:val="444B7C62"/>
    <w:rsid w:val="44B5606C"/>
    <w:rsid w:val="456316C1"/>
    <w:rsid w:val="459A4837"/>
    <w:rsid w:val="45F770A4"/>
    <w:rsid w:val="463A687E"/>
    <w:rsid w:val="46756B4D"/>
    <w:rsid w:val="467B7704"/>
    <w:rsid w:val="468A57EA"/>
    <w:rsid w:val="46CC0674"/>
    <w:rsid w:val="473B76F4"/>
    <w:rsid w:val="47DB3EB5"/>
    <w:rsid w:val="47DD5A16"/>
    <w:rsid w:val="47F30BAC"/>
    <w:rsid w:val="49033AA7"/>
    <w:rsid w:val="49053025"/>
    <w:rsid w:val="49605F29"/>
    <w:rsid w:val="496A1820"/>
    <w:rsid w:val="49AE2C09"/>
    <w:rsid w:val="49F03E63"/>
    <w:rsid w:val="4A4302F3"/>
    <w:rsid w:val="4A9D7730"/>
    <w:rsid w:val="4A9F4ED2"/>
    <w:rsid w:val="4AEB31A1"/>
    <w:rsid w:val="4B484E83"/>
    <w:rsid w:val="4BAC2D11"/>
    <w:rsid w:val="4BF55372"/>
    <w:rsid w:val="4C2F4549"/>
    <w:rsid w:val="4C3E3B1C"/>
    <w:rsid w:val="4C4A104E"/>
    <w:rsid w:val="4C756707"/>
    <w:rsid w:val="4CA11C08"/>
    <w:rsid w:val="4CB730C8"/>
    <w:rsid w:val="4CC51681"/>
    <w:rsid w:val="4D886208"/>
    <w:rsid w:val="4DAB0432"/>
    <w:rsid w:val="4DCA4FE5"/>
    <w:rsid w:val="4DCE2983"/>
    <w:rsid w:val="4E0232B1"/>
    <w:rsid w:val="4E9F2A5D"/>
    <w:rsid w:val="4F38594F"/>
    <w:rsid w:val="4F515FE9"/>
    <w:rsid w:val="4F9414B9"/>
    <w:rsid w:val="4FA12AF2"/>
    <w:rsid w:val="502425D9"/>
    <w:rsid w:val="50BC6D86"/>
    <w:rsid w:val="50E02679"/>
    <w:rsid w:val="50FA58BC"/>
    <w:rsid w:val="51382F51"/>
    <w:rsid w:val="51A92E83"/>
    <w:rsid w:val="51C31DA4"/>
    <w:rsid w:val="523650DE"/>
    <w:rsid w:val="52912564"/>
    <w:rsid w:val="52DE77D4"/>
    <w:rsid w:val="52EF4BF8"/>
    <w:rsid w:val="532A43C2"/>
    <w:rsid w:val="53702B43"/>
    <w:rsid w:val="54467018"/>
    <w:rsid w:val="54B92662"/>
    <w:rsid w:val="550D2678"/>
    <w:rsid w:val="5586388A"/>
    <w:rsid w:val="55DA22E2"/>
    <w:rsid w:val="563B3990"/>
    <w:rsid w:val="568360A8"/>
    <w:rsid w:val="568B2EA3"/>
    <w:rsid w:val="56A277AC"/>
    <w:rsid w:val="56C660B4"/>
    <w:rsid w:val="56CB1DE5"/>
    <w:rsid w:val="575D3FBB"/>
    <w:rsid w:val="57C06D11"/>
    <w:rsid w:val="57D263DD"/>
    <w:rsid w:val="58107F8D"/>
    <w:rsid w:val="581C7926"/>
    <w:rsid w:val="584A7F36"/>
    <w:rsid w:val="587A1A63"/>
    <w:rsid w:val="587A54B2"/>
    <w:rsid w:val="59074BA6"/>
    <w:rsid w:val="592D7C8F"/>
    <w:rsid w:val="594D7F0C"/>
    <w:rsid w:val="598835F0"/>
    <w:rsid w:val="59E978B5"/>
    <w:rsid w:val="5AC121E6"/>
    <w:rsid w:val="5AF13DA4"/>
    <w:rsid w:val="5B82786A"/>
    <w:rsid w:val="5B8B5CB2"/>
    <w:rsid w:val="5C3C7AB7"/>
    <w:rsid w:val="5C8F3A65"/>
    <w:rsid w:val="5CF45604"/>
    <w:rsid w:val="5D467400"/>
    <w:rsid w:val="5DDB1CC1"/>
    <w:rsid w:val="5E491B7D"/>
    <w:rsid w:val="5EC1721C"/>
    <w:rsid w:val="5ED04E54"/>
    <w:rsid w:val="5EDF2450"/>
    <w:rsid w:val="5F5373F4"/>
    <w:rsid w:val="5F8B122C"/>
    <w:rsid w:val="5F9D7EB8"/>
    <w:rsid w:val="5FEB54B0"/>
    <w:rsid w:val="60130582"/>
    <w:rsid w:val="60BA0BE9"/>
    <w:rsid w:val="616E3CD7"/>
    <w:rsid w:val="61926F26"/>
    <w:rsid w:val="61E20692"/>
    <w:rsid w:val="62995E01"/>
    <w:rsid w:val="62CF0CE3"/>
    <w:rsid w:val="62ED2CC5"/>
    <w:rsid w:val="63334C22"/>
    <w:rsid w:val="636276DD"/>
    <w:rsid w:val="637D16D3"/>
    <w:rsid w:val="639867C6"/>
    <w:rsid w:val="64286496"/>
    <w:rsid w:val="6442109A"/>
    <w:rsid w:val="644F43BE"/>
    <w:rsid w:val="646A5445"/>
    <w:rsid w:val="648C47B0"/>
    <w:rsid w:val="64A47949"/>
    <w:rsid w:val="64E03700"/>
    <w:rsid w:val="655A2533"/>
    <w:rsid w:val="656761A5"/>
    <w:rsid w:val="65D67186"/>
    <w:rsid w:val="66157F1F"/>
    <w:rsid w:val="666A4FEF"/>
    <w:rsid w:val="671E5E43"/>
    <w:rsid w:val="67AA3780"/>
    <w:rsid w:val="685052AC"/>
    <w:rsid w:val="69BA63AE"/>
    <w:rsid w:val="69F11EE7"/>
    <w:rsid w:val="6A12081F"/>
    <w:rsid w:val="6A4F3A38"/>
    <w:rsid w:val="6A9E1BFD"/>
    <w:rsid w:val="6B8F0760"/>
    <w:rsid w:val="6BD21C54"/>
    <w:rsid w:val="6BEE2099"/>
    <w:rsid w:val="6C25268D"/>
    <w:rsid w:val="6D0C615C"/>
    <w:rsid w:val="6D1E1452"/>
    <w:rsid w:val="6D36105C"/>
    <w:rsid w:val="6E403CB0"/>
    <w:rsid w:val="6E636184"/>
    <w:rsid w:val="6EDB28FB"/>
    <w:rsid w:val="6F186B7B"/>
    <w:rsid w:val="6F5F241C"/>
    <w:rsid w:val="6F931BF6"/>
    <w:rsid w:val="6FBE275D"/>
    <w:rsid w:val="700B3E3B"/>
    <w:rsid w:val="707A0433"/>
    <w:rsid w:val="708E3E12"/>
    <w:rsid w:val="71FB7042"/>
    <w:rsid w:val="722C4FFE"/>
    <w:rsid w:val="727D3B15"/>
    <w:rsid w:val="728C6699"/>
    <w:rsid w:val="72B2437C"/>
    <w:rsid w:val="73051FF0"/>
    <w:rsid w:val="735A50DF"/>
    <w:rsid w:val="73A05C9A"/>
    <w:rsid w:val="73CB008F"/>
    <w:rsid w:val="748C52D0"/>
    <w:rsid w:val="748D2974"/>
    <w:rsid w:val="74BE4E6C"/>
    <w:rsid w:val="75784937"/>
    <w:rsid w:val="75956B13"/>
    <w:rsid w:val="75F37958"/>
    <w:rsid w:val="76A1624D"/>
    <w:rsid w:val="76EF20B0"/>
    <w:rsid w:val="776275E7"/>
    <w:rsid w:val="776F0544"/>
    <w:rsid w:val="7774199C"/>
    <w:rsid w:val="77AF4A80"/>
    <w:rsid w:val="781B2AFE"/>
    <w:rsid w:val="7835040A"/>
    <w:rsid w:val="78692CD8"/>
    <w:rsid w:val="78A2151A"/>
    <w:rsid w:val="790C7AD8"/>
    <w:rsid w:val="79474801"/>
    <w:rsid w:val="7AD711F4"/>
    <w:rsid w:val="7ADA12B7"/>
    <w:rsid w:val="7B603DFE"/>
    <w:rsid w:val="7D397C15"/>
    <w:rsid w:val="7E62389E"/>
    <w:rsid w:val="7E623D4C"/>
    <w:rsid w:val="7E6A5CE2"/>
    <w:rsid w:val="7E942C4C"/>
    <w:rsid w:val="7EAD0578"/>
    <w:rsid w:val="7FF3198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iPriority="0" w:name="heading 6"/>
    <w:lsdException w:qFormat="1" w:uiPriority="0" w:name="heading 7"/>
    <w:lsdException w:qFormat="1" w:uiPriority="0" w:name="heading 8"/>
    <w:lsdException w:qFormat="1" w:uiPriority="0" w:name="heading 9"/>
    <w:lsdException w:qFormat="1"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0" w:semiHidden="0" w:name="toc 3"/>
    <w:lsdException w:qFormat="1"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nhideWhenUsed="0" w:uiPriority="0" w:semiHidden="0" w:name="caption"/>
    <w:lsdException w:qFormat="1" w:unhideWhenUsed="0" w:uiPriority="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qFormat="1" w:unhideWhenUsed="0" w:uiPriority="0" w:semiHidden="0" w:name="toa heading"/>
    <w:lsdException w:qFormat="1" w:unhideWhenUsed="0" w:uiPriority="99"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qFormat="1"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iPriority="99"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59"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4"/>
      <w:szCs w:val="24"/>
      <w:lang w:val="en-US" w:eastAsia="zh-CN" w:bidi="ar-SA"/>
    </w:rPr>
  </w:style>
  <w:style w:type="paragraph" w:styleId="3">
    <w:name w:val="heading 1"/>
    <w:basedOn w:val="1"/>
    <w:next w:val="1"/>
    <w:link w:val="79"/>
    <w:qFormat/>
    <w:uiPriority w:val="0"/>
    <w:pPr>
      <w:keepNext/>
      <w:keepLines/>
      <w:adjustRightInd w:val="0"/>
      <w:snapToGrid w:val="0"/>
      <w:spacing w:before="50" w:beforeLines="50" w:after="50" w:afterLines="50" w:line="360" w:lineRule="auto"/>
      <w:jc w:val="center"/>
      <w:outlineLvl w:val="0"/>
    </w:pPr>
    <w:rPr>
      <w:rFonts w:ascii="黑体" w:hAnsi="黑体" w:eastAsia="黑体"/>
      <w:b/>
      <w:snapToGrid w:val="0"/>
      <w:color w:val="000000"/>
      <w:sz w:val="32"/>
    </w:rPr>
  </w:style>
  <w:style w:type="paragraph" w:styleId="4">
    <w:name w:val="heading 2"/>
    <w:basedOn w:val="1"/>
    <w:next w:val="1"/>
    <w:link w:val="175"/>
    <w:qFormat/>
    <w:uiPriority w:val="0"/>
    <w:pPr>
      <w:keepNext/>
      <w:keepLines/>
      <w:adjustRightInd w:val="0"/>
      <w:snapToGrid w:val="0"/>
      <w:spacing w:line="360" w:lineRule="auto"/>
      <w:outlineLvl w:val="1"/>
    </w:pPr>
    <w:rPr>
      <w:rFonts w:ascii="黑体" w:hAnsi="宋体" w:eastAsia="Times New Roman"/>
      <w:b/>
      <w:bCs/>
      <w:snapToGrid w:val="0"/>
      <w:kern w:val="0"/>
      <w:szCs w:val="20"/>
    </w:rPr>
  </w:style>
  <w:style w:type="paragraph" w:styleId="5">
    <w:name w:val="heading 3"/>
    <w:basedOn w:val="1"/>
    <w:next w:val="1"/>
    <w:qFormat/>
    <w:uiPriority w:val="0"/>
    <w:pPr>
      <w:keepNext/>
      <w:keepLines/>
      <w:spacing w:line="360" w:lineRule="auto"/>
      <w:outlineLvl w:val="2"/>
    </w:pPr>
    <w:rPr>
      <w:rFonts w:ascii="黑体" w:hAnsi="宋体" w:eastAsia="Times New Roman"/>
      <w:bCs/>
      <w:snapToGrid w:val="0"/>
      <w:kern w:val="0"/>
      <w:szCs w:val="20"/>
    </w:rPr>
  </w:style>
  <w:style w:type="paragraph" w:styleId="6">
    <w:name w:val="heading 4"/>
    <w:basedOn w:val="1"/>
    <w:next w:val="1"/>
    <w:qFormat/>
    <w:uiPriority w:val="0"/>
    <w:pPr>
      <w:keepNext/>
      <w:keepLines/>
      <w:numPr>
        <w:ilvl w:val="3"/>
        <w:numId w:val="1"/>
      </w:numPr>
      <w:snapToGrid w:val="0"/>
      <w:spacing w:line="460" w:lineRule="atLeast"/>
      <w:outlineLvl w:val="3"/>
    </w:pPr>
    <w:rPr>
      <w:b/>
      <w:szCs w:val="20"/>
    </w:rPr>
  </w:style>
  <w:style w:type="paragraph" w:styleId="7">
    <w:name w:val="heading 5"/>
    <w:basedOn w:val="1"/>
    <w:next w:val="1"/>
    <w:link w:val="86"/>
    <w:qFormat/>
    <w:uiPriority w:val="0"/>
    <w:pPr>
      <w:ind w:firstLine="482" w:firstLineChars="0"/>
      <w:jc w:val="center"/>
      <w:outlineLvl w:val="4"/>
    </w:pPr>
    <w:rPr>
      <w:b/>
      <w:bCs/>
      <w:sz w:val="21"/>
      <w:szCs w:val="28"/>
    </w:rPr>
  </w:style>
  <w:style w:type="character" w:default="1" w:styleId="40">
    <w:name w:val="Default Paragraph Font"/>
    <w:semiHidden/>
    <w:unhideWhenUsed/>
    <w:qFormat/>
    <w:uiPriority w:val="1"/>
  </w:style>
  <w:style w:type="table" w:default="1" w:styleId="38">
    <w:name w:val="Normal Table"/>
    <w:semiHidden/>
    <w:unhideWhenUsed/>
    <w:qFormat/>
    <w:uiPriority w:val="99"/>
    <w:tblPr>
      <w:tblCellMar>
        <w:top w:w="0" w:type="dxa"/>
        <w:left w:w="108" w:type="dxa"/>
        <w:bottom w:w="0" w:type="dxa"/>
        <w:right w:w="108" w:type="dxa"/>
      </w:tblCellMar>
    </w:tblPr>
  </w:style>
  <w:style w:type="paragraph" w:styleId="2">
    <w:name w:val="table of figures"/>
    <w:basedOn w:val="1"/>
    <w:next w:val="1"/>
    <w:semiHidden/>
    <w:qFormat/>
    <w:uiPriority w:val="0"/>
    <w:pPr>
      <w:ind w:left="200" w:leftChars="200" w:hanging="200" w:hangingChars="200"/>
    </w:pPr>
  </w:style>
  <w:style w:type="paragraph" w:styleId="8">
    <w:name w:val="Normal Indent"/>
    <w:basedOn w:val="1"/>
    <w:next w:val="1"/>
    <w:link w:val="65"/>
    <w:qFormat/>
    <w:uiPriority w:val="0"/>
    <w:pPr>
      <w:ind w:firstLine="420"/>
    </w:pPr>
    <w:rPr>
      <w:szCs w:val="20"/>
    </w:rPr>
  </w:style>
  <w:style w:type="paragraph" w:styleId="9">
    <w:name w:val="caption"/>
    <w:basedOn w:val="1"/>
    <w:next w:val="1"/>
    <w:qFormat/>
    <w:uiPriority w:val="0"/>
    <w:pPr>
      <w:adjustRightInd w:val="0"/>
      <w:spacing w:before="152" w:after="160" w:line="240" w:lineRule="exact"/>
      <w:jc w:val="center"/>
      <w:textAlignment w:val="baseline"/>
    </w:pPr>
    <w:rPr>
      <w:kern w:val="0"/>
    </w:rPr>
  </w:style>
  <w:style w:type="paragraph" w:styleId="10">
    <w:name w:val="toa heading"/>
    <w:basedOn w:val="1"/>
    <w:next w:val="1"/>
    <w:qFormat/>
    <w:uiPriority w:val="0"/>
    <w:pPr>
      <w:spacing w:before="120"/>
    </w:pPr>
    <w:rPr>
      <w:rFonts w:ascii="Arial" w:hAnsi="Arial" w:cs="Arial"/>
    </w:rPr>
  </w:style>
  <w:style w:type="paragraph" w:styleId="11">
    <w:name w:val="annotation text"/>
    <w:basedOn w:val="1"/>
    <w:link w:val="74"/>
    <w:qFormat/>
    <w:uiPriority w:val="0"/>
    <w:pPr>
      <w:jc w:val="left"/>
    </w:pPr>
  </w:style>
  <w:style w:type="paragraph" w:styleId="12">
    <w:name w:val="Salutation"/>
    <w:basedOn w:val="1"/>
    <w:next w:val="1"/>
    <w:qFormat/>
    <w:uiPriority w:val="0"/>
    <w:pPr>
      <w:jc w:val="left"/>
    </w:pPr>
    <w:rPr>
      <w:rFonts w:ascii="Times New Roman" w:hAnsi="Times New Roman" w:eastAsia="仿宋_GB2312"/>
      <w:sz w:val="32"/>
    </w:rPr>
  </w:style>
  <w:style w:type="paragraph" w:styleId="13">
    <w:name w:val="Body Text 3"/>
    <w:basedOn w:val="1"/>
    <w:qFormat/>
    <w:uiPriority w:val="0"/>
    <w:pPr>
      <w:spacing w:line="360" w:lineRule="auto"/>
    </w:pPr>
    <w:rPr>
      <w:rFonts w:ascii="仿宋_GB2312" w:eastAsia="仿宋_GB2312"/>
      <w:sz w:val="24"/>
    </w:rPr>
  </w:style>
  <w:style w:type="paragraph" w:styleId="14">
    <w:name w:val="Body Text"/>
    <w:basedOn w:val="1"/>
    <w:next w:val="1"/>
    <w:qFormat/>
    <w:uiPriority w:val="0"/>
    <w:pPr>
      <w:spacing w:after="120"/>
    </w:pPr>
  </w:style>
  <w:style w:type="paragraph" w:styleId="15">
    <w:name w:val="Body Text Indent"/>
    <w:basedOn w:val="1"/>
    <w:next w:val="16"/>
    <w:qFormat/>
    <w:uiPriority w:val="0"/>
    <w:pPr>
      <w:adjustRightInd w:val="0"/>
      <w:snapToGrid w:val="0"/>
      <w:spacing w:line="360" w:lineRule="auto"/>
      <w:ind w:firstLine="480"/>
    </w:pPr>
    <w:rPr>
      <w:bCs/>
      <w:kern w:val="0"/>
    </w:rPr>
  </w:style>
  <w:style w:type="paragraph" w:styleId="16">
    <w:name w:val="List"/>
    <w:basedOn w:val="1"/>
    <w:next w:val="1"/>
    <w:qFormat/>
    <w:uiPriority w:val="99"/>
    <w:pPr>
      <w:ind w:left="200" w:hanging="200" w:hangingChars="200"/>
    </w:pPr>
    <w:rPr>
      <w:szCs w:val="20"/>
    </w:rPr>
  </w:style>
  <w:style w:type="paragraph" w:styleId="17">
    <w:name w:val="Block Text"/>
    <w:basedOn w:val="1"/>
    <w:qFormat/>
    <w:uiPriority w:val="0"/>
    <w:pPr>
      <w:spacing w:after="120"/>
      <w:ind w:left="1440" w:leftChars="700" w:right="700" w:rightChars="700"/>
    </w:pPr>
    <w:rPr>
      <w:rFonts w:ascii="Calibri" w:hAnsi="Calibri"/>
      <w:szCs w:val="20"/>
    </w:rPr>
  </w:style>
  <w:style w:type="paragraph" w:styleId="18">
    <w:name w:val="toc 3"/>
    <w:basedOn w:val="1"/>
    <w:next w:val="1"/>
    <w:qFormat/>
    <w:uiPriority w:val="0"/>
    <w:pPr>
      <w:ind w:left="840" w:leftChars="400"/>
    </w:pPr>
  </w:style>
  <w:style w:type="paragraph" w:styleId="19">
    <w:name w:val="Plain Text"/>
    <w:basedOn w:val="1"/>
    <w:qFormat/>
    <w:uiPriority w:val="0"/>
    <w:rPr>
      <w:rFonts w:ascii="宋体" w:hAnsi="Courier New"/>
      <w:szCs w:val="20"/>
    </w:rPr>
  </w:style>
  <w:style w:type="paragraph" w:styleId="20">
    <w:name w:val="List Bullet 5"/>
    <w:basedOn w:val="1"/>
    <w:qFormat/>
    <w:uiPriority w:val="0"/>
    <w:pPr>
      <w:numPr>
        <w:ilvl w:val="0"/>
        <w:numId w:val="2"/>
      </w:numPr>
    </w:pPr>
  </w:style>
  <w:style w:type="paragraph" w:styleId="21">
    <w:name w:val="Date"/>
    <w:basedOn w:val="1"/>
    <w:next w:val="1"/>
    <w:qFormat/>
    <w:uiPriority w:val="0"/>
    <w:rPr>
      <w:szCs w:val="20"/>
    </w:rPr>
  </w:style>
  <w:style w:type="paragraph" w:styleId="22">
    <w:name w:val="Body Text Indent 2"/>
    <w:basedOn w:val="1"/>
    <w:next w:val="1"/>
    <w:qFormat/>
    <w:uiPriority w:val="0"/>
    <w:pPr>
      <w:adjustRightInd w:val="0"/>
      <w:snapToGrid w:val="0"/>
      <w:spacing w:line="360" w:lineRule="auto"/>
      <w:ind w:firstLine="480" w:firstLineChars="200"/>
    </w:pPr>
    <w:rPr>
      <w:rFonts w:ascii="宋体" w:hAnsi="宋体"/>
      <w:snapToGrid w:val="0"/>
      <w:color w:val="339966"/>
      <w:kern w:val="0"/>
    </w:rPr>
  </w:style>
  <w:style w:type="paragraph" w:styleId="23">
    <w:name w:val="footer"/>
    <w:basedOn w:val="1"/>
    <w:qFormat/>
    <w:uiPriority w:val="0"/>
    <w:pPr>
      <w:tabs>
        <w:tab w:val="center" w:pos="4153"/>
        <w:tab w:val="right" w:pos="8306"/>
      </w:tabs>
      <w:snapToGrid w:val="0"/>
      <w:jc w:val="left"/>
    </w:pPr>
    <w:rPr>
      <w:sz w:val="18"/>
      <w:szCs w:val="18"/>
    </w:rPr>
  </w:style>
  <w:style w:type="paragraph" w:styleId="24">
    <w:name w:val="header"/>
    <w:basedOn w:val="1"/>
    <w:next w:val="1"/>
    <w:qFormat/>
    <w:uiPriority w:val="0"/>
    <w:pPr>
      <w:pBdr>
        <w:bottom w:val="single" w:color="auto" w:sz="6" w:space="1"/>
      </w:pBdr>
      <w:tabs>
        <w:tab w:val="center" w:pos="4153"/>
        <w:tab w:val="right" w:pos="8306"/>
      </w:tabs>
      <w:snapToGrid w:val="0"/>
      <w:spacing w:line="240" w:lineRule="atLeast"/>
      <w:jc w:val="center"/>
    </w:pPr>
    <w:rPr>
      <w:rFonts w:ascii="幼圆" w:eastAsia="幼圆"/>
      <w:sz w:val="18"/>
      <w:szCs w:val="18"/>
    </w:rPr>
  </w:style>
  <w:style w:type="paragraph" w:styleId="25">
    <w:name w:val="toc 1"/>
    <w:basedOn w:val="1"/>
    <w:next w:val="1"/>
    <w:qFormat/>
    <w:uiPriority w:val="39"/>
    <w:pPr>
      <w:spacing w:before="120" w:after="120"/>
      <w:jc w:val="left"/>
    </w:pPr>
    <w:rPr>
      <w:rFonts w:ascii="Calibri" w:hAnsi="Calibri" w:cs="Calibri"/>
      <w:b/>
      <w:bCs/>
      <w:caps/>
      <w:sz w:val="20"/>
      <w:szCs w:val="20"/>
    </w:rPr>
  </w:style>
  <w:style w:type="paragraph" w:styleId="26">
    <w:name w:val="toc 4"/>
    <w:basedOn w:val="1"/>
    <w:next w:val="1"/>
    <w:qFormat/>
    <w:uiPriority w:val="0"/>
    <w:pPr>
      <w:ind w:left="1260" w:leftChars="600"/>
    </w:pPr>
  </w:style>
  <w:style w:type="paragraph" w:styleId="27">
    <w:name w:val="index heading"/>
    <w:basedOn w:val="1"/>
    <w:next w:val="28"/>
    <w:qFormat/>
    <w:uiPriority w:val="0"/>
    <w:rPr>
      <w:szCs w:val="20"/>
    </w:rPr>
  </w:style>
  <w:style w:type="paragraph" w:styleId="28">
    <w:name w:val="index 1"/>
    <w:basedOn w:val="1"/>
    <w:next w:val="1"/>
    <w:qFormat/>
    <w:uiPriority w:val="0"/>
    <w:pPr>
      <w:adjustRightInd w:val="0"/>
      <w:spacing w:before="60"/>
      <w:textAlignment w:val="baseline"/>
    </w:pPr>
    <w:rPr>
      <w:sz w:val="24"/>
      <w:szCs w:val="20"/>
    </w:rPr>
  </w:style>
  <w:style w:type="paragraph" w:styleId="29">
    <w:name w:val="Body Text Indent 3"/>
    <w:basedOn w:val="1"/>
    <w:qFormat/>
    <w:uiPriority w:val="0"/>
    <w:pPr>
      <w:spacing w:line="360" w:lineRule="auto"/>
      <w:ind w:firstLine="480" w:firstLineChars="200"/>
    </w:pPr>
    <w:rPr>
      <w:rFonts w:ascii="宋体"/>
      <w:sz w:val="24"/>
    </w:rPr>
  </w:style>
  <w:style w:type="paragraph" w:styleId="30">
    <w:name w:val="toc 2"/>
    <w:basedOn w:val="1"/>
    <w:next w:val="1"/>
    <w:qFormat/>
    <w:uiPriority w:val="39"/>
    <w:pPr>
      <w:ind w:left="240"/>
      <w:jc w:val="left"/>
    </w:pPr>
    <w:rPr>
      <w:rFonts w:ascii="Calibri" w:hAnsi="Calibri" w:cs="Calibri"/>
      <w:smallCaps/>
      <w:sz w:val="20"/>
      <w:szCs w:val="20"/>
    </w:rPr>
  </w:style>
  <w:style w:type="paragraph" w:styleId="31">
    <w:name w:val="Body Text 2"/>
    <w:basedOn w:val="1"/>
    <w:qFormat/>
    <w:uiPriority w:val="0"/>
    <w:pPr>
      <w:spacing w:after="120" w:line="480" w:lineRule="auto"/>
    </w:pPr>
  </w:style>
  <w:style w:type="paragraph" w:styleId="32">
    <w:name w:val="HTML Preformatted"/>
    <w:basedOn w:val="1"/>
    <w:unhideWhenUsed/>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rPr>
  </w:style>
  <w:style w:type="paragraph" w:styleId="33">
    <w:name w:val="Normal (Web)"/>
    <w:basedOn w:val="1"/>
    <w:qFormat/>
    <w:uiPriority w:val="99"/>
  </w:style>
  <w:style w:type="paragraph" w:styleId="34">
    <w:name w:val="Title"/>
    <w:basedOn w:val="1"/>
    <w:next w:val="1"/>
    <w:qFormat/>
    <w:uiPriority w:val="0"/>
    <w:pPr>
      <w:spacing w:before="240" w:after="60"/>
      <w:jc w:val="center"/>
      <w:outlineLvl w:val="0"/>
    </w:pPr>
    <w:rPr>
      <w:rFonts w:ascii="Cambria" w:hAnsi="Cambria"/>
      <w:b/>
      <w:bCs/>
      <w:sz w:val="32"/>
      <w:szCs w:val="32"/>
    </w:rPr>
  </w:style>
  <w:style w:type="paragraph" w:styleId="35">
    <w:name w:val="annotation subject"/>
    <w:basedOn w:val="11"/>
    <w:next w:val="11"/>
    <w:link w:val="75"/>
    <w:qFormat/>
    <w:uiPriority w:val="0"/>
    <w:rPr>
      <w:b/>
      <w:bCs/>
    </w:rPr>
  </w:style>
  <w:style w:type="paragraph" w:styleId="36">
    <w:name w:val="Body Text First Indent"/>
    <w:basedOn w:val="1"/>
    <w:qFormat/>
    <w:uiPriority w:val="0"/>
    <w:pPr>
      <w:ind w:firstLine="420" w:firstLineChars="100"/>
    </w:pPr>
    <w:rPr>
      <w:rFonts w:ascii="黑体" w:hAnsi="黑体"/>
      <w:spacing w:val="10"/>
      <w:sz w:val="21"/>
    </w:rPr>
  </w:style>
  <w:style w:type="paragraph" w:styleId="37">
    <w:name w:val="Body Text First Indent 2"/>
    <w:basedOn w:val="15"/>
    <w:next w:val="1"/>
    <w:qFormat/>
    <w:uiPriority w:val="0"/>
    <w:pPr>
      <w:adjustRightInd/>
      <w:snapToGrid/>
      <w:spacing w:after="120" w:line="240" w:lineRule="auto"/>
      <w:ind w:left="420" w:leftChars="200" w:firstLine="420" w:firstLineChars="200"/>
    </w:pPr>
    <w:rPr>
      <w:bCs w:val="0"/>
      <w:kern w:val="2"/>
      <w:sz w:val="21"/>
    </w:rPr>
  </w:style>
  <w:style w:type="table" w:styleId="39">
    <w:name w:val="Table Grid"/>
    <w:basedOn w:val="38"/>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1">
    <w:name w:val="Strong"/>
    <w:basedOn w:val="40"/>
    <w:qFormat/>
    <w:uiPriority w:val="0"/>
    <w:rPr>
      <w:b/>
    </w:rPr>
  </w:style>
  <w:style w:type="character" w:styleId="42">
    <w:name w:val="page number"/>
    <w:basedOn w:val="40"/>
    <w:qFormat/>
    <w:uiPriority w:val="0"/>
    <w:rPr>
      <w:rFonts w:ascii="宋体" w:hAnsi="宋体" w:eastAsia="宋体" w:cs="宋体"/>
      <w:kern w:val="2"/>
      <w:sz w:val="24"/>
      <w:szCs w:val="24"/>
      <w:lang w:val="en-US" w:eastAsia="zh-CN" w:bidi="ar-SA"/>
    </w:rPr>
  </w:style>
  <w:style w:type="character" w:styleId="43">
    <w:name w:val="Emphasis"/>
    <w:basedOn w:val="40"/>
    <w:qFormat/>
    <w:uiPriority w:val="0"/>
    <w:rPr>
      <w:i/>
      <w:iCs/>
    </w:rPr>
  </w:style>
  <w:style w:type="character" w:styleId="44">
    <w:name w:val="Hyperlink"/>
    <w:qFormat/>
    <w:uiPriority w:val="99"/>
    <w:rPr>
      <w:rFonts w:ascii="宋体" w:hAnsi="宋体" w:eastAsia="宋体" w:cs="宋体"/>
      <w:color w:val="0000FF"/>
      <w:kern w:val="2"/>
      <w:sz w:val="24"/>
      <w:szCs w:val="24"/>
      <w:u w:val="single"/>
      <w:lang w:val="en-US" w:eastAsia="zh-CN" w:bidi="ar-SA"/>
    </w:rPr>
  </w:style>
  <w:style w:type="character" w:styleId="45">
    <w:name w:val="annotation reference"/>
    <w:basedOn w:val="40"/>
    <w:qFormat/>
    <w:uiPriority w:val="0"/>
    <w:rPr>
      <w:sz w:val="21"/>
      <w:szCs w:val="21"/>
    </w:rPr>
  </w:style>
  <w:style w:type="paragraph" w:customStyle="1" w:styleId="46">
    <w:name w:val="0正文"/>
    <w:basedOn w:val="15"/>
    <w:unhideWhenUsed/>
    <w:qFormat/>
    <w:uiPriority w:val="0"/>
    <w:pPr>
      <w:ind w:firstLine="720"/>
    </w:pPr>
  </w:style>
  <w:style w:type="paragraph" w:customStyle="1" w:styleId="47">
    <w:name w:val="Default"/>
    <w:basedOn w:val="48"/>
    <w:next w:val="1"/>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48">
    <w:name w:val="批注文字1"/>
    <w:qFormat/>
    <w:uiPriority w:val="0"/>
    <w:pPr>
      <w:widowControl w:val="0"/>
    </w:pPr>
    <w:rPr>
      <w:rFonts w:ascii="Times New Roman" w:hAnsi="Times New Roman" w:eastAsia="宋体" w:cs="Times New Roman"/>
      <w:color w:val="000000"/>
      <w:kern w:val="2"/>
      <w:sz w:val="21"/>
      <w:szCs w:val="24"/>
      <w:lang w:val="en-US" w:eastAsia="zh-CN" w:bidi="ar-SA"/>
    </w:rPr>
  </w:style>
  <w:style w:type="paragraph" w:customStyle="1" w:styleId="49">
    <w:name w:val="表文"/>
    <w:basedOn w:val="1"/>
    <w:next w:val="1"/>
    <w:qFormat/>
    <w:uiPriority w:val="0"/>
    <w:pPr>
      <w:overflowPunct w:val="0"/>
      <w:topLinePunct/>
      <w:spacing w:line="320" w:lineRule="exact"/>
      <w:jc w:val="center"/>
      <w:outlineLvl w:val="6"/>
    </w:pPr>
    <w:rPr>
      <w:kern w:val="0"/>
      <w:sz w:val="18"/>
      <w:szCs w:val="18"/>
    </w:rPr>
  </w:style>
  <w:style w:type="paragraph" w:customStyle="1" w:styleId="50">
    <w:name w:val="报告"/>
    <w:basedOn w:val="1"/>
    <w:qFormat/>
    <w:uiPriority w:val="0"/>
    <w:pPr>
      <w:adjustRightInd w:val="0"/>
      <w:spacing w:line="360" w:lineRule="auto"/>
      <w:ind w:firstLine="505"/>
      <w:textAlignment w:val="baseline"/>
    </w:pPr>
    <w:rPr>
      <w:kern w:val="0"/>
      <w:szCs w:val="20"/>
    </w:rPr>
  </w:style>
  <w:style w:type="paragraph" w:customStyle="1" w:styleId="51">
    <w:name w:val="主体"/>
    <w:qFormat/>
    <w:uiPriority w:val="0"/>
    <w:pPr>
      <w:widowControl w:val="0"/>
      <w:autoSpaceDE w:val="0"/>
      <w:autoSpaceDN w:val="0"/>
      <w:spacing w:line="440" w:lineRule="exact"/>
      <w:ind w:firstLine="480" w:firstLineChars="200"/>
      <w:jc w:val="both"/>
    </w:pPr>
    <w:rPr>
      <w:rFonts w:ascii="Times New Roman" w:hAnsi="Times New Roman" w:eastAsia="仿宋_GB2312" w:cs="Times New Roman"/>
      <w:bCs/>
      <w:kern w:val="2"/>
      <w:sz w:val="24"/>
      <w:szCs w:val="24"/>
      <w:lang w:val="en-US" w:eastAsia="zh-CN" w:bidi="ar-SA"/>
    </w:rPr>
  </w:style>
  <w:style w:type="character" w:customStyle="1" w:styleId="52">
    <w:name w:val="fontstyle11"/>
    <w:qFormat/>
    <w:uiPriority w:val="0"/>
    <w:rPr>
      <w:rFonts w:ascii="TimesNewRomanPSMT" w:hAnsi="TimesNewRomanPSMT" w:eastAsia="TimesNewRomanPSMT" w:cs="TimesNewRomanPSMT"/>
      <w:color w:val="000000"/>
      <w:kern w:val="0"/>
      <w:sz w:val="24"/>
      <w:szCs w:val="24"/>
    </w:rPr>
  </w:style>
  <w:style w:type="table" w:customStyle="1" w:styleId="53">
    <w:name w:val="报告表格式新建"/>
    <w:basedOn w:val="38"/>
    <w:qFormat/>
    <w:uiPriority w:val="99"/>
    <w:pPr>
      <w:jc w:val="center"/>
    </w:pPr>
    <w:rPr>
      <w:sz w:val="18"/>
    </w:rPr>
    <w:tblPr>
      <w:tblBorders>
        <w:top w:val="single" w:color="auto" w:sz="12" w:space="0"/>
        <w:bottom w:val="single" w:color="auto" w:sz="12" w:space="0"/>
        <w:insideH w:val="single" w:color="auto" w:sz="8" w:space="0"/>
        <w:insideV w:val="single" w:color="auto" w:sz="8" w:space="0"/>
      </w:tblBorders>
    </w:tblPr>
    <w:tcPr>
      <w:vAlign w:val="center"/>
    </w:tcPr>
  </w:style>
  <w:style w:type="paragraph" w:customStyle="1" w:styleId="54">
    <w:name w:val="样式 首行缩进:  2 字符"/>
    <w:basedOn w:val="1"/>
    <w:qFormat/>
    <w:uiPriority w:val="0"/>
    <w:pPr>
      <w:ind w:right="11" w:firstLine="480" w:firstLineChars="200"/>
    </w:pPr>
    <w:rPr>
      <w:bCs/>
    </w:rPr>
  </w:style>
  <w:style w:type="paragraph" w:customStyle="1" w:styleId="55">
    <w:name w:val="1文章"/>
    <w:basedOn w:val="1"/>
    <w:qFormat/>
    <w:uiPriority w:val="0"/>
    <w:pPr>
      <w:snapToGrid w:val="0"/>
      <w:spacing w:line="360" w:lineRule="auto"/>
      <w:ind w:firstLine="573"/>
    </w:pPr>
    <w:rPr>
      <w:rFonts w:eastAsia="仿宋_GB2312"/>
      <w:sz w:val="28"/>
    </w:rPr>
  </w:style>
  <w:style w:type="paragraph" w:customStyle="1" w:styleId="56">
    <w:name w:val="报告书"/>
    <w:basedOn w:val="1"/>
    <w:qFormat/>
    <w:uiPriority w:val="0"/>
    <w:pPr>
      <w:autoSpaceDE w:val="0"/>
      <w:autoSpaceDN w:val="0"/>
      <w:adjustRightInd w:val="0"/>
      <w:spacing w:line="360" w:lineRule="auto"/>
      <w:ind w:firstLine="480" w:firstLineChars="200"/>
      <w:textAlignment w:val="bottom"/>
    </w:pPr>
    <w:rPr>
      <w:rFonts w:hAnsi="宋体"/>
      <w:bCs/>
      <w:kern w:val="0"/>
    </w:rPr>
  </w:style>
  <w:style w:type="paragraph" w:customStyle="1" w:styleId="57">
    <w:name w:val="填表内容"/>
    <w:basedOn w:val="1"/>
    <w:qFormat/>
    <w:uiPriority w:val="0"/>
    <w:pPr>
      <w:adjustRightInd w:val="0"/>
      <w:jc w:val="center"/>
    </w:pPr>
    <w:rPr>
      <w:kern w:val="0"/>
      <w:sz w:val="21"/>
      <w:szCs w:val="20"/>
    </w:rPr>
  </w:style>
  <w:style w:type="character" w:customStyle="1" w:styleId="58">
    <w:name w:val="fontstyle01"/>
    <w:basedOn w:val="40"/>
    <w:qFormat/>
    <w:uiPriority w:val="0"/>
    <w:rPr>
      <w:rFonts w:ascii="宋体" w:hAnsi="宋体" w:eastAsia="宋体" w:cs="宋体"/>
      <w:color w:val="000000"/>
      <w:kern w:val="0"/>
      <w:sz w:val="24"/>
      <w:szCs w:val="24"/>
    </w:rPr>
  </w:style>
  <w:style w:type="paragraph" w:customStyle="1" w:styleId="59">
    <w:name w:val="xyb自建正文"/>
    <w:basedOn w:val="1"/>
    <w:qFormat/>
    <w:uiPriority w:val="0"/>
    <w:pPr>
      <w:adjustRightInd w:val="0"/>
      <w:snapToGrid w:val="0"/>
      <w:spacing w:line="360" w:lineRule="auto"/>
      <w:ind w:firstLine="480" w:firstLineChars="200"/>
      <w:textAlignment w:val="baseline"/>
    </w:pPr>
    <w:rPr>
      <w:snapToGrid w:val="0"/>
      <w:kern w:val="0"/>
    </w:rPr>
  </w:style>
  <w:style w:type="paragraph" w:customStyle="1" w:styleId="60">
    <w:name w:val="列表段落1"/>
    <w:basedOn w:val="1"/>
    <w:qFormat/>
    <w:uiPriority w:val="0"/>
    <w:pPr>
      <w:ind w:firstLine="420" w:firstLineChars="200"/>
    </w:pPr>
    <w:rPr>
      <w:rFonts w:ascii="Calibri" w:hAnsi="Calibri"/>
      <w:szCs w:val="22"/>
    </w:rPr>
  </w:style>
  <w:style w:type="paragraph" w:customStyle="1" w:styleId="61">
    <w:name w:val="Zw"/>
    <w:basedOn w:val="1"/>
    <w:next w:val="1"/>
    <w:qFormat/>
    <w:uiPriority w:val="0"/>
    <w:pPr>
      <w:spacing w:line="360" w:lineRule="auto"/>
      <w:ind w:firstLine="200" w:firstLineChars="200"/>
    </w:pPr>
    <w:rPr>
      <w:rFonts w:ascii="宋体" w:hAnsi="宋体" w:cs="宋体"/>
    </w:rPr>
  </w:style>
  <w:style w:type="character" w:customStyle="1" w:styleId="62">
    <w:name w:val="fontstyle21"/>
    <w:basedOn w:val="40"/>
    <w:qFormat/>
    <w:uiPriority w:val="0"/>
    <w:rPr>
      <w:rFonts w:ascii="TimesNewRomanPSMT" w:hAnsi="TimesNewRomanPSMT" w:eastAsia="TimesNewRomanPSMT" w:cs="TimesNewRomanPSMT"/>
      <w:color w:val="000000"/>
      <w:kern w:val="0"/>
      <w:sz w:val="24"/>
      <w:szCs w:val="24"/>
    </w:rPr>
  </w:style>
  <w:style w:type="paragraph" w:customStyle="1" w:styleId="63">
    <w:name w:val="样式2"/>
    <w:basedOn w:val="4"/>
    <w:qFormat/>
    <w:uiPriority w:val="0"/>
    <w:pPr>
      <w:tabs>
        <w:tab w:val="left" w:pos="567"/>
      </w:tabs>
      <w:snapToGrid/>
      <w:spacing w:before="156" w:beforeLines="50" w:line="400" w:lineRule="atLeast"/>
      <w:ind w:left="567" w:hanging="567"/>
      <w:jc w:val="left"/>
      <w:textAlignment w:val="baseline"/>
    </w:pPr>
    <w:rPr>
      <w:rFonts w:ascii="Times New Roman" w:hAnsi="Times New Roman" w:eastAsia="宋体"/>
      <w:b w:val="0"/>
      <w:bCs w:val="0"/>
      <w:snapToGrid/>
      <w:kern w:val="2"/>
      <w:szCs w:val="28"/>
    </w:rPr>
  </w:style>
  <w:style w:type="paragraph" w:customStyle="1" w:styleId="64">
    <w:name w:val="报告表格"/>
    <w:basedOn w:val="1"/>
    <w:qFormat/>
    <w:uiPriority w:val="0"/>
    <w:pPr>
      <w:autoSpaceDE w:val="0"/>
      <w:autoSpaceDN w:val="0"/>
      <w:adjustRightInd w:val="0"/>
      <w:spacing w:before="40" w:after="40"/>
      <w:jc w:val="center"/>
      <w:textAlignment w:val="bottom"/>
    </w:pPr>
    <w:rPr>
      <w:kern w:val="0"/>
      <w:sz w:val="21"/>
      <w:szCs w:val="20"/>
    </w:rPr>
  </w:style>
  <w:style w:type="character" w:customStyle="1" w:styleId="65">
    <w:name w:val="正文缩进 字符"/>
    <w:link w:val="8"/>
    <w:qFormat/>
    <w:uiPriority w:val="0"/>
    <w:rPr>
      <w:szCs w:val="20"/>
    </w:rPr>
  </w:style>
  <w:style w:type="paragraph" w:customStyle="1" w:styleId="66">
    <w:name w:val="表格标题"/>
    <w:basedOn w:val="67"/>
    <w:next w:val="1"/>
    <w:qFormat/>
    <w:uiPriority w:val="0"/>
    <w:pPr>
      <w:spacing w:before="120"/>
    </w:pPr>
    <w:rPr>
      <w:rFonts w:eastAsia="仿宋_GB2312"/>
    </w:rPr>
  </w:style>
  <w:style w:type="paragraph" w:customStyle="1" w:styleId="67">
    <w:name w:val="表格内容"/>
    <w:basedOn w:val="8"/>
    <w:next w:val="8"/>
    <w:qFormat/>
    <w:uiPriority w:val="0"/>
    <w:pPr>
      <w:spacing w:line="360" w:lineRule="auto"/>
      <w:jc w:val="center"/>
    </w:pPr>
    <w:rPr>
      <w:color w:val="000000"/>
    </w:rPr>
  </w:style>
  <w:style w:type="paragraph" w:customStyle="1" w:styleId="68">
    <w:name w:val="表格文字2"/>
    <w:basedOn w:val="69"/>
    <w:qFormat/>
    <w:uiPriority w:val="0"/>
    <w:pPr>
      <w:tabs>
        <w:tab w:val="left" w:pos="7590"/>
      </w:tabs>
      <w:spacing w:before="60"/>
    </w:pPr>
  </w:style>
  <w:style w:type="paragraph" w:customStyle="1" w:styleId="69">
    <w:name w:val="表格文字"/>
    <w:basedOn w:val="1"/>
    <w:next w:val="1"/>
    <w:qFormat/>
    <w:uiPriority w:val="99"/>
    <w:pPr>
      <w:tabs>
        <w:tab w:val="left" w:pos="7590"/>
      </w:tabs>
      <w:snapToGrid w:val="0"/>
      <w:jc w:val="center"/>
    </w:pPr>
    <w:rPr>
      <w:sz w:val="21"/>
      <w:lang w:val="zh-CN"/>
    </w:rPr>
  </w:style>
  <w:style w:type="paragraph" w:customStyle="1" w:styleId="70">
    <w:name w:val="标题1"/>
    <w:basedOn w:val="1"/>
    <w:next w:val="1"/>
    <w:qFormat/>
    <w:uiPriority w:val="0"/>
    <w:pPr>
      <w:spacing w:line="500" w:lineRule="exact"/>
    </w:pPr>
    <w:rPr>
      <w:rFonts w:eastAsia="楷体_GB2312"/>
      <w:b/>
      <w:color w:val="000000"/>
      <w:spacing w:val="10"/>
      <w:sz w:val="28"/>
    </w:rPr>
  </w:style>
  <w:style w:type="paragraph" w:customStyle="1" w:styleId="71">
    <w:name w:val="正文-蓝色"/>
    <w:basedOn w:val="72"/>
    <w:qFormat/>
    <w:uiPriority w:val="0"/>
    <w:pPr>
      <w:ind w:firstLine="480"/>
    </w:pPr>
    <w:rPr>
      <w:color w:val="0000FF"/>
    </w:rPr>
  </w:style>
  <w:style w:type="paragraph" w:customStyle="1" w:styleId="72">
    <w:name w:val="正文-欣欣"/>
    <w:basedOn w:val="1"/>
    <w:next w:val="1"/>
    <w:qFormat/>
    <w:uiPriority w:val="0"/>
    <w:pPr>
      <w:ind w:firstLine="200" w:firstLineChars="200"/>
    </w:pPr>
    <w:rPr>
      <w:rFonts w:cs="Courier New"/>
      <w:szCs w:val="21"/>
    </w:rPr>
  </w:style>
  <w:style w:type="paragraph" w:customStyle="1" w:styleId="73">
    <w:name w:val="表格中文字"/>
    <w:basedOn w:val="1"/>
    <w:qFormat/>
    <w:uiPriority w:val="0"/>
    <w:pPr>
      <w:adjustRightInd w:val="0"/>
      <w:snapToGrid w:val="0"/>
      <w:spacing w:line="360" w:lineRule="atLeast"/>
      <w:jc w:val="center"/>
      <w:textAlignment w:val="baseline"/>
    </w:pPr>
    <w:rPr>
      <w:kern w:val="18"/>
      <w:sz w:val="21"/>
    </w:rPr>
  </w:style>
  <w:style w:type="character" w:customStyle="1" w:styleId="74">
    <w:name w:val="批注文字 字符"/>
    <w:basedOn w:val="40"/>
    <w:link w:val="11"/>
    <w:qFormat/>
    <w:uiPriority w:val="0"/>
    <w:rPr>
      <w:kern w:val="2"/>
      <w:sz w:val="24"/>
      <w:szCs w:val="24"/>
    </w:rPr>
  </w:style>
  <w:style w:type="character" w:customStyle="1" w:styleId="75">
    <w:name w:val="批注主题 字符"/>
    <w:basedOn w:val="74"/>
    <w:link w:val="35"/>
    <w:qFormat/>
    <w:uiPriority w:val="0"/>
    <w:rPr>
      <w:b/>
      <w:bCs/>
      <w:kern w:val="2"/>
      <w:sz w:val="24"/>
      <w:szCs w:val="24"/>
    </w:rPr>
  </w:style>
  <w:style w:type="paragraph" w:customStyle="1" w:styleId="76">
    <w:name w:val="WPSOffice手动目录 1"/>
    <w:qFormat/>
    <w:uiPriority w:val="0"/>
    <w:pPr>
      <w:ind w:leftChars="0"/>
    </w:pPr>
    <w:rPr>
      <w:rFonts w:ascii="Times New Roman" w:hAnsi="Times New Roman" w:eastAsia="宋体" w:cs="Times New Roman"/>
      <w:sz w:val="20"/>
      <w:szCs w:val="20"/>
    </w:rPr>
  </w:style>
  <w:style w:type="paragraph" w:customStyle="1" w:styleId="77">
    <w:name w:val="WPSOffice手动目录 2"/>
    <w:qFormat/>
    <w:uiPriority w:val="0"/>
    <w:pPr>
      <w:ind w:leftChars="200"/>
    </w:pPr>
    <w:rPr>
      <w:rFonts w:ascii="Times New Roman" w:hAnsi="Times New Roman" w:eastAsia="宋体" w:cs="Times New Roman"/>
      <w:sz w:val="20"/>
      <w:szCs w:val="20"/>
    </w:rPr>
  </w:style>
  <w:style w:type="paragraph" w:customStyle="1" w:styleId="78">
    <w:name w:val="正文文本缩进1"/>
    <w:basedOn w:val="1"/>
    <w:qFormat/>
    <w:uiPriority w:val="0"/>
    <w:pPr>
      <w:spacing w:after="120"/>
      <w:ind w:left="420" w:leftChars="200"/>
    </w:pPr>
    <w:rPr>
      <w:kern w:val="0"/>
      <w:sz w:val="20"/>
    </w:rPr>
  </w:style>
  <w:style w:type="character" w:customStyle="1" w:styleId="79">
    <w:name w:val="标题 1 Char"/>
    <w:link w:val="3"/>
    <w:qFormat/>
    <w:uiPriority w:val="0"/>
    <w:rPr>
      <w:rFonts w:ascii="黑体" w:hAnsi="黑体" w:eastAsia="黑体"/>
      <w:b/>
      <w:snapToGrid w:val="0"/>
      <w:color w:val="000000"/>
      <w:sz w:val="32"/>
    </w:rPr>
  </w:style>
  <w:style w:type="paragraph" w:customStyle="1" w:styleId="80">
    <w:name w:val="No Spacing1"/>
    <w:qFormat/>
    <w:uiPriority w:val="0"/>
    <w:pPr>
      <w:widowControl w:val="0"/>
      <w:contextualSpacing/>
      <w:jc w:val="center"/>
    </w:pPr>
    <w:rPr>
      <w:rFonts w:ascii="Times New Roman" w:hAnsi="Times New Roman" w:eastAsia="宋体" w:cs="Times New Roman"/>
      <w:sz w:val="21"/>
      <w:szCs w:val="24"/>
      <w:lang w:val="en-US" w:eastAsia="zh-CN" w:bidi="ar-SA"/>
    </w:rPr>
  </w:style>
  <w:style w:type="paragraph" w:styleId="81">
    <w:name w:val="No Spacing"/>
    <w:basedOn w:val="1"/>
    <w:next w:val="82"/>
    <w:qFormat/>
    <w:uiPriority w:val="1"/>
    <w:pPr>
      <w:widowControl w:val="0"/>
      <w:spacing w:line="340" w:lineRule="exact"/>
      <w:jc w:val="center"/>
    </w:pPr>
    <w:rPr>
      <w:rFonts w:ascii="Times New Roman" w:hAnsi="Times New Roman" w:eastAsia="宋体" w:cs="Times New Roman"/>
      <w:kern w:val="2"/>
      <w:sz w:val="21"/>
      <w:szCs w:val="24"/>
      <w:lang w:val="en-US" w:eastAsia="zh-CN" w:bidi="ar-SA"/>
    </w:rPr>
  </w:style>
  <w:style w:type="paragraph" w:customStyle="1" w:styleId="82">
    <w:name w:val="书正文"/>
    <w:basedOn w:val="1"/>
    <w:qFormat/>
    <w:uiPriority w:val="0"/>
    <w:pPr>
      <w:ind w:firstLine="480"/>
      <w:jc w:val="both"/>
    </w:pPr>
    <w:rPr>
      <w:rFonts w:ascii="Times New Roman" w:hAnsi="Times New Roman" w:eastAsia="宋体"/>
      <w:color w:val="000000"/>
      <w:sz w:val="24"/>
      <w:szCs w:val="22"/>
      <w:shd w:val="clear" w:color="auto" w:fill="FFFFFF"/>
    </w:rPr>
  </w:style>
  <w:style w:type="character" w:customStyle="1" w:styleId="83">
    <w:name w:val="font61"/>
    <w:basedOn w:val="40"/>
    <w:qFormat/>
    <w:uiPriority w:val="0"/>
    <w:rPr>
      <w:rFonts w:hint="eastAsia" w:ascii="宋体" w:hAnsi="宋体" w:eastAsia="宋体" w:cs="宋体"/>
      <w:color w:val="000000"/>
      <w:sz w:val="20"/>
      <w:szCs w:val="20"/>
      <w:u w:val="none"/>
    </w:rPr>
  </w:style>
  <w:style w:type="paragraph" w:customStyle="1" w:styleId="84">
    <w:name w:val="表头"/>
    <w:basedOn w:val="66"/>
    <w:next w:val="1"/>
    <w:qFormat/>
    <w:uiPriority w:val="0"/>
    <w:pPr>
      <w:widowControl/>
      <w:ind w:firstLine="0" w:firstLineChars="0"/>
      <w:jc w:val="center"/>
    </w:pPr>
    <w:rPr>
      <w:b/>
      <w:kern w:val="0"/>
      <w:sz w:val="20"/>
      <w:szCs w:val="20"/>
    </w:rPr>
  </w:style>
  <w:style w:type="paragraph" w:customStyle="1" w:styleId="85">
    <w:name w:val="0表格"/>
    <w:basedOn w:val="1"/>
    <w:qFormat/>
    <w:uiPriority w:val="0"/>
    <w:pPr>
      <w:widowControl/>
      <w:jc w:val="center"/>
    </w:pPr>
    <w:rPr>
      <w:kern w:val="0"/>
      <w:szCs w:val="21"/>
    </w:rPr>
  </w:style>
  <w:style w:type="character" w:customStyle="1" w:styleId="86">
    <w:name w:val="标题 5 Char"/>
    <w:link w:val="7"/>
    <w:qFormat/>
    <w:uiPriority w:val="0"/>
    <w:rPr>
      <w:b/>
      <w:bCs/>
      <w:sz w:val="21"/>
      <w:szCs w:val="28"/>
    </w:rPr>
  </w:style>
  <w:style w:type="paragraph" w:customStyle="1" w:styleId="87">
    <w:name w:val="【表头】"/>
    <w:basedOn w:val="1"/>
    <w:qFormat/>
    <w:uiPriority w:val="0"/>
    <w:pPr>
      <w:snapToGrid w:val="0"/>
      <w:jc w:val="center"/>
    </w:pPr>
    <w:rPr>
      <w:rFonts w:ascii="Times New Roman" w:hAnsi="Times New Roman" w:eastAsia="黑体"/>
      <w:b/>
      <w:spacing w:val="4"/>
      <w:kern w:val="0"/>
      <w:sz w:val="24"/>
      <w:szCs w:val="24"/>
      <w:lang w:val="zh-CN"/>
    </w:rPr>
  </w:style>
  <w:style w:type="paragraph" w:customStyle="1" w:styleId="88">
    <w:name w:val="【表中文字】"/>
    <w:basedOn w:val="1"/>
    <w:qFormat/>
    <w:uiPriority w:val="0"/>
    <w:pPr>
      <w:adjustRightInd w:val="0"/>
      <w:snapToGrid w:val="0"/>
      <w:jc w:val="center"/>
    </w:pPr>
    <w:rPr>
      <w:kern w:val="0"/>
      <w:sz w:val="20"/>
      <w:szCs w:val="20"/>
    </w:rPr>
  </w:style>
  <w:style w:type="paragraph" w:customStyle="1" w:styleId="89">
    <w:name w:val="报告表正文"/>
    <w:basedOn w:val="1"/>
    <w:qFormat/>
    <w:uiPriority w:val="0"/>
    <w:pPr>
      <w:adjustRightInd w:val="0"/>
      <w:spacing w:line="312" w:lineRule="auto"/>
      <w:ind w:left="113" w:right="113" w:firstLine="482"/>
      <w:jc w:val="left"/>
      <w:textAlignment w:val="baseline"/>
    </w:pPr>
    <w:rPr>
      <w:kern w:val="0"/>
      <w:szCs w:val="20"/>
    </w:rPr>
  </w:style>
  <w:style w:type="paragraph" w:customStyle="1" w:styleId="90">
    <w:name w:val="纯文本1"/>
    <w:basedOn w:val="1"/>
    <w:qFormat/>
    <w:uiPriority w:val="0"/>
    <w:rPr>
      <w:rFonts w:ascii="宋体" w:hAnsi="Courier New"/>
      <w:kern w:val="0"/>
      <w:sz w:val="20"/>
      <w:szCs w:val="20"/>
    </w:rPr>
  </w:style>
  <w:style w:type="paragraph" w:customStyle="1" w:styleId="91">
    <w:name w:val="p0"/>
    <w:basedOn w:val="1"/>
    <w:qFormat/>
    <w:uiPriority w:val="0"/>
    <w:pPr>
      <w:widowControl/>
      <w:spacing w:before="100" w:beforeAutospacing="1" w:after="100" w:afterAutospacing="1"/>
      <w:jc w:val="left"/>
    </w:pPr>
    <w:rPr>
      <w:rFonts w:ascii="宋体" w:hAnsi="宋体" w:cs="宋体"/>
      <w:kern w:val="0"/>
    </w:rPr>
  </w:style>
  <w:style w:type="paragraph" w:customStyle="1" w:styleId="92">
    <w:name w:val="表头样式"/>
    <w:basedOn w:val="1"/>
    <w:qFormat/>
    <w:uiPriority w:val="0"/>
    <w:pPr>
      <w:spacing w:beforeLines="50" w:afterLines="50"/>
      <w:jc w:val="center"/>
    </w:pPr>
    <w:rPr>
      <w:b/>
      <w:szCs w:val="21"/>
    </w:rPr>
  </w:style>
  <w:style w:type="paragraph" w:customStyle="1" w:styleId="93">
    <w:name w:val="正文01"/>
    <w:basedOn w:val="1"/>
    <w:link w:val="119"/>
    <w:qFormat/>
    <w:uiPriority w:val="0"/>
    <w:pPr>
      <w:ind w:firstLine="482"/>
    </w:pPr>
    <w:rPr>
      <w:szCs w:val="20"/>
    </w:rPr>
  </w:style>
  <w:style w:type="paragraph" w:customStyle="1" w:styleId="94">
    <w:name w:val="【正文】"/>
    <w:basedOn w:val="1"/>
    <w:qFormat/>
    <w:uiPriority w:val="0"/>
    <w:pPr>
      <w:spacing w:line="440" w:lineRule="exact"/>
      <w:ind w:firstLine="544" w:firstLineChars="200"/>
    </w:pPr>
    <w:rPr>
      <w:sz w:val="24"/>
      <w:szCs w:val="20"/>
    </w:rPr>
  </w:style>
  <w:style w:type="paragraph" w:customStyle="1" w:styleId="95">
    <w:name w:val="fcc正文"/>
    <w:basedOn w:val="1"/>
    <w:qFormat/>
    <w:uiPriority w:val="0"/>
    <w:pPr>
      <w:ind w:firstLine="200" w:firstLineChars="200"/>
    </w:pPr>
    <w:rPr>
      <w:rFonts w:ascii="Calibri" w:hAnsi="Calibri" w:cs="Times New Roman"/>
      <w:szCs w:val="20"/>
      <w:lang w:val="zh-CN"/>
    </w:rPr>
  </w:style>
  <w:style w:type="character" w:customStyle="1" w:styleId="96">
    <w:name w:val="页码1"/>
    <w:basedOn w:val="40"/>
    <w:qFormat/>
    <w:uiPriority w:val="0"/>
  </w:style>
  <w:style w:type="paragraph" w:customStyle="1" w:styleId="97">
    <w:name w:val="样式 样式 (西文) 宋体 (中文) 仿宋_GB2312 小四 + 首行缩进:  2 字符 行距: 最小值 12 磅"/>
    <w:basedOn w:val="1"/>
    <w:qFormat/>
    <w:uiPriority w:val="0"/>
    <w:pPr>
      <w:spacing w:line="240" w:lineRule="atLeast"/>
      <w:ind w:firstLine="640" w:firstLineChars="200"/>
      <w:jc w:val="left"/>
    </w:pPr>
    <w:rPr>
      <w:rFonts w:ascii="仿宋_GB2312" w:eastAsia="仿宋_GB2312"/>
      <w:b/>
      <w:color w:val="000000"/>
      <w:sz w:val="30"/>
      <w:szCs w:val="28"/>
    </w:rPr>
  </w:style>
  <w:style w:type="paragraph" w:customStyle="1" w:styleId="98">
    <w:name w:val="Normal (Web)"/>
    <w:basedOn w:val="1"/>
    <w:qFormat/>
    <w:uiPriority w:val="0"/>
    <w:pPr>
      <w:spacing w:before="100" w:beforeAutospacing="1" w:after="100" w:afterAutospacing="1"/>
    </w:pPr>
    <w:rPr>
      <w:rFonts w:ascii="宋体" w:hAnsi="宋体" w:cs="宋体"/>
      <w:sz w:val="24"/>
    </w:rPr>
  </w:style>
  <w:style w:type="paragraph" w:customStyle="1" w:styleId="99">
    <w:name w:val="List Paragraph"/>
    <w:basedOn w:val="1"/>
    <w:next w:val="1"/>
    <w:qFormat/>
    <w:uiPriority w:val="0"/>
    <w:pPr>
      <w:autoSpaceDE w:val="0"/>
      <w:autoSpaceDN w:val="0"/>
      <w:jc w:val="center"/>
    </w:pPr>
    <w:rPr>
      <w:szCs w:val="20"/>
    </w:rPr>
  </w:style>
  <w:style w:type="paragraph" w:customStyle="1" w:styleId="100">
    <w:name w:val="样式3"/>
    <w:basedOn w:val="8"/>
    <w:qFormat/>
    <w:uiPriority w:val="0"/>
    <w:pPr>
      <w:snapToGrid/>
      <w:spacing w:line="520" w:lineRule="atLeast"/>
      <w:ind w:firstLine="560"/>
      <w:jc w:val="left"/>
    </w:pPr>
    <w:rPr>
      <w:kern w:val="0"/>
      <w:sz w:val="28"/>
    </w:rPr>
  </w:style>
  <w:style w:type="paragraph" w:customStyle="1" w:styleId="101">
    <w:name w:val="正文-1"/>
    <w:link w:val="174"/>
    <w:qFormat/>
    <w:uiPriority w:val="0"/>
    <w:pPr>
      <w:spacing w:line="480" w:lineRule="exact"/>
      <w:ind w:firstLine="200" w:firstLineChars="200"/>
      <w:jc w:val="both"/>
    </w:pPr>
    <w:rPr>
      <w:rFonts w:ascii="Times New Roman" w:hAnsi="Times New Roman" w:eastAsia="宋体" w:cs="宋体"/>
      <w:kern w:val="2"/>
      <w:sz w:val="24"/>
      <w:lang w:val="en-US" w:eastAsia="zh-CN" w:bidi="ar-SA"/>
    </w:rPr>
  </w:style>
  <w:style w:type="paragraph" w:customStyle="1" w:styleId="102">
    <w:name w:val="表题"/>
    <w:basedOn w:val="16"/>
    <w:next w:val="1"/>
    <w:link w:val="171"/>
    <w:qFormat/>
    <w:uiPriority w:val="0"/>
    <w:pPr>
      <w:spacing w:line="480" w:lineRule="exact"/>
      <w:jc w:val="center"/>
    </w:pPr>
    <w:rPr>
      <w:rFonts w:ascii="Times New Roman" w:hAnsi="宋体" w:eastAsia="宋体" w:cs="Times New Roman"/>
      <w:b/>
      <w:kern w:val="2"/>
      <w:sz w:val="21"/>
      <w:szCs w:val="24"/>
      <w:lang w:val="en-US" w:eastAsia="zh-CN" w:bidi="ar-SA"/>
    </w:rPr>
  </w:style>
  <w:style w:type="paragraph" w:customStyle="1" w:styleId="103">
    <w:name w:val="表格"/>
    <w:basedOn w:val="16"/>
    <w:next w:val="1"/>
    <w:qFormat/>
    <w:uiPriority w:val="0"/>
    <w:pPr>
      <w:autoSpaceDE w:val="0"/>
      <w:autoSpaceDN w:val="0"/>
      <w:adjustRightInd w:val="0"/>
      <w:snapToGrid w:val="0"/>
      <w:spacing w:line="280" w:lineRule="exact"/>
      <w:jc w:val="center"/>
    </w:pPr>
    <w:rPr>
      <w:rFonts w:ascii="仿宋_GB2312" w:eastAsia="仿宋_GB2312"/>
      <w:kern w:val="0"/>
      <w:szCs w:val="20"/>
    </w:rPr>
  </w:style>
  <w:style w:type="paragraph" w:customStyle="1" w:styleId="104">
    <w:name w:val="-正文"/>
    <w:basedOn w:val="1"/>
    <w:link w:val="172"/>
    <w:qFormat/>
    <w:uiPriority w:val="0"/>
    <w:pPr>
      <w:widowControl w:val="0"/>
      <w:spacing w:line="480" w:lineRule="exact"/>
      <w:ind w:firstLine="200" w:firstLineChars="200"/>
      <w:jc w:val="both"/>
    </w:pPr>
    <w:rPr>
      <w:rFonts w:cs="宋体"/>
      <w:kern w:val="2"/>
      <w:sz w:val="24"/>
    </w:rPr>
  </w:style>
  <w:style w:type="paragraph" w:customStyle="1" w:styleId="105">
    <w:name w:val="-表格"/>
    <w:basedOn w:val="103"/>
    <w:next w:val="1"/>
    <w:uiPriority w:val="0"/>
    <w:pPr>
      <w:widowControl/>
      <w:tabs>
        <w:tab w:val="left" w:pos="3696"/>
      </w:tabs>
      <w:jc w:val="center"/>
    </w:pPr>
    <w:rPr>
      <w:rFonts w:ascii="宋体" w:hAnsi="宋体" w:cs="宋体"/>
      <w:snapToGrid w:val="0"/>
      <w:szCs w:val="20"/>
    </w:rPr>
  </w:style>
  <w:style w:type="paragraph" w:customStyle="1" w:styleId="106">
    <w:name w:val="GTR报告书表头"/>
    <w:basedOn w:val="1"/>
    <w:qFormat/>
    <w:uiPriority w:val="0"/>
    <w:pPr>
      <w:spacing w:line="500" w:lineRule="exact"/>
      <w:jc w:val="center"/>
    </w:pPr>
    <w:rPr>
      <w:rFonts w:eastAsia="黑体"/>
    </w:rPr>
  </w:style>
  <w:style w:type="paragraph" w:customStyle="1" w:styleId="107">
    <w:name w:val="GTR表格内容"/>
    <w:basedOn w:val="106"/>
    <w:qFormat/>
    <w:uiPriority w:val="0"/>
    <w:pPr>
      <w:spacing w:line="240" w:lineRule="auto"/>
    </w:pPr>
    <w:rPr>
      <w:rFonts w:eastAsia="宋体"/>
    </w:rPr>
  </w:style>
  <w:style w:type="paragraph" w:customStyle="1" w:styleId="108">
    <w:name w:val="小四正文格式"/>
    <w:basedOn w:val="1"/>
    <w:qFormat/>
    <w:uiPriority w:val="0"/>
    <w:pPr>
      <w:spacing w:line="360" w:lineRule="auto"/>
      <w:ind w:firstLine="200" w:firstLineChars="200"/>
    </w:pPr>
    <w:rPr>
      <w:rFonts w:ascii="宋体" w:hAnsi="宋体"/>
      <w:sz w:val="24"/>
    </w:rPr>
  </w:style>
  <w:style w:type="paragraph" w:customStyle="1" w:styleId="109">
    <w:name w:val="表中正文居中"/>
    <w:semiHidden/>
    <w:qFormat/>
    <w:uiPriority w:val="0"/>
    <w:pPr>
      <w:spacing w:before="120" w:after="156" w:line="240" w:lineRule="exact"/>
      <w:jc w:val="center"/>
    </w:pPr>
    <w:rPr>
      <w:rFonts w:ascii="宋体" w:hAnsi="Times New Roman" w:eastAsia="宋体" w:cs="Times New Roman"/>
      <w:kern w:val="2"/>
      <w:sz w:val="21"/>
      <w:lang w:val="en-US" w:eastAsia="zh-CN" w:bidi="ar-SA"/>
    </w:rPr>
  </w:style>
  <w:style w:type="paragraph" w:customStyle="1" w:styleId="110">
    <w:name w:val="表标题"/>
    <w:basedOn w:val="1"/>
    <w:next w:val="1"/>
    <w:semiHidden/>
    <w:qFormat/>
    <w:uiPriority w:val="0"/>
    <w:pPr>
      <w:adjustRightInd w:val="0"/>
      <w:jc w:val="center"/>
      <w:textAlignment w:val="baseline"/>
    </w:pPr>
    <w:rPr>
      <w:b/>
      <w:bCs/>
      <w:sz w:val="24"/>
      <w:szCs w:val="20"/>
    </w:rPr>
  </w:style>
  <w:style w:type="paragraph" w:customStyle="1" w:styleId="111">
    <w:name w:val="表格式"/>
    <w:qFormat/>
    <w:uiPriority w:val="0"/>
    <w:pPr>
      <w:spacing w:before="156" w:beforeLines="50" w:after="156" w:afterLines="50" w:line="240" w:lineRule="exact"/>
      <w:jc w:val="center"/>
    </w:pPr>
    <w:rPr>
      <w:rFonts w:ascii="Times New Roman" w:hAnsi="Times New Roman" w:eastAsia="宋体" w:cs="Times New Roman"/>
      <w:lang w:val="en-US" w:eastAsia="zh-CN" w:bidi="ar-SA"/>
    </w:rPr>
  </w:style>
  <w:style w:type="paragraph" w:customStyle="1" w:styleId="112">
    <w:name w:val=" Char Char Char Char Char Char Char Char Char1 Char Char Char Char"/>
    <w:basedOn w:val="1"/>
    <w:qFormat/>
    <w:uiPriority w:val="0"/>
    <w:rPr>
      <w:sz w:val="24"/>
    </w:rPr>
  </w:style>
  <w:style w:type="paragraph" w:customStyle="1" w:styleId="113">
    <w:name w:val="报告正文"/>
    <w:basedOn w:val="1"/>
    <w:link w:val="128"/>
    <w:semiHidden/>
    <w:qFormat/>
    <w:uiPriority w:val="0"/>
    <w:pPr>
      <w:adjustRightInd w:val="0"/>
      <w:snapToGrid w:val="0"/>
      <w:spacing w:line="480" w:lineRule="exact"/>
      <w:ind w:firstLine="560" w:firstLineChars="200"/>
    </w:pPr>
    <w:rPr>
      <w:sz w:val="28"/>
    </w:rPr>
  </w:style>
  <w:style w:type="paragraph" w:customStyle="1" w:styleId="114">
    <w:name w:val="常用正文样式"/>
    <w:basedOn w:val="1"/>
    <w:uiPriority w:val="0"/>
    <w:pPr>
      <w:spacing w:line="360" w:lineRule="auto"/>
      <w:ind w:firstLine="480" w:firstLineChars="200"/>
    </w:pPr>
    <w:rPr>
      <w:rFonts w:ascii="宋体" w:hAnsi="宋体" w:eastAsia="仿宋_GB2312" w:cs="宋体"/>
      <w:bCs/>
      <w:kern w:val="28"/>
      <w:sz w:val="24"/>
    </w:rPr>
  </w:style>
  <w:style w:type="paragraph" w:customStyle="1" w:styleId="115">
    <w:name w:val="样式4"/>
    <w:basedOn w:val="1"/>
    <w:next w:val="1"/>
    <w:qFormat/>
    <w:uiPriority w:val="0"/>
    <w:pPr>
      <w:spacing w:line="440" w:lineRule="exact"/>
    </w:pPr>
    <w:rPr>
      <w:sz w:val="24"/>
      <w:szCs w:val="20"/>
    </w:rPr>
  </w:style>
  <w:style w:type="paragraph" w:customStyle="1" w:styleId="116">
    <w:name w:val="表格头"/>
    <w:basedOn w:val="1"/>
    <w:qFormat/>
    <w:uiPriority w:val="0"/>
    <w:pPr>
      <w:widowControl w:val="0"/>
      <w:jc w:val="center"/>
    </w:pPr>
    <w:rPr>
      <w:rFonts w:ascii="黑体" w:hAnsi="黑体"/>
      <w:b/>
      <w:sz w:val="21"/>
      <w:szCs w:val="24"/>
    </w:rPr>
  </w:style>
  <w:style w:type="paragraph" w:customStyle="1" w:styleId="117">
    <w:name w:val="-表题"/>
    <w:next w:val="104"/>
    <w:qFormat/>
    <w:uiPriority w:val="0"/>
    <w:pPr>
      <w:spacing w:line="480" w:lineRule="exact"/>
      <w:jc w:val="center"/>
    </w:pPr>
    <w:rPr>
      <w:rFonts w:ascii="Times New Roman" w:hAnsi="Times New Roman" w:eastAsia="宋体" w:cs="Times New Roman"/>
      <w:b/>
      <w:kern w:val="2"/>
      <w:sz w:val="21"/>
      <w:szCs w:val="24"/>
      <w:lang w:val="en-US" w:eastAsia="zh-CN" w:bidi="ar-SA"/>
    </w:rPr>
  </w:style>
  <w:style w:type="paragraph" w:customStyle="1" w:styleId="118">
    <w:name w:val="表中文字"/>
    <w:basedOn w:val="1"/>
    <w:qFormat/>
    <w:uiPriority w:val="0"/>
    <w:pPr>
      <w:widowControl w:val="0"/>
      <w:spacing w:line="300" w:lineRule="exact"/>
      <w:jc w:val="center"/>
    </w:pPr>
    <w:rPr>
      <w:color w:val="000000"/>
      <w:kern w:val="2"/>
      <w:sz w:val="21"/>
      <w:szCs w:val="24"/>
    </w:rPr>
  </w:style>
  <w:style w:type="character" w:customStyle="1" w:styleId="119">
    <w:name w:val="正文01 Char"/>
    <w:link w:val="93"/>
    <w:qFormat/>
    <w:uiPriority w:val="0"/>
    <w:rPr>
      <w:szCs w:val="20"/>
    </w:rPr>
  </w:style>
  <w:style w:type="paragraph" w:customStyle="1" w:styleId="120">
    <w:name w:val="表内容"/>
    <w:basedOn w:val="1"/>
    <w:next w:val="1"/>
    <w:qFormat/>
    <w:uiPriority w:val="0"/>
    <w:pPr>
      <w:jc w:val="center"/>
    </w:pPr>
    <w:rPr>
      <w:sz w:val="21"/>
      <w:szCs w:val="21"/>
    </w:rPr>
  </w:style>
  <w:style w:type="paragraph" w:customStyle="1" w:styleId="121">
    <w:name w:val="表格文字内容"/>
    <w:basedOn w:val="1"/>
    <w:qFormat/>
    <w:uiPriority w:val="0"/>
    <w:pPr>
      <w:spacing w:line="240" w:lineRule="exact"/>
      <w:jc w:val="center"/>
    </w:pPr>
    <w:rPr>
      <w:rFonts w:hAnsi="宋体"/>
      <w:sz w:val="18"/>
    </w:rPr>
  </w:style>
  <w:style w:type="paragraph" w:customStyle="1" w:styleId="122">
    <w:name w:val="报告正文scu"/>
    <w:qFormat/>
    <w:uiPriority w:val="0"/>
    <w:pPr>
      <w:widowControl w:val="0"/>
      <w:adjustRightInd w:val="0"/>
      <w:snapToGrid w:val="0"/>
      <w:spacing w:line="500" w:lineRule="exact"/>
      <w:ind w:firstLine="200" w:firstLineChars="200"/>
      <w:jc w:val="both"/>
    </w:pPr>
    <w:rPr>
      <w:rFonts w:ascii="Times New Roman" w:hAnsi="Times New Roman" w:eastAsia="宋体" w:cs="Times New Roman"/>
      <w:sz w:val="24"/>
      <w:szCs w:val="24"/>
      <w:lang w:val="en-US" w:eastAsia="zh-CN" w:bidi="ar-SA"/>
    </w:rPr>
  </w:style>
  <w:style w:type="paragraph" w:customStyle="1" w:styleId="123">
    <w:name w:val="_Style 1"/>
    <w:qFormat/>
    <w:uiPriority w:val="99"/>
    <w:pPr>
      <w:widowControl w:val="0"/>
      <w:jc w:val="both"/>
    </w:pPr>
    <w:rPr>
      <w:rFonts w:ascii="Times New Roman" w:hAnsi="Times New Roman" w:eastAsia="宋体" w:cs="Times New Roman"/>
      <w:bCs/>
      <w:sz w:val="24"/>
      <w:szCs w:val="24"/>
      <w:lang w:val="en-US" w:eastAsia="zh-CN" w:bidi="ar-SA"/>
    </w:rPr>
  </w:style>
  <w:style w:type="paragraph" w:customStyle="1" w:styleId="124">
    <w:name w:val="CM13"/>
    <w:basedOn w:val="47"/>
    <w:qFormat/>
    <w:uiPriority w:val="0"/>
    <w:rPr>
      <w:color w:val="auto"/>
    </w:rPr>
  </w:style>
  <w:style w:type="paragraph" w:customStyle="1" w:styleId="125">
    <w:name w:val="表格字体"/>
    <w:qFormat/>
    <w:uiPriority w:val="0"/>
    <w:pPr>
      <w:keepNext/>
      <w:keepLines/>
      <w:jc w:val="center"/>
    </w:pPr>
    <w:rPr>
      <w:rFonts w:ascii="Times New Roman" w:hAnsi="Times New Roman" w:eastAsia="宋体" w:cs="Times New Roman"/>
      <w:kern w:val="2"/>
      <w:sz w:val="21"/>
      <w:szCs w:val="24"/>
      <w:lang w:val="en-US" w:eastAsia="zh-CN" w:bidi="ar-SA"/>
    </w:rPr>
  </w:style>
  <w:style w:type="paragraph" w:customStyle="1" w:styleId="126">
    <w:name w:val="4"/>
    <w:basedOn w:val="1"/>
    <w:next w:val="15"/>
    <w:qFormat/>
    <w:uiPriority w:val="0"/>
    <w:pPr>
      <w:ind w:firstLine="540"/>
    </w:pPr>
    <w:rPr>
      <w:rFonts w:ascii="宋体"/>
      <w:sz w:val="28"/>
      <w:szCs w:val="20"/>
    </w:rPr>
  </w:style>
  <w:style w:type="paragraph" w:customStyle="1" w:styleId="127">
    <w:name w:val="CM3"/>
    <w:qFormat/>
    <w:uiPriority w:val="0"/>
    <w:pPr>
      <w:widowControl w:val="0"/>
      <w:autoSpaceDE w:val="0"/>
      <w:autoSpaceDN w:val="0"/>
      <w:adjustRightInd w:val="0"/>
      <w:spacing w:line="500" w:lineRule="atLeast"/>
    </w:pPr>
    <w:rPr>
      <w:rFonts w:hint="eastAsia" w:ascii="宋体" w:hAnsi="Calibri" w:eastAsia="宋体" w:cs="Times New Roman"/>
      <w:sz w:val="24"/>
      <w:szCs w:val="24"/>
      <w:lang w:val="en-US" w:eastAsia="zh-CN" w:bidi="ar-SA"/>
    </w:rPr>
  </w:style>
  <w:style w:type="character" w:customStyle="1" w:styleId="128">
    <w:name w:val="报告正文 Char"/>
    <w:link w:val="113"/>
    <w:qFormat/>
    <w:uiPriority w:val="0"/>
    <w:rPr>
      <w:sz w:val="28"/>
    </w:rPr>
  </w:style>
  <w:style w:type="paragraph" w:customStyle="1" w:styleId="129">
    <w:name w:val="正文文本报告（报告）"/>
    <w:basedOn w:val="1"/>
    <w:qFormat/>
    <w:uiPriority w:val="0"/>
    <w:pPr>
      <w:spacing w:line="440" w:lineRule="exact"/>
      <w:ind w:firstLine="200" w:firstLineChars="200"/>
    </w:pPr>
    <w:rPr>
      <w:sz w:val="24"/>
    </w:rPr>
  </w:style>
  <w:style w:type="character" w:customStyle="1" w:styleId="130">
    <w:name w:val="font21"/>
    <w:basedOn w:val="40"/>
    <w:qFormat/>
    <w:uiPriority w:val="0"/>
    <w:rPr>
      <w:rFonts w:hint="eastAsia" w:ascii="宋体" w:hAnsi="宋体" w:eastAsia="宋体" w:cs="宋体"/>
      <w:color w:val="000000"/>
      <w:sz w:val="22"/>
      <w:szCs w:val="22"/>
      <w:u w:val="none"/>
    </w:rPr>
  </w:style>
  <w:style w:type="paragraph" w:customStyle="1" w:styleId="131">
    <w:name w:val="章节目录"/>
    <w:basedOn w:val="1"/>
    <w:qFormat/>
    <w:uiPriority w:val="0"/>
    <w:pPr>
      <w:spacing w:line="360" w:lineRule="auto"/>
      <w:outlineLvl w:val="0"/>
    </w:pPr>
    <w:rPr>
      <w:b/>
      <w:sz w:val="28"/>
      <w:szCs w:val="28"/>
    </w:rPr>
  </w:style>
  <w:style w:type="paragraph" w:customStyle="1" w:styleId="132">
    <w:name w:val="报告表"/>
    <w:basedOn w:val="1"/>
    <w:qFormat/>
    <w:uiPriority w:val="0"/>
    <w:pPr>
      <w:autoSpaceDE w:val="0"/>
      <w:autoSpaceDN w:val="0"/>
      <w:spacing w:line="360" w:lineRule="auto"/>
      <w:ind w:firstLine="480" w:firstLineChars="200"/>
    </w:pPr>
    <w:rPr>
      <w:kern w:val="0"/>
      <w:sz w:val="24"/>
      <w:lang w:bidi="zh-CN"/>
    </w:rPr>
  </w:style>
  <w:style w:type="paragraph" w:customStyle="1" w:styleId="133">
    <w:name w:val="Default1"/>
    <w:qFormat/>
    <w:uiPriority w:val="0"/>
    <w:pPr>
      <w:widowControl w:val="0"/>
      <w:autoSpaceDE w:val="0"/>
      <w:autoSpaceDN w:val="0"/>
      <w:adjustRightInd w:val="0"/>
      <w:jc w:val="center"/>
    </w:pPr>
    <w:rPr>
      <w:rFonts w:ascii="Times New Roman" w:hAnsi="Times New Roman" w:eastAsia="宋体" w:cs="宋体"/>
      <w:b/>
      <w:color w:val="000000"/>
      <w:sz w:val="21"/>
      <w:szCs w:val="24"/>
      <w:lang w:val="en-US" w:eastAsia="zh-CN" w:bidi="ar-SA"/>
    </w:rPr>
  </w:style>
  <w:style w:type="paragraph" w:customStyle="1" w:styleId="134">
    <w:name w:val="01表格"/>
    <w:basedOn w:val="1"/>
    <w:next w:val="1"/>
    <w:qFormat/>
    <w:uiPriority w:val="0"/>
    <w:pPr>
      <w:overflowPunct w:val="0"/>
      <w:topLinePunct/>
      <w:adjustRightInd w:val="0"/>
      <w:snapToGrid w:val="0"/>
      <w:spacing w:line="240" w:lineRule="auto"/>
      <w:jc w:val="center"/>
    </w:pPr>
    <w:rPr>
      <w:snapToGrid w:val="0"/>
      <w:kern w:val="0"/>
      <w:sz w:val="21"/>
      <w:szCs w:val="21"/>
    </w:rPr>
  </w:style>
  <w:style w:type="paragraph" w:customStyle="1" w:styleId="135">
    <w:name w:val="表字"/>
    <w:basedOn w:val="1"/>
    <w:qFormat/>
    <w:uiPriority w:val="0"/>
    <w:pPr>
      <w:spacing w:line="240" w:lineRule="auto"/>
      <w:jc w:val="center"/>
    </w:pPr>
    <w:rPr>
      <w:sz w:val="21"/>
      <w:szCs w:val="20"/>
    </w:rPr>
  </w:style>
  <w:style w:type="paragraph" w:customStyle="1" w:styleId="136">
    <w:name w:val="正文格式"/>
    <w:next w:val="1"/>
    <w:qFormat/>
    <w:uiPriority w:val="0"/>
    <w:pPr>
      <w:spacing w:before="156" w:beforeLines="50" w:line="440" w:lineRule="exact"/>
      <w:ind w:firstLine="560" w:firstLineChars="200"/>
    </w:pPr>
    <w:rPr>
      <w:rFonts w:ascii="Times New Roman" w:hAnsi="Times New Roman" w:eastAsia="仿宋_GB2312" w:cs="Times New Roman"/>
      <w:kern w:val="2"/>
      <w:sz w:val="28"/>
      <w:szCs w:val="28"/>
      <w:lang w:val="en-US" w:eastAsia="zh-CN" w:bidi="ar-SA"/>
    </w:rPr>
  </w:style>
  <w:style w:type="paragraph" w:customStyle="1" w:styleId="137">
    <w:name w:val="样式 小四 首行缩进:  0.85 厘米 行距: 1.5 倍行距"/>
    <w:basedOn w:val="1"/>
    <w:qFormat/>
    <w:uiPriority w:val="0"/>
    <w:pPr>
      <w:adjustRightInd w:val="0"/>
      <w:spacing w:line="360" w:lineRule="auto"/>
      <w:ind w:firstLine="480"/>
      <w:textAlignment w:val="baseline"/>
    </w:pPr>
    <w:rPr>
      <w:sz w:val="24"/>
    </w:rPr>
  </w:style>
  <w:style w:type="paragraph" w:customStyle="1" w:styleId="138">
    <w:name w:val="3"/>
    <w:basedOn w:val="139"/>
    <w:qFormat/>
    <w:uiPriority w:val="0"/>
    <w:pPr>
      <w:keepNext w:val="0"/>
      <w:keepLines w:val="0"/>
      <w:widowControl w:val="0"/>
      <w:suppressLineNumbers w:val="0"/>
      <w:spacing w:before="0" w:beforeAutospacing="0" w:after="0" w:afterAutospacing="0" w:line="312" w:lineRule="auto"/>
      <w:ind w:left="0" w:right="0" w:firstLine="200" w:firstLineChars="200"/>
      <w:jc w:val="both"/>
    </w:pPr>
    <w:rPr>
      <w:rFonts w:hint="default" w:ascii="Times New Roman" w:hAnsi="Times New Roman" w:eastAsia="黑体" w:cs="Times New Roman"/>
      <w:kern w:val="2"/>
      <w:sz w:val="24"/>
      <w:szCs w:val="24"/>
      <w:lang w:val="en-US" w:eastAsia="zh-CN" w:bidi="ar"/>
    </w:rPr>
  </w:style>
  <w:style w:type="paragraph" w:customStyle="1" w:styleId="139">
    <w:name w:val="正正"/>
    <w:basedOn w:val="1"/>
    <w:qFormat/>
    <w:uiPriority w:val="0"/>
    <w:pPr>
      <w:keepNext w:val="0"/>
      <w:keepLines w:val="0"/>
      <w:widowControl w:val="0"/>
      <w:suppressLineNumbers w:val="0"/>
      <w:spacing w:before="0" w:beforeAutospacing="0" w:after="0" w:afterAutospacing="0" w:line="312" w:lineRule="auto"/>
      <w:ind w:left="0" w:right="0" w:firstLine="200" w:firstLineChars="200"/>
      <w:jc w:val="both"/>
    </w:pPr>
    <w:rPr>
      <w:rFonts w:hint="default" w:ascii="Times New Roman" w:hAnsi="Times New Roman" w:eastAsia="宋体" w:cs="Times New Roman"/>
      <w:kern w:val="2"/>
      <w:sz w:val="24"/>
      <w:szCs w:val="24"/>
      <w:lang w:val="en-US" w:eastAsia="zh-CN" w:bidi="ar"/>
    </w:rPr>
  </w:style>
  <w:style w:type="paragraph" w:customStyle="1" w:styleId="140">
    <w:name w:val="样式 样式 样式 表头 + 段前: 0.5 行 段后: 0.5 行 + 段后: 0.5 行 + 段前: 0.5 行"/>
    <w:basedOn w:val="1"/>
    <w:qFormat/>
    <w:uiPriority w:val="0"/>
    <w:pPr>
      <w:keepNext w:val="0"/>
      <w:keepLines w:val="0"/>
      <w:widowControl w:val="0"/>
      <w:suppressLineNumbers w:val="0"/>
      <w:adjustRightInd w:val="0"/>
      <w:snapToGrid w:val="0"/>
      <w:spacing w:before="120" w:beforeAutospacing="0" w:after="0" w:afterAutospacing="0" w:line="312" w:lineRule="auto"/>
      <w:ind w:left="0" w:right="0" w:firstLine="200" w:firstLineChars="200"/>
      <w:jc w:val="center"/>
    </w:pPr>
    <w:rPr>
      <w:rFonts w:hint="default" w:ascii="Times New Roman" w:hAnsi="Times New Roman" w:eastAsia="宋体" w:cs="宋体"/>
      <w:b/>
      <w:kern w:val="2"/>
      <w:sz w:val="24"/>
      <w:szCs w:val="20"/>
      <w:lang w:val="en-US" w:eastAsia="zh-CN" w:bidi="ar"/>
    </w:rPr>
  </w:style>
  <w:style w:type="paragraph" w:customStyle="1" w:styleId="141">
    <w:name w:val="单晶硅项目正文"/>
    <w:basedOn w:val="1"/>
    <w:qFormat/>
    <w:uiPriority w:val="0"/>
    <w:pPr>
      <w:keepNext w:val="0"/>
      <w:keepLines w:val="0"/>
      <w:widowControl w:val="0"/>
      <w:suppressLineNumbers w:val="0"/>
      <w:spacing w:before="0" w:beforeAutospacing="0" w:after="0" w:afterAutospacing="0" w:line="560" w:lineRule="exact"/>
      <w:ind w:left="0" w:right="0" w:firstLine="480" w:firstLineChars="200"/>
      <w:jc w:val="both"/>
    </w:pPr>
    <w:rPr>
      <w:rFonts w:hint="eastAsia" w:ascii="宋体" w:hAnsi="宋体" w:eastAsia="宋体" w:cs="Times New Roman"/>
      <w:color w:val="000000"/>
      <w:kern w:val="0"/>
      <w:sz w:val="24"/>
      <w:szCs w:val="24"/>
      <w:lang w:val="en-US" w:eastAsia="zh-CN" w:bidi="ar"/>
    </w:rPr>
  </w:style>
  <w:style w:type="paragraph" w:customStyle="1" w:styleId="142">
    <w:name w:val="p"/>
    <w:basedOn w:val="1"/>
    <w:qFormat/>
    <w:uiPriority w:val="0"/>
    <w:pPr>
      <w:adjustRightInd w:val="0"/>
      <w:snapToGrid w:val="0"/>
      <w:spacing w:line="360" w:lineRule="auto"/>
      <w:ind w:firstLine="1446" w:firstLineChars="200"/>
      <w:jc w:val="left"/>
    </w:pPr>
    <w:rPr>
      <w:kern w:val="0"/>
      <w:sz w:val="20"/>
      <w:szCs w:val="20"/>
    </w:rPr>
  </w:style>
  <w:style w:type="paragraph" w:customStyle="1" w:styleId="143">
    <w:name w:val="样式 行距: 固定值 24 磅 首行缩进:  2 字符"/>
    <w:basedOn w:val="1"/>
    <w:qFormat/>
    <w:uiPriority w:val="0"/>
    <w:pPr>
      <w:spacing w:line="480" w:lineRule="exact"/>
      <w:ind w:firstLine="480" w:firstLineChars="200"/>
    </w:pPr>
    <w:rPr>
      <w:sz w:val="24"/>
      <w:szCs w:val="20"/>
    </w:rPr>
  </w:style>
  <w:style w:type="paragraph" w:customStyle="1" w:styleId="144">
    <w:name w:val="正文样式"/>
    <w:basedOn w:val="1"/>
    <w:qFormat/>
    <w:uiPriority w:val="0"/>
    <w:pPr>
      <w:adjustRightInd w:val="0"/>
      <w:snapToGrid w:val="0"/>
      <w:spacing w:line="360" w:lineRule="auto"/>
      <w:ind w:firstLine="200" w:firstLineChars="200"/>
      <w:jc w:val="left"/>
    </w:pPr>
    <w:rPr>
      <w:rFonts w:cs="宋体"/>
      <w:sz w:val="24"/>
    </w:rPr>
  </w:style>
  <w:style w:type="table" w:customStyle="1" w:styleId="145">
    <w:name w:val="网格型1"/>
    <w:basedOn w:val="38"/>
    <w:unhideWhenUsed/>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46">
    <w:name w:val="p17"/>
    <w:basedOn w:val="1"/>
    <w:qFormat/>
    <w:uiPriority w:val="0"/>
    <w:pPr>
      <w:widowControl/>
      <w:spacing w:line="360" w:lineRule="auto"/>
      <w:ind w:firstLine="420"/>
    </w:pPr>
    <w:rPr>
      <w:rFonts w:ascii="宋体" w:hAnsi="宋体" w:cs="宋体"/>
      <w:color w:val="FF0000"/>
      <w:kern w:val="0"/>
      <w:sz w:val="24"/>
    </w:rPr>
  </w:style>
  <w:style w:type="paragraph" w:customStyle="1" w:styleId="147">
    <w:name w:val="p16"/>
    <w:basedOn w:val="1"/>
    <w:qFormat/>
    <w:uiPriority w:val="0"/>
    <w:pPr>
      <w:widowControl/>
      <w:snapToGrid w:val="0"/>
      <w:spacing w:line="360" w:lineRule="auto"/>
      <w:ind w:firstLine="420"/>
    </w:pPr>
    <w:rPr>
      <w:kern w:val="0"/>
      <w:sz w:val="24"/>
    </w:rPr>
  </w:style>
  <w:style w:type="paragraph" w:customStyle="1" w:styleId="148">
    <w:name w:val="正本文字"/>
    <w:basedOn w:val="1"/>
    <w:qFormat/>
    <w:uiPriority w:val="0"/>
    <w:pPr>
      <w:widowControl/>
      <w:adjustRightInd w:val="0"/>
      <w:snapToGrid w:val="0"/>
      <w:spacing w:line="360" w:lineRule="auto"/>
      <w:ind w:firstLine="480" w:firstLineChars="200"/>
      <w:jc w:val="left"/>
    </w:pPr>
    <w:rPr>
      <w:rFonts w:ascii="Calibri" w:hAnsi="Courier" w:eastAsia="PMingLiU" w:cs="宋体"/>
      <w:kern w:val="18"/>
      <w:sz w:val="24"/>
      <w:szCs w:val="20"/>
      <w:lang w:eastAsia="zh-TW"/>
    </w:rPr>
  </w:style>
  <w:style w:type="paragraph" w:customStyle="1" w:styleId="149">
    <w:name w:val="Table Paragraph"/>
    <w:basedOn w:val="1"/>
    <w:qFormat/>
    <w:uiPriority w:val="1"/>
    <w:pPr>
      <w:widowControl/>
      <w:jc w:val="left"/>
    </w:pPr>
    <w:rPr>
      <w:rFonts w:ascii="Calibri" w:hAnsi="Calibri" w:cs="宋体"/>
      <w:kern w:val="0"/>
      <w:sz w:val="22"/>
      <w:szCs w:val="22"/>
    </w:rPr>
  </w:style>
  <w:style w:type="paragraph" w:customStyle="1" w:styleId="150">
    <w:name w:val="样式1"/>
    <w:basedOn w:val="1"/>
    <w:next w:val="17"/>
    <w:qFormat/>
    <w:uiPriority w:val="0"/>
    <w:pPr>
      <w:ind w:left="90" w:leftChars="32"/>
    </w:pPr>
    <w:rPr>
      <w:rFonts w:ascii="宋体" w:hAnsi="宋体"/>
      <w:sz w:val="23"/>
      <w:szCs w:val="20"/>
    </w:rPr>
  </w:style>
  <w:style w:type="paragraph" w:customStyle="1" w:styleId="151">
    <w:name w:val="1表格"/>
    <w:basedOn w:val="1"/>
    <w:qFormat/>
    <w:uiPriority w:val="0"/>
    <w:pPr>
      <w:snapToGrid w:val="0"/>
      <w:spacing w:line="160" w:lineRule="atLeast"/>
      <w:jc w:val="center"/>
    </w:pPr>
    <w:rPr>
      <w:rFonts w:eastAsia="仿宋_GB2312"/>
      <w:szCs w:val="20"/>
    </w:rPr>
  </w:style>
  <w:style w:type="paragraph" w:customStyle="1" w:styleId="152">
    <w:name w:val="标题 41"/>
    <w:basedOn w:val="1"/>
    <w:uiPriority w:val="99"/>
    <w:pPr>
      <w:autoSpaceDE w:val="0"/>
      <w:autoSpaceDN w:val="0"/>
      <w:spacing w:before="2"/>
      <w:ind w:left="920"/>
      <w:jc w:val="left"/>
      <w:outlineLvl w:val="4"/>
    </w:pPr>
    <w:rPr>
      <w:rFonts w:ascii="宋体" w:hAnsi="宋体" w:cs="宋体"/>
      <w:b/>
      <w:bCs/>
      <w:kern w:val="0"/>
      <w:sz w:val="24"/>
      <w:lang w:val="zh-CN"/>
    </w:rPr>
  </w:style>
  <w:style w:type="paragraph" w:customStyle="1" w:styleId="153">
    <w:name w:val="标题 11"/>
    <w:basedOn w:val="1"/>
    <w:qFormat/>
    <w:uiPriority w:val="99"/>
    <w:pPr>
      <w:autoSpaceDE w:val="0"/>
      <w:autoSpaceDN w:val="0"/>
      <w:spacing w:before="49"/>
      <w:ind w:left="455"/>
      <w:jc w:val="center"/>
      <w:outlineLvl w:val="1"/>
    </w:pPr>
    <w:rPr>
      <w:rFonts w:ascii="宋体" w:hAnsi="宋体" w:cs="宋体"/>
      <w:b/>
      <w:bCs/>
      <w:kern w:val="0"/>
      <w:sz w:val="36"/>
      <w:szCs w:val="36"/>
      <w:lang w:val="zh-CN"/>
    </w:rPr>
  </w:style>
  <w:style w:type="paragraph" w:customStyle="1" w:styleId="154">
    <w:name w:val="正文粗"/>
    <w:basedOn w:val="1"/>
    <w:next w:val="82"/>
    <w:qFormat/>
    <w:uiPriority w:val="0"/>
    <w:pPr>
      <w:ind w:firstLine="482"/>
      <w:jc w:val="both"/>
    </w:pPr>
    <w:rPr>
      <w:rFonts w:ascii="Times New Roman" w:hAnsi="Times New Roman" w:eastAsia="宋体"/>
      <w:b/>
      <w:color w:val="000000"/>
      <w:sz w:val="24"/>
      <w:szCs w:val="20"/>
    </w:rPr>
  </w:style>
  <w:style w:type="paragraph" w:customStyle="1" w:styleId="155">
    <w:name w:val="表格粗"/>
    <w:basedOn w:val="82"/>
    <w:qFormat/>
    <w:uiPriority w:val="0"/>
    <w:pPr>
      <w:adjustRightInd w:val="0"/>
      <w:snapToGrid w:val="0"/>
      <w:spacing w:line="240" w:lineRule="auto"/>
      <w:ind w:firstLine="0" w:firstLineChars="0"/>
      <w:jc w:val="center"/>
    </w:pPr>
    <w:rPr>
      <w:b/>
      <w:sz w:val="21"/>
      <w:shd w:val="clear" w:color="auto" w:fill="auto"/>
    </w:rPr>
  </w:style>
  <w:style w:type="paragraph" w:customStyle="1" w:styleId="156">
    <w:name w:val="_Style 10"/>
    <w:basedOn w:val="1"/>
    <w:qFormat/>
    <w:uiPriority w:val="0"/>
    <w:rPr>
      <w:szCs w:val="20"/>
    </w:rPr>
  </w:style>
  <w:style w:type="paragraph" w:customStyle="1" w:styleId="157">
    <w:name w:val="表格1"/>
    <w:basedOn w:val="1"/>
    <w:qFormat/>
    <w:uiPriority w:val="99"/>
    <w:pPr>
      <w:spacing w:line="360" w:lineRule="exact"/>
    </w:pPr>
    <w:rPr>
      <w:rFonts w:hAnsi="宋?"/>
    </w:rPr>
  </w:style>
  <w:style w:type="paragraph" w:customStyle="1" w:styleId="158">
    <w:name w:val="zly-图表"/>
    <w:basedOn w:val="8"/>
    <w:qFormat/>
    <w:uiPriority w:val="0"/>
    <w:pPr>
      <w:jc w:val="center"/>
    </w:pPr>
    <w:rPr>
      <w:rFonts w:ascii="Calibri" w:hAnsi="Calibri"/>
    </w:rPr>
  </w:style>
  <w:style w:type="paragraph" w:customStyle="1" w:styleId="159">
    <w:name w:val="zly-正文"/>
    <w:basedOn w:val="1"/>
    <w:qFormat/>
    <w:uiPriority w:val="99"/>
    <w:pPr>
      <w:spacing w:line="360" w:lineRule="auto"/>
      <w:ind w:firstLine="200" w:firstLineChars="200"/>
    </w:pPr>
    <w:rPr>
      <w:rFonts w:ascii="Calibri" w:hAnsi="Calibri"/>
      <w:kern w:val="0"/>
      <w:sz w:val="24"/>
    </w:rPr>
  </w:style>
  <w:style w:type="paragraph" w:customStyle="1" w:styleId="160">
    <w:name w:val="正文文本 (2)"/>
    <w:basedOn w:val="1"/>
    <w:qFormat/>
    <w:uiPriority w:val="0"/>
    <w:pPr>
      <w:shd w:val="clear" w:color="auto" w:fill="FFFFFF"/>
      <w:spacing w:line="466" w:lineRule="exact"/>
      <w:ind w:hanging="520"/>
      <w:jc w:val="distribute"/>
    </w:pPr>
    <w:rPr>
      <w:rFonts w:ascii="MingLiU" w:hAnsi="MingLiU" w:eastAsia="MingLiU"/>
      <w:kern w:val="0"/>
      <w:sz w:val="22"/>
      <w:szCs w:val="22"/>
    </w:rPr>
  </w:style>
  <w:style w:type="paragraph" w:customStyle="1" w:styleId="161">
    <w:name w:val="妇幼正文"/>
    <w:basedOn w:val="1"/>
    <w:qFormat/>
    <w:uiPriority w:val="0"/>
    <w:pPr>
      <w:adjustRightInd w:val="0"/>
      <w:spacing w:line="360" w:lineRule="auto"/>
      <w:ind w:firstLine="480" w:firstLineChars="200"/>
    </w:pPr>
    <w:rPr>
      <w:color w:val="000000"/>
      <w:sz w:val="24"/>
    </w:rPr>
  </w:style>
  <w:style w:type="paragraph" w:customStyle="1" w:styleId="162">
    <w:name w:val="样式 小四 首行缩进:  0.95 厘米 行距: 多倍行距 1.25 字行"/>
    <w:basedOn w:val="1"/>
    <w:qFormat/>
    <w:uiPriority w:val="0"/>
    <w:pPr>
      <w:spacing w:line="360" w:lineRule="auto"/>
      <w:ind w:firstLine="539"/>
    </w:pPr>
    <w:rPr>
      <w:rFonts w:ascii="Times New Roman" w:hAnsi="Times New Roman" w:cs="宋体"/>
      <w:sz w:val="24"/>
      <w:szCs w:val="20"/>
      <w:lang w:bidi="ar-SA"/>
    </w:rPr>
  </w:style>
  <w:style w:type="paragraph" w:customStyle="1" w:styleId="163">
    <w:name w:val="文本正文3"/>
    <w:qFormat/>
    <w:uiPriority w:val="0"/>
    <w:pPr>
      <w:spacing w:line="360" w:lineRule="auto"/>
      <w:ind w:firstLine="177" w:firstLineChars="177"/>
    </w:pPr>
    <w:rPr>
      <w:rFonts w:ascii="Calibri" w:hAnsi="Calibri" w:eastAsia="宋体" w:cs="Times New Roman"/>
      <w:kern w:val="2"/>
      <w:sz w:val="24"/>
      <w:szCs w:val="21"/>
      <w:lang w:val="en-US" w:eastAsia="zh-CN" w:bidi="ar-SA"/>
    </w:rPr>
  </w:style>
  <w:style w:type="paragraph" w:customStyle="1" w:styleId="164">
    <w:name w:val="样式7"/>
    <w:basedOn w:val="115"/>
    <w:qFormat/>
    <w:uiPriority w:val="0"/>
    <w:pPr>
      <w:spacing w:before="0" w:beforeLines="0" w:after="0" w:afterLines="0"/>
      <w:ind w:firstLine="420" w:firstLineChars="200"/>
    </w:pPr>
    <w:rPr>
      <w:rFonts w:ascii="Times New Roman" w:eastAsia="华文中宋"/>
      <w:sz w:val="21"/>
      <w:szCs w:val="21"/>
    </w:rPr>
  </w:style>
  <w:style w:type="character" w:customStyle="1" w:styleId="165">
    <w:name w:val="font31"/>
    <w:basedOn w:val="40"/>
    <w:qFormat/>
    <w:uiPriority w:val="0"/>
    <w:rPr>
      <w:rFonts w:hint="default" w:ascii="Times New Roman" w:hAnsi="Times New Roman" w:cs="Times New Roman"/>
      <w:color w:val="000000"/>
      <w:sz w:val="21"/>
      <w:szCs w:val="21"/>
      <w:u w:val="none"/>
    </w:rPr>
  </w:style>
  <w:style w:type="character" w:customStyle="1" w:styleId="166">
    <w:name w:val="font11"/>
    <w:basedOn w:val="40"/>
    <w:uiPriority w:val="0"/>
    <w:rPr>
      <w:rFonts w:hint="default" w:ascii="Calibri" w:hAnsi="Calibri" w:cs="Calibri"/>
      <w:color w:val="000000"/>
      <w:sz w:val="21"/>
      <w:szCs w:val="21"/>
      <w:u w:val="none"/>
    </w:rPr>
  </w:style>
  <w:style w:type="paragraph" w:customStyle="1" w:styleId="167">
    <w:name w:val="正文文本1"/>
    <w:basedOn w:val="1"/>
    <w:qFormat/>
    <w:uiPriority w:val="0"/>
    <w:pPr>
      <w:spacing w:line="480" w:lineRule="exact"/>
      <w:ind w:firstLine="200" w:firstLineChars="200"/>
    </w:pPr>
    <w:rPr>
      <w:color w:val="000000"/>
      <w:sz w:val="24"/>
    </w:rPr>
  </w:style>
  <w:style w:type="paragraph" w:customStyle="1" w:styleId="168">
    <w:name w:val="Char4 Char Char Char"/>
    <w:basedOn w:val="1"/>
    <w:qFormat/>
    <w:uiPriority w:val="0"/>
    <w:pPr>
      <w:adjustRightInd w:val="0"/>
      <w:snapToGrid w:val="0"/>
      <w:spacing w:line="360" w:lineRule="auto"/>
      <w:ind w:firstLine="200" w:firstLineChars="200"/>
    </w:pPr>
    <w:rPr>
      <w:sz w:val="24"/>
      <w:szCs w:val="20"/>
    </w:rPr>
  </w:style>
  <w:style w:type="paragraph" w:customStyle="1" w:styleId="169">
    <w:name w:val="大标题"/>
    <w:basedOn w:val="1"/>
    <w:qFormat/>
    <w:uiPriority w:val="0"/>
    <w:pPr>
      <w:spacing w:line="360" w:lineRule="auto"/>
    </w:pPr>
    <w:rPr>
      <w:rFonts w:ascii="宋体" w:hAnsi="宋体"/>
      <w:b/>
      <w:sz w:val="30"/>
      <w:szCs w:val="24"/>
    </w:rPr>
  </w:style>
  <w:style w:type="paragraph" w:customStyle="1" w:styleId="170">
    <w:name w:val="表格01"/>
    <w:qFormat/>
    <w:uiPriority w:val="0"/>
    <w:pPr>
      <w:jc w:val="center"/>
    </w:pPr>
    <w:rPr>
      <w:rFonts w:ascii="Times New Roman" w:hAnsi="Times New Roman" w:eastAsia="宋体" w:cs="宋体"/>
      <w:kern w:val="2"/>
      <w:sz w:val="21"/>
      <w:szCs w:val="21"/>
      <w:lang w:val="en-US" w:eastAsia="zh-CN" w:bidi="ar-SA"/>
    </w:rPr>
  </w:style>
  <w:style w:type="character" w:customStyle="1" w:styleId="171">
    <w:name w:val="表题 Char"/>
    <w:link w:val="102"/>
    <w:qFormat/>
    <w:uiPriority w:val="0"/>
    <w:rPr>
      <w:rFonts w:ascii="Times New Roman" w:hAnsi="宋体" w:eastAsia="宋体" w:cs="Times New Roman"/>
      <w:b/>
      <w:kern w:val="2"/>
      <w:sz w:val="21"/>
      <w:szCs w:val="24"/>
      <w:lang w:val="en-US" w:eastAsia="zh-CN" w:bidi="ar-SA"/>
    </w:rPr>
  </w:style>
  <w:style w:type="character" w:customStyle="1" w:styleId="172">
    <w:name w:val="-正文 Char"/>
    <w:link w:val="104"/>
    <w:qFormat/>
    <w:uiPriority w:val="0"/>
    <w:rPr>
      <w:rFonts w:cs="宋体"/>
      <w:kern w:val="2"/>
      <w:sz w:val="24"/>
    </w:rPr>
  </w:style>
  <w:style w:type="paragraph" w:customStyle="1" w:styleId="173">
    <w:name w:val="标题-3"/>
    <w:basedOn w:val="1"/>
    <w:qFormat/>
    <w:uiPriority w:val="0"/>
    <w:pPr>
      <w:spacing w:line="480" w:lineRule="exact"/>
      <w:ind w:firstLine="482" w:firstLineChars="200"/>
    </w:pPr>
    <w:rPr>
      <w:rFonts w:cs="宋体"/>
      <w:b/>
      <w:bCs/>
      <w:sz w:val="24"/>
      <w:szCs w:val="20"/>
    </w:rPr>
  </w:style>
  <w:style w:type="character" w:customStyle="1" w:styleId="174">
    <w:name w:val="正文-1 Char"/>
    <w:link w:val="101"/>
    <w:qFormat/>
    <w:uiPriority w:val="0"/>
    <w:rPr>
      <w:rFonts w:ascii="Times New Roman" w:hAnsi="Times New Roman" w:eastAsia="宋体" w:cs="宋体"/>
      <w:kern w:val="2"/>
      <w:sz w:val="24"/>
      <w:lang w:val="en-US" w:eastAsia="zh-CN" w:bidi="ar-SA"/>
    </w:rPr>
  </w:style>
  <w:style w:type="character" w:customStyle="1" w:styleId="175">
    <w:name w:val="标题 2 Char"/>
    <w:link w:val="4"/>
    <w:uiPriority w:val="0"/>
    <w:rPr>
      <w:rFonts w:ascii="黑体" w:hAnsi="宋体" w:eastAsia="Times New Roman"/>
      <w:b/>
      <w:bCs/>
      <w:snapToGrid w:val="0"/>
      <w:kern w:val="0"/>
      <w:szCs w:val="20"/>
    </w:rPr>
  </w:style>
  <w:style w:type="paragraph" w:customStyle="1" w:styleId="176">
    <w:name w:val="13"/>
    <w:basedOn w:val="1"/>
    <w:qFormat/>
    <w:uiPriority w:val="0"/>
    <w:pPr>
      <w:wordWrap w:val="0"/>
      <w:autoSpaceDE w:val="0"/>
      <w:autoSpaceDN w:val="0"/>
      <w:adjustRightInd w:val="0"/>
      <w:jc w:val="center"/>
    </w:pPr>
    <w:rPr>
      <w:rFonts w:ascii="Calibri" w:hAnsi="Calibri" w:eastAsia="宋体" w:cs="Times New Roman"/>
      <w:kern w:val="0"/>
      <w:szCs w:val="21"/>
    </w:rPr>
  </w:style>
  <w:style w:type="paragraph" w:customStyle="1" w:styleId="177">
    <w:name w:val="12"/>
    <w:basedOn w:val="1"/>
    <w:link w:val="180"/>
    <w:qFormat/>
    <w:uiPriority w:val="0"/>
    <w:pPr>
      <w:wordWrap w:val="0"/>
      <w:topLinePunct/>
      <w:adjustRightInd w:val="0"/>
      <w:snapToGrid w:val="0"/>
      <w:spacing w:line="360" w:lineRule="auto"/>
      <w:ind w:firstLine="200" w:firstLineChars="200"/>
      <w:jc w:val="left"/>
    </w:pPr>
    <w:rPr>
      <w:sz w:val="24"/>
    </w:rPr>
  </w:style>
  <w:style w:type="paragraph" w:customStyle="1" w:styleId="178">
    <w:name w:val="14"/>
    <w:basedOn w:val="1"/>
    <w:qFormat/>
    <w:uiPriority w:val="0"/>
    <w:pPr>
      <w:tabs>
        <w:tab w:val="right" w:pos="8306"/>
      </w:tabs>
      <w:spacing w:line="360" w:lineRule="auto"/>
      <w:jc w:val="center"/>
    </w:pPr>
    <w:rPr>
      <w:b/>
      <w:bCs/>
      <w:color w:val="000000"/>
      <w:szCs w:val="21"/>
    </w:rPr>
  </w:style>
  <w:style w:type="paragraph" w:customStyle="1" w:styleId="179">
    <w:name w:val="表格内容-龙池"/>
    <w:basedOn w:val="1"/>
    <w:qFormat/>
    <w:uiPriority w:val="0"/>
    <w:pPr>
      <w:autoSpaceDE w:val="0"/>
      <w:autoSpaceDN w:val="0"/>
      <w:adjustRightInd w:val="0"/>
      <w:contextualSpacing/>
      <w:jc w:val="center"/>
    </w:pPr>
    <w:rPr>
      <w:kern w:val="0"/>
      <w:szCs w:val="21"/>
    </w:rPr>
  </w:style>
  <w:style w:type="character" w:customStyle="1" w:styleId="180">
    <w:name w:val="12 Char"/>
    <w:basedOn w:val="40"/>
    <w:link w:val="177"/>
    <w:uiPriority w:val="0"/>
    <w:rPr>
      <w:sz w:val="24"/>
    </w:rPr>
  </w:style>
  <w:style w:type="paragraph" w:customStyle="1" w:styleId="181">
    <w:name w:val="正文-龙池"/>
    <w:basedOn w:val="1"/>
    <w:qFormat/>
    <w:uiPriority w:val="0"/>
    <w:pPr>
      <w:autoSpaceDE w:val="0"/>
      <w:autoSpaceDN w:val="0"/>
      <w:adjustRightInd w:val="0"/>
      <w:spacing w:line="360" w:lineRule="auto"/>
      <w:ind w:firstLine="480" w:firstLineChars="200"/>
      <w:contextualSpacing/>
    </w:pPr>
    <w:rPr>
      <w:kern w:val="0"/>
      <w:sz w:val="24"/>
    </w:rPr>
  </w:style>
  <w:style w:type="paragraph" w:customStyle="1" w:styleId="182">
    <w:name w:val="标题-龙池"/>
    <w:basedOn w:val="1"/>
    <w:qFormat/>
    <w:uiPriority w:val="0"/>
    <w:pPr>
      <w:tabs>
        <w:tab w:val="left" w:pos="841"/>
      </w:tabs>
      <w:kinsoku w:val="0"/>
      <w:overflowPunct w:val="0"/>
      <w:autoSpaceDE w:val="0"/>
      <w:autoSpaceDN w:val="0"/>
      <w:adjustRightInd w:val="0"/>
      <w:spacing w:line="360" w:lineRule="auto"/>
      <w:contextualSpacing/>
      <w:jc w:val="center"/>
    </w:pPr>
    <w:rPr>
      <w:b/>
      <w:kern w:val="0"/>
      <w:szCs w:val="21"/>
    </w:rPr>
  </w:style>
  <w:style w:type="paragraph" w:customStyle="1" w:styleId="183">
    <w:name w:val="Body Text Indent"/>
    <w:basedOn w:val="1"/>
    <w:qFormat/>
    <w:uiPriority w:val="0"/>
    <w:pPr>
      <w:spacing w:line="360" w:lineRule="auto"/>
      <w:ind w:firstLine="480"/>
    </w:pPr>
    <w:rPr>
      <w:rFonts w:ascii="宋体"/>
      <w:sz w:val="24"/>
    </w:rPr>
  </w:style>
  <w:style w:type="paragraph" w:customStyle="1" w:styleId="184">
    <w:name w:val="Normal_0"/>
    <w:qFormat/>
    <w:uiPriority w:val="0"/>
    <w:pPr>
      <w:widowControl w:val="0"/>
      <w:spacing w:line="360" w:lineRule="auto"/>
      <w:ind w:firstLine="200" w:firstLineChars="200"/>
      <w:jc w:val="both"/>
    </w:pPr>
    <w:rPr>
      <w:rFonts w:ascii="Times New Roman" w:hAnsi="Times New Roman" w:eastAsia="仿宋" w:cs="Times New Roman"/>
      <w:kern w:val="2"/>
      <w:sz w:val="28"/>
      <w:szCs w:val="21"/>
      <w:lang w:val="en-US" w:eastAsia="zh-CN" w:bidi="ar-SA"/>
    </w:rPr>
  </w:style>
  <w:style w:type="character" w:customStyle="1" w:styleId="185">
    <w:name w:val="font01"/>
    <w:basedOn w:val="40"/>
    <w:qFormat/>
    <w:uiPriority w:val="0"/>
    <w:rPr>
      <w:rFonts w:hint="eastAsia" w:ascii="宋体" w:hAnsi="宋体" w:eastAsia="宋体" w:cs="宋体"/>
      <w:color w:val="000000"/>
      <w:sz w:val="24"/>
      <w:szCs w:val="24"/>
      <w:u w:val="none"/>
      <w:vertAlign w:val="superscript"/>
    </w:rPr>
  </w:style>
  <w:style w:type="paragraph" w:customStyle="1" w:styleId="186">
    <w:name w:val="表格题目"/>
    <w:basedOn w:val="9"/>
    <w:next w:val="187"/>
    <w:qFormat/>
    <w:uiPriority w:val="0"/>
    <w:pPr>
      <w:keepNext/>
    </w:pPr>
    <w:rPr>
      <w:rFonts w:ascii="黑体" w:hAnsi="黑体" w:eastAsia="黑体"/>
      <w:szCs w:val="24"/>
    </w:rPr>
  </w:style>
  <w:style w:type="paragraph" w:customStyle="1" w:styleId="187">
    <w:name w:val="表名、图名"/>
    <w:basedOn w:val="1"/>
    <w:next w:val="1"/>
    <w:uiPriority w:val="0"/>
    <w:pPr>
      <w:ind w:firstLine="0" w:firstLineChars="0"/>
      <w:jc w:val="center"/>
    </w:pPr>
    <w:rPr>
      <w:rFonts w:eastAsia="黑体"/>
    </w:rPr>
  </w:style>
  <w:style w:type="character" w:customStyle="1" w:styleId="188">
    <w:name w:val="font51"/>
    <w:basedOn w:val="40"/>
    <w:uiPriority w:val="0"/>
    <w:rPr>
      <w:rFonts w:hint="default" w:ascii="Times New Roman" w:hAnsi="Times New Roman" w:cs="Times New Roman"/>
      <w:color w:val="000000"/>
      <w:sz w:val="21"/>
      <w:szCs w:val="21"/>
      <w:u w:val="none"/>
      <w:vertAlign w:val="superscript"/>
    </w:rPr>
  </w:style>
  <w:style w:type="character" w:customStyle="1" w:styleId="189">
    <w:name w:val="font71"/>
    <w:qFormat/>
    <w:uiPriority w:val="0"/>
    <w:rPr>
      <w:rFonts w:hint="eastAsia" w:ascii="宋体" w:hAnsi="宋体" w:eastAsia="宋体" w:cs="宋体"/>
      <w:b/>
      <w:color w:val="000000"/>
      <w:sz w:val="21"/>
      <w:szCs w:val="21"/>
      <w:u w:val="none"/>
    </w:rPr>
  </w:style>
  <w:style w:type="character" w:customStyle="1" w:styleId="190">
    <w:name w:val="font41"/>
    <w:qFormat/>
    <w:uiPriority w:val="0"/>
    <w:rPr>
      <w:rFonts w:hint="eastAsia" w:ascii="宋体" w:hAnsi="宋体" w:eastAsia="宋体" w:cs="宋体"/>
      <w:color w:val="000000"/>
      <w:sz w:val="21"/>
      <w:szCs w:val="21"/>
      <w:u w:val="none"/>
    </w:rPr>
  </w:style>
  <w:style w:type="character" w:customStyle="1" w:styleId="191">
    <w:name w:val="font81"/>
    <w:basedOn w:val="40"/>
    <w:uiPriority w:val="0"/>
    <w:rPr>
      <w:rFonts w:hint="eastAsia" w:ascii="宋体" w:hAnsi="宋体" w:eastAsia="宋体" w:cs="宋体"/>
      <w:color w:val="000000"/>
      <w:sz w:val="24"/>
      <w:szCs w:val="24"/>
      <w:u w:val="none"/>
    </w:rPr>
  </w:style>
  <w:style w:type="character" w:customStyle="1" w:styleId="192">
    <w:name w:val="font101"/>
    <w:basedOn w:val="40"/>
    <w:uiPriority w:val="0"/>
    <w:rPr>
      <w:rFonts w:hint="default" w:ascii="Times New Roman" w:hAnsi="Times New Roman" w:cs="Times New Roman"/>
      <w:color w:val="000000"/>
      <w:sz w:val="21"/>
      <w:szCs w:val="21"/>
      <w:u w:val="none"/>
      <w:vertAlign w:val="superscript"/>
    </w:rPr>
  </w:style>
  <w:style w:type="paragraph" w:customStyle="1" w:styleId="193">
    <w:name w:val="Normal_0_0"/>
    <w:qFormat/>
    <w:uiPriority w:val="0"/>
    <w:pPr>
      <w:widowControl w:val="0"/>
      <w:spacing w:line="360" w:lineRule="auto"/>
      <w:ind w:firstLine="200" w:firstLineChars="200"/>
      <w:jc w:val="both"/>
    </w:pPr>
    <w:rPr>
      <w:rFonts w:ascii="Times New Roman" w:hAnsi="Times New Roman" w:eastAsia="仿宋" w:cs="Times New Roman"/>
      <w:kern w:val="2"/>
      <w:sz w:val="28"/>
      <w:szCs w:val="21"/>
      <w:lang w:bidi="ar-SA"/>
    </w:rPr>
  </w:style>
  <w:style w:type="table" w:customStyle="1" w:styleId="194">
    <w:name w:val="Table Grid_0"/>
    <w:basedOn w:val="38"/>
    <w:qFormat/>
    <w:uiPriority w:val="0"/>
    <w:rPr>
      <w:rFonts w:ascii="Times New Roman" w:hAnsi="Times New Roman" w:eastAsia="仿宋"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95">
    <w:name w:val="正文(首行缩进)宋旭峰"/>
    <w:basedOn w:val="8"/>
    <w:qFormat/>
    <w:uiPriority w:val="0"/>
    <w:pPr>
      <w:spacing w:line="360" w:lineRule="auto"/>
      <w:ind w:firstLine="480" w:firstLineChars="200"/>
    </w:pPr>
    <w:rPr>
      <w:snapToGrid w:val="0"/>
      <w:color w:val="0000FF"/>
      <w:kern w:val="0"/>
      <w:sz w:val="24"/>
      <w:szCs w:val="24"/>
    </w:rPr>
  </w:style>
  <w:style w:type="paragraph" w:customStyle="1" w:styleId="196">
    <w:name w:val="content"/>
    <w:basedOn w:val="1"/>
    <w:qFormat/>
    <w:uiPriority w:val="0"/>
    <w:pPr>
      <w:widowControl/>
      <w:spacing w:before="100" w:beforeAutospacing="1" w:after="100" w:afterAutospacing="1" w:line="360" w:lineRule="auto"/>
    </w:pPr>
    <w:rPr>
      <w:rFonts w:ascii="宋体" w:hAnsi="宋体"/>
      <w:kern w:val="0"/>
      <w:sz w:val="18"/>
      <w:szCs w:val="18"/>
    </w:rPr>
  </w:style>
  <w:style w:type="paragraph" w:customStyle="1" w:styleId="197">
    <w:name w:val="a正文"/>
    <w:basedOn w:val="1"/>
    <w:qFormat/>
    <w:uiPriority w:val="0"/>
    <w:pPr>
      <w:spacing w:line="360" w:lineRule="auto"/>
      <w:ind w:firstLine="200" w:firstLineChars="200"/>
    </w:pPr>
    <w:rPr>
      <w:rFonts w:ascii="Times New Roman" w:hAnsi="Times New Roman"/>
      <w:sz w:val="24"/>
      <w:szCs w:val="28"/>
    </w:rPr>
  </w:style>
  <w:style w:type="character" w:customStyle="1" w:styleId="198">
    <w:name w:val="nr1"/>
    <w:qFormat/>
    <w:uiPriority w:val="0"/>
    <w:rPr>
      <w:rFonts w:hint="default" w:ascii="ˎ̥" w:hAnsi="ˎ̥"/>
      <w:color w:val="000000"/>
      <w:sz w:val="21"/>
      <w:szCs w:val="21"/>
      <w:u w:val="none"/>
    </w:rPr>
  </w:style>
  <w:style w:type="paragraph" w:customStyle="1" w:styleId="199">
    <w:name w:val="1表内字"/>
    <w:next w:val="1"/>
    <w:qFormat/>
    <w:uiPriority w:val="0"/>
    <w:pPr>
      <w:shd w:val="clear" w:color="auto" w:fill="FFFFFF"/>
      <w:jc w:val="center"/>
    </w:pPr>
    <w:rPr>
      <w:rFonts w:ascii="Times New Roman" w:hAnsi="Times New Roman" w:eastAsia="宋体" w:cs="Times New Roman"/>
      <w:bCs/>
      <w:color w:val="000000"/>
      <w:kern w:val="2"/>
      <w:sz w:val="21"/>
      <w:szCs w:val="21"/>
      <w:lang w:val="en-US" w:eastAsia="zh-CN" w:bidi="ar-SA"/>
    </w:rPr>
  </w:style>
  <w:style w:type="paragraph" w:customStyle="1" w:styleId="200">
    <w:name w:val="TOC Heading"/>
    <w:basedOn w:val="3"/>
    <w:next w:val="1"/>
    <w:semiHidden/>
    <w:unhideWhenUsed/>
    <w:qFormat/>
    <w:uiPriority w:val="39"/>
    <w:pPr>
      <w:keepLines/>
      <w:widowControl/>
      <w:overflowPunct/>
      <w:snapToGrid/>
      <w:spacing w:before="480" w:after="0" w:line="276" w:lineRule="auto"/>
      <w:ind w:left="0" w:firstLine="0"/>
      <w:jc w:val="left"/>
      <w:outlineLvl w:val="9"/>
    </w:pPr>
    <w:rPr>
      <w:rFonts w:ascii="Cambria" w:hAnsi="Cambria" w:eastAsia="宋体"/>
      <w:color w:val="365F91"/>
      <w:kern w:val="0"/>
      <w:sz w:val="28"/>
      <w:szCs w:val="28"/>
    </w:rPr>
  </w:style>
  <w:style w:type="paragraph" w:customStyle="1" w:styleId="201">
    <w:name w:val="真·正文"/>
    <w:basedOn w:val="1"/>
    <w:next w:val="1"/>
    <w:qFormat/>
    <w:uiPriority w:val="0"/>
    <w:pPr>
      <w:ind w:firstLine="200"/>
    </w:pPr>
    <w:rPr>
      <w:rFonts w:ascii="Calibri"/>
      <w:sz w:val="24"/>
    </w:rPr>
  </w:style>
  <w:style w:type="paragraph" w:customStyle="1" w:styleId="202">
    <w:name w:val="正文A"/>
    <w:basedOn w:val="1"/>
    <w:qFormat/>
    <w:uiPriority w:val="0"/>
    <w:pPr>
      <w:spacing w:line="500" w:lineRule="exact"/>
      <w:ind w:firstLine="480" w:firstLineChars="200"/>
    </w:pPr>
    <w:rPr>
      <w:rFonts w:eastAsia="华文仿宋" w:cs="华文仿宋"/>
      <w:kern w:val="0"/>
      <w:sz w:val="24"/>
    </w:rPr>
  </w:style>
  <w:style w:type="paragraph" w:customStyle="1" w:styleId="203">
    <w:name w:val="表格正文(康健城)"/>
    <w:basedOn w:val="1"/>
    <w:qFormat/>
    <w:uiPriority w:val="0"/>
    <w:pPr>
      <w:adjustRightInd w:val="0"/>
      <w:snapToGrid w:val="0"/>
      <w:jc w:val="center"/>
    </w:pPr>
    <w:rPr>
      <w:szCs w:val="21"/>
    </w:rPr>
  </w:style>
  <w:style w:type="paragraph" w:customStyle="1" w:styleId="204">
    <w:name w:val="图件标题"/>
    <w:basedOn w:val="1"/>
    <w:qFormat/>
    <w:uiPriority w:val="0"/>
    <w:pPr>
      <w:ind w:firstLine="0" w:firstLineChars="0"/>
      <w:jc w:val="center"/>
    </w:pPr>
    <w:rPr>
      <w:rFonts w:ascii="Times New Roman" w:hAnsi="Times New Roman" w:eastAsia="宋体"/>
      <w:b/>
    </w:rPr>
  </w:style>
</w:styles>
</file>

<file path=word/_rels/document.xml.rels><?xml version="1.0" encoding="UTF-8" standalone="yes"?>
<Relationships xmlns="http://schemas.openxmlformats.org/package/2006/relationships"><Relationship Id="rId99" Type="http://schemas.openxmlformats.org/officeDocument/2006/relationships/image" Target="media/image35.wmf"/><Relationship Id="rId98" Type="http://schemas.openxmlformats.org/officeDocument/2006/relationships/oleObject" Target="embeddings/oleObject20.bin"/><Relationship Id="rId97" Type="http://schemas.openxmlformats.org/officeDocument/2006/relationships/image" Target="media/image34.wmf"/><Relationship Id="rId96" Type="http://schemas.openxmlformats.org/officeDocument/2006/relationships/oleObject" Target="embeddings/oleObject19.bin"/><Relationship Id="rId95" Type="http://schemas.openxmlformats.org/officeDocument/2006/relationships/image" Target="media/image33.emf"/><Relationship Id="rId94" Type="http://schemas.openxmlformats.org/officeDocument/2006/relationships/oleObject" Target="embeddings/oleObject18.bin"/><Relationship Id="rId93" Type="http://schemas.openxmlformats.org/officeDocument/2006/relationships/image" Target="media/image32.png"/><Relationship Id="rId92" Type="http://schemas.openxmlformats.org/officeDocument/2006/relationships/image" Target="media/image31.emf"/><Relationship Id="rId91" Type="http://schemas.openxmlformats.org/officeDocument/2006/relationships/oleObject" Target="embeddings/oleObject17.bin"/><Relationship Id="rId90" Type="http://schemas.openxmlformats.org/officeDocument/2006/relationships/image" Target="media/image30.emf"/><Relationship Id="rId9" Type="http://schemas.openxmlformats.org/officeDocument/2006/relationships/footer" Target="footer4.xml"/><Relationship Id="rId89" Type="http://schemas.openxmlformats.org/officeDocument/2006/relationships/oleObject" Target="embeddings/oleObject16.bin"/><Relationship Id="rId88" Type="http://schemas.openxmlformats.org/officeDocument/2006/relationships/image" Target="media/image29.png"/><Relationship Id="rId87" Type="http://schemas.openxmlformats.org/officeDocument/2006/relationships/image" Target="media/image28.wmf"/><Relationship Id="rId86" Type="http://schemas.openxmlformats.org/officeDocument/2006/relationships/oleObject" Target="embeddings/oleObject15.bin"/><Relationship Id="rId85" Type="http://schemas.openxmlformats.org/officeDocument/2006/relationships/image" Target="media/image27.jpeg"/><Relationship Id="rId84" Type="http://schemas.openxmlformats.org/officeDocument/2006/relationships/image" Target="media/image26.emf"/><Relationship Id="rId83" Type="http://schemas.openxmlformats.org/officeDocument/2006/relationships/oleObject" Target="embeddings/oleObject14.bin"/><Relationship Id="rId82" Type="http://schemas.openxmlformats.org/officeDocument/2006/relationships/image" Target="media/image25.emf"/><Relationship Id="rId81" Type="http://schemas.openxmlformats.org/officeDocument/2006/relationships/oleObject" Target="embeddings/oleObject13.bin"/><Relationship Id="rId80" Type="http://schemas.openxmlformats.org/officeDocument/2006/relationships/image" Target="media/image24.emf"/><Relationship Id="rId8" Type="http://schemas.openxmlformats.org/officeDocument/2006/relationships/header" Target="header3.xml"/><Relationship Id="rId79" Type="http://schemas.openxmlformats.org/officeDocument/2006/relationships/oleObject" Target="embeddings/oleObject12.bin"/><Relationship Id="rId78" Type="http://schemas.openxmlformats.org/officeDocument/2006/relationships/image" Target="media/image23.emf"/><Relationship Id="rId77" Type="http://schemas.openxmlformats.org/officeDocument/2006/relationships/oleObject" Target="embeddings/oleObject11.bin"/><Relationship Id="rId76" Type="http://schemas.openxmlformats.org/officeDocument/2006/relationships/image" Target="media/image22.png"/><Relationship Id="rId75" Type="http://schemas.openxmlformats.org/officeDocument/2006/relationships/image" Target="media/image21.wmf"/><Relationship Id="rId74" Type="http://schemas.openxmlformats.org/officeDocument/2006/relationships/oleObject" Target="embeddings/oleObject10.bin"/><Relationship Id="rId73" Type="http://schemas.openxmlformats.org/officeDocument/2006/relationships/image" Target="media/image20.png"/><Relationship Id="rId72" Type="http://schemas.openxmlformats.org/officeDocument/2006/relationships/image" Target="media/image19.png"/><Relationship Id="rId71" Type="http://schemas.openxmlformats.org/officeDocument/2006/relationships/image" Target="media/image18.wmf"/><Relationship Id="rId70" Type="http://schemas.openxmlformats.org/officeDocument/2006/relationships/oleObject" Target="embeddings/oleObject9.bin"/><Relationship Id="rId7" Type="http://schemas.openxmlformats.org/officeDocument/2006/relationships/header" Target="header2.xml"/><Relationship Id="rId69" Type="http://schemas.openxmlformats.org/officeDocument/2006/relationships/image" Target="media/image17.wmf"/><Relationship Id="rId68" Type="http://schemas.openxmlformats.org/officeDocument/2006/relationships/oleObject" Target="embeddings/oleObject8.bin"/><Relationship Id="rId67" Type="http://schemas.openxmlformats.org/officeDocument/2006/relationships/image" Target="media/image16.wmf"/><Relationship Id="rId66" Type="http://schemas.openxmlformats.org/officeDocument/2006/relationships/oleObject" Target="embeddings/oleObject7.bin"/><Relationship Id="rId65" Type="http://schemas.openxmlformats.org/officeDocument/2006/relationships/image" Target="media/image15.wmf"/><Relationship Id="rId64" Type="http://schemas.openxmlformats.org/officeDocument/2006/relationships/oleObject" Target="embeddings/oleObject6.bin"/><Relationship Id="rId63" Type="http://schemas.openxmlformats.org/officeDocument/2006/relationships/image" Target="media/image14.wmf"/><Relationship Id="rId62" Type="http://schemas.openxmlformats.org/officeDocument/2006/relationships/oleObject" Target="embeddings/oleObject5.bin"/><Relationship Id="rId61" Type="http://schemas.openxmlformats.org/officeDocument/2006/relationships/image" Target="media/image13.wmf"/><Relationship Id="rId60" Type="http://schemas.openxmlformats.org/officeDocument/2006/relationships/oleObject" Target="embeddings/oleObject4.bin"/><Relationship Id="rId6" Type="http://schemas.openxmlformats.org/officeDocument/2006/relationships/header" Target="header1.xml"/><Relationship Id="rId59" Type="http://schemas.openxmlformats.org/officeDocument/2006/relationships/image" Target="media/image12.png"/><Relationship Id="rId58" Type="http://schemas.openxmlformats.org/officeDocument/2006/relationships/image" Target="media/image11.png"/><Relationship Id="rId57" Type="http://schemas.openxmlformats.org/officeDocument/2006/relationships/image" Target="media/image10.png"/><Relationship Id="rId56" Type="http://schemas.openxmlformats.org/officeDocument/2006/relationships/image" Target="media/image9.png"/><Relationship Id="rId55" Type="http://schemas.openxmlformats.org/officeDocument/2006/relationships/image" Target="media/image8.jpeg"/><Relationship Id="rId54" Type="http://schemas.openxmlformats.org/officeDocument/2006/relationships/image" Target="media/image7.emf"/><Relationship Id="rId53" Type="http://schemas.openxmlformats.org/officeDocument/2006/relationships/oleObject" Target="embeddings/oleObject3.bin"/><Relationship Id="rId52" Type="http://schemas.openxmlformats.org/officeDocument/2006/relationships/image" Target="media/image6.emf"/><Relationship Id="rId51" Type="http://schemas.openxmlformats.org/officeDocument/2006/relationships/oleObject" Target="embeddings/oleObject2.bin"/><Relationship Id="rId50" Type="http://schemas.openxmlformats.org/officeDocument/2006/relationships/image" Target="media/image5.emf"/><Relationship Id="rId5" Type="http://schemas.openxmlformats.org/officeDocument/2006/relationships/footer" Target="footer3.xml"/><Relationship Id="rId49" Type="http://schemas.openxmlformats.org/officeDocument/2006/relationships/image" Target="media/image4.emf"/><Relationship Id="rId48" Type="http://schemas.openxmlformats.org/officeDocument/2006/relationships/oleObject" Target="embeddings/oleObject1.bin"/><Relationship Id="rId47" Type="http://schemas.openxmlformats.org/officeDocument/2006/relationships/image" Target="media/image3.jpeg"/><Relationship Id="rId46" Type="http://schemas.openxmlformats.org/officeDocument/2006/relationships/image" Target="media/image2.png"/><Relationship Id="rId45" Type="http://schemas.openxmlformats.org/officeDocument/2006/relationships/image" Target="media/image1.png"/><Relationship Id="rId44" Type="http://schemas.openxmlformats.org/officeDocument/2006/relationships/theme" Target="theme/theme1.xml"/><Relationship Id="rId43" Type="http://schemas.openxmlformats.org/officeDocument/2006/relationships/footer" Target="footer18.xml"/><Relationship Id="rId42" Type="http://schemas.openxmlformats.org/officeDocument/2006/relationships/header" Target="header23.xml"/><Relationship Id="rId41" Type="http://schemas.openxmlformats.org/officeDocument/2006/relationships/header" Target="header22.xml"/><Relationship Id="rId40" Type="http://schemas.openxmlformats.org/officeDocument/2006/relationships/header" Target="header21.xml"/><Relationship Id="rId4" Type="http://schemas.openxmlformats.org/officeDocument/2006/relationships/footer" Target="footer2.xml"/><Relationship Id="rId39" Type="http://schemas.openxmlformats.org/officeDocument/2006/relationships/header" Target="header20.xml"/><Relationship Id="rId38" Type="http://schemas.openxmlformats.org/officeDocument/2006/relationships/footer" Target="footer17.xml"/><Relationship Id="rId37" Type="http://schemas.openxmlformats.org/officeDocument/2006/relationships/header" Target="header19.xml"/><Relationship Id="rId36" Type="http://schemas.openxmlformats.org/officeDocument/2006/relationships/header" Target="header18.xml"/><Relationship Id="rId35" Type="http://schemas.openxmlformats.org/officeDocument/2006/relationships/footer" Target="footer16.xml"/><Relationship Id="rId34" Type="http://schemas.openxmlformats.org/officeDocument/2006/relationships/footer" Target="footer15.xml"/><Relationship Id="rId33" Type="http://schemas.openxmlformats.org/officeDocument/2006/relationships/footer" Target="footer14.xml"/><Relationship Id="rId32" Type="http://schemas.openxmlformats.org/officeDocument/2006/relationships/header" Target="header17.xml"/><Relationship Id="rId31" Type="http://schemas.openxmlformats.org/officeDocument/2006/relationships/header" Target="header16.xml"/><Relationship Id="rId30" Type="http://schemas.openxmlformats.org/officeDocument/2006/relationships/header" Target="header15.xml"/><Relationship Id="rId3" Type="http://schemas.openxmlformats.org/officeDocument/2006/relationships/footer" Target="footer1.xml"/><Relationship Id="rId29" Type="http://schemas.openxmlformats.org/officeDocument/2006/relationships/header" Target="header14.xml"/><Relationship Id="rId28" Type="http://schemas.openxmlformats.org/officeDocument/2006/relationships/header" Target="header13.xml"/><Relationship Id="rId27" Type="http://schemas.openxmlformats.org/officeDocument/2006/relationships/header" Target="header12.xml"/><Relationship Id="rId26" Type="http://schemas.openxmlformats.org/officeDocument/2006/relationships/footer" Target="footer13.xml"/><Relationship Id="rId25" Type="http://schemas.openxmlformats.org/officeDocument/2006/relationships/footer" Target="footer12.xml"/><Relationship Id="rId24" Type="http://schemas.openxmlformats.org/officeDocument/2006/relationships/header" Target="header11.xml"/><Relationship Id="rId23" Type="http://schemas.openxmlformats.org/officeDocument/2006/relationships/footer" Target="footer11.xml"/><Relationship Id="rId22" Type="http://schemas.openxmlformats.org/officeDocument/2006/relationships/footer" Target="footer10.xml"/><Relationship Id="rId21" Type="http://schemas.openxmlformats.org/officeDocument/2006/relationships/footer" Target="footer9.xml"/><Relationship Id="rId20" Type="http://schemas.openxmlformats.org/officeDocument/2006/relationships/header" Target="header10.xml"/><Relationship Id="rId2" Type="http://schemas.openxmlformats.org/officeDocument/2006/relationships/settings" Target="settings.xml"/><Relationship Id="rId19" Type="http://schemas.openxmlformats.org/officeDocument/2006/relationships/header" Target="header9.xml"/><Relationship Id="rId18" Type="http://schemas.openxmlformats.org/officeDocument/2006/relationships/header" Target="header8.xml"/><Relationship Id="rId17" Type="http://schemas.openxmlformats.org/officeDocument/2006/relationships/footer" Target="footer8.xml"/><Relationship Id="rId16" Type="http://schemas.openxmlformats.org/officeDocument/2006/relationships/header" Target="header7.xml"/><Relationship Id="rId15" Type="http://schemas.openxmlformats.org/officeDocument/2006/relationships/header" Target="header6.xml"/><Relationship Id="rId14" Type="http://schemas.openxmlformats.org/officeDocument/2006/relationships/header" Target="header5.xml"/><Relationship Id="rId13" Type="http://schemas.openxmlformats.org/officeDocument/2006/relationships/footer" Target="footer7.xml"/><Relationship Id="rId12" Type="http://schemas.openxmlformats.org/officeDocument/2006/relationships/header" Target="header4.xml"/><Relationship Id="rId113" Type="http://schemas.openxmlformats.org/officeDocument/2006/relationships/fontTable" Target="fontTable.xml"/><Relationship Id="rId112" Type="http://schemas.openxmlformats.org/officeDocument/2006/relationships/numbering" Target="numbering.xml"/><Relationship Id="rId111" Type="http://schemas.openxmlformats.org/officeDocument/2006/relationships/customXml" Target="../customXml/item1.xml"/><Relationship Id="rId110" Type="http://schemas.openxmlformats.org/officeDocument/2006/relationships/oleObject" Target="embeddings/oleObject26.bin"/><Relationship Id="rId11" Type="http://schemas.openxmlformats.org/officeDocument/2006/relationships/footer" Target="footer6.xml"/><Relationship Id="rId109" Type="http://schemas.openxmlformats.org/officeDocument/2006/relationships/oleObject" Target="embeddings/oleObject25.bin"/><Relationship Id="rId108" Type="http://schemas.openxmlformats.org/officeDocument/2006/relationships/image" Target="media/image40.emf"/><Relationship Id="rId107" Type="http://schemas.openxmlformats.org/officeDocument/2006/relationships/oleObject" Target="embeddings/oleObject24.bin"/><Relationship Id="rId106" Type="http://schemas.openxmlformats.org/officeDocument/2006/relationships/image" Target="media/image39.emf"/><Relationship Id="rId105" Type="http://schemas.openxmlformats.org/officeDocument/2006/relationships/oleObject" Target="embeddings/oleObject23.bin"/><Relationship Id="rId104" Type="http://schemas.openxmlformats.org/officeDocument/2006/relationships/image" Target="media/image38.emf"/><Relationship Id="rId103" Type="http://schemas.openxmlformats.org/officeDocument/2006/relationships/oleObject" Target="embeddings/oleObject22.bin"/><Relationship Id="rId102" Type="http://schemas.openxmlformats.org/officeDocument/2006/relationships/image" Target="media/image37.emf"/><Relationship Id="rId101" Type="http://schemas.openxmlformats.org/officeDocument/2006/relationships/oleObject" Target="embeddings/oleObject21.bin"/><Relationship Id="rId100" Type="http://schemas.openxmlformats.org/officeDocument/2006/relationships/image" Target="media/image36.png"/><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2050"/>
    <customShpInfo spid="_x0000_s2051"/>
    <customShpInfo spid="_x0000_s2054"/>
    <customShpInfo spid="_x0000_s2055"/>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168</Pages>
  <Words>21262</Words>
  <Characters>121195</Characters>
  <Lines>1009</Lines>
  <Paragraphs>284</Paragraphs>
  <TotalTime>0</TotalTime>
  <ScaleCrop>false</ScaleCrop>
  <LinksUpToDate>false</LinksUpToDate>
  <CharactersWithSpaces>142173</CharactersWithSpaces>
  <Application>WPS Office_11.8.2.10393_F1E327BC-269C-435d-A152-05C5408002CA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2010-12-31T19:18:00Z</dcterms:created>
  <dc:creator>黑桃A</dc:creator>
  <cp:lastModifiedBy>Administrator</cp:lastModifiedBy>
  <dcterms:modified xsi:type="dcterms:W3CDTF">2022-07-08T00:52:08Z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2052-11.8.2.10393</vt:lpwstr>
  </property>
  <property fmtid="{D5CDD505-2E9C-101B-9397-08002B2CF9AE}" pid="3" name="ICV">
    <vt:lpwstr>B576C2D9AB664531991FDE20E0830230</vt:lpwstr>
  </property>
</Properties>
</file>