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22</w:t>
      </w:r>
      <w:r>
        <w:rPr>
          <w:rFonts w:hint="eastAsia" w:ascii="宋体" w:hAnsi="宋体" w:cs="宋体"/>
          <w:color w:val="000000"/>
          <w:kern w:val="0"/>
          <w:sz w:val="24"/>
        </w:rPr>
        <w:t>-</w:t>
      </w:r>
      <w:r>
        <w:rPr>
          <w:rFonts w:hint="eastAsia" w:ascii="宋体" w:hAnsi="宋体" w:cs="宋体"/>
          <w:color w:val="000000"/>
          <w:kern w:val="0"/>
          <w:sz w:val="24"/>
          <w:lang w:val="en-US" w:eastAsia="zh-CN"/>
        </w:rPr>
        <w:t>3</w:t>
      </w:r>
      <w:r>
        <w:rPr>
          <w:rFonts w:hint="eastAsia" w:ascii="宋体" w:hAnsi="宋体" w:cs="宋体"/>
          <w:color w:val="000000"/>
          <w:kern w:val="0"/>
          <w:sz w:val="24"/>
        </w:rPr>
        <w:t>-</w:t>
      </w:r>
      <w:r>
        <w:rPr>
          <w:rFonts w:hint="eastAsia" w:ascii="宋体" w:hAnsi="宋体" w:cs="宋体"/>
          <w:color w:val="000000"/>
          <w:kern w:val="0"/>
          <w:sz w:val="24"/>
          <w:lang w:val="en-US" w:eastAsia="zh-CN"/>
        </w:rPr>
        <w:t>28</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28</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28</w:t>
      </w:r>
      <w:r>
        <w:rPr>
          <w:rFonts w:hint="eastAsia" w:ascii="宋体" w:hAnsi="宋体" w:cs="宋体"/>
          <w:color w:val="000000"/>
          <w:kern w:val="0"/>
          <w:sz w:val="24"/>
        </w:rPr>
        <w:t>日－20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4</w:t>
      </w:r>
      <w:r>
        <w:rPr>
          <w:rFonts w:hint="eastAsia" w:ascii="宋体" w:hAnsi="宋体" w:cs="宋体"/>
          <w:color w:val="000000"/>
          <w:kern w:val="0"/>
          <w:sz w:val="24"/>
        </w:rPr>
        <w:t>月</w:t>
      </w:r>
      <w:r>
        <w:rPr>
          <w:rFonts w:hint="eastAsia" w:ascii="宋体" w:hAnsi="宋体" w:cs="宋体"/>
          <w:color w:val="000000"/>
          <w:kern w:val="0"/>
          <w:sz w:val="24"/>
          <w:lang w:val="en-US" w:eastAsia="zh-CN"/>
        </w:rPr>
        <w:t>9</w:t>
      </w:r>
      <w:r>
        <w:rPr>
          <w:rFonts w:hint="eastAsia" w:ascii="宋体" w:hAnsi="宋体" w:cs="宋体"/>
          <w:color w:val="000000"/>
          <w:kern w:val="0"/>
          <w:sz w:val="24"/>
        </w:rPr>
        <w:t>日（10个工作日）。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38"/>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大湾弃土场项目</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cs="Times New Roman"/>
                <w:sz w:val="24"/>
                <w:szCs w:val="24"/>
                <w:lang w:val="en-US" w:eastAsia="zh-CN"/>
              </w:rPr>
              <w:t>四川省乐山市市中区全福街道办事处台子村2组</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lang w:val="en-US" w:eastAsia="zh-CN"/>
              </w:rPr>
            </w:pPr>
            <w:r>
              <w:rPr>
                <w:rFonts w:hint="eastAsia" w:ascii="Times New Roman" w:hAnsi="Times New Roman" w:cs="Times New Roman"/>
                <w:lang w:val="en-US" w:eastAsia="zh-CN"/>
              </w:rPr>
              <w:t>乐山市晨曦建材渣土运输</w:t>
            </w:r>
          </w:p>
          <w:p>
            <w:pPr>
              <w:rPr>
                <w:rFonts w:hint="eastAsia" w:ascii="Times New Roman" w:hAnsi="Times New Roman" w:cs="Times New Roman"/>
              </w:rPr>
            </w:pPr>
            <w:r>
              <w:rPr>
                <w:rFonts w:hint="eastAsia" w:ascii="Times New Roman" w:hAnsi="Times New Roman" w:cs="Times New Roman"/>
                <w:lang w:val="en-US" w:eastAsia="zh-CN"/>
              </w:rPr>
              <w:t>有限公司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四川天和环境工程科技有限公司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rPr>
              <w:t>-</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28</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大湾弃土场项目</w:t>
      </w:r>
      <w:r>
        <w:rPr>
          <w:rFonts w:hint="eastAsia" w:ascii="Times New Roman" w:hAnsi="Times New Roman" w:eastAsia="仿宋_GB2312"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乐山市晨曦建材渣土运输</w:t>
      </w:r>
    </w:p>
    <w:p>
      <w:pPr>
        <w:adjustRightInd w:val="0"/>
        <w:snapToGrid w:val="0"/>
        <w:spacing w:line="288" w:lineRule="auto"/>
        <w:ind w:firstLine="3934" w:firstLineChars="1093"/>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u w:val="single"/>
          <w:lang w:val="en-US" w:eastAsia="zh-CN"/>
        </w:rPr>
        <w:t>有限公司</w:t>
      </w:r>
    </w:p>
    <w:p>
      <w:pPr>
        <w:adjustRightInd w:val="0"/>
        <w:snapToGrid w:val="0"/>
        <w:spacing w:line="288" w:lineRule="auto"/>
        <w:ind w:firstLine="104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2022年</w:t>
      </w:r>
      <w:r>
        <w:rPr>
          <w:rFonts w:hint="eastAsia" w:ascii="Times New Roman" w:hAnsi="Times New Roman" w:eastAsia="仿宋_GB2312" w:cs="Times New Roman"/>
          <w:sz w:val="36"/>
          <w:szCs w:val="36"/>
          <w:u w:val="single"/>
          <w:lang w:val="en-US" w:eastAsia="zh-CN"/>
        </w:rPr>
        <w:t>3</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33"/>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10"/>
        <w:gridCol w:w="240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260"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大湾弃土场项目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260"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2020-511102-78-03-466459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240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潘连云</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18881333555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260"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四川省乐山市市中区全福街道办事处台子村2组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260"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w:t>
            </w:r>
            <w:r>
              <w:rPr>
                <w:rFonts w:hint="eastAsia" w:ascii="Times New Roman" w:hAnsi="Times New Roman" w:cs="Times New Roman"/>
                <w:sz w:val="24"/>
                <w:szCs w:val="24"/>
                <w:u w:val="single"/>
                <w:lang w:val="en-US" w:eastAsia="zh-CN"/>
              </w:rPr>
              <w:t>103</w:t>
            </w:r>
            <w:r>
              <w:rPr>
                <w:rFonts w:hint="default" w:ascii="Times New Roman" w:hAnsi="Times New Roman" w:cs="Times New Roman"/>
                <w:sz w:val="24"/>
                <w:szCs w:val="24"/>
              </w:rPr>
              <w:t>度</w:t>
            </w:r>
            <w:r>
              <w:rPr>
                <w:rFonts w:hint="eastAsia" w:ascii="Times New Roman" w:hAnsi="Times New Roman" w:cs="Times New Roman"/>
                <w:sz w:val="24"/>
                <w:szCs w:val="24"/>
                <w:u w:val="single"/>
                <w:lang w:val="en-US" w:eastAsia="zh-CN"/>
              </w:rPr>
              <w:t>46</w:t>
            </w:r>
            <w:r>
              <w:rPr>
                <w:rFonts w:hint="default" w:ascii="Times New Roman" w:hAnsi="Times New Roman" w:cs="Times New Roman"/>
                <w:sz w:val="24"/>
                <w:szCs w:val="24"/>
              </w:rPr>
              <w:t>分</w:t>
            </w:r>
            <w:r>
              <w:rPr>
                <w:rFonts w:hint="eastAsia" w:ascii="Times New Roman" w:hAnsi="Times New Roman" w:cs="Times New Roman"/>
                <w:sz w:val="24"/>
                <w:szCs w:val="24"/>
                <w:u w:val="single"/>
                <w:lang w:val="en-US" w:eastAsia="zh-CN"/>
              </w:rPr>
              <w:t>42.722</w:t>
            </w:r>
            <w:r>
              <w:rPr>
                <w:rFonts w:hint="default" w:ascii="Times New Roman" w:hAnsi="Times New Roman" w:cs="Times New Roman"/>
                <w:sz w:val="24"/>
                <w:szCs w:val="24"/>
              </w:rPr>
              <w:t>秒，</w:t>
            </w:r>
            <w:r>
              <w:rPr>
                <w:rFonts w:hint="eastAsia" w:ascii="Times New Roman" w:hAnsi="Times New Roman" w:cs="Times New Roman"/>
                <w:sz w:val="24"/>
                <w:szCs w:val="24"/>
                <w:u w:val="single"/>
                <w:lang w:val="en-US" w:eastAsia="zh-CN"/>
              </w:rPr>
              <w:t>29</w:t>
            </w:r>
            <w:r>
              <w:rPr>
                <w:rFonts w:hint="default" w:ascii="Times New Roman" w:hAnsi="Times New Roman" w:cs="Times New Roman"/>
                <w:sz w:val="24"/>
                <w:szCs w:val="24"/>
              </w:rPr>
              <w:t>度</w:t>
            </w:r>
            <w:r>
              <w:rPr>
                <w:rFonts w:hint="eastAsia" w:ascii="Times New Roman" w:hAnsi="Times New Roman" w:cs="Times New Roman"/>
                <w:sz w:val="24"/>
                <w:szCs w:val="24"/>
                <w:u w:val="single"/>
                <w:lang w:val="en-US" w:eastAsia="zh-CN"/>
              </w:rPr>
              <w:t>35</w:t>
            </w:r>
            <w:r>
              <w:rPr>
                <w:rFonts w:hint="default" w:ascii="Times New Roman" w:hAnsi="Times New Roman" w:cs="Times New Roman"/>
                <w:sz w:val="24"/>
                <w:szCs w:val="24"/>
              </w:rPr>
              <w:t>分</w:t>
            </w:r>
            <w:r>
              <w:rPr>
                <w:rFonts w:hint="eastAsia" w:ascii="Times New Roman" w:hAnsi="Times New Roman" w:cs="Times New Roman"/>
                <w:sz w:val="24"/>
                <w:szCs w:val="24"/>
                <w:u w:val="single"/>
                <w:lang w:val="en-US" w:eastAsia="zh-CN"/>
              </w:rPr>
              <w:t>44.880</w:t>
            </w:r>
            <w:r>
              <w:rPr>
                <w:rFonts w:hint="default" w:ascii="Times New Roman" w:hAnsi="Times New Roman" w:cs="Times New Roman"/>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240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N 7723 固体废物治理</w:t>
            </w:r>
          </w:p>
        </w:tc>
        <w:tc>
          <w:tcPr>
            <w:tcW w:w="2212" w:type="dxa"/>
            <w:noWrap w:val="0"/>
            <w:vAlign w:val="center"/>
          </w:tcPr>
          <w:p>
            <w:pPr>
              <w:adjustRightInd w:val="0"/>
              <w:snapToGrid w:val="0"/>
              <w:jc w:val="center"/>
              <w:rPr>
                <w:rFonts w:hint="default" w:ascii="Times New Roman" w:hAnsi="Times New Roman" w:cs="Times New Roman"/>
                <w:sz w:val="24"/>
                <w:szCs w:val="24"/>
              </w:rPr>
            </w:pPr>
            <w:bookmarkStart w:id="1" w:name="_Hlk49843745"/>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1"/>
          </w:p>
        </w:tc>
        <w:tc>
          <w:tcPr>
            <w:tcW w:w="2639" w:type="dxa"/>
            <w:noWrap w:val="0"/>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四十七、 生态保护和环境治理业 </w:t>
            </w:r>
            <w:r>
              <w:rPr>
                <w:rFonts w:hint="eastAsia" w:ascii="Times New Roman" w:hAnsi="Times New Roman" w:cs="Times New Roman"/>
                <w:sz w:val="24"/>
                <w:szCs w:val="24"/>
                <w:lang w:val="en-US" w:eastAsia="zh-CN"/>
              </w:rPr>
              <w:t>103 一般工业固体废物 （含污水处理污泥）、建筑施工废弃物处置及综合利用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409"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新建（迁建）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□改建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□扩建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2639"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 xml:space="preserve">首次申报项目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 xml:space="preserve">超五年重新审核项目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240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乐山市中区发展和改革局</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川投资备【2020-511102-78-03-466459】FGQB-0140号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40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1000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142.7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40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14.27</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639" w:type="dxa"/>
            <w:noWrap w:val="0"/>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2409" w:type="dxa"/>
            <w:noWrap w:val="0"/>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否</w:t>
            </w:r>
          </w:p>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53346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7260" w:type="dxa"/>
            <w:gridSpan w:val="3"/>
            <w:noWrap w:val="0"/>
            <w:vAlign w:val="center"/>
          </w:tcPr>
          <w:p>
            <w:pPr>
              <w:autoSpaceDE w:val="0"/>
              <w:autoSpaceDN w:val="0"/>
              <w:adjustRightInd w:val="0"/>
              <w:snapToGrid w:val="0"/>
              <w:jc w:val="center"/>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专项评价设置要求一览表</w:t>
            </w:r>
          </w:p>
          <w:tbl>
            <w:tblPr>
              <w:tblStyle w:val="38"/>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5"/>
              <w:gridCol w:w="3890"/>
              <w:gridCol w:w="23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专项评价的类别</w:t>
                  </w:r>
                </w:p>
              </w:tc>
              <w:tc>
                <w:tcPr>
                  <w:tcW w:w="2768" w:type="pct"/>
                  <w:tcBorders>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设置原则</w:t>
                  </w:r>
                </w:p>
              </w:tc>
              <w:tc>
                <w:tcPr>
                  <w:tcW w:w="1664" w:type="pct"/>
                  <w:tcBorders>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本项目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top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大气</w:t>
                  </w:r>
                </w:p>
              </w:tc>
              <w:tc>
                <w:tcPr>
                  <w:tcW w:w="2768"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排放废气含有毒有害污染物、二噁英、苯并[a]芘、氰化物、氯气且厂界外500米范围内有环境空气保护目标的建设项目</w:t>
                  </w:r>
                </w:p>
              </w:tc>
              <w:tc>
                <w:tcPr>
                  <w:tcW w:w="1664"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本项目排放的废气中主要为总悬浮颗粒物；不涉及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top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地表水</w:t>
                  </w:r>
                </w:p>
              </w:tc>
              <w:tc>
                <w:tcPr>
                  <w:tcW w:w="2768"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新增工业废水直排建设项目（槽罐车外送污水处理厂的除外）；新增废水直排的污水集中处理厂</w:t>
                  </w:r>
                </w:p>
              </w:tc>
              <w:tc>
                <w:tcPr>
                  <w:tcW w:w="1664"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不涉及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top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环境风险</w:t>
                  </w:r>
                </w:p>
              </w:tc>
              <w:tc>
                <w:tcPr>
                  <w:tcW w:w="2768"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有毒有害和易燃易爆危险物质存储量超过临界量的建设项目</w:t>
                  </w:r>
                </w:p>
              </w:tc>
              <w:tc>
                <w:tcPr>
                  <w:tcW w:w="1664"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不涉及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top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生态</w:t>
                  </w:r>
                </w:p>
              </w:tc>
              <w:tc>
                <w:tcPr>
                  <w:tcW w:w="2768"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取水口下游500米范围内有重要水生生物的自然产卵场、索饵场、越冬场和洄游通道的新增河道取水的污染类建设项目</w:t>
                  </w:r>
                </w:p>
              </w:tc>
              <w:tc>
                <w:tcPr>
                  <w:tcW w:w="1664"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不涉及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66" w:type="pct"/>
                  <w:tcBorders>
                    <w:top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海洋</w:t>
                  </w:r>
                </w:p>
              </w:tc>
              <w:tc>
                <w:tcPr>
                  <w:tcW w:w="2768"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直接向海排放污染物的海洋工程建设项目</w:t>
                  </w:r>
                </w:p>
              </w:tc>
              <w:tc>
                <w:tcPr>
                  <w:tcW w:w="1664" w:type="pct"/>
                  <w:tcBorders>
                    <w:top w:val="single" w:color="000000" w:sz="4" w:space="0"/>
                    <w:left w:val="single" w:color="000000" w:sz="4" w:space="0"/>
                    <w:bottom w:val="single" w:color="000000" w:sz="4" w:space="0"/>
                  </w:tcBorders>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不涉及</w:t>
                  </w:r>
                </w:p>
              </w:tc>
            </w:tr>
          </w:tbl>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 xml:space="preserve">注：1.废气中有毒有害污染物指纳入《有毒有害大气污染物名录》的污染物（不包括无排放标准的污染物）。 </w:t>
            </w:r>
          </w:p>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2.环境空气保护目标指自然保护区、风景名胜区、居住区、文化区和农村地区中人群较集中的区域。</w:t>
            </w:r>
          </w:p>
          <w:p>
            <w:pPr>
              <w:autoSpaceDE w:val="0"/>
              <w:autoSpaceDN w:val="0"/>
              <w:adjustRightInd w:val="0"/>
              <w:snapToGrid w:val="0"/>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3.临界量及其计算方法可参考《建设项目环境风险评价技术导则》（HJ 169）附录B、附录C。</w:t>
            </w:r>
          </w:p>
          <w:p>
            <w:pPr>
              <w:autoSpaceDE w:val="0"/>
              <w:autoSpaceDN w:val="0"/>
              <w:adjustRightInd w:val="0"/>
              <w:snapToGrid w:val="0"/>
              <w:spacing w:line="360" w:lineRule="auto"/>
              <w:ind w:firstLine="480" w:firstLineChars="20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综上所述，本项目不设置专项评价。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7260" w:type="dxa"/>
            <w:gridSpan w:val="3"/>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0"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规划环境影响</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评价情况</w:t>
            </w:r>
          </w:p>
        </w:tc>
        <w:tc>
          <w:tcPr>
            <w:tcW w:w="7260" w:type="dxa"/>
            <w:gridSpan w:val="3"/>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0" w:type="dxa"/>
            <w:noWrap w:val="0"/>
            <w:vAlign w:val="center"/>
          </w:tcPr>
          <w:p>
            <w:pPr>
              <w:autoSpaceDE w:val="0"/>
              <w:autoSpaceDN w:val="0"/>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规划及规划环境</w:t>
            </w:r>
          </w:p>
          <w:p>
            <w:pPr>
              <w:autoSpaceDE w:val="0"/>
              <w:autoSpaceDN w:val="0"/>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影响评价符合性分析</w:t>
            </w:r>
          </w:p>
        </w:tc>
        <w:tc>
          <w:tcPr>
            <w:tcW w:w="7260" w:type="dxa"/>
            <w:gridSpan w:val="3"/>
            <w:noWrap w:val="0"/>
            <w:vAlign w:val="center"/>
          </w:tcPr>
          <w:p>
            <w:pPr>
              <w:autoSpaceDE w:val="0"/>
              <w:autoSpaceDN w:val="0"/>
              <w:adjustRightInd w:val="0"/>
              <w:snapToGrid w:val="0"/>
              <w:jc w:val="center"/>
              <w:rPr>
                <w:rFonts w:hint="default" w:ascii="Times New Roman" w:hAnsi="Times New Roman" w:cs="Times New Roman"/>
                <w:kern w:val="0"/>
                <w:sz w:val="24"/>
                <w:szCs w:val="24"/>
                <w:highlight w:val="none"/>
              </w:rPr>
            </w:pPr>
            <w:r>
              <w:rPr>
                <w:rFonts w:hint="eastAsia"/>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10"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其他符合性分析</w:t>
            </w:r>
          </w:p>
        </w:tc>
        <w:tc>
          <w:tcPr>
            <w:tcW w:w="7260" w:type="dxa"/>
            <w:gridSpan w:val="3"/>
            <w:noWrap w:val="0"/>
            <w:vAlign w:val="center"/>
          </w:tcPr>
          <w:p>
            <w:pPr>
              <w:spacing w:line="360" w:lineRule="auto"/>
              <w:ind w:left="48" w:leftChars="20" w:right="48" w:rightChars="20" w:firstLine="482" w:firstLineChars="200"/>
              <w:rPr>
                <w:rFonts w:hint="eastAsia"/>
                <w:b/>
                <w:bCs/>
                <w:sz w:val="24"/>
              </w:rPr>
            </w:pPr>
            <w:r>
              <w:rPr>
                <w:rFonts w:hint="eastAsia"/>
                <w:b/>
                <w:bCs/>
                <w:sz w:val="24"/>
              </w:rPr>
              <w:t>1、产业政策及选址合理性符合性分析</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（1）产业政策符合性分析</w:t>
            </w: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本项目属于生态保护和环境治理业，</w:t>
            </w:r>
            <w:r>
              <w:rPr>
                <w:rFonts w:hint="eastAsia"/>
                <w:sz w:val="24"/>
              </w:rPr>
              <w:t>根据国家发展和改革委员会2019年8月27日发布的《产业结构调整指导目录（2019年本）》中相关规定，本项目属于</w:t>
            </w:r>
            <w:r>
              <w:rPr>
                <w:rFonts w:hint="eastAsia"/>
                <w:sz w:val="24"/>
                <w:lang w:val="en-US" w:eastAsia="zh-CN"/>
              </w:rPr>
              <w:t>第一类 鼓励类 四十三、环境保护与资源节约综合利用 20、城镇垃圾及其他固体废弃物减量化、资源化、无害化处理和综合利用工程 26、再生资源、建筑垃圾资源化回收利用工程和产业化，</w:t>
            </w:r>
            <w:r>
              <w:rPr>
                <w:rFonts w:hint="eastAsia"/>
                <w:sz w:val="24"/>
              </w:rPr>
              <w:t>属于鼓励类项目。</w:t>
            </w:r>
          </w:p>
          <w:p>
            <w:pPr>
              <w:autoSpaceDE w:val="0"/>
              <w:autoSpaceDN w:val="0"/>
              <w:adjustRightInd w:val="0"/>
              <w:snapToGrid w:val="0"/>
              <w:spacing w:line="360" w:lineRule="auto"/>
              <w:ind w:firstLine="480" w:firstLineChars="200"/>
              <w:jc w:val="both"/>
              <w:rPr>
                <w:rFonts w:hint="eastAsia"/>
                <w:sz w:val="24"/>
              </w:rPr>
            </w:pPr>
            <w:r>
              <w:rPr>
                <w:rFonts w:hint="eastAsia" w:ascii="Times New Roman" w:hAnsi="Times New Roman" w:eastAsia="宋体" w:cs="Times New Roman"/>
                <w:kern w:val="0"/>
                <w:sz w:val="24"/>
                <w:szCs w:val="24"/>
                <w:lang w:val="en-US" w:eastAsia="zh-CN"/>
              </w:rPr>
              <w:t>建设单位于2020年6月01日</w:t>
            </w:r>
            <w:r>
              <w:rPr>
                <w:rFonts w:hint="eastAsia"/>
                <w:sz w:val="24"/>
              </w:rPr>
              <w:t>填报了《四川省固定资产投资项目备案表》</w:t>
            </w:r>
            <w:r>
              <w:rPr>
                <w:rFonts w:hint="eastAsia"/>
                <w:sz w:val="24"/>
                <w:lang w:eastAsia="zh-CN"/>
              </w:rPr>
              <w:t>（</w:t>
            </w:r>
            <w:r>
              <w:rPr>
                <w:rFonts w:hint="eastAsia"/>
                <w:sz w:val="24"/>
                <w:lang w:val="en-US" w:eastAsia="zh-CN"/>
              </w:rPr>
              <w:t>备案号：</w:t>
            </w:r>
            <w:r>
              <w:rPr>
                <w:rFonts w:hint="eastAsia" w:ascii="Times New Roman" w:hAnsi="Times New Roman" w:cs="Times New Roman"/>
                <w:sz w:val="24"/>
                <w:szCs w:val="24"/>
                <w:lang w:val="en-US" w:eastAsia="zh-CN"/>
              </w:rPr>
              <w:t>川投资备【2020-511102-78-03-466459】FGQB-0140号</w:t>
            </w:r>
            <w:r>
              <w:rPr>
                <w:rFonts w:hint="eastAsia"/>
                <w:sz w:val="24"/>
                <w:lang w:eastAsia="zh-CN"/>
              </w:rPr>
              <w:t>），</w:t>
            </w:r>
            <w:r>
              <w:rPr>
                <w:rFonts w:hint="eastAsia"/>
                <w:sz w:val="24"/>
                <w:lang w:val="en-US" w:eastAsia="zh-CN"/>
              </w:rPr>
              <w:t>取得了</w:t>
            </w:r>
            <w:r>
              <w:rPr>
                <w:rFonts w:hint="eastAsia" w:ascii="Times New Roman" w:hAnsi="Times New Roman" w:cs="Times New Roman"/>
                <w:sz w:val="24"/>
                <w:szCs w:val="24"/>
                <w:lang w:val="en-US" w:eastAsia="zh-CN"/>
              </w:rPr>
              <w:t>乐山市中区发展和改革局的同意。</w:t>
            </w:r>
          </w:p>
          <w:p>
            <w:pPr>
              <w:spacing w:line="360" w:lineRule="auto"/>
              <w:ind w:left="48" w:leftChars="20" w:right="48" w:rightChars="20" w:firstLine="480" w:firstLineChars="200"/>
              <w:rPr>
                <w:rFonts w:hint="eastAsia"/>
                <w:sz w:val="24"/>
              </w:rPr>
            </w:pPr>
            <w:r>
              <w:rPr>
                <w:rFonts w:hint="eastAsia"/>
                <w:sz w:val="24"/>
              </w:rPr>
              <w:t>因此，本项目符合国家现行产业政策。</w:t>
            </w:r>
          </w:p>
          <w:p>
            <w:pPr>
              <w:spacing w:line="360" w:lineRule="auto"/>
              <w:ind w:left="48" w:leftChars="20" w:right="48" w:rightChars="20" w:firstLine="480" w:firstLineChars="200"/>
              <w:rPr>
                <w:sz w:val="24"/>
                <w:highlight w:val="none"/>
              </w:rPr>
            </w:pPr>
            <w:r>
              <w:rPr>
                <w:rFonts w:hint="eastAsia"/>
                <w:sz w:val="24"/>
                <w:highlight w:val="none"/>
              </w:rPr>
              <w:t>（2）选址合理性分析</w:t>
            </w: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根据乐山市人民政府开展的《研究建筑垃圾、弃土处置工作会议纪要》（乐府议〔2018〕58号）：一、统筹协调，做好规划 （二）统筹规划中：大湾弃土场由市城投集团负责对外收购或合作外，另在中心城区南、西、北方向选址新建建筑弃土场。本项目为大湾弃土场项目，用于建筑垃圾填埋，符合统筹规划。</w:t>
            </w: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2020年7月27日，取得了乐山市林业和园林局出示了临时占用林地准予行政许可决定书（乐市林地许临字〔2020〕第10号），同意临时占用乐山市市中区全福街道办事处台子村等林地，用于大湾弃土场、临时管理用房；2021年8月31日，取得了乐山市市中区自然资源局关于乐山晨曦建材渣土运输有限公司申请大湾弃土场项目临时用地的批复（乐中自然资函〔2021〕552号），同意临时使用全福街道台子村2组土地，用于大湾弃土场临时用地占用土地。</w:t>
            </w:r>
          </w:p>
          <w:p>
            <w:pPr>
              <w:autoSpaceDE w:val="0"/>
              <w:autoSpaceDN w:val="0"/>
              <w:adjustRightInd w:val="0"/>
              <w:snapToGrid w:val="0"/>
              <w:spacing w:line="360" w:lineRule="auto"/>
              <w:ind w:firstLine="480" w:firstLineChars="200"/>
              <w:rPr>
                <w:rFonts w:hint="eastAsia" w:eastAsia="宋体"/>
                <w:sz w:val="24"/>
                <w:lang w:val="en-US" w:eastAsia="zh-CN"/>
              </w:rPr>
            </w:pPr>
            <w:r>
              <w:rPr>
                <w:rFonts w:hint="eastAsia"/>
                <w:sz w:val="24"/>
                <w:lang w:val="en-US" w:eastAsia="zh-CN"/>
              </w:rPr>
              <w:t>本项目封场时，严格按照土地复垦方案实施土地复垦，退还土地，并对填埋场区</w:t>
            </w:r>
            <w:r>
              <w:rPr>
                <w:kern w:val="0"/>
                <w:sz w:val="24"/>
              </w:rPr>
              <w:t>进行</w:t>
            </w:r>
            <w:r>
              <w:rPr>
                <w:rFonts w:hint="eastAsia"/>
                <w:kern w:val="0"/>
                <w:sz w:val="24"/>
                <w:lang w:val="en-US" w:eastAsia="zh-CN"/>
              </w:rPr>
              <w:t>绿化</w:t>
            </w:r>
            <w:r>
              <w:rPr>
                <w:rFonts w:hint="eastAsia"/>
                <w:kern w:val="0"/>
                <w:sz w:val="24"/>
              </w:rPr>
              <w:t>恢复</w:t>
            </w:r>
            <w:r>
              <w:rPr>
                <w:rFonts w:hint="eastAsia"/>
                <w:kern w:val="0"/>
                <w:sz w:val="24"/>
                <w:lang w:eastAsia="zh-CN"/>
              </w:rPr>
              <w:t>。</w:t>
            </w:r>
          </w:p>
          <w:p>
            <w:pPr>
              <w:autoSpaceDE w:val="0"/>
              <w:autoSpaceDN w:val="0"/>
              <w:adjustRightInd w:val="0"/>
              <w:snapToGrid w:val="0"/>
              <w:spacing w:line="360" w:lineRule="auto"/>
              <w:ind w:firstLine="480" w:firstLineChars="200"/>
              <w:rPr>
                <w:sz w:val="24"/>
              </w:rPr>
            </w:pPr>
            <w:r>
              <w:rPr>
                <w:sz w:val="24"/>
              </w:rPr>
              <w:t>因此，本项目选址合理。</w:t>
            </w:r>
          </w:p>
          <w:p>
            <w:pPr>
              <w:autoSpaceDE w:val="0"/>
              <w:autoSpaceDN w:val="0"/>
              <w:adjustRightInd w:val="0"/>
              <w:snapToGrid w:val="0"/>
              <w:spacing w:line="360" w:lineRule="auto"/>
              <w:ind w:left="48" w:leftChars="20" w:right="48" w:rightChars="20"/>
              <w:jc w:val="left"/>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hint="eastAsia" w:ascii="Times New Roman" w:hAnsi="Times New Roman" w:eastAsia="宋体" w:cs="Times New Roman"/>
                <w:b/>
                <w:bCs/>
                <w:sz w:val="24"/>
              </w:rPr>
              <w:t>、</w:t>
            </w:r>
            <w:r>
              <w:rPr>
                <w:rFonts w:ascii="Times New Roman" w:hAnsi="Times New Roman" w:eastAsia="宋体" w:cs="Times New Roman"/>
                <w:b/>
                <w:bCs/>
                <w:sz w:val="24"/>
              </w:rPr>
              <w:t>与“三线一单”符合性分析</w:t>
            </w:r>
          </w:p>
          <w:p>
            <w:pPr>
              <w:autoSpaceDE w:val="0"/>
              <w:autoSpaceDN w:val="0"/>
              <w:adjustRightInd w:val="0"/>
              <w:snapToGrid w:val="0"/>
              <w:spacing w:line="360" w:lineRule="auto"/>
              <w:ind w:left="48" w:leftChars="20" w:right="48" w:rightChars="20" w:firstLine="480" w:firstLineChars="200"/>
              <w:jc w:val="left"/>
              <w:rPr>
                <w:rFonts w:hint="eastAsia"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“三线一单”是以改善环境质量为核心，将生态保护红线、环境质量底线、资源利用上线落实到不同的环境管控单元，并建立环境准入负面清单的环境分区管控体系。</w:t>
            </w:r>
            <w:r>
              <w:rPr>
                <w:rFonts w:hint="eastAsia" w:ascii="Times New Roman" w:hAnsi="Times New Roman" w:eastAsia="宋体" w:cs="Times New Roman"/>
                <w:sz w:val="24"/>
                <w:shd w:val="clear" w:color="auto" w:fill="FFFFFF"/>
              </w:rPr>
              <w:t>本项目与“三线一单”符合性详述如下：</w:t>
            </w:r>
          </w:p>
          <w:p>
            <w:pPr>
              <w:autoSpaceDE w:val="0"/>
              <w:autoSpaceDN w:val="0"/>
              <w:adjustRightInd w:val="0"/>
              <w:snapToGrid w:val="0"/>
              <w:spacing w:line="360" w:lineRule="auto"/>
              <w:ind w:left="48" w:leftChars="20" w:right="48" w:rightChars="20" w:firstLine="482" w:firstLineChars="200"/>
              <w:jc w:val="left"/>
              <w:rPr>
                <w:rFonts w:ascii="Times New Roman" w:hAnsi="Times New Roman" w:eastAsia="宋体" w:cs="Times New Roman"/>
                <w:b/>
                <w:bCs/>
                <w:sz w:val="24"/>
                <w:shd w:val="clear" w:color="auto" w:fill="FFFFFF"/>
              </w:rPr>
            </w:pPr>
            <w:r>
              <w:rPr>
                <w:rFonts w:ascii="Times New Roman" w:hAnsi="Times New Roman" w:eastAsia="宋体" w:cs="Times New Roman"/>
                <w:b/>
                <w:bCs/>
                <w:sz w:val="24"/>
                <w:shd w:val="clear" w:color="auto" w:fill="FFFFFF"/>
              </w:rPr>
              <w:t>（1）与</w:t>
            </w:r>
            <w:r>
              <w:rPr>
                <w:rFonts w:hint="eastAsia" w:ascii="Times New Roman" w:hAnsi="Times New Roman" w:eastAsia="宋体" w:cs="Times New Roman"/>
                <w:b/>
                <w:bCs/>
                <w:sz w:val="24"/>
                <w:shd w:val="clear" w:color="auto" w:fill="FFFFFF"/>
              </w:rPr>
              <w:t>乐山市</w:t>
            </w:r>
            <w:r>
              <w:rPr>
                <w:rFonts w:ascii="Times New Roman" w:hAnsi="Times New Roman" w:eastAsia="宋体" w:cs="Times New Roman"/>
                <w:b/>
                <w:bCs/>
                <w:sz w:val="24"/>
                <w:shd w:val="clear" w:color="auto" w:fill="FFFFFF"/>
              </w:rPr>
              <w:t>生态环境分区管控方案符合性分析</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根据乐山市人民政府关于落实生态保护红线、环境质量底线、资源利用上线制定生态环境准入清单 实施生态环境分区管控的通知（乐府发〔2021〕7号）：到2025年，建立较为完善的生态环境分区管控体系。全市生态环境质量持续改善，国土空间开发和保护格局不断优化，生产生活方式绿色转型成效显著，能源资源配置更加合理、利用效率大幅提高，主要污染物排放总量持续减少，生态环境风险得到有效控制，推进环境治理体系与治理能力现代化取得重大进展，生态文明建设实现新进步，生态安全屏障更加牢固，城乡人居环境明显改善，美丽乐山建设取得新成效，国家生态文明示范市建设取得阶段性成果。</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到2035年，建成完善的生态环境分区管控制度。全市生态环境质量实现根本好转，节约资源和保护生态环境的空间格局、绿色低碳循环发展经济体系基本形成，环境治理能力和治理体系现代化基本完成，生态宜居、安全健康、绿色低碳的美丽乐山目标基本实现。</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围绕省委“一干多支、五区协同”的区域发展战略和全市“一极一地一市一城一枢纽”战略定位，立足成渝地区双城经济圈区域中心城市的区域特征、发展定位及突出生态环境问题，将全市行政区域从生态环境保护角度划分为优先保护、重点管控和一般管控三类环境管控单元。</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1.优先保护单元。以生态环境保护为主的区域，全市划分优先保护单元26个，主要包括生态保护红线、自然保护地、饮用水水源保护区等，应以生态环境保护优先为原则，严格执行相关法律、法规要求，严守生态环境质量底线，确保生态环境功能不降低。</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2.重点管控单元。涉及水、大气、土壤、自然资源等资源环境要素重点管控的区域，全市划分重点管控单元33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3.一般管控单元。除优先保护单元和重点管控单元之外的其他区域，全市共划分一般管控单元 6 个。执行区域生态环境保护的基本要求，重点加强农业、生活等领域污染治理。</w:t>
            </w:r>
          </w:p>
          <w:p>
            <w:pPr>
              <w:autoSpaceDE w:val="0"/>
              <w:autoSpaceDN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实现生态环境精细化管理，建立国土空间全覆盖的生态环境保护制度，将全市行政区划从生态环境保护角度划分为优先保护、重点管控和一般管控三类环境管控单元，在一张图上落实生态保护、环境质量目标管理、资源利用管控要求，按照环境管控单元编制生态环境准入清单，构建生态环境分区管控体系。</w:t>
            </w:r>
          </w:p>
          <w:p>
            <w:pPr>
              <w:autoSpaceDE w:val="0"/>
              <w:autoSpaceDN w:val="0"/>
              <w:adjustRightInd w:val="0"/>
              <w:snapToGrid w:val="0"/>
              <w:spacing w:line="360" w:lineRule="auto"/>
              <w:jc w:val="center"/>
              <w:rPr>
                <w:rFonts w:hint="eastAsia" w:ascii="Times New Roman" w:hAnsi="Times New Roman" w:eastAsia="宋体" w:cs="Times New Roman"/>
              </w:rPr>
            </w:pPr>
            <w:r>
              <w:rPr>
                <w:rFonts w:ascii="Times New Roman" w:hAnsi="Times New Roman" w:eastAsia="宋体" w:cs="Times New Roman"/>
                <w:sz w:val="24"/>
              </w:rPr>
              <mc:AlternateContent>
                <mc:Choice Requires="wps">
                  <w:drawing>
                    <wp:anchor distT="0" distB="0" distL="114300" distR="114300" simplePos="0" relativeHeight="251660288" behindDoc="0" locked="0" layoutInCell="1" allowOverlap="1">
                      <wp:simplePos x="0" y="0"/>
                      <wp:positionH relativeFrom="column">
                        <wp:posOffset>2244725</wp:posOffset>
                      </wp:positionH>
                      <wp:positionV relativeFrom="paragraph">
                        <wp:posOffset>1181100</wp:posOffset>
                      </wp:positionV>
                      <wp:extent cx="685165" cy="353060"/>
                      <wp:effectExtent l="21590" t="292100" r="17145" b="21590"/>
                      <wp:wrapNone/>
                      <wp:docPr id="3" name="矩形标注 3"/>
                      <wp:cNvGraphicFramePr/>
                      <a:graphic xmlns:a="http://schemas.openxmlformats.org/drawingml/2006/main">
                        <a:graphicData uri="http://schemas.microsoft.com/office/word/2010/wordprocessingShape">
                          <wps:wsp>
                            <wps:cNvSpPr/>
                            <wps:spPr>
                              <a:xfrm flipV="1">
                                <a:off x="0" y="0"/>
                                <a:ext cx="685165" cy="353060"/>
                              </a:xfrm>
                              <a:prstGeom prst="wedgeRectCallout">
                                <a:avLst>
                                  <a:gd name="adj1" fmla="val -51106"/>
                                  <a:gd name="adj2" fmla="val 12725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rPr>
                                  </w:pPr>
                                  <w:r>
                                    <w:rPr>
                                      <w:rFonts w:hint="eastAsia" w:ascii="Times New Roman" w:hAnsi="Times New Roman" w:eastAsia="宋体" w:cs="Times New Roman"/>
                                    </w:rPr>
                                    <w:t>本项目</w:t>
                                  </w:r>
                                </w:p>
                              </w:txbxContent>
                            </wps:txbx>
                            <wps:bodyPr upright="1"/>
                          </wps:wsp>
                        </a:graphicData>
                      </a:graphic>
                    </wp:anchor>
                  </w:drawing>
                </mc:Choice>
                <mc:Fallback>
                  <w:pict>
                    <v:shape id="_x0000_s1026" o:spid="_x0000_s1026" o:spt="61" type="#_x0000_t61" style="position:absolute;left:0pt;flip:y;margin-left:176.75pt;margin-top:93pt;height:27.8pt;width:53.95pt;z-index:251660288;mso-width-relative:page;mso-height-relative:page;" fillcolor="#FFFFFF" filled="t" stroked="t" coordsize="21600,21600" o:gfxdata="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JVwytkAAAALAQAADwAAAAAAAAABACAAAAAiAAAA&#10;ZHJzL2Rvd25yZXYueG1sUEsBAhQAFAAAAAgAh07iQDDyhss/AgAAlwQAAA4AAAAAAAAAAQAgAAAA&#10;KAEAAGRycy9lMm9Eb2MueG1sUEsFBgAAAAAGAAYAWQEAANkFAAAAAA==&#10;" adj="-239,38286">
                      <v:fill on="t" focussize="0,0"/>
                      <v:stroke color="#000000" joinstyle="miter"/>
                      <v:imagedata o:title=""/>
                      <o:lock v:ext="edit" aspectratio="f"/>
                      <v:textbox>
                        <w:txbxContent>
                          <w:p>
                            <w:pPr>
                              <w:jc w:val="center"/>
                              <w:rPr>
                                <w:rFonts w:hint="eastAsia" w:ascii="Times New Roman" w:hAnsi="Times New Roman" w:eastAsia="宋体" w:cs="Times New Roman"/>
                              </w:rPr>
                            </w:pPr>
                            <w:r>
                              <w:rPr>
                                <w:rFonts w:hint="eastAsia" w:ascii="Times New Roman" w:hAnsi="Times New Roman" w:eastAsia="宋体" w:cs="Times New Roman"/>
                              </w:rPr>
                              <w:t>本项目</w:t>
                            </w:r>
                          </w:p>
                        </w:txbxContent>
                      </v:textbox>
                    </v:shape>
                  </w:pict>
                </mc:Fallback>
              </mc:AlternateContent>
            </w:r>
            <w:r>
              <w:rPr>
                <w:rFonts w:hint="eastAsia" w:ascii="Times New Roman" w:hAnsi="Times New Roman" w:eastAsia="宋体" w:cs="Times New Roman"/>
              </w:rPr>
              <w:drawing>
                <wp:inline distT="0" distB="0" distL="114300" distR="114300">
                  <wp:extent cx="4396105" cy="3131820"/>
                  <wp:effectExtent l="0" t="0" r="4445" b="11430"/>
                  <wp:docPr id="6" name="图片 4" descr="关于落实生态保护红线、环境质量底线、资源利用上线制定生态环境准入清单实施生态环境分区管控的通知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关于落实生态保护红线、环境质量底线、资源利用上线制定生态环境准入清单实施生态环境分区管控的通知_页面_07"/>
                          <pic:cNvPicPr>
                            <a:picLocks noChangeAspect="1"/>
                          </pic:cNvPicPr>
                        </pic:nvPicPr>
                        <pic:blipFill>
                          <a:blip r:embed="rId9"/>
                          <a:stretch>
                            <a:fillRect/>
                          </a:stretch>
                        </pic:blipFill>
                        <pic:spPr>
                          <a:xfrm>
                            <a:off x="0" y="0"/>
                            <a:ext cx="4396105" cy="313182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图1-1  乐山市环境管控单元分布图</w:t>
            </w:r>
          </w:p>
          <w:p>
            <w:pPr>
              <w:autoSpaceDE w:val="0"/>
              <w:autoSpaceDN w:val="0"/>
              <w:adjustRightInd w:val="0"/>
              <w:snapToGrid w:val="0"/>
              <w:spacing w:line="360" w:lineRule="auto"/>
              <w:ind w:firstLine="480" w:firstLineChars="200"/>
              <w:rPr>
                <w:rFonts w:hint="eastAsia"/>
                <w:sz w:val="24"/>
                <w:shd w:val="clear" w:color="auto" w:fill="FFFFFF"/>
              </w:rPr>
            </w:pPr>
            <w:r>
              <w:rPr>
                <w:rFonts w:hint="eastAsia"/>
                <w:sz w:val="24"/>
                <w:shd w:val="clear" w:color="auto" w:fill="FFFFFF"/>
              </w:rPr>
              <w:t>本项目位于</w:t>
            </w:r>
            <w:r>
              <w:rPr>
                <w:rFonts w:hint="eastAsia"/>
                <w:sz w:val="24"/>
                <w:shd w:val="clear" w:color="auto" w:fill="FFFFFF"/>
                <w:lang w:val="en-US" w:eastAsia="zh-CN"/>
              </w:rPr>
              <w:t>乐山市市中区全福街道办事处</w:t>
            </w:r>
            <w:r>
              <w:rPr>
                <w:rFonts w:hint="eastAsia"/>
                <w:sz w:val="24"/>
                <w:shd w:val="clear" w:color="auto" w:fill="FFFFFF"/>
              </w:rPr>
              <w:t>，根据乐山市环境管控单元分布图，本项目所在区域为重点管控单元，重点管控单元要求见下表：</w:t>
            </w:r>
          </w:p>
          <w:p>
            <w:pPr>
              <w:autoSpaceDE w:val="0"/>
              <w:autoSpaceDN w:val="0"/>
              <w:adjustRightInd w:val="0"/>
              <w:snapToGrid w:val="0"/>
              <w:spacing w:line="360" w:lineRule="auto"/>
              <w:ind w:firstLine="482" w:firstLineChars="200"/>
              <w:jc w:val="center"/>
              <w:rPr>
                <w:rFonts w:ascii="Times New Roman" w:hAnsi="Times New Roman" w:eastAsia="宋体" w:cs="Times New Roman"/>
                <w:sz w:val="24"/>
              </w:rPr>
            </w:pPr>
            <w:r>
              <w:rPr>
                <w:rFonts w:hint="eastAsia" w:ascii="Times New Roman" w:hAnsi="Times New Roman" w:eastAsia="宋体" w:cs="Times New Roman"/>
                <w:b/>
                <w:bCs/>
                <w:szCs w:val="21"/>
              </w:rPr>
              <w:t>表1-1  全市环境管控单元生态环境管控要求</w:t>
            </w:r>
          </w:p>
          <w:tbl>
            <w:tblPr>
              <w:tblStyle w:val="39"/>
              <w:tblW w:w="6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5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846" w:type="dxa"/>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环境管控单元类型</w:t>
                  </w:r>
                </w:p>
              </w:tc>
              <w:tc>
                <w:tcPr>
                  <w:tcW w:w="5093" w:type="dxa"/>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846" w:type="dxa"/>
                  <w:noWrap w:val="0"/>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重点管控单元</w:t>
                  </w:r>
                </w:p>
              </w:tc>
              <w:tc>
                <w:tcPr>
                  <w:tcW w:w="5093" w:type="dxa"/>
                  <w:noWrap w:val="0"/>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重点管控单元中，针对环境质量是否达标以及经济社会发展水平等因素，制定差别化的生态环境准入要求，对环境质量不达标区域，提出污染物削减比例要求，对环境质量达标区域，提出允许排放量建议指标。</w:t>
                  </w:r>
                </w:p>
              </w:tc>
            </w:tr>
          </w:tbl>
          <w:p>
            <w:pPr>
              <w:autoSpaceDE w:val="0"/>
              <w:autoSpaceDN w:val="0"/>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hd w:val="clear" w:color="auto" w:fill="FFFFFF"/>
              </w:rPr>
              <w:t>根据乐山市生态环境分区管控方案，本项目管控要求见下表：</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表1-2  全市及各县（市、区）总体生态环境管控要求</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5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19" w:type="pct"/>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行政区划</w:t>
                  </w:r>
                </w:p>
              </w:tc>
              <w:tc>
                <w:tcPr>
                  <w:tcW w:w="4080" w:type="pct"/>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全市及各县（市、区）总体生态环境管控要求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noWrap w:val="0"/>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乐山市</w:t>
                  </w:r>
                </w:p>
              </w:tc>
              <w:tc>
                <w:tcPr>
                  <w:tcW w:w="4080" w:type="pct"/>
                  <w:noWrap w:val="0"/>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 xml:space="preserve">1.对化工、钢铁、水泥、陶瓷、造纸、铁合金、砖瓦等重点产业提出严格资源环境绩效水平要求； </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 xml:space="preserve">2.禁止在长江干支流岸线一公里范围内新建、扩建化工园区和化工项目；鼓励现有化工企业逐步搬入合规园区； </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 xml:space="preserve">3.按照“一总部五基地”工业总体布局，推进城区以及布局不合理的高排放、高能耗企业“退城入园”，引导企业在搬迁改造中压减低端、低效、负效产能； </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 xml:space="preserve">4.严格控制高排放、高能耗项目准入；严格执行能源消费总量和强度双控制度；严格执行煤炭消费总量控制要求； </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5.引进项目应符合园区规划环评和区域产业准入清单要求。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pct"/>
                  <w:noWrap w:val="0"/>
                  <w:vAlign w:val="center"/>
                </w:tcPr>
                <w:p>
                  <w:pPr>
                    <w:adjustRightInd w:val="0"/>
                    <w:snapToGrid w:val="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val="en-US" w:eastAsia="zh-CN"/>
                    </w:rPr>
                    <w:t>市中区</w:t>
                  </w:r>
                </w:p>
              </w:tc>
              <w:tc>
                <w:tcPr>
                  <w:tcW w:w="4080" w:type="pct"/>
                  <w:noWrap w:val="0"/>
                  <w:vAlign w:val="center"/>
                </w:tcPr>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 xml:space="preserve">1.优化调整产业结构，严格生态环境准入要求； </w:t>
                  </w:r>
                </w:p>
                <w:p>
                  <w:pPr>
                    <w:adjustRightInd w:val="0"/>
                    <w:snapToGrid w:val="0"/>
                    <w:jc w:val="both"/>
                    <w:rPr>
                      <w:rFonts w:ascii="Times New Roman" w:hAnsi="Times New Roman" w:eastAsia="宋体" w:cs="Times New Roman"/>
                      <w:bCs/>
                      <w:szCs w:val="21"/>
                    </w:rPr>
                  </w:pPr>
                  <w:r>
                    <w:rPr>
                      <w:rFonts w:ascii="Times New Roman" w:hAnsi="Times New Roman" w:eastAsia="宋体" w:cs="Times New Roman"/>
                      <w:bCs/>
                      <w:szCs w:val="21"/>
                      <w:lang w:val="en-US" w:eastAsia="zh-CN"/>
                    </w:rPr>
                    <w:t>2.推动城市建成区内企业“退城入园”，严格控制园外企业无</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序扩张；</w:t>
                  </w:r>
                </w:p>
                <w:p>
                  <w:pPr>
                    <w:adjustRightInd w:val="0"/>
                    <w:snapToGrid w:val="0"/>
                    <w:jc w:val="left"/>
                    <w:rPr>
                      <w:rFonts w:ascii="Times New Roman" w:hAnsi="Times New Roman" w:eastAsia="宋体" w:cs="Times New Roman"/>
                      <w:bCs/>
                      <w:szCs w:val="21"/>
                    </w:rPr>
                  </w:pPr>
                  <w:r>
                    <w:rPr>
                      <w:rFonts w:ascii="Times New Roman" w:hAnsi="Times New Roman" w:eastAsia="宋体" w:cs="Times New Roman"/>
                      <w:bCs/>
                      <w:szCs w:val="21"/>
                      <w:lang w:val="en-US" w:eastAsia="zh-CN"/>
                    </w:rPr>
                    <w:t>3.加强泥溪河、茫溪河等小流域污染治理，严控泥溪河、茫</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溪河流域涉水排放项目及水产养殖规模；加强农业面源污染治理，严格控制化肥农药使用量，积极推广畜禽清洁养殖和畜禽粪污无害化、资源化利用技术；</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4.加强区域大气污染治理，推进涉挥发性有机物排放项目、砖瓦企业深度治理改造；执行大气污染物特别排放限值；</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5.加强涉危涉化企业管控，严控环境风险；</w:t>
                  </w:r>
                </w:p>
                <w:p>
                  <w:pPr>
                    <w:adjustRightInd w:val="0"/>
                    <w:snapToGrid w:val="0"/>
                    <w:rPr>
                      <w:rFonts w:ascii="Times New Roman" w:hAnsi="Times New Roman" w:eastAsia="宋体" w:cs="Times New Roman"/>
                      <w:bCs/>
                      <w:szCs w:val="21"/>
                    </w:rPr>
                  </w:pPr>
                  <w:r>
                    <w:rPr>
                      <w:rFonts w:ascii="Times New Roman" w:hAnsi="Times New Roman" w:eastAsia="宋体" w:cs="Times New Roman"/>
                      <w:bCs/>
                      <w:szCs w:val="21"/>
                      <w:lang w:val="en-US" w:eastAsia="zh-CN"/>
                    </w:rPr>
                    <w:t>6.加强城乡生态环境保护基础设施建设。</w:t>
                  </w:r>
                </w:p>
              </w:tc>
            </w:tr>
          </w:tbl>
          <w:p>
            <w:pPr>
              <w:autoSpaceDE w:val="0"/>
              <w:autoSpaceDN w:val="0"/>
              <w:adjustRightInd w:val="0"/>
              <w:snapToGrid w:val="0"/>
              <w:spacing w:line="360" w:lineRule="auto"/>
              <w:ind w:firstLine="480" w:firstLineChars="200"/>
              <w:rPr>
                <w:sz w:val="24"/>
              </w:rPr>
            </w:pPr>
            <w:r>
              <w:rPr>
                <w:sz w:val="24"/>
              </w:rPr>
              <w:t>本项目位于</w:t>
            </w:r>
            <w:r>
              <w:rPr>
                <w:rFonts w:hint="eastAsia"/>
                <w:sz w:val="24"/>
                <w:shd w:val="clear" w:color="auto" w:fill="FFFFFF"/>
                <w:lang w:val="en-US" w:eastAsia="zh-CN"/>
              </w:rPr>
              <w:t>乐山市市中区全福街道办事处</w:t>
            </w:r>
            <w:r>
              <w:rPr>
                <w:sz w:val="24"/>
              </w:rPr>
              <w:t>，不在生态保护红线范围内，属于重点管控单元</w:t>
            </w:r>
            <w:r>
              <w:rPr>
                <w:rFonts w:hint="eastAsia"/>
                <w:sz w:val="24"/>
              </w:rPr>
              <w:t>；</w:t>
            </w:r>
            <w:r>
              <w:rPr>
                <w:sz w:val="24"/>
              </w:rPr>
              <w:t>本项目</w:t>
            </w:r>
            <w:r>
              <w:rPr>
                <w:rFonts w:hint="eastAsia"/>
                <w:sz w:val="24"/>
              </w:rPr>
              <w:t>属于</w:t>
            </w:r>
            <w:r>
              <w:rPr>
                <w:rFonts w:hint="eastAsia" w:ascii="Times New Roman" w:hAnsi="Times New Roman" w:eastAsia="宋体" w:cs="Times New Roman"/>
                <w:kern w:val="0"/>
                <w:sz w:val="24"/>
                <w:szCs w:val="24"/>
                <w:lang w:val="en-US" w:eastAsia="zh-CN"/>
              </w:rPr>
              <w:t>生态保护和环境治理业</w:t>
            </w:r>
            <w:r>
              <w:rPr>
                <w:sz w:val="24"/>
              </w:rPr>
              <w:t>，属于鼓励类项目，对当地社会</w:t>
            </w:r>
            <w:r>
              <w:rPr>
                <w:rFonts w:hint="eastAsia"/>
                <w:sz w:val="24"/>
                <w:lang w:val="en-US" w:eastAsia="zh-CN"/>
              </w:rPr>
              <w:t>环境治理</w:t>
            </w:r>
            <w:r>
              <w:rPr>
                <w:sz w:val="24"/>
              </w:rPr>
              <w:t>起积极作用。</w:t>
            </w:r>
          </w:p>
          <w:p>
            <w:pPr>
              <w:autoSpaceDE w:val="0"/>
              <w:autoSpaceDN w:val="0"/>
              <w:adjustRightInd w:val="0"/>
              <w:snapToGrid w:val="0"/>
              <w:spacing w:line="360" w:lineRule="auto"/>
              <w:ind w:firstLine="480" w:firstLineChars="200"/>
              <w:rPr>
                <w:sz w:val="24"/>
              </w:rPr>
            </w:pPr>
            <w:r>
              <w:rPr>
                <w:sz w:val="24"/>
              </w:rPr>
              <w:t>根据《2020年乐山市环境质量公报》及补充监测数据，区域环境质量良好、尚有一定环境容量，生产过程中产生的废水、废气、噪声及固废等经过相应的治理措施治理后不会改变所在区域环境质量现状。因此，本项目满足总体生态环境管控要求。</w:t>
            </w:r>
          </w:p>
          <w:p>
            <w:pPr>
              <w:pStyle w:val="154"/>
              <w:adjustRightInd w:val="0"/>
              <w:snapToGrid w:val="0"/>
              <w:spacing w:line="360" w:lineRule="auto"/>
              <w:rPr>
                <w:rFonts w:cs="Times New Roman"/>
                <w:color w:val="auto"/>
                <w:szCs w:val="24"/>
              </w:rPr>
            </w:pPr>
            <w:r>
              <w:rPr>
                <w:rFonts w:cs="Times New Roman"/>
                <w:color w:val="auto"/>
                <w:szCs w:val="24"/>
              </w:rPr>
              <w:t>（2）本项目与生态保护红线符合性分析</w:t>
            </w:r>
          </w:p>
          <w:p>
            <w:pPr>
              <w:pStyle w:val="82"/>
              <w:adjustRightInd w:val="0"/>
              <w:snapToGrid w:val="0"/>
              <w:spacing w:line="360" w:lineRule="auto"/>
              <w:rPr>
                <w:rFonts w:cs="Times New Roman"/>
                <w:color w:val="auto"/>
                <w:szCs w:val="24"/>
              </w:rPr>
            </w:pPr>
            <w:r>
              <w:rPr>
                <w:rFonts w:cs="Times New Roman"/>
                <w:color w:val="auto"/>
                <w:szCs w:val="24"/>
              </w:rPr>
              <w:t>《四川省生态保护红线方案》明确“四轴九核”生态保护红线空间分布格局，四川省生态保护红线总面积14.80万平方公里，</w:t>
            </w:r>
            <w:r>
              <w:rPr>
                <w:rFonts w:hint="eastAsia" w:cs="Times New Roman"/>
                <w:color w:val="auto"/>
                <w:szCs w:val="24"/>
              </w:rPr>
              <w:t>占</w:t>
            </w:r>
            <w:r>
              <w:rPr>
                <w:rFonts w:cs="Times New Roman"/>
                <w:color w:val="auto"/>
                <w:szCs w:val="24"/>
              </w:rPr>
              <w:t>全省幅员面积的30.45%，空间分布格局呈“四轴九核”，分为5大类13个区块，主要分布在川西高原山地、盆周山地的水源涵养、生物多样性维护、水土保持生态功能富集区和金沙江下游水土流失敏感区、川东南石漠化敏感区。</w:t>
            </w:r>
          </w:p>
          <w:p>
            <w:pPr>
              <w:pStyle w:val="82"/>
              <w:adjustRightInd w:val="0"/>
              <w:snapToGrid w:val="0"/>
              <w:spacing w:line="360" w:lineRule="auto"/>
              <w:rPr>
                <w:rFonts w:cs="Times New Roman"/>
                <w:color w:val="auto"/>
                <w:szCs w:val="24"/>
              </w:rPr>
            </w:pPr>
            <w:r>
              <w:rPr>
                <w:rFonts w:cs="Times New Roman"/>
                <w:color w:val="auto"/>
                <w:szCs w:val="24"/>
              </w:rPr>
              <w:t>《四川省生态保护红线方案》明确，13个红线区块中，属于水源涵养功能的2个——雅砻江源水源涵养红线区、大渡河源水源涵养红线区；属于生物多样性保护功能的3个——沙鲁里山生物多样性保护红线区、邛崃山生物多样性保护红线区、川南生物多样性保护红线区；属于土壤保持功能的1个——金沙江下游干热河谷土壤保持红线区；属于双重功能的7个——黄河源水源涵养-生物多样性保护红线区、大雪山生物多样性保护-土壤保持红线区、岷山生物多样性保护-水源涵养红线区、凉山-相岭生物多样性保护-土壤保持红线区、锦屏山水源涵养-土壤保持红线区、大巴山生物多样性保护-水源涵养红线区、盆中城市饮水水源-土壤保持红线区。</w:t>
            </w:r>
          </w:p>
          <w:p>
            <w:pPr>
              <w:pStyle w:val="82"/>
              <w:adjustRightInd w:val="0"/>
              <w:snapToGrid w:val="0"/>
              <w:spacing w:line="360" w:lineRule="auto"/>
              <w:rPr>
                <w:rFonts w:cs="Times New Roman"/>
                <w:color w:val="auto"/>
                <w:szCs w:val="24"/>
              </w:rPr>
            </w:pPr>
            <w:r>
              <w:rPr>
                <w:rFonts w:cs="Times New Roman"/>
                <w:color w:val="auto"/>
                <w:szCs w:val="24"/>
              </w:rPr>
              <w:t>本项目位于</w:t>
            </w:r>
            <w:r>
              <w:rPr>
                <w:rFonts w:hint="eastAsia"/>
                <w:sz w:val="24"/>
                <w:shd w:val="clear" w:color="auto" w:fill="FFFFFF"/>
                <w:lang w:val="en-US" w:eastAsia="zh-CN"/>
              </w:rPr>
              <w:t>乐山市市中区全福街道办事处</w:t>
            </w:r>
            <w:r>
              <w:rPr>
                <w:rFonts w:hint="eastAsia" w:cs="Times New Roman"/>
                <w:color w:val="auto"/>
                <w:szCs w:val="24"/>
              </w:rPr>
              <w:t>，</w:t>
            </w:r>
            <w:r>
              <w:rPr>
                <w:rFonts w:cs="Times New Roman"/>
                <w:color w:val="auto"/>
                <w:szCs w:val="24"/>
              </w:rPr>
              <w:t>根据《四川省生态保护红线方案》，本项目建设用地不涉及《四川省生态保护红线方案》划定的生态红线区域，符合四川省生态保护红线实施意见的相关要求。</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kern w:val="0"/>
                <w:sz w:val="24"/>
                <w:szCs w:val="24"/>
              </w:rPr>
            </w:pPr>
            <w:r>
              <w:rPr>
                <w:bCs/>
                <w:color w:val="auto"/>
                <w:szCs w:val="24"/>
              </w:rPr>
              <mc:AlternateContent>
                <mc:Choice Requires="wps">
                  <w:drawing>
                    <wp:anchor distT="0" distB="0" distL="114300" distR="114300" simplePos="0" relativeHeight="251661312" behindDoc="0" locked="0" layoutInCell="1" allowOverlap="1">
                      <wp:simplePos x="0" y="0"/>
                      <wp:positionH relativeFrom="column">
                        <wp:posOffset>3745230</wp:posOffset>
                      </wp:positionH>
                      <wp:positionV relativeFrom="paragraph">
                        <wp:posOffset>263525</wp:posOffset>
                      </wp:positionV>
                      <wp:extent cx="666115" cy="521970"/>
                      <wp:effectExtent l="824230" t="7620" r="14605" b="346710"/>
                      <wp:wrapNone/>
                      <wp:docPr id="2" name="矩形标注 2"/>
                      <wp:cNvGraphicFramePr/>
                      <a:graphic xmlns:a="http://schemas.openxmlformats.org/drawingml/2006/main">
                        <a:graphicData uri="http://schemas.microsoft.com/office/word/2010/wordprocessingShape">
                          <wps:wsp>
                            <wps:cNvSpPr/>
                            <wps:spPr>
                              <a:xfrm>
                                <a:off x="0" y="0"/>
                                <a:ext cx="666115" cy="521970"/>
                              </a:xfrm>
                              <a:prstGeom prst="wedgeRectCallout">
                                <a:avLst>
                                  <a:gd name="adj1" fmla="val -172514"/>
                                  <a:gd name="adj2" fmla="val 114468"/>
                                </a:avLst>
                              </a:prstGeom>
                              <a:solidFill>
                                <a:srgbClr val="FFFFFF"/>
                              </a:solidFill>
                              <a:ln w="15875" cap="flat" cmpd="sng">
                                <a:solidFill>
                                  <a:srgbClr val="00B0F0"/>
                                </a:solidFill>
                                <a:prstDash val="solid"/>
                                <a:round/>
                                <a:headEnd type="none" w="med" len="med"/>
                                <a:tailEnd type="none" w="med" len="med"/>
                              </a:ln>
                            </wps:spPr>
                            <wps:txbx>
                              <w:txbxContent>
                                <w:p>
                                  <w:pPr>
                                    <w:pStyle w:val="81"/>
                                    <w:jc w:val="both"/>
                                    <w:rPr>
                                      <w:rFonts w:hint="eastAsia"/>
                                    </w:rPr>
                                  </w:pPr>
                                  <w:r>
                                    <w:rPr>
                                      <w:rFonts w:hint="eastAsia"/>
                                    </w:rPr>
                                    <w:t>本项目</w:t>
                                  </w:r>
                                </w:p>
                              </w:txbxContent>
                            </wps:txbx>
                            <wps:bodyPr anchor="ctr" anchorCtr="0" upright="1"/>
                          </wps:wsp>
                        </a:graphicData>
                      </a:graphic>
                    </wp:anchor>
                  </w:drawing>
                </mc:Choice>
                <mc:Fallback>
                  <w:pict>
                    <v:shape id="_x0000_s1026" o:spid="_x0000_s1026" o:spt="61" type="#_x0000_t61" style="position:absolute;left:0pt;margin-left:294.9pt;margin-top:20.75pt;height:41.1pt;width:52.45pt;z-index:251661312;v-text-anchor:middle;mso-width-relative:page;mso-height-relative:page;" fillcolor="#FFFFFF" filled="t" stroked="t" coordsize="21600,21600" o:gfxdata="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Ow9s3aAAAACgEAAA8AAAAA&#10;AAAAAQAgAAAAIgAAAGRycy9kb3ducmV2LnhtbFBLAQIUABQAAAAIAIdO4kAP+RxBSwIAAKoEAAAO&#10;AAAAAAAAAAEAIAAAACkBAABkcnMvZTJvRG9jLnhtbFBLBQYAAAAABgAGAFkBAADmBQAAAAA=&#10;" adj="-26463,35525">
                      <v:fill on="t" focussize="0,0"/>
                      <v:stroke weight="1.25pt" color="#00B0F0" joinstyle="round"/>
                      <v:imagedata o:title=""/>
                      <o:lock v:ext="edit" aspectratio="f"/>
                      <v:textbox>
                        <w:txbxContent>
                          <w:p>
                            <w:pPr>
                              <w:pStyle w:val="81"/>
                              <w:jc w:val="both"/>
                              <w:rPr>
                                <w:rFonts w:hint="eastAsia"/>
                              </w:rPr>
                            </w:pPr>
                            <w:r>
                              <w:rPr>
                                <w:rFonts w:hint="eastAsia"/>
                              </w:rPr>
                              <w:t>本项目</w:t>
                            </w:r>
                          </w:p>
                        </w:txbxContent>
                      </v:textbox>
                    </v:shape>
                  </w:pict>
                </mc:Fallback>
              </mc:AlternateContent>
            </w:r>
            <w:r>
              <w:rPr>
                <w:rFonts w:hint="eastAsia"/>
                <w:color w:val="auto"/>
                <w:szCs w:val="24"/>
              </w:rPr>
              <w:drawing>
                <wp:inline distT="0" distB="0" distL="114300" distR="114300">
                  <wp:extent cx="4009390" cy="5111750"/>
                  <wp:effectExtent l="0" t="0" r="10160" b="12700"/>
                  <wp:docPr id="4" name="图片 5" descr="乐山市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乐山市生态红线图"/>
                          <pic:cNvPicPr>
                            <a:picLocks noChangeAspect="1"/>
                          </pic:cNvPicPr>
                        </pic:nvPicPr>
                        <pic:blipFill>
                          <a:blip r:embed="rId10"/>
                          <a:stretch>
                            <a:fillRect/>
                          </a:stretch>
                        </pic:blipFill>
                        <pic:spPr>
                          <a:xfrm>
                            <a:off x="0" y="0"/>
                            <a:ext cx="4009390" cy="5111750"/>
                          </a:xfrm>
                          <a:prstGeom prst="rect">
                            <a:avLst/>
                          </a:prstGeom>
                          <a:noFill/>
                          <a:ln>
                            <a:noFill/>
                          </a:ln>
                        </pic:spPr>
                      </pic:pic>
                    </a:graphicData>
                  </a:graphic>
                </wp:inline>
              </w:drawing>
            </w:r>
          </w:p>
          <w:p>
            <w:pPr>
              <w:pStyle w:val="9"/>
              <w:keepNext w:val="0"/>
              <w:adjustRightInd w:val="0"/>
              <w:snapToGrid w:val="0"/>
              <w:spacing w:line="360" w:lineRule="auto"/>
              <w:rPr>
                <w:rFonts w:ascii="Times New Roman" w:hAnsi="Times New Roman" w:eastAsia="黑体" w:cs="Times New Roman"/>
                <w:szCs w:val="21"/>
              </w:rPr>
            </w:pPr>
            <w:r>
              <w:rPr>
                <w:rFonts w:ascii="Times New Roman" w:hAnsi="Times New Roman" w:eastAsia="宋体" w:cs="Times New Roman"/>
                <w:b/>
                <w:bCs/>
                <w:szCs w:val="21"/>
              </w:rPr>
              <w:t>图</w:t>
            </w:r>
            <w:r>
              <w:rPr>
                <w:rFonts w:ascii="Times New Roman" w:hAnsi="Times New Roman" w:eastAsia="宋体" w:cs="Times New Roman"/>
                <w:b/>
                <w:bCs/>
                <w:szCs w:val="21"/>
              </w:rPr>
              <w:fldChar w:fldCharType="begin"/>
            </w:r>
            <w:r>
              <w:rPr>
                <w:rFonts w:ascii="Times New Roman" w:hAnsi="Times New Roman" w:eastAsia="宋体" w:cs="Times New Roman"/>
                <w:b/>
                <w:bCs/>
                <w:szCs w:val="21"/>
              </w:rPr>
              <w:instrText xml:space="preserve"> STYLEREF 1 \s </w:instrText>
            </w:r>
            <w:r>
              <w:rPr>
                <w:rFonts w:ascii="Times New Roman" w:hAnsi="Times New Roman" w:eastAsia="宋体" w:cs="Times New Roman"/>
                <w:b/>
                <w:bCs/>
                <w:szCs w:val="21"/>
              </w:rPr>
              <w:fldChar w:fldCharType="separate"/>
            </w:r>
            <w:r>
              <w:rPr>
                <w:rFonts w:ascii="Times New Roman" w:hAnsi="Times New Roman" w:eastAsia="宋体" w:cs="Times New Roman"/>
                <w:b/>
                <w:bCs/>
                <w:szCs w:val="21"/>
              </w:rPr>
              <w:t>1</w:t>
            </w:r>
            <w:r>
              <w:rPr>
                <w:rFonts w:ascii="Times New Roman" w:hAnsi="Times New Roman" w:eastAsia="宋体" w:cs="Times New Roman"/>
                <w:b/>
                <w:bCs/>
                <w:szCs w:val="21"/>
              </w:rPr>
              <w:fldChar w:fldCharType="end"/>
            </w:r>
            <w:r>
              <w:rPr>
                <w:rFonts w:ascii="Times New Roman" w:hAnsi="Times New Roman" w:eastAsia="宋体" w:cs="Times New Roman"/>
                <w:b/>
                <w:bCs/>
                <w:szCs w:val="21"/>
              </w:rPr>
              <w:noBreakHyphen/>
            </w:r>
            <w:r>
              <w:rPr>
                <w:rFonts w:ascii="Times New Roman" w:hAnsi="Times New Roman" w:eastAsia="宋体" w:cs="Times New Roman"/>
                <w:b/>
                <w:bCs/>
                <w:szCs w:val="21"/>
              </w:rPr>
              <w:t xml:space="preserve">2  </w:t>
            </w:r>
            <w:r>
              <w:rPr>
                <w:rFonts w:hint="eastAsia" w:ascii="Times New Roman" w:hAnsi="Times New Roman" w:eastAsia="宋体" w:cs="Times New Roman"/>
                <w:b/>
                <w:bCs/>
                <w:szCs w:val="21"/>
              </w:rPr>
              <w:t>乐山市</w:t>
            </w:r>
            <w:r>
              <w:rPr>
                <w:rFonts w:ascii="Times New Roman" w:hAnsi="Times New Roman" w:eastAsia="宋体" w:cs="Times New Roman"/>
                <w:b/>
                <w:bCs/>
                <w:szCs w:val="21"/>
              </w:rPr>
              <w:t>生态保护红线图</w:t>
            </w:r>
          </w:p>
          <w:p>
            <w:pPr>
              <w:adjustRightInd w:val="0"/>
              <w:snapToGrid w:val="0"/>
              <w:spacing w:line="360" w:lineRule="auto"/>
              <w:ind w:firstLine="482"/>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eastAsia="zh-CN"/>
              </w:rPr>
              <w:t>（</w:t>
            </w:r>
            <w:r>
              <w:rPr>
                <w:rFonts w:hint="eastAsia" w:ascii="Times New Roman" w:hAnsi="Times New Roman" w:eastAsia="宋体" w:cs="Times New Roman"/>
                <w:b/>
                <w:sz w:val="24"/>
                <w:lang w:val="en-US" w:eastAsia="zh-CN"/>
              </w:rPr>
              <w:t>3</w:t>
            </w:r>
            <w:r>
              <w:rPr>
                <w:rFonts w:hint="eastAsia" w:ascii="Times New Roman" w:hAnsi="Times New Roman" w:eastAsia="宋体" w:cs="Times New Roman"/>
                <w:b/>
                <w:sz w:val="24"/>
                <w:lang w:eastAsia="zh-CN"/>
              </w:rPr>
              <w:t>）</w:t>
            </w:r>
            <w:r>
              <w:rPr>
                <w:rFonts w:hint="eastAsia" w:ascii="Times New Roman" w:hAnsi="Times New Roman" w:eastAsia="宋体" w:cs="Times New Roman"/>
                <w:b/>
                <w:sz w:val="24"/>
                <w:lang w:val="en-US" w:eastAsia="zh-CN"/>
              </w:rPr>
              <w:t>本项目与四川省生态环境厅办公室关于印发《产业园区规划环评“三线一单”符合性分析技术要点（试行)》和《项目环评“三线一单”符合性分析技术要点(试行)》的通知（川环办函〔2021〕469号）符合性分析</w:t>
            </w:r>
          </w:p>
          <w:p>
            <w:pPr>
              <w:adjustRightInd w:val="0"/>
              <w:snapToGrid w:val="0"/>
              <w:spacing w:line="360" w:lineRule="auto"/>
              <w:ind w:firstLine="482"/>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sz w:val="24"/>
              </w:rPr>
              <w:t>根据项目所在地所属环境管控单元的生态环境准入清单从空间布局约束、污染物排放管控、环境风险防控、资源开发效率四个维度，论述项目的符</w:t>
            </w:r>
            <w:r>
              <w:rPr>
                <w:rFonts w:hint="eastAsia" w:ascii="Times New Roman" w:hAnsi="Times New Roman" w:eastAsia="宋体" w:cs="Times New Roman"/>
                <w:b w:val="0"/>
                <w:bCs/>
                <w:color w:val="auto"/>
                <w:sz w:val="24"/>
              </w:rPr>
              <w:t>合性。</w:t>
            </w:r>
            <w:r>
              <w:rPr>
                <w:rFonts w:hint="eastAsia" w:ascii="Times New Roman" w:hAnsi="Times New Roman" w:eastAsia="宋体" w:cs="Times New Roman"/>
                <w:b w:val="0"/>
                <w:bCs/>
                <w:color w:val="auto"/>
                <w:sz w:val="24"/>
                <w:lang w:val="en-US" w:eastAsia="zh-CN"/>
              </w:rPr>
              <w:t>分析见下表：</w:t>
            </w:r>
          </w:p>
          <w:p>
            <w:pPr>
              <w:autoSpaceDE w:val="0"/>
              <w:autoSpaceDN w:val="0"/>
              <w:adjustRightInd w:val="0"/>
              <w:snapToGrid w:val="0"/>
              <w:spacing w:line="36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lang w:val="en-US" w:eastAsia="zh-CN"/>
              </w:rPr>
              <w:t>“三线一单”相关</w:t>
            </w:r>
            <w:r>
              <w:rPr>
                <w:rFonts w:hint="eastAsia" w:cs="Times New Roman"/>
                <w:b/>
                <w:bCs/>
                <w:color w:val="auto"/>
                <w:sz w:val="21"/>
                <w:szCs w:val="21"/>
                <w:lang w:val="en-US" w:eastAsia="zh-CN"/>
              </w:rPr>
              <w:t>信息一览表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387"/>
              <w:gridCol w:w="1045"/>
              <w:gridCol w:w="803"/>
              <w:gridCol w:w="132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986" w:type="pct"/>
                  <w:noWrap w:val="0"/>
                  <w:vAlign w:val="center"/>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743" w:type="pct"/>
                  <w:noWrap w:val="0"/>
                  <w:vAlign w:val="top"/>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所属市（州）</w:t>
                  </w:r>
                </w:p>
              </w:tc>
              <w:tc>
                <w:tcPr>
                  <w:tcW w:w="571" w:type="pct"/>
                  <w:noWrap w:val="0"/>
                  <w:vAlign w:val="top"/>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所属区县</w:t>
                  </w:r>
                </w:p>
              </w:tc>
              <w:tc>
                <w:tcPr>
                  <w:tcW w:w="941" w:type="pct"/>
                  <w:noWrap w:val="0"/>
                  <w:vAlign w:val="center"/>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准入清单类型</w:t>
                  </w:r>
                </w:p>
              </w:tc>
              <w:tc>
                <w:tcPr>
                  <w:tcW w:w="1009" w:type="pct"/>
                  <w:noWrap w:val="0"/>
                  <w:vAlign w:val="center"/>
                </w:tcPr>
                <w:p>
                  <w:pPr>
                    <w:widowControl/>
                    <w:spacing w:line="240" w:lineRule="auto"/>
                    <w:ind w:firstLine="0" w:firstLineChars="0"/>
                    <w:jc w:val="center"/>
                    <w:rPr>
                      <w:rStyle w:val="40"/>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ZH51110220001</w:t>
                  </w:r>
                </w:p>
              </w:tc>
              <w:tc>
                <w:tcPr>
                  <w:tcW w:w="986"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市中区中心城区</w:t>
                  </w:r>
                </w:p>
              </w:tc>
              <w:tc>
                <w:tcPr>
                  <w:tcW w:w="743"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w:t>
                  </w:r>
                </w:p>
              </w:tc>
              <w:tc>
                <w:tcPr>
                  <w:tcW w:w="571"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w:t>
                  </w:r>
                </w:p>
              </w:tc>
              <w:tc>
                <w:tcPr>
                  <w:tcW w:w="941"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环境管控单元-单元管控要求</w:t>
                  </w:r>
                </w:p>
              </w:tc>
              <w:tc>
                <w:tcPr>
                  <w:tcW w:w="100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YS5111022220013</w:t>
                  </w:r>
                </w:p>
              </w:tc>
              <w:tc>
                <w:tcPr>
                  <w:tcW w:w="986"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岷江市中区青衣坝控制单元</w:t>
                  </w:r>
                </w:p>
              </w:tc>
              <w:tc>
                <w:tcPr>
                  <w:tcW w:w="743"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w:t>
                  </w:r>
                </w:p>
              </w:tc>
              <w:tc>
                <w:tcPr>
                  <w:tcW w:w="571"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w:t>
                  </w:r>
                </w:p>
              </w:tc>
              <w:tc>
                <w:tcPr>
                  <w:tcW w:w="941"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水环境一般分区</w:t>
                  </w:r>
                </w:p>
              </w:tc>
              <w:tc>
                <w:tcPr>
                  <w:tcW w:w="100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YS5111022340001</w:t>
                  </w:r>
                </w:p>
              </w:tc>
              <w:tc>
                <w:tcPr>
                  <w:tcW w:w="986"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乐山市市中区大气环境受体敏感重点管控区</w:t>
                  </w:r>
                </w:p>
              </w:tc>
              <w:tc>
                <w:tcPr>
                  <w:tcW w:w="743"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w:t>
                  </w:r>
                </w:p>
              </w:tc>
              <w:tc>
                <w:tcPr>
                  <w:tcW w:w="571"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w:t>
                  </w:r>
                </w:p>
              </w:tc>
              <w:tc>
                <w:tcPr>
                  <w:tcW w:w="941"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大气环境一般分区</w:t>
                  </w:r>
                </w:p>
              </w:tc>
              <w:tc>
                <w:tcPr>
                  <w:tcW w:w="100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YS5111022540006</w:t>
                  </w:r>
                </w:p>
              </w:tc>
              <w:tc>
                <w:tcPr>
                  <w:tcW w:w="986"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市中区禁燃区</w:t>
                  </w:r>
                </w:p>
              </w:tc>
              <w:tc>
                <w:tcPr>
                  <w:tcW w:w="743"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w:t>
                  </w:r>
                </w:p>
              </w:tc>
              <w:tc>
                <w:tcPr>
                  <w:tcW w:w="571"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w:t>
                  </w:r>
                </w:p>
              </w:tc>
              <w:tc>
                <w:tcPr>
                  <w:tcW w:w="941"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自然资源管控分区</w:t>
                  </w:r>
                </w:p>
              </w:tc>
              <w:tc>
                <w:tcPr>
                  <w:tcW w:w="100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YS5111022550001</w:t>
                  </w:r>
                </w:p>
              </w:tc>
              <w:tc>
                <w:tcPr>
                  <w:tcW w:w="986"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市中区自然资源重点管控区</w:t>
                  </w:r>
                </w:p>
              </w:tc>
              <w:tc>
                <w:tcPr>
                  <w:tcW w:w="743"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w:t>
                  </w:r>
                </w:p>
              </w:tc>
              <w:tc>
                <w:tcPr>
                  <w:tcW w:w="571" w:type="pct"/>
                  <w:noWrap w:val="0"/>
                  <w:vAlign w:val="top"/>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w:t>
                  </w:r>
                </w:p>
              </w:tc>
              <w:tc>
                <w:tcPr>
                  <w:tcW w:w="941"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自然资源管控分区</w:t>
                  </w:r>
                </w:p>
              </w:tc>
              <w:tc>
                <w:tcPr>
                  <w:tcW w:w="1009" w:type="pct"/>
                  <w:noWrap w:val="0"/>
                  <w:vAlign w:val="center"/>
                </w:tcPr>
                <w:p>
                  <w:pPr>
                    <w:pStyle w:val="184"/>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自然资源重点管控区</w:t>
                  </w:r>
                </w:p>
              </w:tc>
            </w:tr>
          </w:tbl>
          <w:p>
            <w:pPr>
              <w:autoSpaceDE w:val="0"/>
              <w:autoSpaceDN w:val="0"/>
              <w:adjustRightInd w:val="0"/>
              <w:snapToGrid w:val="0"/>
              <w:spacing w:line="36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本项目所在地生态环境准入清单</w:t>
            </w:r>
          </w:p>
          <w:tbl>
            <w:tblPr>
              <w:tblStyle w:val="19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791"/>
              <w:gridCol w:w="819"/>
              <w:gridCol w:w="1122"/>
              <w:gridCol w:w="923"/>
              <w:gridCol w:w="791"/>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791"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819"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全省总体管控要求</w:t>
                  </w:r>
                </w:p>
              </w:tc>
              <w:tc>
                <w:tcPr>
                  <w:tcW w:w="1122"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成都平原经济区总体管控要求</w:t>
                  </w:r>
                </w:p>
              </w:tc>
              <w:tc>
                <w:tcPr>
                  <w:tcW w:w="923" w:type="dxa"/>
                  <w:noWrap w:val="0"/>
                  <w:vAlign w:val="top"/>
                </w:tcPr>
                <w:p>
                  <w:pPr>
                    <w:widowControl w:val="0"/>
                    <w:spacing w:line="36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乐山市总体管控要求</w:t>
                  </w:r>
                </w:p>
              </w:tc>
              <w:tc>
                <w:tcPr>
                  <w:tcW w:w="791"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管控类别</w:t>
                  </w:r>
                </w:p>
              </w:tc>
              <w:tc>
                <w:tcPr>
                  <w:tcW w:w="1700" w:type="dxa"/>
                  <w:noWrap w:val="0"/>
                  <w:vAlign w:val="center"/>
                </w:tcPr>
                <w:p>
                  <w:pPr>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单元特性管控要求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ZH51110220001</w:t>
                  </w:r>
                </w:p>
              </w:tc>
              <w:tc>
                <w:tcPr>
                  <w:tcW w:w="791"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市中区中心城区</w:t>
                  </w:r>
                </w:p>
              </w:tc>
              <w:tc>
                <w:tcPr>
                  <w:tcW w:w="819"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restart"/>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空间布局约束</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禁止在城镇用地布局规划确定的公共绿地、生态廊道内进行规模化建设开发，只允许必要的公共性园林式景观点状服务休闲设施建设；2、其他执行乐山市城镇重点管控单元普适性总体准入要求限制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1、西进南拓、中心提升、优化西南、控制东部、完善北部；2、其他执行乐山市城镇重点管控单元普适性总体准入要求允许开发建设活动的要求不符合空间布局要求活动的退出要求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单元内既有合法手续的、且污染物排放和环境风险满足管控要求的企业可继续保留，不得新增污染物排放，并进一步加强监管；否则限期进行整改，整改后任不能达到要求的，属地政府责令关停退出；2、其他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ZH51110220001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市中区中心城区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污染物排放管控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现有源提标升级改造执行乐山市城镇重点管控单元普适性总体准入要求。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新增源等量或倍量替代执行乐山市城镇重点管控单元普适性总体准入要求。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新增源排放标准限值</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污染物排放绩效水平准入要求执行乐山市城镇重点管控单元普适性总体准入要求。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ZH51110220001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市中区中心城区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环境风险防控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严格管控类农用地管控要求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安全利用类农用地管控要求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污染地块管控要求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园区环境风险防控要求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企业环境风险防控要求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1、加强涉危涉化企业管控，严控环境风险；2、其他执行乐山市城镇重点管控单元普适性总体准入要求。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其他环境风险防控要求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执行乐山市城镇重点管控单元普适性总体准入要求。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ZH51110220001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市中区中心城区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资源开发效率要求</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水资源利用效率要求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地下水开采要求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能源利用效率要求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1、禁燃区内禁止审批（核准、备案）、新建、扩建燃用高污染燃料的锅炉、炉窑等各类燃用高污染燃料的设施；2、其他执行乐山市城镇重点管控单元普适性总体准入要求。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其他资源利用效率要求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YS5111022220013</w:t>
                  </w:r>
                </w:p>
              </w:tc>
              <w:tc>
                <w:tcPr>
                  <w:tcW w:w="791"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岷江市中区青衣坝控制单元</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空间布局约束</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YS5111022220013</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岷江市中区青衣坝控制单元</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污染物排放管控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城镇污水污染控制措施要求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强化生活污水治理。目前乐山市城镇生活污水处理设施基本实现了全覆盖，需进一步加强配套收集管网工程建设，逐步提高城镇生活污水收集能力，确保已建成的城镇生活污水处理设施正常运营。推进城镇生活污水处理提质增效，健全乐山市市政排水管网定期排查检测制度，建立完善市政排水管网地理信息系统，因地制宜开展合流制排水系统雨污分流改造。强化生活垃圾收集处理，推广生活垃圾分类收集处理，从源头减少处理处置量。</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工业废水污染控制措施要求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农业面源水污染控制措施要求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船舶港口水污染控制措施要求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饮用水水源和其它特殊水体保护要求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YS5111022220013</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岷江市中区青衣坝控制单元</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环境风险防控</w:t>
                  </w:r>
                </w:p>
              </w:tc>
              <w:tc>
                <w:tcPr>
                  <w:tcW w:w="1700" w:type="dxa"/>
                  <w:noWrap w:val="0"/>
                  <w:vAlign w:val="center"/>
                </w:tcPr>
                <w:p>
                  <w:pPr>
                    <w:pStyle w:val="193"/>
                    <w:widowControl w:val="0"/>
                    <w:spacing w:line="36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YS5111022220013</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岷江市中区青衣坝控制单元</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资源开发效率要求</w:t>
                  </w:r>
                </w:p>
              </w:tc>
              <w:tc>
                <w:tcPr>
                  <w:tcW w:w="1700" w:type="dxa"/>
                  <w:noWrap w:val="0"/>
                  <w:vAlign w:val="center"/>
                </w:tcPr>
                <w:p>
                  <w:pPr>
                    <w:pStyle w:val="193"/>
                    <w:widowControl w:val="0"/>
                    <w:spacing w:line="36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YS5111022340001</w:t>
                  </w:r>
                </w:p>
              </w:tc>
              <w:tc>
                <w:tcPr>
                  <w:tcW w:w="791"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乐山市市中区大气环境受体敏感重点管控区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空间布局约束</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YS5111022340001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乐山市市中区大气环境受体敏感重点管控区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污染物排放管控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大气环境质量执行标准</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《环境空气质量标准》（GB3095-2012）：二级</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区域大气污染物削减/替代要求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新增大气污染物排放的建设项目实施总量削减替代。</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燃煤和其他能源大气污染控制要求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工业废气污染控制要求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机动车船大气污染控制要求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加强城市交通管理。优化城市功能和布局规划，调整城区路网结构。加快建立以快速路和组团间联系主干路为骨架、组团内道路为主体的快捷、安全、衔接合理的城市道路网，缓解城区交通压力。通过错峰上下班、调整停车费、智能交通管理和服务等手段，提高机动车通行效率；大力发展城乡公共交通，形成以公共汽车为主体、出租车为补充的城市公共交通系统，基本实现城市公交线路全覆盖并及时拓展。加快步行和自行车交通系统建设；鼓励燃油机动车驾驶人在不影响道路通行且需停车三分钟以上的情况下熄灭发动机。</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扬尘污染控制要求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强化施工扬尘监管。严格落实《四川省建筑工程扬尘污染防治技术导则（试行）》、《四川省施工场地扬尘排放标准》（DB51/2682-2029）、《建筑工地扬尘治理标准》等文件要求。在进行房屋建筑、市政设施施工、河道整治、建筑物拆除、物料运输和堆放、园林绿化等活动时，应当采取扬尘污染防治措施。所有施工工地落实“六不准”、“六必须”，实现施工现场围挡、工地物料堆放覆盖、施工现场路面硬化、驶出工地车辆冲洗干净、拆迁工地湿法作业、渣土运输车辆密闭“六个百分之百”，并安装降尘除尘设施。控制道路扬尘污染。提升城市精细化管理水平，加强道路清扫保洁，大力推行建成区道路机械化湿式清扫等低尘作业方式。落实环境卫生“门前三包”责任制，提高环境卫生清扫保洁质量，保证城市道路路面及行道树、绿化带无明显浮尘、积土、淤泥，切实改善环境卫生状况。加强城郊结合部扬尘管控。</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农业生产经营活动大气污染控制要求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重点行业企业专项治理要求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强化餐饮服务企业油烟排放整治，城市建成区餐饮企业应安装具有油雾回收功能的抽油烟机和运水烟罩、静电型和等离子型等高效油烟净化设施。中心城区建成区禁止露天烧烤。中心城区建成区内所有餐饮服务经营场所和新、改、扩建有油烟产生的餐饮项目，应当安装油烟净化设施并达到排放标准。定期对油烟净化设施进行维护保养，并保存维护保养记录，确保油烟稳定达标排放，设施正常使用率不低于95%。</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其他大气污染物排放管控要求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YS5111022340001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乐山市市中区大气环境受体敏感重点管控区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环境风险防控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同城镇重点管控单元总体准入要求。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YS5111022340001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乐山市市中区大气环境受体敏感重点管控区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资源开发效率要求</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YS5111022540006</w:t>
                  </w:r>
                </w:p>
              </w:tc>
              <w:tc>
                <w:tcPr>
                  <w:tcW w:w="791"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市中区禁燃区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空间布局约束</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YS5111022540006</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市中区禁燃区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污染物排放管控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YS5111022540006</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市中区禁燃区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环境风险防控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YS5111022540006</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市中区禁燃区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资源开发效率要求</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土地资源开发效率要求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能源资源开发效率要求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能源消耗、污染物排放不得超过能源利用上线控制性指标</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其他资源开发效率要求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实施煤炭消费总量控制：严格控制煤炭消费总量；严格控制新建、改建、扩建耗煤项目，新增耗煤项目实行当年煤炭消耗减量倍量替代。（依据：《乐山市打赢蓝天保卫战实施方案》）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YS5111022550001</w:t>
                  </w:r>
                </w:p>
              </w:tc>
              <w:tc>
                <w:tcPr>
                  <w:tcW w:w="791" w:type="dxa"/>
                  <w:vMerge w:val="restart"/>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市中区自然资源重点管控区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空间布局约束</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合理开发高效利用水资源，建设节水型社会；优化土地利用布局与结构；优化产业空间布局，构建清洁能源体系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YS5111022550001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市中区自然资源重点管控区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污染物排放管控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YS5111022550001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市中区自然资源重点管控区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环境风险防控</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YS5111022550001</w:t>
                  </w:r>
                </w:p>
              </w:tc>
              <w:tc>
                <w:tcPr>
                  <w:tcW w:w="791"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市中区自然资源重点管控区</w:t>
                  </w:r>
                </w:p>
              </w:tc>
              <w:tc>
                <w:tcPr>
                  <w:tcW w:w="819"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122" w:type="dxa"/>
                  <w:vMerge w:val="continue"/>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923" w:type="dxa"/>
                  <w:vMerge w:val="continue"/>
                  <w:noWrap w:val="0"/>
                  <w:vAlign w:val="top"/>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（1）对化工、钢铁、水泥、陶瓷、造纸、铁合金、砖瓦等重点产业提出严格资源环境绩效水平要求；
（2）禁止在长江干支流岸线一公里范围内新建、扩建化工园区和化工项目；鼓励现有化工企业逐步搬入合规园区； 
（3）按照“一总部五基地”工业总体布局，推进城区以及布局不合理的高排放、高能耗企业“退城入园”，引导企业在搬迁改造中压减低端、低效、负效产能；
（4）严格控制高排放、高能耗项目准入；严格执行能源消费总量和强度双控制度；严格执行煤炭消费总量控制要求；
（5）引进项目应符合园区规划环评和区域产业准入清单要求。</w:t>
                  </w:r>
                </w:p>
              </w:tc>
              <w:tc>
                <w:tcPr>
                  <w:tcW w:w="791" w:type="dxa"/>
                  <w:noWrap w:val="0"/>
                  <w:vAlign w:val="center"/>
                </w:tcPr>
                <w:p>
                  <w:pPr>
                    <w:pStyle w:val="193"/>
                    <w:widowControl/>
                    <w:spacing w:line="24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资源开发效率要求</w:t>
                  </w:r>
                </w:p>
              </w:tc>
              <w:tc>
                <w:tcPr>
                  <w:tcW w:w="1700" w:type="dxa"/>
                  <w:noWrap w:val="0"/>
                  <w:vAlign w:val="center"/>
                </w:tcPr>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土地资源开发效率要求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能源资源开发效率要求</w:t>
                  </w:r>
                </w:p>
                <w:p>
                  <w:pPr>
                    <w:pStyle w:val="193"/>
                    <w:widowControl w:val="0"/>
                    <w:spacing w:line="360" w:lineRule="auto"/>
                    <w:ind w:firstLine="0" w:firstLineChars="0"/>
                    <w:jc w:val="left"/>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其他资源开发效率要求</w:t>
                  </w:r>
                </w:p>
              </w:tc>
            </w:tr>
          </w:tbl>
          <w:p>
            <w:pPr>
              <w:autoSpaceDE w:val="0"/>
              <w:autoSpaceDN w:val="0"/>
              <w:adjustRightInd w:val="0"/>
              <w:snapToGrid w:val="0"/>
              <w:spacing w:line="360" w:lineRule="auto"/>
              <w:ind w:firstLine="0"/>
              <w:jc w:val="both"/>
              <w:rPr>
                <w:rFonts w:hint="default" w:ascii="Times New Roman" w:hAnsi="Times New Roman" w:eastAsia="宋体" w:cs="Times New Roman"/>
                <w:b/>
                <w:bCs/>
                <w:sz w:val="21"/>
                <w:szCs w:val="21"/>
                <w:lang w:val="en-US" w:eastAsia="zh-CN"/>
              </w:rPr>
            </w:pPr>
          </w:p>
          <w:p>
            <w:pPr>
              <w:autoSpaceDE w:val="0"/>
              <w:autoSpaceDN w:val="0"/>
              <w:adjustRightInd w:val="0"/>
              <w:snapToGrid w:val="0"/>
              <w:spacing w:line="360" w:lineRule="auto"/>
              <w:ind w:firstLine="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建设项目与“三线一单”相关要求的符合性分析要点</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0"/>
              <w:gridCol w:w="1138"/>
              <w:gridCol w:w="1112"/>
              <w:gridCol w:w="283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7" w:type="dxa"/>
                  <w:gridSpan w:val="4"/>
                  <w:noWrap w:val="0"/>
                  <w:vAlign w:val="center"/>
                </w:tcPr>
                <w:p>
                  <w:pPr>
                    <w:adjustRightInd/>
                    <w:snapToGrid/>
                    <w:spacing w:line="24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w:t>
                  </w:r>
                  <w:r>
                    <w:rPr>
                      <w:rFonts w:hint="eastAsia" w:ascii="Times New Roman" w:hAnsi="Times New Roman" w:eastAsia="宋体" w:cs="Times New Roman"/>
                      <w:b/>
                      <w:bCs/>
                      <w:sz w:val="21"/>
                      <w:szCs w:val="21"/>
                      <w:vertAlign w:val="baseline"/>
                      <w:lang w:val="en-US" w:eastAsia="zh-CN"/>
                    </w:rPr>
                    <w:t>三线一单具体要求</w:t>
                  </w:r>
                  <w:r>
                    <w:rPr>
                      <w:rFonts w:hint="eastAsia" w:ascii="Times New Roman" w:hAnsi="Times New Roman" w:eastAsia="宋体" w:cs="Times New Roman"/>
                      <w:b/>
                      <w:bCs/>
                      <w:sz w:val="21"/>
                      <w:szCs w:val="21"/>
                      <w:vertAlign w:val="baseline"/>
                      <w:lang w:eastAsia="zh-CN"/>
                    </w:rPr>
                    <w:t>”</w:t>
                  </w:r>
                </w:p>
              </w:tc>
              <w:tc>
                <w:tcPr>
                  <w:tcW w:w="2838" w:type="dxa"/>
                  <w:vMerge w:val="restart"/>
                  <w:noWrap w:val="0"/>
                  <w:vAlign w:val="center"/>
                </w:tcPr>
                <w:p>
                  <w:pPr>
                    <w:adjustRightInd/>
                    <w:snapToGrid/>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项目对应情况介绍</w:t>
                  </w:r>
                </w:p>
              </w:tc>
              <w:tc>
                <w:tcPr>
                  <w:tcW w:w="673" w:type="dxa"/>
                  <w:vMerge w:val="restart"/>
                  <w:noWrap w:val="0"/>
                  <w:vAlign w:val="center"/>
                </w:tcPr>
                <w:p>
                  <w:pPr>
                    <w:adjustRightInd/>
                    <w:snapToGrid/>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gridSpan w:val="3"/>
                  <w:noWrap w:val="0"/>
                  <w:vAlign w:val="center"/>
                </w:tcPr>
                <w:p>
                  <w:pPr>
                    <w:adjustRightInd/>
                    <w:snapToGrid/>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类别</w:t>
                  </w:r>
                </w:p>
              </w:tc>
              <w:tc>
                <w:tcPr>
                  <w:tcW w:w="1112" w:type="dxa"/>
                  <w:noWrap w:val="0"/>
                  <w:vAlign w:val="center"/>
                </w:tcPr>
                <w:p>
                  <w:pPr>
                    <w:adjustRightInd/>
                    <w:snapToGrid/>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对应管控要求</w:t>
                  </w:r>
                </w:p>
              </w:tc>
              <w:tc>
                <w:tcPr>
                  <w:tcW w:w="2838"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rPr>
                  </w:pPr>
                </w:p>
              </w:tc>
              <w:tc>
                <w:tcPr>
                  <w:tcW w:w="673"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57" w:type="dxa"/>
                  <w:vMerge w:val="restar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环境管控单元分类、编号、名称</w:t>
                  </w:r>
                </w:p>
              </w:tc>
              <w:tc>
                <w:tcPr>
                  <w:tcW w:w="650" w:type="dxa"/>
                  <w:vMerge w:val="restart"/>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普适性清单管控要求</w:t>
                  </w:r>
                </w:p>
              </w:tc>
              <w:tc>
                <w:tcPr>
                  <w:tcW w:w="11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空间布局约束</w:t>
                  </w:r>
                </w:p>
              </w:tc>
              <w:tc>
                <w:tcPr>
                  <w:tcW w:w="1112"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28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rPr>
                  </w:pPr>
                  <w:r>
                    <w:rPr>
                      <w:rFonts w:hint="eastAsia" w:ascii="Times New Roman" w:hAnsi="Times New Roman" w:eastAsia="宋体" w:cs="Times New Roman"/>
                      <w:b w:val="0"/>
                      <w:sz w:val="21"/>
                      <w:szCs w:val="21"/>
                      <w:vertAlign w:val="baseline"/>
                      <w:lang w:val="en-US" w:eastAsia="zh-CN"/>
                    </w:rPr>
                    <w:t>/</w:t>
                  </w:r>
                </w:p>
              </w:tc>
              <w:tc>
                <w:tcPr>
                  <w:tcW w:w="673"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rPr>
                  </w:pPr>
                  <w:r>
                    <w:rPr>
                      <w:rFonts w:hint="eastAsia" w:ascii="Times New Roman" w:hAnsi="Times New Roman" w:eastAsia="宋体" w:cs="Times New Roman"/>
                      <w:b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57" w:type="dxa"/>
                  <w:vMerge w:val="continue"/>
                  <w:noWrap w:val="0"/>
                  <w:vAlign w:val="center"/>
                </w:tcPr>
                <w:p>
                  <w:pPr>
                    <w:adjustRightInd/>
                    <w:snapToGrid/>
                    <w:spacing w:line="240" w:lineRule="auto"/>
                    <w:jc w:val="center"/>
                    <w:rPr>
                      <w:rFonts w:ascii="Times New Roman" w:hAnsi="Times New Roman" w:eastAsia="宋体" w:cs="Times New Roman"/>
                    </w:rPr>
                  </w:pPr>
                </w:p>
              </w:tc>
              <w:tc>
                <w:tcPr>
                  <w:tcW w:w="650" w:type="dxa"/>
                  <w:vMerge w:val="continue"/>
                  <w:noWrap w:val="0"/>
                  <w:vAlign w:val="center"/>
                </w:tcPr>
                <w:p>
                  <w:pPr>
                    <w:adjustRightInd/>
                    <w:snapToGrid/>
                    <w:spacing w:line="240" w:lineRule="auto"/>
                    <w:jc w:val="center"/>
                    <w:rPr>
                      <w:rFonts w:ascii="Times New Roman" w:hAnsi="Times New Roman" w:eastAsia="宋体" w:cs="Times New Roman"/>
                    </w:rPr>
                  </w:pPr>
                </w:p>
              </w:tc>
              <w:tc>
                <w:tcPr>
                  <w:tcW w:w="11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污染物排放管控</w:t>
                  </w:r>
                </w:p>
              </w:tc>
              <w:tc>
                <w:tcPr>
                  <w:tcW w:w="1112"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28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673"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57"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650"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11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环境风险防控</w:t>
                  </w:r>
                </w:p>
              </w:tc>
              <w:tc>
                <w:tcPr>
                  <w:tcW w:w="1112"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28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673"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57"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650"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11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资源开发利用效率</w:t>
                  </w:r>
                </w:p>
              </w:tc>
              <w:tc>
                <w:tcPr>
                  <w:tcW w:w="1112"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28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673"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7"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650" w:type="dxa"/>
                  <w:vMerge w:val="restart"/>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单元级清单管控要求</w:t>
                  </w:r>
                </w:p>
              </w:tc>
              <w:tc>
                <w:tcPr>
                  <w:tcW w:w="11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空间布局约束</w:t>
                  </w:r>
                </w:p>
              </w:tc>
              <w:tc>
                <w:tcPr>
                  <w:tcW w:w="1112"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环境综合管控单元城镇重点管控单元</w:t>
                  </w:r>
                </w:p>
              </w:tc>
              <w:tc>
                <w:tcPr>
                  <w:tcW w:w="28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rPr>
                  </w:pPr>
                  <w:r>
                    <w:rPr>
                      <w:rFonts w:hint="eastAsia" w:ascii="Times New Roman" w:hAnsi="Times New Roman" w:eastAsia="宋体" w:cs="Times New Roman"/>
                      <w:b w:val="0"/>
                      <w:sz w:val="21"/>
                      <w:szCs w:val="21"/>
                      <w:vertAlign w:val="baseline"/>
                    </w:rPr>
                    <w:t>本项目属于重点管控单元；本项目属于</w:t>
                  </w:r>
                  <w:r>
                    <w:rPr>
                      <w:rFonts w:hint="eastAsia" w:ascii="Times New Roman" w:hAnsi="Times New Roman" w:eastAsia="宋体" w:cs="Times New Roman"/>
                      <w:b w:val="0"/>
                      <w:sz w:val="21"/>
                      <w:szCs w:val="21"/>
                      <w:vertAlign w:val="baseline"/>
                      <w:lang w:val="en-US" w:eastAsia="zh-CN"/>
                    </w:rPr>
                    <w:t>生态保护和环境治理业</w:t>
                  </w:r>
                  <w:r>
                    <w:rPr>
                      <w:rFonts w:hint="eastAsia" w:ascii="Times New Roman" w:hAnsi="Times New Roman" w:eastAsia="宋体" w:cs="Times New Roman"/>
                      <w:b w:val="0"/>
                      <w:sz w:val="21"/>
                      <w:szCs w:val="21"/>
                      <w:vertAlign w:val="baseline"/>
                    </w:rPr>
                    <w:t>，属于鼓励类项目，对当地社会</w:t>
                  </w:r>
                  <w:r>
                    <w:rPr>
                      <w:rFonts w:hint="eastAsia" w:ascii="Times New Roman" w:hAnsi="Times New Roman" w:eastAsia="宋体" w:cs="Times New Roman"/>
                      <w:b w:val="0"/>
                      <w:sz w:val="21"/>
                      <w:szCs w:val="21"/>
                      <w:vertAlign w:val="baseline"/>
                      <w:lang w:val="en-US" w:eastAsia="zh-CN"/>
                    </w:rPr>
                    <w:t>环境治理</w:t>
                  </w:r>
                  <w:r>
                    <w:rPr>
                      <w:rFonts w:hint="eastAsia" w:ascii="Times New Roman" w:hAnsi="Times New Roman" w:eastAsia="宋体" w:cs="Times New Roman"/>
                      <w:b w:val="0"/>
                      <w:sz w:val="21"/>
                      <w:szCs w:val="21"/>
                      <w:vertAlign w:val="baseline"/>
                    </w:rPr>
                    <w:t>起积极作用</w:t>
                  </w:r>
                </w:p>
              </w:tc>
              <w:tc>
                <w:tcPr>
                  <w:tcW w:w="673"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7" w:type="dxa"/>
                  <w:vMerge w:val="continue"/>
                  <w:noWrap w:val="0"/>
                  <w:vAlign w:val="center"/>
                </w:tcPr>
                <w:p>
                  <w:pPr>
                    <w:adjustRightInd/>
                    <w:snapToGrid/>
                    <w:spacing w:line="240" w:lineRule="auto"/>
                    <w:jc w:val="center"/>
                    <w:rPr>
                      <w:rFonts w:ascii="Times New Roman" w:hAnsi="Times New Roman" w:eastAsia="宋体" w:cs="Times New Roman"/>
                    </w:rPr>
                  </w:pPr>
                </w:p>
              </w:tc>
              <w:tc>
                <w:tcPr>
                  <w:tcW w:w="650" w:type="dxa"/>
                  <w:vMerge w:val="continue"/>
                  <w:noWrap w:val="0"/>
                  <w:vAlign w:val="center"/>
                </w:tcPr>
                <w:p>
                  <w:pPr>
                    <w:adjustRightInd/>
                    <w:snapToGrid/>
                    <w:spacing w:line="240" w:lineRule="auto"/>
                    <w:jc w:val="center"/>
                    <w:rPr>
                      <w:rFonts w:ascii="Times New Roman" w:hAnsi="Times New Roman" w:eastAsia="宋体" w:cs="Times New Roman"/>
                    </w:rPr>
                  </w:pPr>
                </w:p>
              </w:tc>
              <w:tc>
                <w:tcPr>
                  <w:tcW w:w="11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污染物排放管控</w:t>
                  </w:r>
                </w:p>
              </w:tc>
              <w:tc>
                <w:tcPr>
                  <w:tcW w:w="1112"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水环境城镇生活污染重点管控区；大气环境受体敏感重点管控区</w:t>
                  </w:r>
                </w:p>
              </w:tc>
              <w:tc>
                <w:tcPr>
                  <w:tcW w:w="28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highlight w:val="none"/>
                      <w:vertAlign w:val="baseline"/>
                      <w:lang w:val="en-US" w:eastAsia="zh-CN"/>
                    </w:rPr>
                    <w:t>本项目破碎生产区喷淋废水经沉淀池+絮凝剂处理后用于原料堆场、场区散水降尘；洗车废水经沉淀池处置后会回用；填埋区雨水经沉砂池处置后用于道路洒水降尘；生活污水经化粪池处理后，用于周边土地施肥，不外排；无组织总悬浮颗</w:t>
                  </w:r>
                  <w:r>
                    <w:rPr>
                      <w:rFonts w:hint="eastAsia" w:ascii="Times New Roman" w:hAnsi="Times New Roman" w:eastAsia="宋体" w:cs="Times New Roman"/>
                      <w:b w:val="0"/>
                      <w:sz w:val="21"/>
                      <w:szCs w:val="21"/>
                      <w:vertAlign w:val="baseline"/>
                      <w:lang w:val="en-US" w:eastAsia="zh-CN"/>
                    </w:rPr>
                    <w:t>粒物排放执行《大气污染物综合排放标准》（GB16297-1996）表2中二级标准</w:t>
                  </w:r>
                </w:p>
              </w:tc>
              <w:tc>
                <w:tcPr>
                  <w:tcW w:w="673"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7"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650"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11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环境风险防控</w:t>
                  </w:r>
                </w:p>
              </w:tc>
              <w:tc>
                <w:tcPr>
                  <w:tcW w:w="1112"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28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c>
                <w:tcPr>
                  <w:tcW w:w="673"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7"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650" w:type="dxa"/>
                  <w:vMerge w:val="continue"/>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p>
              </w:tc>
              <w:tc>
                <w:tcPr>
                  <w:tcW w:w="1138"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资源开发利用效率</w:t>
                  </w:r>
                </w:p>
              </w:tc>
              <w:tc>
                <w:tcPr>
                  <w:tcW w:w="1112" w:type="dxa"/>
                  <w:noWrap w:val="0"/>
                  <w:vAlign w:val="center"/>
                </w:tcPr>
                <w:p>
                  <w:pPr>
                    <w:adjustRightInd/>
                    <w:snapToGrid/>
                    <w:spacing w:line="240" w:lineRule="auto"/>
                    <w:jc w:val="center"/>
                    <w:rPr>
                      <w:rFonts w:hint="eastAsia"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高污染燃料禁燃区；自然资源重点管控区</w:t>
                  </w:r>
                </w:p>
              </w:tc>
              <w:tc>
                <w:tcPr>
                  <w:tcW w:w="2838"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本项目</w:t>
                  </w:r>
                  <w:r>
                    <w:rPr>
                      <w:rFonts w:hint="eastAsia" w:ascii="Times New Roman" w:hAnsi="Times New Roman" w:eastAsia="宋体" w:cs="Times New Roman"/>
                      <w:b w:val="0"/>
                      <w:sz w:val="21"/>
                      <w:szCs w:val="21"/>
                      <w:vertAlign w:val="baseline"/>
                    </w:rPr>
                    <w:t>属于</w:t>
                  </w:r>
                  <w:r>
                    <w:rPr>
                      <w:rFonts w:hint="eastAsia" w:ascii="Times New Roman" w:hAnsi="Times New Roman" w:eastAsia="宋体" w:cs="Times New Roman"/>
                      <w:b w:val="0"/>
                      <w:sz w:val="21"/>
                      <w:szCs w:val="21"/>
                      <w:vertAlign w:val="baseline"/>
                      <w:lang w:val="en-US" w:eastAsia="zh-CN"/>
                    </w:rPr>
                    <w:t>生态保护和环境治理业，</w:t>
                  </w:r>
                  <w:r>
                    <w:rPr>
                      <w:rFonts w:hint="eastAsia" w:ascii="Times New Roman" w:hAnsi="Times New Roman" w:eastAsia="宋体" w:cs="Times New Roman"/>
                      <w:b w:val="0"/>
                      <w:sz w:val="21"/>
                      <w:szCs w:val="21"/>
                      <w:vertAlign w:val="baseline"/>
                    </w:rPr>
                    <w:t>对当地社会</w:t>
                  </w:r>
                  <w:r>
                    <w:rPr>
                      <w:rFonts w:hint="eastAsia" w:ascii="Times New Roman" w:hAnsi="Times New Roman" w:eastAsia="宋体" w:cs="Times New Roman"/>
                      <w:b w:val="0"/>
                      <w:sz w:val="21"/>
                      <w:szCs w:val="21"/>
                      <w:vertAlign w:val="baseline"/>
                      <w:lang w:val="en-US" w:eastAsia="zh-CN"/>
                    </w:rPr>
                    <w:t>环境治理</w:t>
                  </w:r>
                  <w:r>
                    <w:rPr>
                      <w:rFonts w:hint="eastAsia" w:ascii="Times New Roman" w:hAnsi="Times New Roman" w:eastAsia="宋体" w:cs="Times New Roman"/>
                      <w:b w:val="0"/>
                      <w:sz w:val="21"/>
                      <w:szCs w:val="21"/>
                      <w:vertAlign w:val="baseline"/>
                    </w:rPr>
                    <w:t>起积极作用</w:t>
                  </w:r>
                  <w:r>
                    <w:rPr>
                      <w:rFonts w:hint="eastAsia" w:ascii="Times New Roman" w:hAnsi="Times New Roman" w:eastAsia="宋体" w:cs="Times New Roman"/>
                      <w:b w:val="0"/>
                      <w:sz w:val="21"/>
                      <w:szCs w:val="21"/>
                      <w:vertAlign w:val="baseline"/>
                      <w:lang w:eastAsia="zh-CN"/>
                    </w:rPr>
                    <w:t>；</w:t>
                  </w:r>
                  <w:r>
                    <w:rPr>
                      <w:rFonts w:hint="eastAsia" w:ascii="Times New Roman" w:hAnsi="Times New Roman" w:eastAsia="宋体" w:cs="Times New Roman"/>
                      <w:b w:val="0"/>
                      <w:sz w:val="21"/>
                      <w:szCs w:val="21"/>
                      <w:vertAlign w:val="baseline"/>
                      <w:lang w:val="en-US" w:eastAsia="zh-CN"/>
                    </w:rPr>
                    <w:t>同时持有合法的土地手续</w:t>
                  </w:r>
                </w:p>
              </w:tc>
              <w:tc>
                <w:tcPr>
                  <w:tcW w:w="673" w:type="dxa"/>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符合</w:t>
                  </w:r>
                </w:p>
              </w:tc>
            </w:tr>
          </w:tbl>
          <w:p>
            <w:pPr>
              <w:adjustRightInd w:val="0"/>
              <w:snapToGrid w:val="0"/>
              <w:spacing w:line="360" w:lineRule="auto"/>
              <w:ind w:firstLine="480" w:firstLineChars="200"/>
              <w:rPr>
                <w:rFonts w:hint="default" w:ascii="Times New Roman" w:hAnsi="Times New Roman" w:eastAsia="宋体" w:cs="Times New Roman"/>
                <w:b w:val="0"/>
                <w:bCs/>
                <w:sz w:val="24"/>
                <w:lang w:val="en-US" w:eastAsia="zh-CN"/>
              </w:rPr>
            </w:pPr>
            <w:r>
              <w:rPr>
                <w:rFonts w:hint="eastAsia" w:ascii="Times New Roman" w:hAnsi="Times New Roman" w:eastAsia="宋体" w:cs="Times New Roman"/>
                <w:b w:val="0"/>
                <w:bCs/>
                <w:sz w:val="24"/>
                <w:lang w:val="en-US" w:eastAsia="zh-CN"/>
              </w:rPr>
              <w:t>综上所述，本项目符合四川省生态环境厅办公室关于印发《产业园区规划环评“三线一单”符合性分析技术要点（试行)》和《项目环评“三线一单”符合性分析技术要点(试行)》的通知（川环办函〔2021〕469号）的相关要求。</w:t>
            </w:r>
          </w:p>
          <w:p>
            <w:pPr>
              <w:adjustRightInd w:val="0"/>
              <w:snapToGrid w:val="0"/>
              <w:spacing w:line="360" w:lineRule="auto"/>
              <w:ind w:firstLine="482"/>
              <w:rPr>
                <w:rFonts w:ascii="Times New Roman" w:hAnsi="Times New Roman" w:eastAsia="宋体" w:cs="Times New Roman"/>
                <w:b/>
                <w:sz w:val="24"/>
              </w:rPr>
            </w:pPr>
            <w:r>
              <w:rPr>
                <w:rFonts w:ascii="Times New Roman" w:hAnsi="Times New Roman" w:eastAsia="宋体" w:cs="Times New Roman"/>
                <w:b/>
                <w:sz w:val="24"/>
              </w:rPr>
              <w:t>（</w:t>
            </w:r>
            <w:r>
              <w:rPr>
                <w:rFonts w:hint="eastAsia" w:ascii="Times New Roman" w:hAnsi="Times New Roman" w:eastAsia="宋体" w:cs="Times New Roman"/>
                <w:b/>
                <w:sz w:val="24"/>
                <w:lang w:val="en-US" w:eastAsia="zh-CN"/>
              </w:rPr>
              <w:t>4</w:t>
            </w:r>
            <w:r>
              <w:rPr>
                <w:rFonts w:ascii="Times New Roman" w:hAnsi="Times New Roman" w:eastAsia="宋体" w:cs="Times New Roman"/>
                <w:b/>
                <w:sz w:val="24"/>
              </w:rPr>
              <w:t>）本项目与环境质量底线符合性分析</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kern w:val="0"/>
                <w:sz w:val="24"/>
                <w:szCs w:val="24"/>
              </w:rPr>
            </w:pPr>
            <w:r>
              <w:rPr>
                <w:rFonts w:ascii="Times New Roman" w:hAnsi="Times New Roman" w:eastAsia="宋体" w:cs="Times New Roman"/>
                <w:sz w:val="24"/>
                <w:shd w:val="clear" w:color="auto" w:fill="FFFFFF"/>
              </w:rPr>
              <w:t>根据乐山市生态环境局公布的</w:t>
            </w:r>
            <w:r>
              <w:rPr>
                <w:rFonts w:hint="eastAsia" w:ascii="Times New Roman" w:hAnsi="Times New Roman" w:eastAsia="宋体" w:cs="Times New Roman"/>
                <w:sz w:val="24"/>
                <w:shd w:val="clear" w:color="auto" w:fill="FFFFFF"/>
              </w:rPr>
              <w:t>《2020年乐山</w:t>
            </w:r>
            <w:r>
              <w:rPr>
                <w:rFonts w:ascii="Times New Roman" w:hAnsi="Times New Roman" w:eastAsia="宋体" w:cs="Times New Roman"/>
                <w:sz w:val="24"/>
                <w:shd w:val="clear" w:color="auto" w:fill="FFFFFF"/>
              </w:rPr>
              <w:t>市环境质量公报》，项目所在区域大气环境质量满足《环境空气质量标准》（GB3095-2012）二级标准限值要求</w:t>
            </w:r>
            <w:r>
              <w:rPr>
                <w:rFonts w:hint="eastAsia" w:ascii="Times New Roman" w:hAnsi="Times New Roman" w:eastAsia="宋体" w:cs="Times New Roman"/>
                <w:sz w:val="24"/>
                <w:shd w:val="clear" w:color="auto" w:fill="FFFFFF"/>
              </w:rPr>
              <w:t>；根据环境质量现状监测，总悬浮颗粒物质量现状满足《环境空气质量标准》（GB3095-2012）中二级标准；声环境质量满</w:t>
            </w:r>
            <w:r>
              <w:rPr>
                <w:rFonts w:hint="eastAsia" w:ascii="Times New Roman" w:hAnsi="Times New Roman" w:eastAsia="宋体" w:cs="Times New Roman"/>
                <w:sz w:val="24"/>
                <w:highlight w:val="none"/>
                <w:shd w:val="clear" w:color="auto" w:fill="FFFFFF"/>
              </w:rPr>
              <w:t>足《声环境质量标准》（GB3096-2008）中2类标准要求</w:t>
            </w:r>
            <w:r>
              <w:rPr>
                <w:rFonts w:hint="eastAsia" w:ascii="Times New Roman" w:hAnsi="Times New Roman" w:eastAsia="宋体" w:cs="Times New Roman"/>
                <w:sz w:val="24"/>
                <w:highlight w:val="none"/>
                <w:shd w:val="clear" w:color="auto" w:fill="FFFFFF"/>
                <w:lang w:eastAsia="zh-CN"/>
              </w:rPr>
              <w:t>；</w:t>
            </w:r>
            <w:r>
              <w:rPr>
                <w:rFonts w:hint="eastAsia" w:ascii="Times New Roman" w:hAnsi="Times New Roman" w:eastAsia="宋体" w:cs="Times New Roman"/>
                <w:sz w:val="24"/>
                <w:highlight w:val="none"/>
                <w:shd w:val="clear" w:color="auto" w:fill="FFFFFF"/>
                <w:lang w:val="en-US" w:eastAsia="zh-CN"/>
              </w:rPr>
              <w:t>地下水监测因子质量现状满足《地下水质量标准》（GB/T-</w:t>
            </w:r>
            <w:r>
              <w:rPr>
                <w:rFonts w:hint="default" w:ascii="Times New Roman" w:hAnsi="Times New Roman" w:eastAsia="宋体" w:cs="Times New Roman"/>
                <w:b w:val="0"/>
                <w:bCs/>
                <w:color w:val="auto"/>
                <w:sz w:val="24"/>
                <w:szCs w:val="24"/>
                <w:highlight w:val="none"/>
                <w:lang w:val="en-US" w:eastAsia="zh-CN"/>
              </w:rPr>
              <w:t>14848</w:t>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sz w:val="24"/>
                <w:highlight w:val="none"/>
                <w:shd w:val="clear" w:color="auto" w:fill="FFFFFF"/>
                <w:lang w:val="en-US" w:eastAsia="zh-CN"/>
              </w:rPr>
              <w:t>2017）III类标准；土壤监测因子质量现状满足《土壤环境质量 农用地土壤污染风险管控标准（试行）》中表 1 农用地土壤污染风险筛选值（基本项目）（其他）要求</w:t>
            </w:r>
            <w:r>
              <w:rPr>
                <w:rFonts w:hint="eastAsia" w:ascii="Times New Roman" w:hAnsi="Times New Roman" w:eastAsia="宋体" w:cs="Times New Roman"/>
                <w:sz w:val="24"/>
                <w:highlight w:val="none"/>
                <w:shd w:val="clear" w:color="auto" w:fill="FFFFFF"/>
              </w:rPr>
              <w:t>。本项目在采取相应的环保措施后，对周围环境影响较小，不</w:t>
            </w:r>
            <w:r>
              <w:rPr>
                <w:rFonts w:hint="eastAsia" w:ascii="Times New Roman" w:hAnsi="Times New Roman" w:eastAsia="宋体" w:cs="Times New Roman"/>
                <w:sz w:val="24"/>
                <w:shd w:val="clear" w:color="auto" w:fill="FFFFFF"/>
              </w:rPr>
              <w:t>会突破环境质量底线。</w:t>
            </w:r>
          </w:p>
          <w:p>
            <w:pPr>
              <w:adjustRightInd w:val="0"/>
              <w:snapToGrid w:val="0"/>
              <w:spacing w:line="360" w:lineRule="auto"/>
              <w:ind w:firstLine="482" w:firstLineChars="200"/>
              <w:rPr>
                <w:rFonts w:ascii="Times New Roman" w:hAnsi="Times New Roman" w:eastAsia="宋体" w:cs="Times New Roman"/>
                <w:b/>
                <w:bCs/>
                <w:sz w:val="24"/>
                <w:lang w:val="zh-CN"/>
              </w:rPr>
            </w:pPr>
            <w:r>
              <w:rPr>
                <w:rFonts w:ascii="Times New Roman" w:hAnsi="Times New Roman" w:eastAsia="宋体" w:cs="Times New Roman"/>
                <w:b/>
                <w:bCs/>
                <w:sz w:val="24"/>
                <w:lang w:val="zh-CN"/>
              </w:rPr>
              <w:t>（</w:t>
            </w:r>
            <w:r>
              <w:rPr>
                <w:rFonts w:hint="eastAsia" w:ascii="Times New Roman" w:hAnsi="Times New Roman" w:eastAsia="宋体" w:cs="Times New Roman"/>
                <w:b/>
                <w:bCs/>
                <w:sz w:val="24"/>
                <w:lang w:val="en-US" w:eastAsia="zh-CN"/>
              </w:rPr>
              <w:t>5</w:t>
            </w:r>
            <w:r>
              <w:rPr>
                <w:rFonts w:ascii="Times New Roman" w:hAnsi="Times New Roman" w:eastAsia="宋体" w:cs="Times New Roman"/>
                <w:b/>
                <w:bCs/>
                <w:sz w:val="24"/>
                <w:lang w:val="zh-CN"/>
              </w:rPr>
              <w:t>）本项目与资源利用上线符合性分析</w:t>
            </w:r>
          </w:p>
          <w:p>
            <w:pPr>
              <w:snapToGrid w:val="0"/>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rPr>
              <w:t>本项目区域水资源、能源和土地供应充足，不存在资源枯竭及供给不足的情况。</w:t>
            </w:r>
            <w:r>
              <w:rPr>
                <w:rFonts w:ascii="Times New Roman" w:hAnsi="Times New Roman" w:eastAsia="宋体" w:cs="Times New Roman"/>
                <w:sz w:val="24"/>
                <w:lang w:val="zh-CN"/>
              </w:rPr>
              <w:t>本项目</w:t>
            </w:r>
            <w:r>
              <w:rPr>
                <w:rFonts w:hint="eastAsia" w:ascii="Times New Roman" w:hAnsi="Times New Roman" w:eastAsia="宋体" w:cs="Times New Roman"/>
                <w:sz w:val="24"/>
                <w:lang w:val="en-US" w:eastAsia="zh-CN"/>
              </w:rPr>
              <w:t>临时</w:t>
            </w:r>
            <w:r>
              <w:rPr>
                <w:rFonts w:hint="eastAsia" w:ascii="Times New Roman" w:hAnsi="Times New Roman" w:eastAsia="宋体" w:cs="Times New Roman"/>
                <w:sz w:val="24"/>
                <w:lang w:val="zh-CN"/>
              </w:rPr>
              <w:t>占地为</w:t>
            </w:r>
            <w:r>
              <w:rPr>
                <w:rFonts w:hint="eastAsia" w:ascii="Times New Roman" w:hAnsi="Times New Roman" w:eastAsia="宋体" w:cs="Times New Roman"/>
                <w:sz w:val="24"/>
                <w:lang w:val="en-US" w:eastAsia="zh-CN"/>
              </w:rPr>
              <w:t>林地、耕地、农用地、坑塘水面</w:t>
            </w:r>
            <w:r>
              <w:rPr>
                <w:rFonts w:hint="eastAsia" w:ascii="Times New Roman" w:hAnsi="Times New Roman" w:eastAsia="宋体" w:cs="Times New Roman"/>
                <w:sz w:val="24"/>
                <w:lang w:val="zh-CN"/>
              </w:rPr>
              <w:t>，</w:t>
            </w:r>
            <w:r>
              <w:rPr>
                <w:rFonts w:ascii="Times New Roman" w:hAnsi="Times New Roman" w:eastAsia="宋体" w:cs="Times New Roman"/>
                <w:sz w:val="24"/>
                <w:lang w:val="zh-CN"/>
              </w:rPr>
              <w:t>不占用基本农田，项目未涉及土地资源利用上线</w:t>
            </w:r>
            <w:r>
              <w:rPr>
                <w:rFonts w:hint="eastAsia" w:ascii="Times New Roman" w:hAnsi="Times New Roman" w:eastAsia="宋体" w:cs="Times New Roman"/>
                <w:sz w:val="24"/>
                <w:lang w:val="zh-CN"/>
              </w:rPr>
              <w:t>。</w:t>
            </w:r>
          </w:p>
          <w:p>
            <w:pPr>
              <w:snapToGrid w:val="0"/>
              <w:spacing w:line="360" w:lineRule="auto"/>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w:t>
            </w:r>
            <w:r>
              <w:rPr>
                <w:rFonts w:hint="eastAsia" w:ascii="Times New Roman" w:hAnsi="Times New Roman" w:eastAsia="宋体" w:cs="Times New Roman"/>
                <w:b/>
                <w:sz w:val="24"/>
                <w:lang w:val="en-US" w:eastAsia="zh-CN"/>
              </w:rPr>
              <w:t>6</w:t>
            </w:r>
            <w:r>
              <w:rPr>
                <w:rFonts w:hint="eastAsia" w:ascii="Times New Roman" w:hAnsi="Times New Roman" w:eastAsia="宋体" w:cs="Times New Roman"/>
                <w:b/>
                <w:sz w:val="24"/>
              </w:rPr>
              <w:t>）本项目与环境准入负面清单符合性分析</w:t>
            </w:r>
          </w:p>
          <w:p>
            <w:pPr>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四川省国家重点生态功能区产业准入负面清单（第一批）（试行）》、《四川省重点生态功能区产业准入负面清单（第二批）（试行）》以及《四川省长江经济带发展负面清单实施细则（试行）》可知项目暂时还没有环境准入负面清单，故本项目不属于禁止准入类和限制准入类。</w:t>
            </w:r>
          </w:p>
          <w:p>
            <w:pPr>
              <w:adjustRightInd w:val="0"/>
              <w:snapToGrid w:val="0"/>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综上所述，经过与“三线一单”进行对照后，项目不在生态保护红线内、未超出资源利用上线、未列入环境准入负面清单内，符合环境质量底线的要求，能够与周边环境相容。</w:t>
            </w:r>
          </w:p>
          <w:p>
            <w:pPr>
              <w:snapToGrid w:val="0"/>
              <w:spacing w:line="360" w:lineRule="auto"/>
              <w:ind w:firstLine="482" w:firstLineChars="20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eastAsia="zh-CN"/>
              </w:rPr>
              <w:t>（</w:t>
            </w:r>
            <w:r>
              <w:rPr>
                <w:rFonts w:hint="eastAsia" w:ascii="Times New Roman" w:hAnsi="Times New Roman" w:eastAsia="宋体" w:cs="Times New Roman"/>
                <w:b/>
                <w:sz w:val="24"/>
                <w:lang w:val="en-US" w:eastAsia="zh-CN"/>
              </w:rPr>
              <w:t>7</w:t>
            </w:r>
            <w:r>
              <w:rPr>
                <w:rFonts w:hint="eastAsia" w:ascii="Times New Roman" w:hAnsi="Times New Roman" w:eastAsia="宋体" w:cs="Times New Roman"/>
                <w:b/>
                <w:sz w:val="24"/>
                <w:lang w:eastAsia="zh-CN"/>
              </w:rPr>
              <w:t>）</w:t>
            </w:r>
            <w:r>
              <w:rPr>
                <w:rFonts w:hint="eastAsia" w:ascii="Times New Roman" w:hAnsi="Times New Roman" w:eastAsia="宋体" w:cs="Times New Roman"/>
                <w:b/>
                <w:sz w:val="24"/>
                <w:lang w:val="en-US" w:eastAsia="zh-CN"/>
              </w:rPr>
              <w:t>与《中华人民共和国固体废物污染环境防治法》符合性分析</w:t>
            </w:r>
          </w:p>
          <w:p>
            <w:pPr>
              <w:autoSpaceDE w:val="0"/>
              <w:autoSpaceDN w:val="0"/>
              <w:adjustRightInd w:val="0"/>
              <w:snapToGrid w:val="0"/>
              <w:spacing w:line="360" w:lineRule="auto"/>
              <w:ind w:firstLine="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与《中华人民共和国固体废物污染环境防治法》符合性分析</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5"/>
              <w:gridCol w:w="2447"/>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vertAlign w:val="baseline"/>
                      <w:lang w:val="en-US" w:eastAsia="zh-CN"/>
                    </w:rPr>
                    <w:t>中华人民共和国固体废物污染环境防治法</w:t>
                  </w:r>
                  <w:r>
                    <w:rPr>
                      <w:rFonts w:hint="eastAsia" w:ascii="Times New Roman" w:hAnsi="Times New Roman" w:eastAsia="宋体" w:cs="Times New Roman"/>
                      <w:b/>
                      <w:bCs/>
                      <w:sz w:val="21"/>
                      <w:szCs w:val="21"/>
                      <w:vertAlign w:val="baseline"/>
                      <w:lang w:val="en-US" w:eastAsia="zh-CN"/>
                    </w:rPr>
                    <w:t>》</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本项目</w:t>
                  </w:r>
                </w:p>
              </w:tc>
              <w:tc>
                <w:tcPr>
                  <w:tcW w:w="802"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第十七条 建设产生、贮存、利用、处置固体废物的项目，应当依法进行环境影响评价，并遵守国家有关建设项目环境保护管理的规定。</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本项目</w:t>
                  </w:r>
                  <w:r>
                    <w:rPr>
                      <w:rFonts w:hint="eastAsia" w:ascii="Times New Roman" w:hAnsi="Times New Roman" w:eastAsia="宋体" w:cs="Times New Roman"/>
                      <w:b w:val="0"/>
                      <w:sz w:val="21"/>
                      <w:szCs w:val="21"/>
                      <w:vertAlign w:val="baseline"/>
                    </w:rPr>
                    <w:t>属于</w:t>
                  </w:r>
                  <w:r>
                    <w:rPr>
                      <w:rFonts w:hint="eastAsia" w:ascii="Times New Roman" w:hAnsi="Times New Roman" w:eastAsia="宋体" w:cs="Times New Roman"/>
                      <w:b w:val="0"/>
                      <w:sz w:val="21"/>
                      <w:szCs w:val="21"/>
                      <w:vertAlign w:val="baseline"/>
                      <w:lang w:val="en-US" w:eastAsia="zh-CN"/>
                    </w:rPr>
                    <w:t>生态保护和环境治理业，主要处置当地的建筑垃圾，</w:t>
                  </w:r>
                  <w:r>
                    <w:rPr>
                      <w:rFonts w:hint="eastAsia" w:ascii="Times New Roman" w:hAnsi="Times New Roman" w:eastAsia="宋体" w:cs="Times New Roman"/>
                      <w:b w:val="0"/>
                      <w:sz w:val="21"/>
                      <w:szCs w:val="21"/>
                      <w:vertAlign w:val="baseline"/>
                    </w:rPr>
                    <w:t>对当地社会</w:t>
                  </w:r>
                  <w:r>
                    <w:rPr>
                      <w:rFonts w:hint="eastAsia" w:ascii="Times New Roman" w:hAnsi="Times New Roman" w:eastAsia="宋体" w:cs="Times New Roman"/>
                      <w:b w:val="0"/>
                      <w:sz w:val="21"/>
                      <w:szCs w:val="21"/>
                      <w:vertAlign w:val="baseline"/>
                      <w:lang w:val="en-US" w:eastAsia="zh-CN"/>
                    </w:rPr>
                    <w:t>环境治理</w:t>
                  </w:r>
                  <w:r>
                    <w:rPr>
                      <w:rFonts w:hint="eastAsia" w:ascii="Times New Roman" w:hAnsi="Times New Roman" w:eastAsia="宋体" w:cs="Times New Roman"/>
                      <w:b w:val="0"/>
                      <w:sz w:val="21"/>
                      <w:szCs w:val="21"/>
                      <w:vertAlign w:val="baseline"/>
                    </w:rPr>
                    <w:t>起积极作用</w:t>
                  </w:r>
                  <w:r>
                    <w:rPr>
                      <w:rFonts w:hint="eastAsia" w:ascii="Times New Roman" w:hAnsi="Times New Roman" w:eastAsia="宋体" w:cs="Times New Roman"/>
                      <w:b w:val="0"/>
                      <w:sz w:val="21"/>
                      <w:szCs w:val="21"/>
                      <w:vertAlign w:val="baseline"/>
                      <w:lang w:eastAsia="zh-CN"/>
                    </w:rPr>
                    <w:t>；</w:t>
                  </w:r>
                  <w:r>
                    <w:rPr>
                      <w:rFonts w:hint="eastAsia" w:ascii="Times New Roman" w:hAnsi="Times New Roman" w:eastAsia="宋体" w:cs="Times New Roman"/>
                      <w:b w:val="0"/>
                      <w:sz w:val="21"/>
                      <w:szCs w:val="21"/>
                      <w:vertAlign w:val="baseline"/>
                      <w:lang w:val="en-US" w:eastAsia="zh-CN"/>
                    </w:rPr>
                    <w:t>同时依法开展了本次环境影响评价工作</w:t>
                  </w:r>
                </w:p>
              </w:tc>
              <w:tc>
                <w:tcPr>
                  <w:tcW w:w="802" w:type="pc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第十八条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本项目各项固废均配备了合理、可行的处</w:t>
                  </w:r>
                  <w:r>
                    <w:rPr>
                      <w:rFonts w:hint="eastAsia" w:ascii="Times New Roman" w:hAnsi="Times New Roman" w:eastAsia="宋体" w:cs="Times New Roman"/>
                      <w:b w:val="0"/>
                      <w:bCs w:val="0"/>
                      <w:sz w:val="21"/>
                      <w:szCs w:val="21"/>
                      <w:highlight w:val="none"/>
                      <w:vertAlign w:val="baseline"/>
                      <w:lang w:val="en-US" w:eastAsia="zh-CN"/>
                    </w:rPr>
                    <w:t>置设备及污染防治措施；填埋场两侧设置截水沟、堆放平台内侧排水沟以及渣场内部排水盲沟。</w:t>
                  </w:r>
                  <w:r>
                    <w:rPr>
                      <w:rFonts w:hint="eastAsia" w:ascii="Times New Roman" w:hAnsi="Times New Roman" w:eastAsia="宋体" w:cs="Times New Roman"/>
                      <w:b w:val="0"/>
                      <w:bCs w:val="0"/>
                      <w:sz w:val="21"/>
                      <w:szCs w:val="21"/>
                      <w:vertAlign w:val="baseline"/>
                      <w:lang w:val="en-US" w:eastAsia="zh-CN"/>
                    </w:rPr>
                    <w:t>已开展了初步设计，落实了相关污染环境及破坏生态的防治措施及投资概算。</w:t>
                  </w:r>
                </w:p>
              </w:tc>
              <w:tc>
                <w:tcPr>
                  <w:tcW w:w="802"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第二十条 产生、收集、贮存、运输、利用、处置固体废物的单位和其他生产经营者，应当采取防扬散、防流失、防渗漏或者其他防止污染环境的措施，不得擅自倾倒、堆放、丢弃、遗撒固体废物。</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建筑垃圾使用专用车辆运输，车辆采取降尘、篷布、控制车速、洒水等措施。填埋区最低处设置有拦渣坝。</w:t>
                  </w:r>
                </w:p>
              </w:tc>
              <w:tc>
                <w:tcPr>
                  <w:tcW w:w="802"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第二十一条 在生态保护红线区域、永久基本农田集中区域和其他需要特别保护的区域内，禁止建设工业固体废物、危险废物集中贮存、利用、处置的设施、场所和生活垃圾填埋场。</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本项目不涉及生态保护红线区域、永久基本农田集中区域和其他需要特别保护的区域。</w:t>
                  </w:r>
                </w:p>
              </w:tc>
              <w:tc>
                <w:tcPr>
                  <w:tcW w:w="802"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5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第六十一条 国家鼓励采用先进技术、工艺、设备和管理措施，推进建筑垃圾源头减量，建立建筑垃圾回收利用体系。</w:t>
                  </w:r>
                </w:p>
              </w:tc>
              <w:tc>
                <w:tcPr>
                  <w:tcW w:w="174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本项目建立建筑垃圾回收利用体系，</w:t>
                  </w:r>
                  <w:r>
                    <w:rPr>
                      <w:rFonts w:hint="eastAsia" w:ascii="Times New Roman" w:hAnsi="Times New Roman" w:eastAsia="宋体" w:cs="Times New Roman"/>
                      <w:b w:val="0"/>
                      <w:bCs w:val="0"/>
                      <w:sz w:val="21"/>
                      <w:szCs w:val="21"/>
                      <w:highlight w:val="none"/>
                      <w:vertAlign w:val="baseline"/>
                      <w:lang w:val="en-US" w:eastAsia="zh-CN"/>
                    </w:rPr>
                    <w:t>设置建筑垃圾综合破碎处理系统，生产规模10.5万t/年，设</w:t>
                  </w:r>
                  <w:r>
                    <w:rPr>
                      <w:rFonts w:hint="eastAsia" w:ascii="Times New Roman" w:hAnsi="Times New Roman" w:eastAsia="宋体" w:cs="Times New Roman"/>
                      <w:b w:val="0"/>
                      <w:bCs w:val="0"/>
                      <w:sz w:val="21"/>
                      <w:szCs w:val="21"/>
                      <w:vertAlign w:val="baseline"/>
                      <w:lang w:val="en-US" w:eastAsia="zh-CN"/>
                    </w:rPr>
                    <w:t>置1条混凝土资源化加工再利用生线，对混凝土进行破碎，生产再生骨料。建筑垃圾进场后，分选各个种类，分选废木头、废钢材、废纸板再利用，混凝土进入破碎处理系统，经过破科筛分等加工生产建筑再生骨料，废砖头、装修垃圾进行填埋，装修白色垃圾外运交由光大环保能源（乐山）有限公司处理。</w:t>
                  </w:r>
                </w:p>
              </w:tc>
              <w:tc>
                <w:tcPr>
                  <w:tcW w:w="802"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bl>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综上所述，本项目符合《中华人民共和国固体废物污染环境防治法》的相关要求。</w:t>
            </w:r>
          </w:p>
          <w:p>
            <w:pPr>
              <w:snapToGrid w:val="0"/>
              <w:spacing w:line="360" w:lineRule="auto"/>
              <w:ind w:firstLine="482" w:firstLineChars="200"/>
              <w:rPr>
                <w:rFonts w:hint="eastAsia"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（8）与《建筑垃圾处理技术标准》(CJJ/T 134-2019)、《固体废物处理处置工程技术导则》（HJ2035-2013)的符合性分析</w:t>
            </w:r>
          </w:p>
          <w:p>
            <w:pPr>
              <w:autoSpaceDE w:val="0"/>
              <w:autoSpaceDN w:val="0"/>
              <w:adjustRightInd w:val="0"/>
              <w:snapToGrid w:val="0"/>
              <w:spacing w:line="360" w:lineRule="auto"/>
              <w:ind w:firstLine="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导则/标准符合性分析</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962"/>
              <w:gridCol w:w="205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导则/标准</w:t>
                  </w:r>
                </w:p>
              </w:tc>
              <w:tc>
                <w:tcPr>
                  <w:tcW w:w="2106" w:type="pc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要求</w:t>
                  </w:r>
                </w:p>
              </w:tc>
              <w:tc>
                <w:tcPr>
                  <w:tcW w:w="1460" w:type="pct"/>
                  <w:noWrap w:val="0"/>
                  <w:vAlign w:val="center"/>
                </w:tcPr>
                <w:p>
                  <w:pPr>
                    <w:adjustRightInd/>
                    <w:snapToGrid/>
                    <w:spacing w:line="240" w:lineRule="auto"/>
                    <w:jc w:val="center"/>
                    <w:rPr>
                      <w:rFonts w:hint="default" w:ascii="Times New Roman" w:hAnsi="Times New Roman" w:eastAsia="宋体" w:cs="Times New Roman"/>
                      <w:b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本项目</w:t>
                  </w:r>
                </w:p>
              </w:tc>
              <w:tc>
                <w:tcPr>
                  <w:tcW w:w="536"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restar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《建筑垃圾处理技术标准》(CJJ/T 134-2019)</w:t>
                  </w:r>
                </w:p>
              </w:tc>
              <w:tc>
                <w:tcPr>
                  <w:tcW w:w="2106"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建筑垃圾应从源头分类，按照工程渣土、工程泥浆、工程垃圾、拆除垃圾和装修垃圾，应分类收集、分类运输、</w:t>
                  </w:r>
                  <w:r>
                    <w:rPr>
                      <w:rFonts w:hint="eastAsia" w:ascii="Times New Roman" w:hAnsi="Times New Roman" w:eastAsia="宋体" w:cs="Times New Roman"/>
                      <w:b w:val="0"/>
                      <w:bCs w:val="0"/>
                      <w:sz w:val="21"/>
                      <w:szCs w:val="21"/>
                      <w:vertAlign w:val="baseline"/>
                      <w:lang w:val="en-US" w:eastAsia="zh-CN"/>
                    </w:rPr>
                    <w:t>分类处置</w:t>
                  </w:r>
                </w:p>
              </w:tc>
              <w:tc>
                <w:tcPr>
                  <w:tcW w:w="1460"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本项目设置1个80万方的填埋区，建筑垃圾进场后，分选各个种类，选取了合理处置方式</w:t>
                  </w:r>
                </w:p>
              </w:tc>
              <w:tc>
                <w:tcPr>
                  <w:tcW w:w="536"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96" w:type="pct"/>
                  <w:vMerge w:val="continue"/>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作业场所应采取抑尘措施。</w:t>
                  </w:r>
                </w:p>
              </w:tc>
              <w:tc>
                <w:tcPr>
                  <w:tcW w:w="146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本项目混凝土在密闭生产区破碎生产，通过厂房密闭+喷淋降尘措施；厂区混凝土堆场洒水降尘，道路定期洒水降尘</w:t>
                  </w:r>
                </w:p>
              </w:tc>
              <w:tc>
                <w:tcPr>
                  <w:tcW w:w="536" w:type="pc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continue"/>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填埋应采用单元、分层作业，填埋单元作业工序应为卸车、分层摊铺、压实，达到规定高度后应进行覆盖、再压实。</w:t>
                  </w:r>
                </w:p>
              </w:tc>
              <w:tc>
                <w:tcPr>
                  <w:tcW w:w="1460" w:type="pct"/>
                  <w:noWrap w:val="0"/>
                  <w:vAlign w:val="center"/>
                </w:tcPr>
                <w:p>
                  <w:pPr>
                    <w:adjustRightInd/>
                    <w:snapToGrid/>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本项目填埋采用单元、分层作业，填埋单元作业工序应为卸车、分层摊铺、压实，达到规定高度后应进行覆盖、再压实</w:t>
                  </w:r>
                </w:p>
              </w:tc>
              <w:tc>
                <w:tcPr>
                  <w:tcW w:w="53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restart"/>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vertAlign w:val="baseline"/>
                      <w:lang w:val="en-US" w:eastAsia="zh-CN"/>
                    </w:rPr>
                    <w:t>固体废物处理处置工程技术导则》（HJ2035-2013)</w:t>
                  </w: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固体废物处理处置厂(场) 周围应设置围墙或防护栅栏等隔离设施</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防止家畜和无关人员进入，并应在填埋场、堆肥场边界周围设置防飞扬设施、安全防护设施及防火隔离带。</w:t>
                  </w:r>
                </w:p>
              </w:tc>
              <w:tc>
                <w:tcPr>
                  <w:tcW w:w="146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本项目出入口设置门卫，填埋区处于两个小山丘之间，填埋区四周有茂盛树林遮挡</w:t>
                  </w:r>
                </w:p>
              </w:tc>
              <w:tc>
                <w:tcPr>
                  <w:tcW w:w="53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continue"/>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固体废物处理处置厂(场)的车辆清洗设施宜设在卸料设施和处理处置厂(场)出口附近以便于及时清洗卸料后的车辆。</w:t>
                  </w:r>
                </w:p>
              </w:tc>
              <w:tc>
                <w:tcPr>
                  <w:tcW w:w="146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本项目洗车槽设置位于出入口与填埋区运输道路中段，便于车辆清洗</w:t>
                  </w:r>
                </w:p>
              </w:tc>
              <w:tc>
                <w:tcPr>
                  <w:tcW w:w="53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continue"/>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填埋场内应实行雨水与污水分流</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减少运行过程中的渗滤液产生量</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填埋库区应铺设渗滤液收集系统</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并宜设置疏通设施</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渗滤液收集及处理系统应包括导流层、盲沟、调节池和渗滤液处理设施</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调节池容积应与填埋工艺、停留时间、渗滤液产生量及配套的渗滤液处理设施规模等相匹</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调节池及渗滤液流经或停留的其他设施均应采取防渗措施。</w:t>
                  </w:r>
                </w:p>
              </w:tc>
              <w:tc>
                <w:tcPr>
                  <w:tcW w:w="1460"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本项目雨污分流。生活污水经化粪池预处理后，用于周边土地施肥；生活区雨水经雨水沟作用进入护佛路北段雨水沟；填埋场两侧设置截水沟、堆放平台内侧排水沟以及渣场内部排水盲沟，盲沟设计尺寸为1.0m×1.0m，填筑透水性强的天然砂砾，外包反滤土工布，雨水经排水系统作用进入沉砂池（渗滤液收集池）。</w:t>
                  </w:r>
                </w:p>
              </w:tc>
              <w:tc>
                <w:tcPr>
                  <w:tcW w:w="53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continue"/>
                  <w:noWrap w:val="0"/>
                  <w:vAlign w:val="center"/>
                </w:tcPr>
                <w:p>
                  <w:pPr>
                    <w:adjustRightInd/>
                    <w:snapToGrid/>
                    <w:spacing w:line="240" w:lineRule="auto"/>
                    <w:jc w:val="center"/>
                    <w:rPr>
                      <w:rFonts w:hint="default" w:ascii="Times New Roman" w:hAnsi="Times New Roman" w:eastAsia="宋体" w:cs="Times New Roman"/>
                      <w:b/>
                      <w:bCs/>
                      <w:sz w:val="21"/>
                      <w:szCs w:val="21"/>
                      <w:vertAlign w:val="baseline"/>
                      <w:lang w:val="en-US" w:eastAsia="zh-CN"/>
                    </w:rPr>
                  </w:pPr>
                </w:p>
              </w:tc>
              <w:tc>
                <w:tcPr>
                  <w:tcW w:w="210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填埋物进入填埋场应进行检查和计量。运输车辆离开填埋场前宜冲洗轮胎和底盘。挖掘、装载、运输、摊铺、压实、覆盖等作业设备</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应按填埋日处理规模和作业工艺设计要求配置。填埋应采用分单元、分层作业，填埋单元作业工序应为卸车、分层摊铺、压实，达到规定高度后应进行覆盖、再压实。应根据地形制定分区分单元填埋作业计划，减少渗滤液产生量。每层废物摊铺厚度应根据填埋作业设备的压实性能、压实次数及废物的可压缩性确定，厚度不宜超过60cm，且宜从作业单元的边坡底部到顶部摊铺;废物压实密度应大于600kg/m3。每一单元的废物高度宜为2~4m，最高不超过6m。单元作业宽度按填埋作业设备的宽度及高峰期同时进行作业的车辆数确定，最小宽度不宜小于6m。单元的坡度不宜大于1:3。每一单元作业完成后，应进行覆盖，覆盖层厚度宜根据覆盖材料确定</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土覆盖层厚度宜为 20~25cm;每一作业区完成阶段性高度后</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暂时不在其上继续进行填埋时，应进行中间覆盖</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覆盖层厚度宜根据覆盖材料确定</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土覆盖层厚度宜大于30cm。</w:t>
                  </w:r>
                </w:p>
                <w:p>
                  <w:pPr>
                    <w:adjustRightInd/>
                    <w:snapToGrid/>
                    <w:spacing w:line="240" w:lineRule="auto"/>
                    <w:jc w:val="center"/>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填埋作业区的周围应设置防轻质废物飞散的设施。填埋场周围应设绿化防护带</w:t>
                  </w:r>
                  <w:r>
                    <w:rPr>
                      <w:rFonts w:hint="eastAsia" w:ascii="Times New Roman" w:hAnsi="Times New Roman" w:eastAsia="宋体" w:cs="Times New Roman"/>
                      <w:b w:val="0"/>
                      <w:bCs w:val="0"/>
                      <w:sz w:val="21"/>
                      <w:szCs w:val="21"/>
                      <w:highlight w:val="none"/>
                      <w:vertAlign w:val="baseline"/>
                      <w:lang w:val="en-US" w:eastAsia="zh-CN"/>
                    </w:rPr>
                    <w:t>，</w:t>
                  </w:r>
                  <w:r>
                    <w:rPr>
                      <w:rFonts w:hint="default" w:ascii="Times New Roman" w:hAnsi="Times New Roman" w:eastAsia="宋体" w:cs="Times New Roman"/>
                      <w:b w:val="0"/>
                      <w:bCs w:val="0"/>
                      <w:sz w:val="21"/>
                      <w:szCs w:val="21"/>
                      <w:highlight w:val="none"/>
                      <w:vertAlign w:val="baseline"/>
                      <w:lang w:val="en-US" w:eastAsia="zh-CN"/>
                    </w:rPr>
                    <w:t>使其与周围环境相隔离。</w:t>
                  </w:r>
                </w:p>
              </w:tc>
              <w:tc>
                <w:tcPr>
                  <w:tcW w:w="1460" w:type="pct"/>
                  <w:noWrap w:val="0"/>
                  <w:vAlign w:val="center"/>
                </w:tcPr>
                <w:p>
                  <w:pPr>
                    <w:adjustRightInd/>
                    <w:snapToGrid/>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建筑垃圾进入填埋场时先通过地磅计量称重，运输车辆离开时进行轮胎和底盘清洗。作业设备与填埋场日处理规模配置相符；填埋采用分单元、分层作业，作业工序应为卸车、分层摊铺、压实，达到规定高度后进行覆盖、再压实。填土段每层铺土厚度为20～30cm，每层填料的摊铺宽度，每侧超出设计宽度50cm，以保证修整边坡后的边缘有足够的压实度，待填筑成型后再削坡。每一作业区完成阶段性高度后，暂时不在其上继续进行填</w:t>
                  </w:r>
                  <w:r>
                    <w:rPr>
                      <w:rFonts w:hint="eastAsia" w:ascii="Times New Roman" w:hAnsi="Times New Roman" w:eastAsia="宋体" w:cs="Times New Roman"/>
                      <w:b w:val="0"/>
                      <w:bCs w:val="0"/>
                      <w:sz w:val="21"/>
                      <w:szCs w:val="21"/>
                      <w:highlight w:val="none"/>
                      <w:vertAlign w:val="baseline"/>
                      <w:lang w:val="en-US" w:eastAsia="zh-CN"/>
                    </w:rPr>
                    <w:t>埋时，进行中间覆盖，覆盖材料为土，土覆盖层厚度30cm。</w:t>
                  </w:r>
                </w:p>
              </w:tc>
              <w:tc>
                <w:tcPr>
                  <w:tcW w:w="536" w:type="pct"/>
                  <w:noWrap w:val="0"/>
                  <w:vAlign w:val="center"/>
                </w:tcPr>
                <w:p>
                  <w:pPr>
                    <w:adjustRightInd/>
                    <w:snapToGrid/>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bl>
          <w:p>
            <w:pPr>
              <w:adjustRightInd w:val="0"/>
              <w:snapToGrid w:val="0"/>
              <w:spacing w:line="360" w:lineRule="auto"/>
              <w:rPr>
                <w:rFonts w:hint="eastAsia" w:ascii="Times New Roman" w:hAnsi="Times New Roman" w:eastAsia="宋体" w:cs="Times New Roman"/>
                <w:sz w:val="24"/>
                <w:lang w:val="en-US" w:eastAsia="zh-CN"/>
              </w:rPr>
            </w:pPr>
          </w:p>
          <w:p>
            <w:pPr>
              <w:adjustRightInd w:val="0"/>
              <w:snapToGrid w:val="0"/>
              <w:spacing w:line="360" w:lineRule="auto"/>
              <w:rPr>
                <w:rFonts w:hint="eastAsia" w:ascii="Times New Roman" w:hAnsi="Times New Roman" w:eastAsia="宋体" w:cs="Times New Roman"/>
                <w:sz w:val="24"/>
                <w:lang w:val="en-US" w:eastAsia="zh-CN"/>
              </w:rPr>
            </w:pPr>
          </w:p>
          <w:p>
            <w:pPr>
              <w:autoSpaceDE w:val="0"/>
              <w:autoSpaceDN w:val="0"/>
              <w:adjustRightInd w:val="0"/>
              <w:snapToGrid w:val="0"/>
              <w:jc w:val="center"/>
              <w:rPr>
                <w:rFonts w:hint="default" w:ascii="Times New Roman" w:hAnsi="Times New Roman" w:cs="Times New Roman"/>
                <w:kern w:val="0"/>
                <w:sz w:val="24"/>
                <w:szCs w:val="24"/>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cols w:space="720" w:num="1"/>
          <w:docGrid w:linePitch="312" w:charSpace="0"/>
        </w:sectPr>
      </w:pPr>
    </w:p>
    <w:p>
      <w:pPr>
        <w:pStyle w:val="33"/>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60" w:hRule="atLeast"/>
          <w:jc w:val="center"/>
        </w:trPr>
        <w:tc>
          <w:tcPr>
            <w:tcW w:w="823" w:type="dxa"/>
            <w:noWrap w:val="0"/>
            <w:vAlign w:val="center"/>
          </w:tcPr>
          <w:p>
            <w:pPr>
              <w:pStyle w:val="33"/>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建设内容</w:t>
            </w:r>
          </w:p>
        </w:tc>
        <w:tc>
          <w:tcPr>
            <w:tcW w:w="8161" w:type="dxa"/>
            <w:noWrap w:val="0"/>
            <w:vAlign w:val="top"/>
          </w:tcPr>
          <w:p>
            <w:pPr>
              <w:widowControl/>
              <w:adjustRightInd w:val="0"/>
              <w:snapToGrid w:val="0"/>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（一）项目概况</w:t>
            </w:r>
          </w:p>
          <w:p>
            <w:pPr>
              <w:widowControl/>
              <w:adjustRightInd w:val="0"/>
              <w:snapToGrid w:val="0"/>
              <w:spacing w:line="360" w:lineRule="auto"/>
              <w:ind w:firstLine="480" w:firstLineChars="200"/>
              <w:jc w:val="left"/>
              <w:rPr>
                <w:rFonts w:hint="eastAsia" w:ascii="Times New Roman" w:hAnsi="Times New Roman" w:cs="Times New Roman"/>
                <w:sz w:val="24"/>
                <w:szCs w:val="24"/>
                <w:lang w:val="en-US" w:eastAsia="zh-CN"/>
              </w:rPr>
            </w:pPr>
            <w:r>
              <w:rPr>
                <w:rFonts w:ascii="Times New Roman" w:hAnsi="Times New Roman" w:eastAsia="宋体" w:cs="Times New Roman"/>
                <w:sz w:val="24"/>
              </w:rPr>
              <w:t>（1）项目名称：</w:t>
            </w:r>
            <w:r>
              <w:rPr>
                <w:rFonts w:hint="eastAsia" w:ascii="Times New Roman" w:hAnsi="Times New Roman" w:cs="Times New Roman"/>
                <w:sz w:val="24"/>
                <w:szCs w:val="24"/>
                <w:lang w:val="en-US" w:eastAsia="zh-CN"/>
              </w:rPr>
              <w:t>大湾弃土场</w:t>
            </w:r>
          </w:p>
          <w:p>
            <w:pPr>
              <w:widowControl/>
              <w:adjustRightInd w:val="0"/>
              <w:snapToGrid w:val="0"/>
              <w:spacing w:line="360" w:lineRule="auto"/>
              <w:ind w:firstLine="480" w:firstLineChars="200"/>
              <w:jc w:val="left"/>
              <w:rPr>
                <w:rFonts w:hint="eastAsia" w:ascii="Times New Roman" w:hAnsi="Times New Roman" w:cs="Times New Roman"/>
                <w:sz w:val="24"/>
                <w:szCs w:val="24"/>
                <w:lang w:val="en-US" w:eastAsia="zh-CN"/>
              </w:rPr>
            </w:pPr>
            <w:r>
              <w:rPr>
                <w:rFonts w:ascii="Times New Roman" w:hAnsi="Times New Roman" w:eastAsia="宋体" w:cs="Times New Roman"/>
                <w:sz w:val="24"/>
              </w:rPr>
              <w:t>（2）建设地点：</w:t>
            </w:r>
            <w:r>
              <w:rPr>
                <w:rFonts w:hint="eastAsia" w:ascii="Times New Roman" w:hAnsi="Times New Roman" w:cs="Times New Roman"/>
                <w:sz w:val="24"/>
                <w:szCs w:val="24"/>
                <w:lang w:val="en-US" w:eastAsia="zh-CN"/>
              </w:rPr>
              <w:t>四川省乐山市市中区全福街道办事处台子村2组</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（3）建设单位：</w:t>
            </w:r>
            <w:r>
              <w:rPr>
                <w:rFonts w:hint="default" w:ascii="Times New Roman" w:hAnsi="Times New Roman" w:eastAsia="宋体" w:cs="Times New Roman"/>
                <w:sz w:val="24"/>
                <w:lang w:val="en-US" w:eastAsia="zh-CN"/>
              </w:rPr>
              <w:t>乐山市晨曦建材渣土运输有限公司</w:t>
            </w:r>
          </w:p>
          <w:p>
            <w:pPr>
              <w:widowControl/>
              <w:adjustRightInd w:val="0"/>
              <w:snapToGrid w:val="0"/>
              <w:spacing w:line="360" w:lineRule="auto"/>
              <w:ind w:firstLine="480" w:firstLineChars="200"/>
              <w:jc w:val="left"/>
              <w:rPr>
                <w:rFonts w:ascii="Times New Roman" w:hAnsi="Times New Roman" w:eastAsia="宋体" w:cs="Times New Roman"/>
                <w:sz w:val="24"/>
                <w:highlight w:val="none"/>
              </w:rPr>
            </w:pPr>
            <w:r>
              <w:rPr>
                <w:rFonts w:ascii="Times New Roman" w:hAnsi="Times New Roman" w:eastAsia="宋体" w:cs="Times New Roman"/>
                <w:sz w:val="24"/>
              </w:rPr>
              <w:t>（4）建设</w:t>
            </w:r>
            <w:r>
              <w:rPr>
                <w:rFonts w:ascii="Times New Roman" w:hAnsi="Times New Roman" w:eastAsia="宋体" w:cs="Times New Roman"/>
                <w:sz w:val="24"/>
                <w:highlight w:val="none"/>
              </w:rPr>
              <w:t>性质：新建</w:t>
            </w:r>
          </w:p>
          <w:p>
            <w:pPr>
              <w:widowControl w:val="0"/>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r>
              <w:rPr>
                <w:rFonts w:ascii="Times New Roman" w:hAnsi="Times New Roman" w:eastAsia="宋体" w:cs="Times New Roman"/>
                <w:color w:val="auto"/>
                <w:kern w:val="2"/>
                <w:sz w:val="24"/>
                <w:szCs w:val="24"/>
                <w:highlight w:val="none"/>
                <w:lang w:val="en-US" w:eastAsia="zh-CN" w:bidi="ar-SA"/>
              </w:rPr>
              <w:t>项目总投资：</w:t>
            </w:r>
            <w:r>
              <w:rPr>
                <w:rFonts w:hint="eastAsia" w:ascii="Times New Roman" w:hAnsi="Times New Roman" w:eastAsia="宋体" w:cs="Times New Roman"/>
                <w:color w:val="auto"/>
                <w:kern w:val="2"/>
                <w:sz w:val="24"/>
                <w:szCs w:val="24"/>
                <w:highlight w:val="none"/>
                <w:lang w:val="en-US" w:eastAsia="zh-CN" w:bidi="ar-SA"/>
              </w:rPr>
              <w:t>1000</w:t>
            </w:r>
            <w:r>
              <w:rPr>
                <w:rFonts w:ascii="Times New Roman" w:hAnsi="Times New Roman" w:eastAsia="宋体" w:cs="Times New Roman"/>
                <w:color w:val="auto"/>
                <w:kern w:val="2"/>
                <w:sz w:val="24"/>
                <w:szCs w:val="24"/>
                <w:highlight w:val="none"/>
                <w:lang w:val="en-US" w:eastAsia="zh-CN" w:bidi="ar-SA"/>
              </w:rPr>
              <w:t>万元，其中环保投资</w:t>
            </w:r>
            <w:r>
              <w:rPr>
                <w:rFonts w:hint="eastAsia" w:ascii="Times New Roman" w:hAnsi="Times New Roman" w:eastAsia="宋体" w:cs="Times New Roman"/>
                <w:color w:val="auto"/>
                <w:kern w:val="2"/>
                <w:sz w:val="24"/>
                <w:szCs w:val="24"/>
                <w:highlight w:val="none"/>
                <w:lang w:val="en-US" w:eastAsia="zh-CN" w:bidi="ar-SA"/>
              </w:rPr>
              <w:t>142.7</w:t>
            </w:r>
            <w:r>
              <w:rPr>
                <w:rFonts w:ascii="Times New Roman" w:hAnsi="Times New Roman" w:eastAsia="宋体" w:cs="Times New Roman"/>
                <w:color w:val="auto"/>
                <w:kern w:val="2"/>
                <w:sz w:val="24"/>
                <w:szCs w:val="24"/>
                <w:highlight w:val="none"/>
                <w:lang w:val="en-US" w:eastAsia="zh-CN" w:bidi="ar-SA"/>
              </w:rPr>
              <w:t>万元，环保投资占总投资的</w:t>
            </w:r>
            <w:r>
              <w:rPr>
                <w:rFonts w:hint="eastAsia" w:ascii="Times New Roman" w:hAnsi="Times New Roman" w:eastAsia="宋体" w:cs="Times New Roman"/>
                <w:color w:val="auto"/>
                <w:kern w:val="2"/>
                <w:sz w:val="24"/>
                <w:szCs w:val="24"/>
                <w:highlight w:val="none"/>
                <w:lang w:val="en-US" w:eastAsia="zh-CN" w:bidi="ar-SA"/>
              </w:rPr>
              <w:t>14.27</w:t>
            </w:r>
            <w:r>
              <w:rPr>
                <w:rFonts w:ascii="Times New Roman" w:hAnsi="Times New Roman" w:eastAsia="宋体" w:cs="Times New Roman"/>
                <w:color w:val="auto"/>
                <w:kern w:val="2"/>
                <w:sz w:val="24"/>
                <w:szCs w:val="24"/>
                <w:highlight w:val="none"/>
                <w:lang w:val="en-US" w:eastAsia="zh-CN" w:bidi="ar-SA"/>
              </w:rPr>
              <w:t>%</w:t>
            </w:r>
          </w:p>
          <w:p>
            <w:pPr>
              <w:adjustRightInd w:val="0"/>
              <w:snapToGrid w:val="0"/>
              <w:spacing w:line="360" w:lineRule="auto"/>
              <w:ind w:firstLine="480"/>
              <w:rPr>
                <w:rFonts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rPr>
              <w:t>（6）劳动定员：</w:t>
            </w:r>
            <w:r>
              <w:rPr>
                <w:rFonts w:hint="eastAsia" w:ascii="Times New Roman" w:hAnsi="Times New Roman" w:eastAsia="宋体" w:cs="Times New Roman"/>
                <w:sz w:val="24"/>
                <w:shd w:val="clear" w:color="auto" w:fill="FFFFFF"/>
                <w:lang w:val="en-US" w:eastAsia="zh-CN"/>
              </w:rPr>
              <w:t>工作人员15</w:t>
            </w:r>
            <w:r>
              <w:rPr>
                <w:rFonts w:hint="eastAsia" w:ascii="Times New Roman" w:hAnsi="Times New Roman" w:eastAsia="宋体" w:cs="Times New Roman"/>
                <w:sz w:val="24"/>
                <w:shd w:val="clear" w:color="auto" w:fill="FFFFFF"/>
              </w:rPr>
              <w:t>人，</w:t>
            </w:r>
            <w:r>
              <w:rPr>
                <w:rFonts w:hint="eastAsia" w:ascii="Times New Roman" w:hAnsi="Times New Roman" w:eastAsia="宋体" w:cs="Times New Roman"/>
                <w:sz w:val="24"/>
                <w:shd w:val="clear" w:color="auto" w:fill="FFFFFF"/>
                <w:lang w:val="en-US" w:eastAsia="zh-CN"/>
              </w:rPr>
              <w:t>食堂供给人员15人，住宿人员2人</w:t>
            </w:r>
            <w:r>
              <w:rPr>
                <w:rFonts w:hint="eastAsia" w:ascii="Times New Roman" w:hAnsi="Times New Roman" w:eastAsia="宋体" w:cs="Times New Roman"/>
                <w:sz w:val="24"/>
                <w:shd w:val="clear" w:color="auto" w:fill="FFFFFF"/>
              </w:rPr>
              <w:t>。</w:t>
            </w:r>
          </w:p>
          <w:p>
            <w:pPr>
              <w:widowControl/>
              <w:adjustRightInd w:val="0"/>
              <w:snapToGrid w:val="0"/>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（7）生产制度：年工作天数</w:t>
            </w:r>
            <w:r>
              <w:rPr>
                <w:rFonts w:hint="eastAsia" w:ascii="Times New Roman" w:hAnsi="Times New Roman" w:eastAsia="宋体" w:cs="Times New Roman"/>
                <w:sz w:val="24"/>
                <w:lang w:val="en-US" w:eastAsia="zh-CN"/>
              </w:rPr>
              <w:t>365</w:t>
            </w:r>
            <w:r>
              <w:rPr>
                <w:rFonts w:hint="eastAsia" w:ascii="Times New Roman" w:hAnsi="Times New Roman" w:eastAsia="宋体" w:cs="Times New Roman"/>
                <w:sz w:val="24"/>
              </w:rPr>
              <w:t>天，</w:t>
            </w:r>
            <w:r>
              <w:rPr>
                <w:rFonts w:hint="eastAsia" w:ascii="Times New Roman" w:hAnsi="Times New Roman" w:eastAsia="宋体" w:cs="Times New Roman"/>
                <w:sz w:val="24"/>
                <w:lang w:val="en-US" w:eastAsia="zh-CN"/>
              </w:rPr>
              <w:t>每天工作10小时</w:t>
            </w:r>
            <w:r>
              <w:rPr>
                <w:rFonts w:hint="eastAsia" w:ascii="Times New Roman" w:hAnsi="Times New Roman" w:eastAsia="宋体" w:cs="Times New Roman"/>
                <w:sz w:val="24"/>
              </w:rPr>
              <w:t>。</w:t>
            </w:r>
          </w:p>
          <w:p>
            <w:pPr>
              <w:widowControl/>
              <w:adjustRightInd w:val="0"/>
              <w:snapToGrid w:val="0"/>
              <w:spacing w:line="360" w:lineRule="auto"/>
              <w:ind w:firstLine="480" w:firstLineChars="200"/>
              <w:jc w:val="left"/>
              <w:rPr>
                <w:rFonts w:hint="default" w:eastAsia="宋体"/>
                <w:sz w:val="24"/>
                <w:lang w:val="en-US" w:eastAsia="zh-CN"/>
              </w:rPr>
            </w:pPr>
            <w:r>
              <w:rPr>
                <w:rFonts w:hint="eastAsia"/>
                <w:sz w:val="24"/>
                <w:lang w:eastAsia="zh-CN"/>
              </w:rPr>
              <w:t>（</w:t>
            </w:r>
            <w:r>
              <w:rPr>
                <w:rFonts w:hint="eastAsia"/>
                <w:sz w:val="24"/>
                <w:lang w:val="en-US" w:eastAsia="zh-CN"/>
              </w:rPr>
              <w:t>8</w:t>
            </w:r>
            <w:r>
              <w:rPr>
                <w:rFonts w:hint="eastAsia"/>
                <w:sz w:val="24"/>
                <w:lang w:eastAsia="zh-CN"/>
              </w:rPr>
              <w:t>）</w:t>
            </w:r>
            <w:r>
              <w:rPr>
                <w:rFonts w:hint="eastAsia"/>
                <w:sz w:val="24"/>
                <w:lang w:val="en-US" w:eastAsia="zh-CN"/>
              </w:rPr>
              <w:t>服务范围：本项目主要处置乐山市市中区及周边的新建构筑物建设施工、旧建筑物拆除和装修所产生的建筑垃圾。</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sz w:val="24"/>
              </w:rPr>
              <w:t>（</w:t>
            </w:r>
            <w:r>
              <w:rPr>
                <w:rFonts w:hint="eastAsia"/>
                <w:sz w:val="24"/>
                <w:lang w:val="en-US" w:eastAsia="zh-CN"/>
              </w:rPr>
              <w:t>9</w:t>
            </w:r>
            <w:r>
              <w:rPr>
                <w:sz w:val="24"/>
              </w:rPr>
              <w:t>）建设</w:t>
            </w:r>
            <w:r>
              <w:rPr>
                <w:rFonts w:hint="eastAsia"/>
                <w:sz w:val="24"/>
              </w:rPr>
              <w:t>内容</w:t>
            </w:r>
            <w:r>
              <w:rPr>
                <w:sz w:val="24"/>
              </w:rPr>
              <w:t>：</w:t>
            </w:r>
            <w:r>
              <w:rPr>
                <w:rFonts w:hint="eastAsia"/>
                <w:sz w:val="24"/>
                <w:lang w:val="en-US" w:eastAsia="zh-CN"/>
              </w:rPr>
              <w:t>本项目临时占地53346m</w:t>
            </w:r>
            <w:r>
              <w:rPr>
                <w:rFonts w:hint="eastAsia"/>
                <w:sz w:val="24"/>
                <w:vertAlign w:val="superscript"/>
                <w:lang w:val="en-US" w:eastAsia="zh-CN"/>
              </w:rPr>
              <w:t>2</w:t>
            </w:r>
            <w:r>
              <w:rPr>
                <w:rFonts w:hint="eastAsia"/>
                <w:sz w:val="24"/>
                <w:lang w:val="en-US" w:eastAsia="zh-CN"/>
              </w:rPr>
              <w:t>，设计建筑一座建筑垃圾填埋场，填埋容积约80万方，主要</w:t>
            </w:r>
            <w:r>
              <w:rPr>
                <w:rFonts w:hint="eastAsia"/>
                <w:sz w:val="24"/>
                <w:highlight w:val="none"/>
                <w:lang w:val="en-US" w:eastAsia="zh-CN"/>
              </w:rPr>
              <w:t>由生活区、建筑垃圾堆放区、混凝土块堆场区、填埋区、表土堆场、排水系统组成；设置一条混凝土破碎生产线，年破碎105000t混凝土，年产细骨料0~5mm：10000t，粗骨料5~10mm：82000t，粗骨料10~20mm：12994.2112t，废钢材（0.5t/a）；分选出废木头（700t/a）、废钢材（3.0t/a）、废纸板（100t/a）再利用，分选出废砖头（49999.125t/a）、装修垃圾（18000t/a）进行填埋处置，分选出装修白色垃圾（18000t/a）外运交由光大环保能源（乐山）有限公司处理。</w:t>
            </w:r>
          </w:p>
          <w:p>
            <w:pPr>
              <w:widowControl/>
              <w:adjustRightInd w:val="0"/>
              <w:snapToGrid w:val="0"/>
              <w:spacing w:line="360" w:lineRule="auto"/>
              <w:ind w:firstLine="482" w:firstLineChars="200"/>
              <w:jc w:val="left"/>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项目在完场弃土场填埋后，拆除填埋区临时建筑，对场区进行复垦，并绿化恢复。</w:t>
            </w:r>
          </w:p>
          <w:p>
            <w:pPr>
              <w:widowControl/>
              <w:adjustRightInd w:val="0"/>
              <w:snapToGrid w:val="0"/>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（二）建设规模和内容</w:t>
            </w:r>
          </w:p>
          <w:p>
            <w:pPr>
              <w:adjustRightInd w:val="0"/>
              <w:snapToGrid w:val="0"/>
              <w:spacing w:line="360" w:lineRule="auto"/>
              <w:ind w:firstLine="480"/>
              <w:rPr>
                <w:rFonts w:ascii="Times New Roman" w:hAnsi="Times New Roman" w:eastAsia="宋体" w:cs="Times New Roman"/>
                <w:bCs/>
                <w:sz w:val="24"/>
              </w:rPr>
            </w:pPr>
            <w:r>
              <w:rPr>
                <w:rFonts w:hint="eastAsia" w:ascii="Times New Roman" w:hAnsi="Times New Roman" w:eastAsia="宋体" w:cs="Times New Roman"/>
                <w:bCs/>
                <w:sz w:val="24"/>
                <w:lang w:val="en-US" w:eastAsia="zh-CN"/>
              </w:rPr>
              <w:t>1、</w:t>
            </w:r>
            <w:r>
              <w:rPr>
                <w:rFonts w:hint="eastAsia" w:ascii="Times New Roman" w:hAnsi="Times New Roman" w:eastAsia="宋体" w:cs="Times New Roman"/>
                <w:bCs/>
                <w:sz w:val="24"/>
              </w:rPr>
              <w:t>产品方案</w:t>
            </w:r>
          </w:p>
          <w:p>
            <w:pPr>
              <w:adjustRightInd w:val="0"/>
              <w:snapToGrid w:val="0"/>
              <w:spacing w:line="360" w:lineRule="auto"/>
              <w:ind w:firstLine="480"/>
              <w:rPr>
                <w:rFonts w:ascii="Times New Roman" w:hAnsi="Times New Roman" w:eastAsia="宋体" w:cs="Times New Roman"/>
                <w:b/>
                <w:szCs w:val="21"/>
              </w:rPr>
            </w:pPr>
            <w:r>
              <w:rPr>
                <w:rFonts w:hint="eastAsia" w:ascii="Times New Roman" w:hAnsi="Times New Roman" w:eastAsia="宋体" w:cs="Times New Roman"/>
                <w:bCs/>
                <w:sz w:val="24"/>
              </w:rPr>
              <w:t>本项目主要利用建筑垃圾生产</w:t>
            </w:r>
            <w:r>
              <w:rPr>
                <w:rFonts w:hint="eastAsia" w:ascii="Times New Roman" w:hAnsi="Times New Roman" w:eastAsia="宋体" w:cs="Times New Roman"/>
                <w:bCs/>
                <w:sz w:val="24"/>
                <w:lang w:val="en-US" w:eastAsia="zh-CN"/>
              </w:rPr>
              <w:t>再利用资源</w:t>
            </w:r>
            <w:r>
              <w:rPr>
                <w:rFonts w:hint="eastAsia" w:ascii="Times New Roman" w:hAnsi="Times New Roman" w:eastAsia="宋体" w:cs="Times New Roman"/>
                <w:bCs/>
                <w:sz w:val="24"/>
              </w:rPr>
              <w:t>，</w:t>
            </w:r>
            <w:r>
              <w:rPr>
                <w:rFonts w:hint="eastAsia" w:ascii="Times New Roman" w:hAnsi="Times New Roman" w:eastAsia="宋体" w:cs="Times New Roman"/>
                <w:bCs/>
                <w:sz w:val="24"/>
                <w:lang w:val="en-US" w:eastAsia="zh-CN"/>
              </w:rPr>
              <w:t>部分无法利用的填埋处置，</w:t>
            </w:r>
            <w:r>
              <w:rPr>
                <w:rFonts w:hint="eastAsia" w:ascii="Times New Roman" w:hAnsi="Times New Roman" w:eastAsia="宋体" w:cs="Times New Roman"/>
                <w:bCs/>
                <w:sz w:val="24"/>
              </w:rPr>
              <w:t>具体</w:t>
            </w:r>
            <w:r>
              <w:rPr>
                <w:rFonts w:hint="eastAsia" w:ascii="Times New Roman" w:hAnsi="Times New Roman" w:eastAsia="宋体" w:cs="Times New Roman"/>
                <w:bCs/>
                <w:sz w:val="24"/>
                <w:lang w:val="en-US" w:eastAsia="zh-CN"/>
              </w:rPr>
              <w:t>处置</w:t>
            </w:r>
            <w:r>
              <w:rPr>
                <w:rFonts w:hint="eastAsia" w:ascii="Times New Roman" w:hAnsi="Times New Roman" w:eastAsia="宋体" w:cs="Times New Roman"/>
                <w:bCs/>
                <w:sz w:val="24"/>
              </w:rPr>
              <w:t>方案见</w:t>
            </w:r>
            <w:r>
              <w:rPr>
                <w:rFonts w:hint="eastAsia" w:ascii="Times New Roman" w:hAnsi="Times New Roman" w:eastAsia="宋体" w:cs="Times New Roman"/>
                <w:bCs/>
                <w:sz w:val="24"/>
                <w:lang w:val="en-US" w:eastAsia="zh-CN"/>
              </w:rPr>
              <w:t>下</w:t>
            </w:r>
            <w:r>
              <w:rPr>
                <w:rFonts w:hint="eastAsia" w:ascii="Times New Roman" w:hAnsi="Times New Roman" w:eastAsia="宋体" w:cs="Times New Roman"/>
                <w:bCs/>
                <w:sz w:val="24"/>
              </w:rPr>
              <w:t>表。</w:t>
            </w:r>
          </w:p>
          <w:p>
            <w:pPr>
              <w:adjustRightInd w:val="0"/>
              <w:snapToGrid w:val="0"/>
              <w:spacing w:line="360" w:lineRule="auto"/>
              <w:ind w:firstLine="480"/>
              <w:jc w:val="center"/>
              <w:rPr>
                <w:rFonts w:ascii="Times New Roman" w:hAnsi="Times New Roman" w:eastAsia="宋体" w:cs="Times New Roman"/>
                <w:b/>
                <w:szCs w:val="21"/>
              </w:rPr>
            </w:pPr>
          </w:p>
          <w:p>
            <w:pPr>
              <w:adjustRightInd w:val="0"/>
              <w:snapToGrid w:val="0"/>
              <w:spacing w:line="360" w:lineRule="auto"/>
              <w:ind w:firstLine="480"/>
              <w:jc w:val="center"/>
              <w:rPr>
                <w:rFonts w:ascii="Times New Roman" w:hAnsi="Times New Roman" w:eastAsia="宋体" w:cs="Times New Roman"/>
                <w:b/>
                <w:szCs w:val="21"/>
              </w:rPr>
            </w:pPr>
          </w:p>
          <w:p>
            <w:pPr>
              <w:adjustRightInd w:val="0"/>
              <w:snapToGrid w:val="0"/>
              <w:spacing w:line="360" w:lineRule="auto"/>
              <w:ind w:firstLine="480"/>
              <w:jc w:val="center"/>
              <w:rPr>
                <w:rFonts w:ascii="Times New Roman" w:hAnsi="Times New Roman" w:eastAsia="宋体" w:cs="Times New Roman"/>
                <w:b/>
                <w:szCs w:val="21"/>
              </w:rPr>
            </w:pPr>
            <w:r>
              <w:rPr>
                <w:rFonts w:ascii="Times New Roman" w:hAnsi="Times New Roman" w:eastAsia="宋体" w:cs="Times New Roman"/>
                <w:b/>
                <w:szCs w:val="21"/>
              </w:rPr>
              <w:t xml:space="preserve">表2-1  </w:t>
            </w:r>
            <w:r>
              <w:rPr>
                <w:rFonts w:hint="eastAsia" w:ascii="Times New Roman" w:hAnsi="Times New Roman" w:eastAsia="宋体" w:cs="Times New Roman"/>
                <w:b/>
                <w:szCs w:val="21"/>
                <w:lang w:val="en-US" w:eastAsia="zh-CN"/>
              </w:rPr>
              <w:t>不同建筑垃圾处置</w:t>
            </w:r>
            <w:r>
              <w:rPr>
                <w:rFonts w:ascii="Times New Roman" w:hAnsi="Times New Roman" w:eastAsia="宋体" w:cs="Times New Roman"/>
                <w:b/>
                <w:szCs w:val="21"/>
              </w:rPr>
              <w:t>方案</w:t>
            </w:r>
          </w:p>
          <w:tbl>
            <w:tblPr>
              <w:tblStyle w:val="38"/>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045"/>
              <w:gridCol w:w="1453"/>
              <w:gridCol w:w="1502"/>
              <w:gridCol w:w="1401"/>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主要产品</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生产（加工）规模产能</w:t>
                  </w:r>
                </w:p>
              </w:tc>
              <w:tc>
                <w:tcPr>
                  <w:tcW w:w="95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年生产时间（天）</w:t>
                  </w:r>
                </w:p>
              </w:tc>
              <w:tc>
                <w:tcPr>
                  <w:tcW w:w="89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生产线设置</w:t>
                  </w:r>
                </w:p>
              </w:tc>
              <w:tc>
                <w:tcPr>
                  <w:tcW w:w="11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9"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w:t>
                  </w:r>
                </w:p>
              </w:tc>
              <w:tc>
                <w:tcPr>
                  <w:tcW w:w="666" w:type="pc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bCs/>
                      <w:szCs w:val="21"/>
                      <w:highlight w:val="none"/>
                    </w:rPr>
                    <w:t>细骨料</w:t>
                  </w:r>
                </w:p>
              </w:tc>
              <w:tc>
                <w:tcPr>
                  <w:tcW w:w="92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rPr>
                  </w:pPr>
                  <w:r>
                    <w:rPr>
                      <w:rFonts w:hint="eastAsia" w:ascii="Times New Roman" w:hAnsi="Times New Roman" w:eastAsia="宋体" w:cs="Times New Roman"/>
                      <w:bCs/>
                      <w:szCs w:val="21"/>
                      <w:highlight w:val="none"/>
                      <w:lang w:val="en-US" w:eastAsia="zh-CN"/>
                    </w:rPr>
                    <w:t>10000t</w:t>
                  </w:r>
                </w:p>
              </w:tc>
              <w:tc>
                <w:tcPr>
                  <w:tcW w:w="957" w:type="pct"/>
                  <w:vMerge w:val="restar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365</w:t>
                  </w:r>
                </w:p>
              </w:tc>
              <w:tc>
                <w:tcPr>
                  <w:tcW w:w="893" w:type="pct"/>
                  <w:vMerge w:val="restar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1条</w:t>
                  </w:r>
                  <w:r>
                    <w:rPr>
                      <w:rFonts w:hint="eastAsia" w:ascii="Times New Roman" w:hAnsi="Times New Roman" w:eastAsia="宋体" w:cs="Times New Roman"/>
                      <w:szCs w:val="21"/>
                      <w:lang w:val="en-US" w:eastAsia="zh-CN"/>
                    </w:rPr>
                    <w:t>破碎</w:t>
                  </w:r>
                  <w:r>
                    <w:rPr>
                      <w:rFonts w:hint="eastAsia" w:ascii="Times New Roman" w:hAnsi="Times New Roman" w:eastAsia="宋体" w:cs="Times New Roman"/>
                      <w:szCs w:val="21"/>
                    </w:rPr>
                    <w:t>生产线</w:t>
                  </w:r>
                </w:p>
              </w:tc>
              <w:tc>
                <w:tcPr>
                  <w:tcW w:w="1166" w:type="pct"/>
                  <w:vMerge w:val="restar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外售，再利用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9"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w:t>
                  </w:r>
                </w:p>
              </w:tc>
              <w:tc>
                <w:tcPr>
                  <w:tcW w:w="666" w:type="pc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bCs/>
                      <w:szCs w:val="21"/>
                      <w:highlight w:val="none"/>
                    </w:rPr>
                    <w:t>粗骨料</w:t>
                  </w:r>
                </w:p>
              </w:tc>
              <w:tc>
                <w:tcPr>
                  <w:tcW w:w="92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rPr>
                  </w:pPr>
                  <w:r>
                    <w:rPr>
                      <w:rFonts w:hint="eastAsia" w:ascii="Times New Roman" w:hAnsi="Times New Roman" w:eastAsia="宋体" w:cs="Times New Roman"/>
                      <w:bCs/>
                      <w:szCs w:val="21"/>
                      <w:highlight w:val="none"/>
                      <w:lang w:val="en-US" w:eastAsia="zh-CN"/>
                    </w:rPr>
                    <w:t>82000t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1166"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9"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w:t>
                  </w:r>
                </w:p>
              </w:tc>
              <w:tc>
                <w:tcPr>
                  <w:tcW w:w="666" w:type="pc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bCs/>
                      <w:szCs w:val="21"/>
                      <w:highlight w:val="none"/>
                    </w:rPr>
                    <w:t>粗骨料</w:t>
                  </w:r>
                </w:p>
              </w:tc>
              <w:tc>
                <w:tcPr>
                  <w:tcW w:w="92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bCs/>
                      <w:szCs w:val="21"/>
                      <w:highlight w:val="none"/>
                      <w:lang w:val="en-US" w:eastAsia="zh-CN"/>
                    </w:rPr>
                    <w:t>12994.2112t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1166"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10"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045"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rPr>
                    <w:t>废钢材</w:t>
                  </w:r>
                </w:p>
              </w:tc>
              <w:tc>
                <w:tcPr>
                  <w:tcW w:w="145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szCs w:val="21"/>
                      <w:lang w:val="en-US" w:eastAsia="zh-CN"/>
                    </w:rPr>
                    <w:t>0.5t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p>
              </w:tc>
              <w:tc>
                <w:tcPr>
                  <w:tcW w:w="1166" w:type="pct"/>
                  <w:tcBorders>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与分拣出的废钢材一起外售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10"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666"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废木头</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700t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restar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人工分选</w:t>
                  </w:r>
                </w:p>
              </w:tc>
              <w:tc>
                <w:tcPr>
                  <w:tcW w:w="1166" w:type="pct"/>
                  <w:vMerge w:val="restart"/>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外售，再利用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0" w:type="dxa"/>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666" w:type="pct"/>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rPr>
                    <w:t>废纸板</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1166"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0" w:type="dxa"/>
                  <w:tcBorders>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666" w:type="pc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rPr>
                    <w:t>废钢材</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p>
              </w:tc>
              <w:tc>
                <w:tcPr>
                  <w:tcW w:w="1166"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0" w:type="dxa"/>
                  <w:tcBorders>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666" w:type="pc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rPr>
                    <w:t>废砖头</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49999.825t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restar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人工分选</w:t>
                  </w:r>
                </w:p>
              </w:tc>
              <w:tc>
                <w:tcPr>
                  <w:tcW w:w="1166" w:type="pct"/>
                  <w:vMerge w:val="restar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0" w:type="dxa"/>
                  <w:tcBorders>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666" w:type="pc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rPr>
                    <w:t>装修垃圾</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18000t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vMerge w:val="continue"/>
                  <w:tcBorders>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p>
              </w:tc>
              <w:tc>
                <w:tcPr>
                  <w:tcW w:w="1166"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tcBorders>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666" w:type="pc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Cs w:val="21"/>
                    </w:rPr>
                  </w:pPr>
                  <w:r>
                    <w:rPr>
                      <w:rFonts w:hint="eastAsia"/>
                    </w:rPr>
                    <w:t>装修白色垃圾</w:t>
                  </w:r>
                </w:p>
              </w:tc>
              <w:tc>
                <w:tcPr>
                  <w:tcW w:w="92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1200t</w:t>
                  </w:r>
                </w:p>
              </w:tc>
              <w:tc>
                <w:tcPr>
                  <w:tcW w:w="957" w:type="pct"/>
                  <w:vMerge w:val="continue"/>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p>
              </w:tc>
              <w:tc>
                <w:tcPr>
                  <w:tcW w:w="89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人工分选</w:t>
                  </w:r>
                </w:p>
              </w:tc>
              <w:tc>
                <w:tcPr>
                  <w:tcW w:w="1166" w:type="pct"/>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外运交由光大环保能源（乐山）有限公司处理</w:t>
                  </w:r>
                </w:p>
              </w:tc>
            </w:tr>
          </w:tbl>
          <w:p>
            <w:pPr>
              <w:adjustRightInd w:val="0"/>
              <w:snapToGrid w:val="0"/>
              <w:spacing w:line="360" w:lineRule="auto"/>
              <w:ind w:firstLine="480"/>
              <w:jc w:val="center"/>
              <w:rPr>
                <w:rFonts w:hint="eastAsia"/>
                <w:b/>
                <w:szCs w:val="21"/>
              </w:rPr>
            </w:pPr>
          </w:p>
          <w:p>
            <w:pPr>
              <w:adjustRightInd w:val="0"/>
              <w:snapToGrid w:val="0"/>
              <w:spacing w:line="360" w:lineRule="auto"/>
              <w:ind w:firstLine="480"/>
              <w:jc w:val="left"/>
              <w:rPr>
                <w:rFonts w:hint="default"/>
                <w:b/>
                <w:sz w:val="24"/>
                <w:szCs w:val="24"/>
                <w:lang w:val="en-US" w:eastAsia="zh-CN"/>
              </w:rPr>
            </w:pPr>
            <w:r>
              <w:rPr>
                <w:rFonts w:hint="eastAsia"/>
                <w:b/>
                <w:sz w:val="24"/>
                <w:szCs w:val="24"/>
                <w:lang w:val="en-US" w:eastAsia="zh-CN"/>
              </w:rPr>
              <w:t>2、与“大湾建筑垃圾临时处置点项目”的依托关系</w:t>
            </w:r>
          </w:p>
          <w:p>
            <w:pPr>
              <w:adjustRightInd w:val="0"/>
              <w:snapToGrid w:val="0"/>
              <w:spacing w:line="360" w:lineRule="auto"/>
              <w:ind w:firstLine="480"/>
              <w:jc w:val="left"/>
              <w:rPr>
                <w:rFonts w:hint="eastAsia"/>
                <w:b w:val="0"/>
                <w:bCs/>
                <w:sz w:val="24"/>
                <w:szCs w:val="24"/>
                <w:lang w:val="en-US" w:eastAsia="zh-CN"/>
              </w:rPr>
            </w:pPr>
            <w:r>
              <w:rPr>
                <w:rFonts w:hint="eastAsia"/>
                <w:b w:val="0"/>
                <w:bCs/>
                <w:sz w:val="24"/>
                <w:szCs w:val="24"/>
                <w:lang w:val="en-US" w:eastAsia="zh-CN"/>
              </w:rPr>
              <w:t>大湾建筑垃圾临时处置点项目是乐山市重点打造的清江新区项目建设工程的弃土处置场地之一，是乐山政府为加快新区建设，由政府主导交由乐山晨曦建材渣土运输有限公司承办的建设项目。项目位于乐山市市中区全福街道办事处，设计库容量20万m</w:t>
            </w:r>
            <w:r>
              <w:rPr>
                <w:rFonts w:hint="eastAsia"/>
                <w:b w:val="0"/>
                <w:bCs/>
                <w:sz w:val="24"/>
                <w:szCs w:val="24"/>
                <w:vertAlign w:val="superscript"/>
                <w:lang w:val="en-US" w:eastAsia="zh-CN"/>
              </w:rPr>
              <w:t>2</w:t>
            </w:r>
            <w:r>
              <w:rPr>
                <w:rFonts w:hint="eastAsia"/>
                <w:b w:val="0"/>
                <w:bCs/>
                <w:sz w:val="24"/>
                <w:szCs w:val="24"/>
                <w:lang w:val="en-US" w:eastAsia="zh-CN"/>
              </w:rPr>
              <w:t>，总占地面积1.20hm</w:t>
            </w:r>
            <w:r>
              <w:rPr>
                <w:rFonts w:hint="eastAsia"/>
                <w:b w:val="0"/>
                <w:bCs/>
                <w:sz w:val="24"/>
                <w:szCs w:val="24"/>
                <w:vertAlign w:val="superscript"/>
                <w:lang w:val="en-US" w:eastAsia="zh-CN"/>
              </w:rPr>
              <w:t>2</w:t>
            </w:r>
            <w:r>
              <w:rPr>
                <w:rFonts w:hint="eastAsia"/>
                <w:b w:val="0"/>
                <w:bCs/>
                <w:sz w:val="24"/>
                <w:szCs w:val="24"/>
                <w:lang w:val="en-US" w:eastAsia="zh-CN"/>
              </w:rPr>
              <w:t>，其中占用林地1.16hm</w:t>
            </w:r>
            <w:r>
              <w:rPr>
                <w:rFonts w:hint="eastAsia"/>
                <w:b w:val="0"/>
                <w:bCs/>
                <w:sz w:val="24"/>
                <w:szCs w:val="24"/>
                <w:vertAlign w:val="superscript"/>
                <w:lang w:val="en-US" w:eastAsia="zh-CN"/>
              </w:rPr>
              <w:t>2</w:t>
            </w:r>
            <w:r>
              <w:rPr>
                <w:rFonts w:hint="eastAsia"/>
                <w:b w:val="0"/>
                <w:bCs/>
                <w:sz w:val="24"/>
                <w:szCs w:val="24"/>
                <w:lang w:val="en-US" w:eastAsia="zh-CN"/>
              </w:rPr>
              <w:t>，占用耕地0.04hm</w:t>
            </w:r>
            <w:r>
              <w:rPr>
                <w:rFonts w:hint="eastAsia"/>
                <w:b w:val="0"/>
                <w:bCs/>
                <w:sz w:val="24"/>
                <w:szCs w:val="24"/>
                <w:vertAlign w:val="superscript"/>
                <w:lang w:val="en-US" w:eastAsia="zh-CN"/>
              </w:rPr>
              <w:t>2</w:t>
            </w:r>
            <w:r>
              <w:rPr>
                <w:rFonts w:hint="eastAsia"/>
                <w:b w:val="0"/>
                <w:bCs/>
                <w:sz w:val="24"/>
                <w:szCs w:val="24"/>
                <w:lang w:val="en-US" w:eastAsia="zh-CN"/>
              </w:rPr>
              <w:t>。弃渣场最终堆放标高为390m，堆渣边坡坡度1：1.5，在弃渣场堆渣边坡坡脚设置有拦渣坝。</w:t>
            </w:r>
          </w:p>
          <w:p>
            <w:pPr>
              <w:adjustRightInd w:val="0"/>
              <w:snapToGrid w:val="0"/>
              <w:spacing w:line="360" w:lineRule="auto"/>
              <w:ind w:firstLine="480"/>
              <w:jc w:val="left"/>
              <w:rPr>
                <w:rFonts w:hint="default"/>
                <w:b/>
                <w:sz w:val="24"/>
                <w:szCs w:val="24"/>
                <w:lang w:val="en-US" w:eastAsia="zh-CN"/>
              </w:rPr>
            </w:pPr>
            <w:r>
              <w:rPr>
                <w:rFonts w:hint="eastAsia"/>
                <w:b w:val="0"/>
                <w:bCs/>
                <w:sz w:val="24"/>
                <w:szCs w:val="24"/>
                <w:lang w:val="en-US" w:eastAsia="zh-CN"/>
              </w:rPr>
              <w:t>“大湾建筑垃圾临时处置点项目”现已复垦绿化，本项目位于“大湾建筑垃圾临时处置点项目”南侧337m处，本项目依托“大湾建筑垃圾临时处置点项目”已建办公生活区及生活设施。</w:t>
            </w:r>
          </w:p>
          <w:p>
            <w:pPr>
              <w:adjustRightInd w:val="0"/>
              <w:snapToGrid w:val="0"/>
              <w:spacing w:line="360" w:lineRule="auto"/>
              <w:ind w:firstLine="480"/>
              <w:jc w:val="left"/>
              <w:rPr>
                <w:rFonts w:hint="eastAsia"/>
                <w:b/>
                <w:sz w:val="24"/>
                <w:szCs w:val="24"/>
                <w:lang w:val="en-US" w:eastAsia="zh-CN"/>
              </w:rPr>
            </w:pPr>
            <w:r>
              <w:drawing>
                <wp:inline distT="0" distB="0" distL="114300" distR="114300">
                  <wp:extent cx="4648835" cy="2484120"/>
                  <wp:effectExtent l="0" t="0" r="18415"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4648835" cy="2484120"/>
                          </a:xfrm>
                          <a:prstGeom prst="rect">
                            <a:avLst/>
                          </a:prstGeom>
                          <a:noFill/>
                          <a:ln>
                            <a:noFill/>
                          </a:ln>
                        </pic:spPr>
                      </pic:pic>
                    </a:graphicData>
                  </a:graphic>
                </wp:inline>
              </w:drawing>
            </w:r>
          </w:p>
          <w:p>
            <w:pPr>
              <w:adjustRightInd w:val="0"/>
              <w:snapToGrid w:val="0"/>
              <w:spacing w:line="360" w:lineRule="auto"/>
              <w:ind w:firstLine="480"/>
              <w:jc w:val="center"/>
              <w:rPr>
                <w:rFonts w:hint="default"/>
                <w:b/>
                <w:sz w:val="21"/>
                <w:szCs w:val="21"/>
                <w:lang w:val="en-US" w:eastAsia="zh-CN"/>
              </w:rPr>
            </w:pPr>
            <w:r>
              <w:rPr>
                <w:rFonts w:hint="eastAsia"/>
                <w:b/>
                <w:sz w:val="21"/>
                <w:szCs w:val="21"/>
                <w:lang w:val="en-US" w:eastAsia="zh-CN"/>
              </w:rPr>
              <w:t>附图2-1  大湾建筑垃圾临时处置点项目复垦绿化现状</w:t>
            </w:r>
          </w:p>
          <w:p>
            <w:pPr>
              <w:adjustRightInd w:val="0"/>
              <w:snapToGrid w:val="0"/>
              <w:spacing w:line="360" w:lineRule="auto"/>
              <w:ind w:firstLine="480"/>
              <w:jc w:val="left"/>
              <w:rPr>
                <w:rFonts w:hint="default" w:eastAsia="宋体"/>
                <w:b/>
                <w:sz w:val="24"/>
                <w:szCs w:val="24"/>
                <w:lang w:val="en-US" w:eastAsia="zh-CN"/>
              </w:rPr>
            </w:pPr>
            <w:r>
              <w:rPr>
                <w:rFonts w:hint="eastAsia"/>
                <w:b/>
                <w:sz w:val="24"/>
                <w:szCs w:val="24"/>
                <w:lang w:val="en-US" w:eastAsia="zh-CN"/>
              </w:rPr>
              <w:t>3、项目组成</w:t>
            </w:r>
          </w:p>
          <w:p>
            <w:pPr>
              <w:adjustRightInd w:val="0"/>
              <w:snapToGrid w:val="0"/>
              <w:spacing w:line="360" w:lineRule="auto"/>
              <w:ind w:firstLine="480"/>
              <w:jc w:val="center"/>
              <w:rPr>
                <w:b/>
                <w:szCs w:val="21"/>
              </w:rPr>
            </w:pPr>
            <w:r>
              <w:rPr>
                <w:rFonts w:hint="eastAsia"/>
                <w:b/>
                <w:szCs w:val="21"/>
              </w:rPr>
              <w:t>表2</w:t>
            </w:r>
            <w:r>
              <w:rPr>
                <w:rFonts w:hint="eastAsia"/>
                <w:b/>
                <w:szCs w:val="21"/>
                <w:lang w:val="en-US" w:eastAsia="zh-CN"/>
              </w:rPr>
              <w:t>-2</w:t>
            </w:r>
            <w:r>
              <w:rPr>
                <w:rFonts w:hint="eastAsia"/>
                <w:b/>
                <w:szCs w:val="21"/>
              </w:rPr>
              <w:t xml:space="preserve">  </w:t>
            </w:r>
            <w:r>
              <w:rPr>
                <w:rFonts w:hint="eastAsia"/>
                <w:b/>
                <w:szCs w:val="21"/>
                <w:lang w:val="en-US" w:eastAsia="zh-CN"/>
              </w:rPr>
              <w:t>项目</w:t>
            </w:r>
            <w:r>
              <w:rPr>
                <w:rFonts w:hint="eastAsia"/>
                <w:b/>
                <w:szCs w:val="21"/>
              </w:rPr>
              <w:t>组成及主要环境问题表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456"/>
              <w:gridCol w:w="537"/>
              <w:gridCol w:w="963"/>
              <w:gridCol w:w="2947"/>
              <w:gridCol w:w="105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8" w:type="dxa"/>
                  <w:gridSpan w:val="4"/>
                  <w:vMerge w:val="restart"/>
                  <w:noWrap w:val="0"/>
                  <w:vAlign w:val="center"/>
                </w:tcPr>
                <w:p>
                  <w:pPr>
                    <w:adjustRightInd w:val="0"/>
                    <w:snapToGrid w:val="0"/>
                    <w:spacing w:line="256" w:lineRule="exact"/>
                    <w:jc w:val="center"/>
                    <w:rPr>
                      <w:szCs w:val="21"/>
                    </w:rPr>
                  </w:pPr>
                  <w:r>
                    <w:rPr>
                      <w:szCs w:val="21"/>
                    </w:rPr>
                    <w:t>项目组成</w:t>
                  </w:r>
                </w:p>
              </w:tc>
              <w:tc>
                <w:tcPr>
                  <w:tcW w:w="2947" w:type="dxa"/>
                  <w:vMerge w:val="restart"/>
                  <w:noWrap w:val="0"/>
                  <w:vAlign w:val="center"/>
                </w:tcPr>
                <w:p>
                  <w:pPr>
                    <w:adjustRightInd w:val="0"/>
                    <w:snapToGrid w:val="0"/>
                    <w:spacing w:line="256" w:lineRule="exact"/>
                    <w:jc w:val="center"/>
                    <w:rPr>
                      <w:szCs w:val="21"/>
                    </w:rPr>
                  </w:pPr>
                  <w:r>
                    <w:rPr>
                      <w:szCs w:val="21"/>
                    </w:rPr>
                    <w:t>主要建设内容</w:t>
                  </w:r>
                </w:p>
              </w:tc>
              <w:tc>
                <w:tcPr>
                  <w:tcW w:w="1973" w:type="dxa"/>
                  <w:gridSpan w:val="2"/>
                  <w:noWrap w:val="0"/>
                  <w:vAlign w:val="center"/>
                </w:tcPr>
                <w:p>
                  <w:pPr>
                    <w:adjustRightInd w:val="0"/>
                    <w:snapToGrid w:val="0"/>
                    <w:spacing w:line="256" w:lineRule="exact"/>
                    <w:jc w:val="center"/>
                    <w:rPr>
                      <w:szCs w:val="21"/>
                    </w:rPr>
                  </w:pPr>
                  <w:r>
                    <w:rPr>
                      <w:rFonts w:hint="eastAsia"/>
                      <w:szCs w:val="21"/>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8" w:type="dxa"/>
                  <w:gridSpan w:val="4"/>
                  <w:vMerge w:val="continue"/>
                  <w:noWrap w:val="0"/>
                  <w:vAlign w:val="center"/>
                </w:tcPr>
                <w:p>
                  <w:pPr>
                    <w:adjustRightInd w:val="0"/>
                    <w:snapToGrid w:val="0"/>
                    <w:spacing w:line="256" w:lineRule="exact"/>
                    <w:jc w:val="center"/>
                    <w:rPr>
                      <w:szCs w:val="21"/>
                    </w:rPr>
                  </w:pPr>
                </w:p>
              </w:tc>
              <w:tc>
                <w:tcPr>
                  <w:tcW w:w="2947" w:type="dxa"/>
                  <w:vMerge w:val="continue"/>
                  <w:noWrap w:val="0"/>
                  <w:vAlign w:val="center"/>
                </w:tcPr>
                <w:p>
                  <w:pPr>
                    <w:adjustRightInd w:val="0"/>
                    <w:snapToGrid w:val="0"/>
                    <w:spacing w:line="256" w:lineRule="exact"/>
                    <w:jc w:val="center"/>
                    <w:rPr>
                      <w:szCs w:val="21"/>
                    </w:rPr>
                  </w:pPr>
                </w:p>
              </w:tc>
              <w:tc>
                <w:tcPr>
                  <w:tcW w:w="1054" w:type="dxa"/>
                  <w:noWrap w:val="0"/>
                  <w:vAlign w:val="center"/>
                </w:tcPr>
                <w:p>
                  <w:pPr>
                    <w:adjustRightInd w:val="0"/>
                    <w:snapToGrid w:val="0"/>
                    <w:spacing w:line="256" w:lineRule="exact"/>
                    <w:jc w:val="center"/>
                    <w:rPr>
                      <w:szCs w:val="21"/>
                    </w:rPr>
                  </w:pPr>
                  <w:r>
                    <w:rPr>
                      <w:rFonts w:hint="eastAsia"/>
                      <w:szCs w:val="21"/>
                    </w:rPr>
                    <w:t>施工期</w:t>
                  </w:r>
                </w:p>
              </w:tc>
              <w:tc>
                <w:tcPr>
                  <w:tcW w:w="919" w:type="dxa"/>
                  <w:noWrap w:val="0"/>
                  <w:vAlign w:val="center"/>
                </w:tcPr>
                <w:p>
                  <w:pPr>
                    <w:adjustRightInd w:val="0"/>
                    <w:snapToGrid w:val="0"/>
                    <w:spacing w:line="256" w:lineRule="exact"/>
                    <w:jc w:val="center"/>
                    <w:rPr>
                      <w:szCs w:val="21"/>
                    </w:rPr>
                  </w:pPr>
                  <w:r>
                    <w:rPr>
                      <w:rFonts w:hint="eastAsia"/>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782" w:type="dxa"/>
                  <w:vMerge w:val="restart"/>
                  <w:noWrap w:val="0"/>
                  <w:vAlign w:val="center"/>
                </w:tcPr>
                <w:p>
                  <w:pPr>
                    <w:adjustRightInd w:val="0"/>
                    <w:snapToGrid w:val="0"/>
                    <w:spacing w:line="360" w:lineRule="exact"/>
                    <w:jc w:val="center"/>
                    <w:rPr>
                      <w:szCs w:val="21"/>
                    </w:rPr>
                  </w:pPr>
                  <w:r>
                    <w:rPr>
                      <w:rFonts w:hint="eastAsia"/>
                      <w:szCs w:val="21"/>
                    </w:rPr>
                    <w:t>主体工程</w:t>
                  </w:r>
                </w:p>
              </w:tc>
              <w:tc>
                <w:tcPr>
                  <w:tcW w:w="1926" w:type="dxa"/>
                  <w:gridSpan w:val="3"/>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混凝土破碎生产线</w:t>
                  </w:r>
                </w:p>
              </w:tc>
              <w:tc>
                <w:tcPr>
                  <w:tcW w:w="2947" w:type="dxa"/>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设置</w:t>
                  </w:r>
                  <w:r>
                    <w:rPr>
                      <w:rFonts w:hint="eastAsia"/>
                      <w:szCs w:val="21"/>
                    </w:rPr>
                    <w:t>一条</w:t>
                  </w:r>
                  <w:r>
                    <w:rPr>
                      <w:rFonts w:hint="eastAsia"/>
                      <w:szCs w:val="21"/>
                      <w:lang w:val="en-US" w:eastAsia="zh-CN"/>
                    </w:rPr>
                    <w:t>混凝土破碎</w:t>
                  </w:r>
                  <w:r>
                    <w:rPr>
                      <w:rFonts w:hint="eastAsia"/>
                      <w:szCs w:val="21"/>
                    </w:rPr>
                    <w:t>生产线，</w:t>
                  </w:r>
                  <w:r>
                    <w:rPr>
                      <w:rFonts w:hint="eastAsia"/>
                      <w:szCs w:val="21"/>
                      <w:lang w:val="en-US" w:eastAsia="zh-CN"/>
                    </w:rPr>
                    <w:t>设置1台履带式破碎筛分设备（设备运行前，可人工设置出口骨料规</w:t>
                  </w:r>
                  <w:r>
                    <w:rPr>
                      <w:rFonts w:hint="eastAsia"/>
                      <w:szCs w:val="21"/>
                      <w:highlight w:val="none"/>
                      <w:lang w:val="en-US" w:eastAsia="zh-CN"/>
                    </w:rPr>
                    <w:t>格）</w:t>
                  </w:r>
                  <w:r>
                    <w:rPr>
                      <w:szCs w:val="21"/>
                      <w:highlight w:val="none"/>
                    </w:rPr>
                    <w:t>。</w:t>
                  </w:r>
                  <w:r>
                    <w:rPr>
                      <w:rFonts w:hint="eastAsia"/>
                      <w:szCs w:val="21"/>
                      <w:highlight w:val="none"/>
                      <w:lang w:val="en-US" w:eastAsia="zh-CN"/>
                    </w:rPr>
                    <w:t>破碎生产区包含了成品堆场（骨料）、钢筋堆放区，</w:t>
                  </w:r>
                  <w:r>
                    <w:rPr>
                      <w:rFonts w:hint="eastAsia"/>
                      <w:szCs w:val="21"/>
                      <w:lang w:val="en-US" w:eastAsia="zh-CN"/>
                    </w:rPr>
                    <w:t>三面</w:t>
                  </w:r>
                  <w:r>
                    <w:rPr>
                      <w:rFonts w:hint="eastAsia"/>
                      <w:szCs w:val="21"/>
                    </w:rPr>
                    <w:t>围挡及</w:t>
                  </w:r>
                  <w:r>
                    <w:rPr>
                      <w:rFonts w:hint="eastAsia"/>
                      <w:szCs w:val="21"/>
                      <w:lang w:val="en-US" w:eastAsia="zh-CN"/>
                    </w:rPr>
                    <w:t>顶部密闭。</w:t>
                  </w:r>
                </w:p>
              </w:tc>
              <w:tc>
                <w:tcPr>
                  <w:tcW w:w="1054" w:type="dxa"/>
                  <w:vMerge w:val="restart"/>
                  <w:noWrap w:val="0"/>
                  <w:vAlign w:val="center"/>
                </w:tcPr>
                <w:p>
                  <w:pPr>
                    <w:adjustRightInd w:val="0"/>
                    <w:snapToGrid w:val="0"/>
                    <w:spacing w:line="360" w:lineRule="exact"/>
                    <w:jc w:val="center"/>
                    <w:rPr>
                      <w:szCs w:val="21"/>
                    </w:rPr>
                  </w:pPr>
                  <w:r>
                    <w:rPr>
                      <w:rFonts w:hint="eastAsia"/>
                      <w:szCs w:val="21"/>
                      <w:lang w:val="en-US" w:eastAsia="zh-CN"/>
                    </w:rPr>
                    <w:t>施工</w:t>
                  </w:r>
                  <w:r>
                    <w:rPr>
                      <w:szCs w:val="21"/>
                    </w:rPr>
                    <w:t>废水、施工扬尘、施工噪声、</w:t>
                  </w:r>
                  <w:r>
                    <w:rPr>
                      <w:rFonts w:hint="eastAsia"/>
                      <w:szCs w:val="21"/>
                      <w:lang w:val="en-US" w:eastAsia="zh-CN"/>
                    </w:rPr>
                    <w:t>固废</w:t>
                  </w:r>
                  <w:r>
                    <w:rPr>
                      <w:szCs w:val="21"/>
                    </w:rPr>
                    <w:t>等</w:t>
                  </w:r>
                </w:p>
              </w:tc>
              <w:tc>
                <w:tcPr>
                  <w:tcW w:w="919" w:type="dxa"/>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废水、扬尘、噪声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82" w:type="dxa"/>
                  <w:vMerge w:val="continue"/>
                  <w:noWrap w:val="0"/>
                  <w:vAlign w:val="center"/>
                </w:tcPr>
                <w:p>
                  <w:pPr>
                    <w:adjustRightInd w:val="0"/>
                    <w:snapToGrid w:val="0"/>
                    <w:spacing w:line="360" w:lineRule="exact"/>
                    <w:jc w:val="center"/>
                  </w:pPr>
                </w:p>
              </w:tc>
              <w:tc>
                <w:tcPr>
                  <w:tcW w:w="1926" w:type="dxa"/>
                  <w:gridSpan w:val="3"/>
                  <w:noWrap w:val="0"/>
                  <w:vAlign w:val="center"/>
                </w:tcPr>
                <w:p>
                  <w:pPr>
                    <w:adjustRightInd w:val="0"/>
                    <w:snapToGrid w:val="0"/>
                    <w:spacing w:line="256" w:lineRule="exact"/>
                    <w:jc w:val="center"/>
                    <w:rPr>
                      <w:rFonts w:hint="eastAsia" w:eastAsia="宋体"/>
                      <w:szCs w:val="21"/>
                      <w:lang w:eastAsia="zh-CN"/>
                    </w:rPr>
                  </w:pPr>
                  <w:r>
                    <w:rPr>
                      <w:rFonts w:hint="eastAsia"/>
                      <w:szCs w:val="21"/>
                    </w:rPr>
                    <w:t>原料堆场</w:t>
                  </w:r>
                  <w:r>
                    <w:rPr>
                      <w:rFonts w:hint="eastAsia"/>
                      <w:szCs w:val="21"/>
                      <w:lang w:eastAsia="zh-CN"/>
                    </w:rPr>
                    <w:t>（</w:t>
                  </w:r>
                  <w:r>
                    <w:rPr>
                      <w:rFonts w:hint="eastAsia"/>
                      <w:szCs w:val="21"/>
                      <w:lang w:val="en-US" w:eastAsia="zh-CN"/>
                    </w:rPr>
                    <w:t>混凝土块堆场</w:t>
                  </w:r>
                  <w:r>
                    <w:rPr>
                      <w:rFonts w:hint="eastAsia"/>
                      <w:szCs w:val="21"/>
                      <w:lang w:eastAsia="zh-CN"/>
                    </w:rPr>
                    <w:t>）</w:t>
                  </w:r>
                </w:p>
              </w:tc>
              <w:tc>
                <w:tcPr>
                  <w:tcW w:w="2947" w:type="dxa"/>
                  <w:noWrap w:val="0"/>
                  <w:vAlign w:val="center"/>
                </w:tcPr>
                <w:p>
                  <w:pPr>
                    <w:adjustRightInd w:val="0"/>
                    <w:snapToGrid w:val="0"/>
                    <w:spacing w:line="256" w:lineRule="exact"/>
                    <w:jc w:val="center"/>
                    <w:rPr>
                      <w:rFonts w:hint="default" w:eastAsia="宋体"/>
                      <w:szCs w:val="21"/>
                      <w:lang w:val="en-US" w:eastAsia="zh-CN"/>
                    </w:rPr>
                  </w:pPr>
                  <w:r>
                    <w:rPr>
                      <w:rFonts w:hint="eastAsia"/>
                      <w:szCs w:val="21"/>
                      <w:lang w:val="en-US" w:eastAsia="zh-CN"/>
                    </w:rPr>
                    <w:t>占地约900m</w:t>
                  </w:r>
                  <w:r>
                    <w:rPr>
                      <w:rFonts w:hint="eastAsia"/>
                      <w:szCs w:val="21"/>
                      <w:vertAlign w:val="superscript"/>
                      <w:lang w:val="en-US" w:eastAsia="zh-CN"/>
                    </w:rPr>
                    <w:t>2</w:t>
                  </w:r>
                  <w:r>
                    <w:rPr>
                      <w:rFonts w:hint="eastAsia"/>
                      <w:szCs w:val="21"/>
                      <w:lang w:val="en-US" w:eastAsia="zh-CN"/>
                    </w:rPr>
                    <w:t>，高约5.5m，位于建筑垃圾堆场西北侧，临近混凝土破碎生产区。混凝土块整体较大，对其定期表面洒水降尘</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szCs w:val="21"/>
                    </w:rPr>
                  </w:pPr>
                  <w:r>
                    <w:rPr>
                      <w:rFonts w:hint="eastAsia"/>
                      <w:szCs w:val="21"/>
                      <w:lang w:val="en-US" w:eastAsia="zh-CN"/>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eastAsia" w:eastAsia="宋体"/>
                      <w:szCs w:val="21"/>
                      <w:lang w:eastAsia="zh-CN"/>
                    </w:rPr>
                  </w:pPr>
                  <w:r>
                    <w:rPr>
                      <w:rFonts w:hint="eastAsia"/>
                      <w:szCs w:val="21"/>
                    </w:rPr>
                    <w:t>成品堆场</w:t>
                  </w:r>
                  <w:r>
                    <w:rPr>
                      <w:rFonts w:hint="eastAsia"/>
                      <w:szCs w:val="21"/>
                      <w:lang w:eastAsia="zh-CN"/>
                    </w:rPr>
                    <w:t>（</w:t>
                  </w:r>
                  <w:r>
                    <w:rPr>
                      <w:rFonts w:hint="eastAsia"/>
                      <w:szCs w:val="21"/>
                      <w:lang w:val="en-US" w:eastAsia="zh-CN"/>
                    </w:rPr>
                    <w:t>骨料</w:t>
                  </w:r>
                  <w:r>
                    <w:rPr>
                      <w:rFonts w:hint="eastAsia"/>
                      <w:szCs w:val="21"/>
                      <w:lang w:eastAsia="zh-CN"/>
                    </w:rPr>
                    <w:t>）</w:t>
                  </w:r>
                </w:p>
              </w:tc>
              <w:tc>
                <w:tcPr>
                  <w:tcW w:w="2947" w:type="dxa"/>
                  <w:noWrap w:val="0"/>
                  <w:vAlign w:val="center"/>
                </w:tcPr>
                <w:p>
                  <w:pPr>
                    <w:adjustRightInd w:val="0"/>
                    <w:snapToGrid w:val="0"/>
                    <w:spacing w:line="256" w:lineRule="exact"/>
                    <w:jc w:val="center"/>
                    <w:rPr>
                      <w:rFonts w:hint="eastAsia" w:eastAsia="宋体"/>
                      <w:szCs w:val="21"/>
                      <w:lang w:eastAsia="zh-CN"/>
                    </w:rPr>
                  </w:pPr>
                  <w:r>
                    <w:rPr>
                      <w:rFonts w:hint="eastAsia"/>
                      <w:lang w:val="en-US" w:eastAsia="zh-CN"/>
                    </w:rPr>
                    <w:t>位于生产区内，占地约260m</w:t>
                  </w:r>
                  <w:r>
                    <w:rPr>
                      <w:rFonts w:hint="eastAsia"/>
                      <w:vertAlign w:val="superscript"/>
                      <w:lang w:val="en-US" w:eastAsia="zh-CN"/>
                    </w:rPr>
                    <w:t>2</w:t>
                  </w:r>
                  <w:r>
                    <w:rPr>
                      <w:rFonts w:hint="eastAsia"/>
                      <w:lang w:val="en-US" w:eastAsia="zh-CN"/>
                    </w:rPr>
                    <w:t>，</w:t>
                  </w:r>
                  <w:r>
                    <w:rPr>
                      <w:rFonts w:hint="eastAsia"/>
                    </w:rPr>
                    <w:t>位于</w:t>
                  </w:r>
                  <w:r>
                    <w:rPr>
                      <w:rFonts w:hint="eastAsia"/>
                      <w:szCs w:val="21"/>
                      <w:lang w:val="en-US" w:eastAsia="zh-CN"/>
                    </w:rPr>
                    <w:t>混凝土破碎生产区西</w:t>
                  </w:r>
                  <w:r>
                    <w:rPr>
                      <w:rFonts w:hint="eastAsia"/>
                    </w:rPr>
                    <w:t>侧</w:t>
                  </w:r>
                  <w:r>
                    <w:rPr>
                      <w:rFonts w:hint="eastAsia"/>
                      <w:szCs w:val="21"/>
                    </w:rPr>
                    <w:t>。</w:t>
                  </w:r>
                  <w:r>
                    <w:rPr>
                      <w:rFonts w:hint="eastAsia"/>
                      <w:szCs w:val="21"/>
                      <w:lang w:val="en-US" w:eastAsia="zh-CN"/>
                    </w:rPr>
                    <w:t>成品骨料是即产即售（满足车辆装载量即外运外售），不在场区大量堆存。</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eastAsia="宋体"/>
                      <w:szCs w:val="21"/>
                      <w:lang w:val="en-US" w:eastAsia="zh-CN"/>
                    </w:rPr>
                  </w:pPr>
                  <w:r>
                    <w:rPr>
                      <w:rFonts w:hint="eastAsia"/>
                      <w:szCs w:val="21"/>
                      <w:lang w:val="en-US" w:eastAsia="zh-CN"/>
                    </w:rPr>
                    <w:t>钢筋堆放区</w:t>
                  </w:r>
                </w:p>
              </w:tc>
              <w:tc>
                <w:tcPr>
                  <w:tcW w:w="2947" w:type="dxa"/>
                  <w:noWrap w:val="0"/>
                  <w:vAlign w:val="center"/>
                </w:tcPr>
                <w:p>
                  <w:pPr>
                    <w:adjustRightInd w:val="0"/>
                    <w:snapToGrid w:val="0"/>
                    <w:spacing w:line="256" w:lineRule="exact"/>
                    <w:jc w:val="center"/>
                    <w:rPr>
                      <w:rFonts w:hint="default"/>
                      <w:lang w:val="en-US" w:eastAsia="zh-CN"/>
                    </w:rPr>
                  </w:pPr>
                  <w:r>
                    <w:rPr>
                      <w:rFonts w:hint="eastAsia"/>
                      <w:lang w:val="en-US" w:eastAsia="zh-CN"/>
                    </w:rPr>
                    <w:t>位于生产区内，占地约60m</w:t>
                  </w:r>
                  <w:r>
                    <w:rPr>
                      <w:rFonts w:hint="eastAsia"/>
                      <w:vertAlign w:val="superscript"/>
                      <w:lang w:val="en-US" w:eastAsia="zh-CN"/>
                    </w:rPr>
                    <w:t>2</w:t>
                  </w:r>
                  <w:r>
                    <w:rPr>
                      <w:rFonts w:hint="eastAsia"/>
                      <w:lang w:val="en-US" w:eastAsia="zh-CN"/>
                    </w:rPr>
                    <w:t>，</w:t>
                  </w:r>
                  <w:r>
                    <w:rPr>
                      <w:rFonts w:hint="eastAsia"/>
                    </w:rPr>
                    <w:t>位于</w:t>
                  </w:r>
                  <w:r>
                    <w:rPr>
                      <w:rFonts w:hint="eastAsia"/>
                      <w:szCs w:val="21"/>
                      <w:lang w:val="en-US" w:eastAsia="zh-CN"/>
                    </w:rPr>
                    <w:t>混凝土破碎生产区西北</w:t>
                  </w:r>
                  <w:r>
                    <w:rPr>
                      <w:rFonts w:hint="eastAsia"/>
                    </w:rPr>
                    <w:t>侧</w:t>
                  </w:r>
                  <w:r>
                    <w:rPr>
                      <w:rFonts w:hint="eastAsia"/>
                      <w:lang w:eastAsia="zh-CN"/>
                    </w:rPr>
                    <w:t>。</w:t>
                  </w:r>
                  <w:r>
                    <w:rPr>
                      <w:rFonts w:hint="eastAsia"/>
                      <w:lang w:val="en-US" w:eastAsia="zh-CN"/>
                    </w:rPr>
                    <w:t>混凝土破碎时，部分含有钢筋。破碎过程的钢筋经</w:t>
                  </w:r>
                  <w:r>
                    <w:rPr>
                      <w:rFonts w:hint="eastAsia"/>
                      <w:szCs w:val="21"/>
                      <w:lang w:val="en-US" w:eastAsia="zh-CN"/>
                    </w:rPr>
                    <w:t>履带式破碎筛分设备自带的磁选功能，与混凝土分离。</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表土堆场</w:t>
                  </w:r>
                </w:p>
              </w:tc>
              <w:tc>
                <w:tcPr>
                  <w:tcW w:w="2947" w:type="dxa"/>
                  <w:noWrap w:val="0"/>
                  <w:vAlign w:val="center"/>
                </w:tcPr>
                <w:p>
                  <w:pPr>
                    <w:adjustRightInd w:val="0"/>
                    <w:snapToGrid w:val="0"/>
                    <w:spacing w:line="256" w:lineRule="exact"/>
                    <w:jc w:val="center"/>
                    <w:rPr>
                      <w:rFonts w:hint="eastAsia"/>
                      <w:lang w:val="en-US" w:eastAsia="zh-CN"/>
                    </w:rPr>
                  </w:pPr>
                  <w:r>
                    <w:rPr>
                      <w:rFonts w:hint="eastAsia"/>
                      <w:lang w:val="en-US" w:eastAsia="zh-CN"/>
                    </w:rPr>
                    <w:t>表土堆场占地1500m</w:t>
                  </w:r>
                  <w:r>
                    <w:rPr>
                      <w:rFonts w:hint="eastAsia"/>
                      <w:vertAlign w:val="superscript"/>
                      <w:lang w:val="en-US" w:eastAsia="zh-CN"/>
                    </w:rPr>
                    <w:t>2</w:t>
                  </w:r>
                  <w:r>
                    <w:rPr>
                      <w:rFonts w:hint="eastAsia"/>
                      <w:lang w:val="en-US" w:eastAsia="zh-CN"/>
                    </w:rPr>
                    <w:t>，位于红线东北侧，用于堆放运行期弃土场剥离的表土。在外围布设拦挡和临时排水措施，并使用防雨布对表土进行遮盖</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szCs w:val="21"/>
                      <w:lang w:val="en-US" w:eastAsia="zh-CN"/>
                    </w:rPr>
                  </w:pPr>
                  <w:r>
                    <w:rPr>
                      <w:rFonts w:hint="eastAsia"/>
                      <w:szCs w:val="21"/>
                      <w:lang w:val="en-US" w:eastAsia="zh-CN"/>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填埋区</w:t>
                  </w:r>
                </w:p>
              </w:tc>
              <w:tc>
                <w:tcPr>
                  <w:tcW w:w="2947" w:type="dxa"/>
                  <w:noWrap w:val="0"/>
                  <w:vAlign w:val="center"/>
                </w:tcPr>
                <w:p>
                  <w:pPr>
                    <w:adjustRightInd w:val="0"/>
                    <w:snapToGrid w:val="0"/>
                    <w:spacing w:line="256" w:lineRule="exact"/>
                    <w:jc w:val="center"/>
                    <w:rPr>
                      <w:rFonts w:hint="default"/>
                      <w:lang w:val="en-US" w:eastAsia="zh-CN"/>
                    </w:rPr>
                  </w:pPr>
                  <w:r>
                    <w:rPr>
                      <w:rFonts w:hint="eastAsia"/>
                      <w:lang w:val="en-US" w:eastAsia="zh-CN"/>
                    </w:rPr>
                    <w:t>本项目临时占用土地53346m</w:t>
                  </w:r>
                  <w:r>
                    <w:rPr>
                      <w:rFonts w:hint="eastAsia"/>
                      <w:vertAlign w:val="superscript"/>
                      <w:lang w:val="en-US" w:eastAsia="zh-CN"/>
                    </w:rPr>
                    <w:t>2</w:t>
                  </w:r>
                  <w:r>
                    <w:rPr>
                      <w:rFonts w:hint="eastAsia"/>
                      <w:lang w:val="en-US" w:eastAsia="zh-CN"/>
                    </w:rPr>
                    <w:t>，设计填埋容积80万t。工程结束后，对临时场区进行复垦，并绿化恢复。</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扬尘、噪声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szCs w:val="21"/>
                      <w:highlight w:val="none"/>
                      <w:lang w:val="en-US" w:eastAsia="zh-CN"/>
                    </w:rPr>
                  </w:pPr>
                  <w:r>
                    <w:rPr>
                      <w:rFonts w:hint="eastAsia"/>
                      <w:szCs w:val="21"/>
                      <w:highlight w:val="none"/>
                      <w:lang w:val="en-US" w:eastAsia="zh-CN"/>
                    </w:rPr>
                    <w:t>排水系统</w:t>
                  </w:r>
                </w:p>
              </w:tc>
              <w:tc>
                <w:tcPr>
                  <w:tcW w:w="2947" w:type="dxa"/>
                  <w:noWrap w:val="0"/>
                  <w:vAlign w:val="center"/>
                </w:tcPr>
                <w:p>
                  <w:pPr>
                    <w:adjustRightInd w:val="0"/>
                    <w:snapToGrid w:val="0"/>
                    <w:spacing w:line="256" w:lineRule="exact"/>
                    <w:jc w:val="center"/>
                    <w:rPr>
                      <w:rFonts w:hint="default"/>
                      <w:highlight w:val="none"/>
                      <w:lang w:val="en-US" w:eastAsia="zh-CN"/>
                    </w:rPr>
                  </w:pPr>
                  <w:r>
                    <w:rPr>
                      <w:rFonts w:hint="eastAsia"/>
                      <w:highlight w:val="none"/>
                      <w:lang w:val="en-US" w:eastAsia="zh-CN"/>
                    </w:rPr>
                    <w:t>填埋场两侧设置截水沟、堆放平台内侧排水沟以及渣场内部排水盲沟，盲沟设计尺寸为1.0m×1.0m，填筑透水性强的天然砂砾，外包</w:t>
                  </w:r>
                  <w:r>
                    <w:rPr>
                      <w:rFonts w:hint="eastAsia" w:ascii="Times New Roman" w:hAnsi="Times New Roman" w:eastAsia="宋体" w:cs="Times New Roman"/>
                      <w:highlight w:val="none"/>
                      <w:lang w:val="en-US" w:eastAsia="zh-CN"/>
                    </w:rPr>
                    <w:t>反滤土工布，雨水经排水系统作用进入沉砂池（10</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10</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收集系统</w:t>
                  </w:r>
                </w:p>
              </w:tc>
              <w:tc>
                <w:tcPr>
                  <w:tcW w:w="2947" w:type="dxa"/>
                  <w:noWrap w:val="0"/>
                  <w:vAlign w:val="center"/>
                </w:tcPr>
                <w:p>
                  <w:pPr>
                    <w:adjustRightInd w:val="0"/>
                    <w:snapToGrid w:val="0"/>
                    <w:spacing w:line="256" w:lineRule="exact"/>
                    <w:jc w:val="center"/>
                    <w:rPr>
                      <w:rFonts w:hint="default"/>
                      <w:lang w:val="en-US" w:eastAsia="zh-CN"/>
                    </w:rPr>
                  </w:pPr>
                  <w:r>
                    <w:rPr>
                      <w:rFonts w:hint="eastAsia" w:ascii="Times New Roman" w:hAnsi="Times New Roman" w:eastAsia="宋体" w:cs="Times New Roman"/>
                      <w:highlight w:val="none"/>
                      <w:lang w:val="en-US" w:eastAsia="zh-CN"/>
                    </w:rPr>
                    <w:t>两侧截水沟末端均设置沉砂池（10</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10</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eastAsia="zh-CN"/>
                    </w:rPr>
                    <w:t>m</w:t>
                  </w:r>
                  <w:r>
                    <w:rPr>
                      <w:rFonts w:hint="eastAsia" w:ascii="Times New Roman" w:hAnsi="Times New Roman" w:eastAsia="宋体" w:cs="Times New Roman"/>
                      <w:highlight w:val="none"/>
                      <w:lang w:val="en-US" w:eastAsia="zh-CN"/>
                    </w:rPr>
                    <w:t>）1座，浆砌石砌筑。沉砂池处理后的雨水用于场区洒水降尘。</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rFonts w:hint="default" w:eastAsia="宋体"/>
                      <w:szCs w:val="21"/>
                      <w:lang w:val="en-US" w:eastAsia="zh-CN"/>
                    </w:rPr>
                  </w:pPr>
                  <w:r>
                    <w:rPr>
                      <w:rFonts w:hint="eastAsia"/>
                      <w:szCs w:val="21"/>
                      <w:lang w:val="en-US" w:eastAsia="zh-CN"/>
                    </w:rPr>
                    <w:t>建筑垃圾堆场</w:t>
                  </w:r>
                </w:p>
              </w:tc>
              <w:tc>
                <w:tcPr>
                  <w:tcW w:w="2947" w:type="dxa"/>
                  <w:noWrap w:val="0"/>
                  <w:vAlign w:val="center"/>
                </w:tcPr>
                <w:p>
                  <w:pPr>
                    <w:adjustRightInd w:val="0"/>
                    <w:snapToGrid w:val="0"/>
                    <w:spacing w:line="256" w:lineRule="exact"/>
                    <w:jc w:val="center"/>
                    <w:rPr>
                      <w:rFonts w:hint="default"/>
                      <w:lang w:val="en-US" w:eastAsia="zh-CN"/>
                    </w:rPr>
                  </w:pPr>
                  <w:r>
                    <w:rPr>
                      <w:rFonts w:hint="eastAsia"/>
                      <w:lang w:val="en-US" w:eastAsia="zh-CN"/>
                    </w:rPr>
                    <w:t>占地约5000m</w:t>
                  </w:r>
                  <w:r>
                    <w:rPr>
                      <w:rFonts w:hint="eastAsia"/>
                      <w:vertAlign w:val="superscript"/>
                      <w:lang w:val="en-US" w:eastAsia="zh-CN"/>
                    </w:rPr>
                    <w:t>2</w:t>
                  </w:r>
                  <w:r>
                    <w:rPr>
                      <w:rFonts w:hint="eastAsia"/>
                      <w:lang w:val="en-US" w:eastAsia="zh-CN"/>
                    </w:rPr>
                    <w:t>，高约3.5m，位于填埋场区东侧。包含废木头、废纸板、废钢材、废砖头、装修垃圾、装修白色垃圾。人工进行分选，分选出再利用垃圾装车外运外售，不可利用进行填埋处置，装修白色垃圾外运由光大环保能源（乐山）有限公司处理</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扬尘、噪声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360" w:lineRule="exact"/>
                    <w:jc w:val="center"/>
                    <w:rPr>
                      <w:rFonts w:hint="eastAsia" w:eastAsia="宋体"/>
                      <w:color w:val="auto"/>
                      <w:szCs w:val="21"/>
                      <w:lang w:eastAsia="zh-CN"/>
                    </w:rPr>
                  </w:pPr>
                  <w:r>
                    <w:rPr>
                      <w:rFonts w:hint="eastAsia"/>
                      <w:color w:val="auto"/>
                      <w:szCs w:val="21"/>
                    </w:rPr>
                    <w:t>沉淀池</w:t>
                  </w:r>
                  <w:r>
                    <w:rPr>
                      <w:rFonts w:hint="eastAsia"/>
                      <w:color w:val="auto"/>
                      <w:szCs w:val="21"/>
                      <w:lang w:eastAsia="zh-CN"/>
                    </w:rPr>
                    <w:t>（</w:t>
                  </w:r>
                  <w:r>
                    <w:rPr>
                      <w:rFonts w:hint="eastAsia"/>
                      <w:color w:val="auto"/>
                      <w:szCs w:val="21"/>
                      <w:lang w:val="en-US" w:eastAsia="zh-CN"/>
                    </w:rPr>
                    <w:t>混凝土破碎</w:t>
                  </w:r>
                  <w:r>
                    <w:rPr>
                      <w:rFonts w:hint="eastAsia"/>
                      <w:color w:val="auto"/>
                      <w:szCs w:val="21"/>
                      <w:lang w:eastAsia="zh-CN"/>
                    </w:rPr>
                    <w:t>）</w:t>
                  </w:r>
                </w:p>
              </w:tc>
              <w:tc>
                <w:tcPr>
                  <w:tcW w:w="2947" w:type="dxa"/>
                  <w:noWrap w:val="0"/>
                  <w:vAlign w:val="center"/>
                </w:tcPr>
                <w:p>
                  <w:pPr>
                    <w:adjustRightInd w:val="0"/>
                    <w:snapToGrid w:val="0"/>
                    <w:spacing w:line="360" w:lineRule="exact"/>
                    <w:jc w:val="center"/>
                    <w:rPr>
                      <w:color w:val="auto"/>
                      <w:szCs w:val="21"/>
                    </w:rPr>
                  </w:pPr>
                  <w:r>
                    <w:rPr>
                      <w:rFonts w:hint="eastAsia"/>
                      <w:color w:val="auto"/>
                    </w:rPr>
                    <w:t>位于破</w:t>
                  </w:r>
                  <w:r>
                    <w:rPr>
                      <w:rFonts w:hint="eastAsia"/>
                      <w:color w:val="auto"/>
                      <w:highlight w:val="none"/>
                    </w:rPr>
                    <w:t>碎</w:t>
                  </w:r>
                  <w:r>
                    <w:rPr>
                      <w:rFonts w:hint="eastAsia"/>
                      <w:color w:val="auto"/>
                      <w:highlight w:val="none"/>
                      <w:lang w:val="en-US" w:eastAsia="zh-CN"/>
                    </w:rPr>
                    <w:t>生产区南</w:t>
                  </w:r>
                  <w:r>
                    <w:rPr>
                      <w:rFonts w:hint="eastAsia"/>
                      <w:color w:val="auto"/>
                      <w:highlight w:val="none"/>
                    </w:rPr>
                    <w:t>侧，</w:t>
                  </w:r>
                  <w:r>
                    <w:rPr>
                      <w:rFonts w:hint="eastAsia"/>
                      <w:color w:val="auto"/>
                      <w:szCs w:val="21"/>
                      <w:highlight w:val="none"/>
                    </w:rPr>
                    <w:t>容积</w:t>
                  </w:r>
                  <w:r>
                    <w:rPr>
                      <w:rFonts w:hint="eastAsia"/>
                      <w:color w:val="auto"/>
                      <w:szCs w:val="21"/>
                      <w:highlight w:val="none"/>
                      <w:lang w:val="en-US" w:eastAsia="zh-CN"/>
                    </w:rPr>
                    <w:t>1</w:t>
                  </w:r>
                  <w:r>
                    <w:rPr>
                      <w:rFonts w:hint="eastAsia"/>
                      <w:color w:val="auto"/>
                      <w:szCs w:val="21"/>
                      <w:highlight w:val="none"/>
                    </w:rPr>
                    <w:t>0m</w:t>
                  </w:r>
                  <w:r>
                    <w:rPr>
                      <w:rFonts w:hint="eastAsia"/>
                      <w:color w:val="auto"/>
                      <w:szCs w:val="21"/>
                      <w:highlight w:val="none"/>
                      <w:vertAlign w:val="superscript"/>
                    </w:rPr>
                    <w:t>3</w:t>
                  </w:r>
                  <w:r>
                    <w:rPr>
                      <w:rFonts w:hint="eastAsia"/>
                      <w:color w:val="auto"/>
                      <w:szCs w:val="21"/>
                      <w:highlight w:val="none"/>
                      <w:vertAlign w:val="baseline"/>
                      <w:lang w:eastAsia="zh-CN"/>
                    </w:rPr>
                    <w:t>（</w:t>
                  </w:r>
                  <w:r>
                    <w:rPr>
                      <w:rFonts w:hint="eastAsia"/>
                      <w:color w:val="auto"/>
                      <w:szCs w:val="21"/>
                      <w:highlight w:val="none"/>
                      <w:vertAlign w:val="baseline"/>
                      <w:lang w:val="en-US" w:eastAsia="zh-CN"/>
                    </w:rPr>
                    <w:t>1</w:t>
                  </w:r>
                  <w:r>
                    <w:rPr>
                      <w:color w:val="auto"/>
                      <w:szCs w:val="21"/>
                      <w:highlight w:val="none"/>
                    </w:rPr>
                    <w:t>×</w:t>
                  </w:r>
                  <w:r>
                    <w:rPr>
                      <w:rFonts w:hint="eastAsia"/>
                      <w:color w:val="auto"/>
                      <w:szCs w:val="21"/>
                      <w:highlight w:val="none"/>
                      <w:lang w:val="en-US" w:eastAsia="zh-CN"/>
                    </w:rPr>
                    <w:t>5</w:t>
                  </w:r>
                  <w:r>
                    <w:rPr>
                      <w:color w:val="auto"/>
                      <w:szCs w:val="21"/>
                      <w:highlight w:val="none"/>
                    </w:rPr>
                    <w:t>×</w:t>
                  </w:r>
                  <w:r>
                    <w:rPr>
                      <w:rFonts w:hint="eastAsia"/>
                      <w:color w:val="auto"/>
                      <w:szCs w:val="21"/>
                      <w:highlight w:val="none"/>
                      <w:lang w:val="en-US" w:eastAsia="zh-CN"/>
                    </w:rPr>
                    <w:t>2</w:t>
                  </w:r>
                  <w:r>
                    <w:rPr>
                      <w:color w:val="auto"/>
                      <w:szCs w:val="21"/>
                      <w:highlight w:val="none"/>
                    </w:rPr>
                    <w:t>m</w:t>
                  </w:r>
                  <w:r>
                    <w:rPr>
                      <w:rFonts w:hint="eastAsia"/>
                      <w:color w:val="auto"/>
                      <w:szCs w:val="21"/>
                      <w:highlight w:val="none"/>
                      <w:vertAlign w:val="baseline"/>
                      <w:lang w:eastAsia="zh-CN"/>
                    </w:rPr>
                    <w:t>）</w:t>
                  </w:r>
                  <w:r>
                    <w:rPr>
                      <w:rFonts w:hint="eastAsia"/>
                      <w:color w:val="auto"/>
                      <w:szCs w:val="21"/>
                      <w:highlight w:val="none"/>
                    </w:rPr>
                    <w:t>，</w:t>
                  </w:r>
                  <w:r>
                    <w:rPr>
                      <w:rFonts w:hint="eastAsia"/>
                      <w:color w:val="auto"/>
                      <w:szCs w:val="21"/>
                    </w:rPr>
                    <w:t>收集处理生产过程中产生的</w:t>
                  </w:r>
                  <w:r>
                    <w:rPr>
                      <w:rFonts w:hint="eastAsia"/>
                      <w:color w:val="auto"/>
                      <w:szCs w:val="21"/>
                      <w:lang w:val="en-US" w:eastAsia="zh-CN"/>
                    </w:rPr>
                    <w:t>喷淋废水</w:t>
                  </w:r>
                  <w:r>
                    <w:rPr>
                      <w:rFonts w:hint="eastAsia"/>
                      <w:color w:val="auto"/>
                      <w:szCs w:val="21"/>
                    </w:rPr>
                    <w:t>，</w:t>
                  </w:r>
                  <w:r>
                    <w:rPr>
                      <w:rFonts w:hint="eastAsia"/>
                      <w:color w:val="auto"/>
                      <w:szCs w:val="21"/>
                      <w:lang w:val="en-US" w:eastAsia="zh-CN"/>
                    </w:rPr>
                    <w:t>处置后回用于喷淋过程</w:t>
                  </w:r>
                  <w:r>
                    <w:rPr>
                      <w:rFonts w:hint="eastAsia"/>
                      <w:color w:val="auto"/>
                      <w:szCs w:val="21"/>
                    </w:rPr>
                    <w:t>；</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360" w:lineRule="exact"/>
                    <w:jc w:val="center"/>
                    <w:rPr>
                      <w:rFonts w:hint="eastAsia"/>
                      <w:color w:val="auto"/>
                      <w:szCs w:val="21"/>
                    </w:rPr>
                  </w:pPr>
                  <w:r>
                    <w:rPr>
                      <w:rFonts w:hint="eastAsia"/>
                      <w:color w:val="auto"/>
                      <w:szCs w:val="21"/>
                    </w:rPr>
                    <w:t>沉淀池</w:t>
                  </w:r>
                  <w:r>
                    <w:rPr>
                      <w:rFonts w:hint="eastAsia"/>
                      <w:color w:val="auto"/>
                      <w:szCs w:val="21"/>
                      <w:lang w:eastAsia="zh-CN"/>
                    </w:rPr>
                    <w:t>（</w:t>
                  </w:r>
                  <w:r>
                    <w:rPr>
                      <w:rFonts w:hint="eastAsia"/>
                      <w:color w:val="auto"/>
                      <w:szCs w:val="21"/>
                      <w:lang w:val="en-US" w:eastAsia="zh-CN"/>
                    </w:rPr>
                    <w:t>洗车槽</w:t>
                  </w:r>
                  <w:r>
                    <w:rPr>
                      <w:rFonts w:hint="eastAsia"/>
                      <w:color w:val="auto"/>
                      <w:szCs w:val="21"/>
                      <w:lang w:eastAsia="zh-CN"/>
                    </w:rPr>
                    <w:t>）</w:t>
                  </w:r>
                </w:p>
              </w:tc>
              <w:tc>
                <w:tcPr>
                  <w:tcW w:w="2947" w:type="dxa"/>
                  <w:noWrap w:val="0"/>
                  <w:vAlign w:val="center"/>
                </w:tcPr>
                <w:p>
                  <w:pPr>
                    <w:adjustRightInd w:val="0"/>
                    <w:snapToGrid w:val="0"/>
                    <w:spacing w:line="360" w:lineRule="exact"/>
                    <w:jc w:val="center"/>
                    <w:rPr>
                      <w:rFonts w:hint="eastAsia"/>
                      <w:color w:val="auto"/>
                    </w:rPr>
                  </w:pPr>
                  <w:r>
                    <w:rPr>
                      <w:rFonts w:hint="eastAsia"/>
                      <w:color w:val="auto"/>
                      <w:szCs w:val="21"/>
                      <w:highlight w:val="none"/>
                    </w:rPr>
                    <w:t>容积</w:t>
                  </w:r>
                  <w:r>
                    <w:rPr>
                      <w:rFonts w:hint="eastAsia"/>
                      <w:color w:val="auto"/>
                      <w:szCs w:val="21"/>
                      <w:highlight w:val="none"/>
                      <w:lang w:val="en-US" w:eastAsia="zh-CN"/>
                    </w:rPr>
                    <w:t>2</w:t>
                  </w:r>
                  <w:r>
                    <w:rPr>
                      <w:rFonts w:hint="eastAsia"/>
                      <w:color w:val="auto"/>
                      <w:szCs w:val="21"/>
                      <w:highlight w:val="none"/>
                    </w:rPr>
                    <w:t>0m</w:t>
                  </w:r>
                  <w:r>
                    <w:rPr>
                      <w:rFonts w:hint="eastAsia"/>
                      <w:color w:val="auto"/>
                      <w:szCs w:val="21"/>
                      <w:highlight w:val="none"/>
                      <w:vertAlign w:val="superscript"/>
                    </w:rPr>
                    <w:t>3</w:t>
                  </w:r>
                  <w:r>
                    <w:rPr>
                      <w:rFonts w:hint="eastAsia"/>
                      <w:color w:val="auto"/>
                      <w:szCs w:val="21"/>
                      <w:highlight w:val="none"/>
                      <w:vertAlign w:val="baseline"/>
                      <w:lang w:eastAsia="zh-CN"/>
                    </w:rPr>
                    <w:t>（</w:t>
                  </w:r>
                  <w:r>
                    <w:rPr>
                      <w:rFonts w:hint="eastAsia"/>
                      <w:color w:val="auto"/>
                      <w:szCs w:val="21"/>
                      <w:highlight w:val="none"/>
                      <w:vertAlign w:val="baseline"/>
                      <w:lang w:val="en-US" w:eastAsia="zh-CN"/>
                    </w:rPr>
                    <w:t>2</w:t>
                  </w:r>
                  <w:r>
                    <w:rPr>
                      <w:rFonts w:hint="eastAsia" w:ascii="Times New Roman" w:hAnsi="Times New Roman" w:eastAsia="宋体" w:cs="Times New Roman"/>
                      <w:lang w:val="en-US" w:eastAsia="zh-CN"/>
                    </w:rPr>
                    <w:t>×5×2m），收集洗车废水，处置后回用于洗车过程；</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360" w:lineRule="exact"/>
                    <w:jc w:val="center"/>
                    <w:rPr>
                      <w:color w:val="auto"/>
                      <w:szCs w:val="21"/>
                    </w:rPr>
                  </w:pPr>
                  <w:r>
                    <w:rPr>
                      <w:rFonts w:hint="eastAsia"/>
                      <w:color w:val="auto"/>
                      <w:szCs w:val="21"/>
                    </w:rPr>
                    <w:t>蓄水池</w:t>
                  </w:r>
                </w:p>
              </w:tc>
              <w:tc>
                <w:tcPr>
                  <w:tcW w:w="2947" w:type="dxa"/>
                  <w:noWrap w:val="0"/>
                  <w:vAlign w:val="center"/>
                </w:tcPr>
                <w:p>
                  <w:pPr>
                    <w:adjustRightInd w:val="0"/>
                    <w:snapToGrid w:val="0"/>
                    <w:spacing w:line="360" w:lineRule="exact"/>
                    <w:jc w:val="center"/>
                    <w:rPr>
                      <w:color w:val="auto"/>
                      <w:szCs w:val="21"/>
                    </w:rPr>
                  </w:pPr>
                  <w:r>
                    <w:rPr>
                      <w:rFonts w:hint="eastAsia"/>
                      <w:color w:val="auto"/>
                      <w:szCs w:val="21"/>
                    </w:rPr>
                    <w:t>用于</w:t>
                  </w:r>
                  <w:r>
                    <w:rPr>
                      <w:rFonts w:hint="eastAsia"/>
                      <w:color w:val="auto"/>
                      <w:szCs w:val="21"/>
                      <w:lang w:val="en-US" w:eastAsia="zh-CN"/>
                    </w:rPr>
                    <w:t>破碎</w:t>
                  </w:r>
                  <w:r>
                    <w:rPr>
                      <w:rFonts w:hint="eastAsia"/>
                      <w:color w:val="auto"/>
                      <w:szCs w:val="21"/>
                    </w:rPr>
                    <w:t>厂房喷淋用水储存，位于</w:t>
                  </w:r>
                  <w:r>
                    <w:rPr>
                      <w:rFonts w:hint="eastAsia"/>
                      <w:color w:val="auto"/>
                      <w:szCs w:val="21"/>
                      <w:lang w:val="en-US" w:eastAsia="zh-CN"/>
                    </w:rPr>
                    <w:t>破碎生产区北</w:t>
                  </w:r>
                  <w:r>
                    <w:rPr>
                      <w:rFonts w:hint="eastAsia"/>
                      <w:color w:val="auto"/>
                      <w:szCs w:val="21"/>
                    </w:rPr>
                    <w:t>侧，1个，</w:t>
                  </w:r>
                  <w:r>
                    <w:rPr>
                      <w:rFonts w:hint="eastAsia"/>
                      <w:color w:val="auto"/>
                      <w:szCs w:val="21"/>
                      <w:lang w:val="en-US" w:eastAsia="zh-CN"/>
                    </w:rPr>
                    <w:t>5</w:t>
                  </w:r>
                  <w:r>
                    <w:rPr>
                      <w:rFonts w:hint="eastAsia"/>
                      <w:color w:val="auto"/>
                      <w:szCs w:val="21"/>
                    </w:rPr>
                    <w:t>m</w:t>
                  </w:r>
                  <w:r>
                    <w:rPr>
                      <w:rFonts w:hint="eastAsia"/>
                      <w:color w:val="auto"/>
                      <w:szCs w:val="21"/>
                      <w:vertAlign w:val="superscript"/>
                    </w:rPr>
                    <w:t>3</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2" w:type="dxa"/>
                  <w:vMerge w:val="restart"/>
                  <w:noWrap w:val="0"/>
                  <w:vAlign w:val="center"/>
                </w:tcPr>
                <w:p>
                  <w:pPr>
                    <w:adjustRightInd w:val="0"/>
                    <w:snapToGrid w:val="0"/>
                    <w:spacing w:line="360" w:lineRule="exact"/>
                    <w:jc w:val="center"/>
                    <w:rPr>
                      <w:rFonts w:hint="default" w:eastAsia="宋体"/>
                      <w:lang w:val="en-US" w:eastAsia="zh-CN"/>
                    </w:rPr>
                  </w:pPr>
                  <w:r>
                    <w:rPr>
                      <w:rFonts w:hint="eastAsia"/>
                      <w:lang w:val="en-US" w:eastAsia="zh-CN"/>
                    </w:rPr>
                    <w:t>辅助工程</w:t>
                  </w:r>
                </w:p>
              </w:tc>
              <w:tc>
                <w:tcPr>
                  <w:tcW w:w="1926" w:type="dxa"/>
                  <w:gridSpan w:val="3"/>
                  <w:noWrap w:val="0"/>
                  <w:vAlign w:val="center"/>
                </w:tcPr>
                <w:p>
                  <w:pPr>
                    <w:adjustRightInd w:val="0"/>
                    <w:snapToGrid w:val="0"/>
                    <w:spacing w:line="360" w:lineRule="exact"/>
                    <w:jc w:val="center"/>
                    <w:rPr>
                      <w:rFonts w:hint="eastAsia"/>
                      <w:color w:val="auto"/>
                      <w:szCs w:val="21"/>
                      <w:highlight w:val="none"/>
                    </w:rPr>
                  </w:pPr>
                  <w:r>
                    <w:rPr>
                      <w:rFonts w:hint="eastAsia"/>
                      <w:color w:val="auto"/>
                      <w:szCs w:val="21"/>
                      <w:highlight w:val="none"/>
                      <w:lang w:val="en-US" w:eastAsia="zh-CN"/>
                    </w:rPr>
                    <w:t>办公</w:t>
                  </w:r>
                  <w:r>
                    <w:rPr>
                      <w:rFonts w:hint="eastAsia"/>
                      <w:color w:val="auto"/>
                      <w:szCs w:val="21"/>
                      <w:highlight w:val="none"/>
                    </w:rPr>
                    <w:t>生活区</w:t>
                  </w:r>
                </w:p>
              </w:tc>
              <w:tc>
                <w:tcPr>
                  <w:tcW w:w="2947" w:type="dxa"/>
                  <w:noWrap w:val="0"/>
                  <w:vAlign w:val="center"/>
                </w:tcPr>
                <w:p>
                  <w:pPr>
                    <w:adjustRightInd w:val="0"/>
                    <w:snapToGrid w:val="0"/>
                    <w:spacing w:line="360" w:lineRule="exact"/>
                    <w:jc w:val="center"/>
                    <w:rPr>
                      <w:rFonts w:hint="eastAsia"/>
                      <w:color w:val="auto"/>
                      <w:szCs w:val="21"/>
                      <w:highlight w:val="none"/>
                    </w:rPr>
                  </w:pPr>
                  <w:r>
                    <w:rPr>
                      <w:rFonts w:hint="eastAsia"/>
                      <w:color w:val="auto"/>
                      <w:szCs w:val="21"/>
                      <w:highlight w:val="none"/>
                      <w:lang w:val="en-US" w:eastAsia="zh-CN"/>
                    </w:rPr>
                    <w:t>依托</w:t>
                  </w:r>
                  <w:r>
                    <w:rPr>
                      <w:rFonts w:hint="eastAsia" w:ascii="Times New Roman" w:hAnsi="Times New Roman" w:eastAsia="宋体" w:cs="Times New Roman"/>
                      <w:lang w:val="en-US" w:eastAsia="zh-CN"/>
                    </w:rPr>
                    <w:t>已建办公生活区，用于场区全部工人约15人办公、休息；提供15人餐饮，2人</w:t>
                  </w:r>
                  <w:r>
                    <w:rPr>
                      <w:rFonts w:hint="eastAsia"/>
                      <w:color w:val="auto"/>
                      <w:szCs w:val="21"/>
                      <w:highlight w:val="none"/>
                      <w:lang w:val="en-US" w:eastAsia="zh-CN"/>
                    </w:rPr>
                    <w:t>住宿</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szCs w:val="21"/>
                      <w:lang w:val="en-US"/>
                    </w:rPr>
                  </w:pPr>
                  <w:r>
                    <w:rPr>
                      <w:rFonts w:hint="eastAsia"/>
                      <w:szCs w:val="21"/>
                      <w:lang w:val="en-US" w:eastAsia="zh-CN"/>
                    </w:rPr>
                    <w:t>废水、噪声、固废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2" w:type="dxa"/>
                  <w:vMerge w:val="continue"/>
                  <w:noWrap w:val="0"/>
                  <w:vAlign w:val="center"/>
                </w:tcPr>
                <w:p>
                  <w:pPr>
                    <w:adjustRightInd w:val="0"/>
                    <w:snapToGrid w:val="0"/>
                    <w:spacing w:line="360" w:lineRule="exact"/>
                    <w:jc w:val="center"/>
                    <w:rPr>
                      <w:rFonts w:hint="eastAsia"/>
                      <w:lang w:val="en-US" w:eastAsia="zh-CN"/>
                    </w:rPr>
                  </w:pPr>
                </w:p>
              </w:tc>
              <w:tc>
                <w:tcPr>
                  <w:tcW w:w="1926" w:type="dxa"/>
                  <w:gridSpan w:val="3"/>
                  <w:noWrap w:val="0"/>
                  <w:vAlign w:val="center"/>
                </w:tcPr>
                <w:p>
                  <w:pPr>
                    <w:adjustRightInd w:val="0"/>
                    <w:snapToGrid w:val="0"/>
                    <w:spacing w:line="360" w:lineRule="exact"/>
                    <w:jc w:val="center"/>
                    <w:rPr>
                      <w:rFonts w:hint="default" w:eastAsia="宋体"/>
                      <w:color w:val="auto"/>
                      <w:szCs w:val="21"/>
                      <w:lang w:val="en-US" w:eastAsia="zh-CN"/>
                    </w:rPr>
                  </w:pPr>
                  <w:r>
                    <w:rPr>
                      <w:rFonts w:hint="eastAsia"/>
                      <w:color w:val="auto"/>
                      <w:szCs w:val="21"/>
                      <w:lang w:val="en-US" w:eastAsia="zh-CN"/>
                    </w:rPr>
                    <w:t>洗车槽</w:t>
                  </w:r>
                </w:p>
              </w:tc>
              <w:tc>
                <w:tcPr>
                  <w:tcW w:w="2947" w:type="dxa"/>
                  <w:noWrap w:val="0"/>
                  <w:vAlign w:val="center"/>
                </w:tcPr>
                <w:p>
                  <w:pPr>
                    <w:adjustRightInd w:val="0"/>
                    <w:snapToGrid w:val="0"/>
                    <w:spacing w:line="360" w:lineRule="exact"/>
                    <w:jc w:val="center"/>
                    <w:rPr>
                      <w:rFonts w:hint="default" w:eastAsia="宋体"/>
                      <w:color w:val="auto"/>
                      <w:szCs w:val="21"/>
                      <w:lang w:val="en-US" w:eastAsia="zh-CN"/>
                    </w:rPr>
                  </w:pPr>
                  <w:r>
                    <w:rPr>
                      <w:rFonts w:hint="eastAsia"/>
                      <w:color w:val="auto"/>
                      <w:szCs w:val="21"/>
                      <w:lang w:val="en-US" w:eastAsia="zh-CN"/>
                    </w:rPr>
                    <w:t>位于生活区与填埋区场内运输道路中段，配套建设1个20m</w:t>
                  </w:r>
                  <w:r>
                    <w:rPr>
                      <w:rFonts w:hint="eastAsia"/>
                      <w:color w:val="auto"/>
                      <w:szCs w:val="21"/>
                      <w:vertAlign w:val="superscript"/>
                      <w:lang w:val="en-US" w:eastAsia="zh-CN"/>
                    </w:rPr>
                    <w:t>3</w:t>
                  </w:r>
                  <w:r>
                    <w:rPr>
                      <w:rFonts w:hint="eastAsia"/>
                      <w:color w:val="auto"/>
                      <w:szCs w:val="21"/>
                      <w:lang w:val="en-US" w:eastAsia="zh-CN"/>
                    </w:rPr>
                    <w:t>沉淀池</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restart"/>
                  <w:noWrap w:val="0"/>
                  <w:vAlign w:val="center"/>
                </w:tcPr>
                <w:p>
                  <w:pPr>
                    <w:adjustRightInd w:val="0"/>
                    <w:snapToGrid w:val="0"/>
                    <w:spacing w:line="360" w:lineRule="exact"/>
                    <w:jc w:val="center"/>
                    <w:rPr>
                      <w:szCs w:val="21"/>
                    </w:rPr>
                  </w:pPr>
                  <w:r>
                    <w:rPr>
                      <w:rFonts w:hint="eastAsia"/>
                      <w:szCs w:val="21"/>
                    </w:rPr>
                    <w:t>公用工程</w:t>
                  </w:r>
                </w:p>
              </w:tc>
              <w:tc>
                <w:tcPr>
                  <w:tcW w:w="1926" w:type="dxa"/>
                  <w:gridSpan w:val="3"/>
                  <w:noWrap w:val="0"/>
                  <w:vAlign w:val="center"/>
                </w:tcPr>
                <w:p>
                  <w:pPr>
                    <w:adjustRightInd w:val="0"/>
                    <w:snapToGrid w:val="0"/>
                    <w:spacing w:line="256" w:lineRule="exact"/>
                    <w:jc w:val="center"/>
                    <w:rPr>
                      <w:szCs w:val="21"/>
                    </w:rPr>
                  </w:pPr>
                  <w:r>
                    <w:rPr>
                      <w:rFonts w:hint="eastAsia"/>
                      <w:szCs w:val="21"/>
                    </w:rPr>
                    <w:t>供水</w:t>
                  </w:r>
                </w:p>
              </w:tc>
              <w:tc>
                <w:tcPr>
                  <w:tcW w:w="2947" w:type="dxa"/>
                  <w:noWrap w:val="0"/>
                  <w:vAlign w:val="center"/>
                </w:tcPr>
                <w:p>
                  <w:pPr>
                    <w:adjustRightInd w:val="0"/>
                    <w:snapToGrid w:val="0"/>
                    <w:spacing w:line="256" w:lineRule="exact"/>
                    <w:jc w:val="center"/>
                    <w:rPr>
                      <w:rFonts w:hint="eastAsia" w:eastAsia="宋体"/>
                      <w:szCs w:val="21"/>
                      <w:lang w:eastAsia="zh-CN"/>
                    </w:rPr>
                  </w:pPr>
                  <w:r>
                    <w:rPr>
                      <w:rFonts w:hint="eastAsia"/>
                      <w:lang w:val="en-US" w:eastAsia="zh-CN"/>
                    </w:rPr>
                    <w:t>井水</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szCs w:val="21"/>
                    </w:rPr>
                  </w:pPr>
                  <w:r>
                    <w:rPr>
                      <w:rFonts w:hint="eastAsia"/>
                      <w:szCs w:val="21"/>
                    </w:rPr>
                    <w:t>供电</w:t>
                  </w:r>
                </w:p>
              </w:tc>
              <w:tc>
                <w:tcPr>
                  <w:tcW w:w="2947" w:type="dxa"/>
                  <w:noWrap w:val="0"/>
                  <w:vAlign w:val="center"/>
                </w:tcPr>
                <w:p>
                  <w:pPr>
                    <w:adjustRightInd w:val="0"/>
                    <w:snapToGrid w:val="0"/>
                    <w:spacing w:line="256" w:lineRule="exact"/>
                    <w:jc w:val="center"/>
                    <w:rPr>
                      <w:szCs w:val="21"/>
                    </w:rPr>
                  </w:pPr>
                  <w:r>
                    <w:rPr>
                      <w:rFonts w:hint="eastAsia"/>
                    </w:rPr>
                    <w:t>附近国家电网</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eastAsia" w:eastAsia="宋体"/>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782" w:type="dxa"/>
                  <w:vMerge w:val="continue"/>
                  <w:noWrap w:val="0"/>
                  <w:vAlign w:val="center"/>
                </w:tcPr>
                <w:p>
                  <w:pPr>
                    <w:adjustRightInd w:val="0"/>
                    <w:snapToGrid w:val="0"/>
                    <w:spacing w:line="360" w:lineRule="exact"/>
                    <w:jc w:val="center"/>
                    <w:rPr>
                      <w:szCs w:val="21"/>
                    </w:rPr>
                  </w:pPr>
                </w:p>
              </w:tc>
              <w:tc>
                <w:tcPr>
                  <w:tcW w:w="1926" w:type="dxa"/>
                  <w:gridSpan w:val="3"/>
                  <w:noWrap w:val="0"/>
                  <w:vAlign w:val="center"/>
                </w:tcPr>
                <w:p>
                  <w:pPr>
                    <w:adjustRightInd w:val="0"/>
                    <w:snapToGrid w:val="0"/>
                    <w:spacing w:line="256" w:lineRule="exact"/>
                    <w:jc w:val="center"/>
                    <w:rPr>
                      <w:szCs w:val="21"/>
                    </w:rPr>
                  </w:pPr>
                  <w:r>
                    <w:rPr>
                      <w:rFonts w:hint="eastAsia"/>
                      <w:szCs w:val="21"/>
                    </w:rPr>
                    <w:t>排水</w:t>
                  </w:r>
                </w:p>
              </w:tc>
              <w:tc>
                <w:tcPr>
                  <w:tcW w:w="2947" w:type="dxa"/>
                  <w:noWrap w:val="0"/>
                  <w:vAlign w:val="center"/>
                </w:tcPr>
                <w:p>
                  <w:pPr>
                    <w:adjustRightInd w:val="0"/>
                    <w:snapToGrid w:val="0"/>
                    <w:spacing w:line="256" w:lineRule="exact"/>
                    <w:jc w:val="center"/>
                    <w:rPr>
                      <w:rFonts w:hint="default" w:eastAsia="宋体"/>
                      <w:szCs w:val="21"/>
                      <w:lang w:val="en-US" w:eastAsia="zh-CN"/>
                    </w:rPr>
                  </w:pPr>
                  <w:r>
                    <w:t>雨污分流，</w:t>
                  </w:r>
                  <w:r>
                    <w:rPr>
                      <w:rFonts w:hint="eastAsia"/>
                      <w:lang w:val="en-US" w:eastAsia="zh-CN"/>
                    </w:rPr>
                    <w:t>生活区雨水经场区雨水沟导入护佛路道路雨水沟，</w:t>
                  </w:r>
                  <w:r>
                    <w:rPr>
                      <w:rFonts w:hint="eastAsia" w:ascii="Times New Roman" w:hAnsi="Times New Roman" w:eastAsia="宋体" w:cs="Times New Roman"/>
                      <w:b w:val="0"/>
                      <w:bCs w:val="0"/>
                      <w:sz w:val="21"/>
                      <w:szCs w:val="21"/>
                      <w:highlight w:val="none"/>
                      <w:vertAlign w:val="baseline"/>
                      <w:lang w:val="en-US" w:eastAsia="zh-CN"/>
                    </w:rPr>
                    <w:t>填埋场两侧设置截水沟、堆放平台内侧排水沟以及渣场内部排水盲沟，盲沟设计尺寸为1.0m×1.0m，填筑透水性强的天然砂砾，外包反滤土工布，雨水经排水系统作用进入沉砂池，雨水经沉淀处理后用于厂区洒水降尘</w:t>
                  </w:r>
                  <w:r>
                    <w:rPr>
                      <w:rFonts w:hint="eastAsia"/>
                    </w:rPr>
                    <w:t>；</w:t>
                  </w:r>
                  <w:r>
                    <w:rPr>
                      <w:rFonts w:hint="eastAsia"/>
                      <w:lang w:val="en-US" w:eastAsia="zh-CN"/>
                    </w:rPr>
                    <w:t>喷雾管网用水、堆场扬尘用水、道路降尘用水全部蒸发；喷淋废水经沉淀池+絮凝剂处置后回用；洗车废水经沉淀池处置后回用；</w:t>
                  </w:r>
                  <w:r>
                    <w:rPr>
                      <w:rFonts w:hint="eastAsia"/>
                    </w:rPr>
                    <w:t>餐饮</w:t>
                  </w:r>
                  <w:r>
                    <w:t>废水经隔油池</w:t>
                  </w:r>
                  <w:r>
                    <w:rPr>
                      <w:rFonts w:hint="eastAsia"/>
                      <w:lang w:eastAsia="zh-CN"/>
                    </w:rPr>
                    <w:t>（</w:t>
                  </w:r>
                  <w:r>
                    <w:rPr>
                      <w:rFonts w:hint="eastAsia"/>
                      <w:lang w:val="en-US" w:eastAsia="zh-CN"/>
                    </w:rPr>
                    <w:t>1个，5m</w:t>
                  </w:r>
                  <w:r>
                    <w:rPr>
                      <w:rFonts w:hint="eastAsia"/>
                      <w:vertAlign w:val="superscript"/>
                      <w:lang w:val="en-US" w:eastAsia="zh-CN"/>
                    </w:rPr>
                    <w:t>3</w:t>
                  </w:r>
                  <w:r>
                    <w:rPr>
                      <w:rFonts w:hint="eastAsia"/>
                      <w:lang w:eastAsia="zh-CN"/>
                    </w:rPr>
                    <w:t>）</w:t>
                  </w:r>
                  <w:r>
                    <w:t>处理后与</w:t>
                  </w:r>
                  <w:r>
                    <w:rPr>
                      <w:rFonts w:hint="eastAsia"/>
                    </w:rPr>
                    <w:t>生活污水</w:t>
                  </w:r>
                  <w:r>
                    <w:t>一并进入</w:t>
                  </w:r>
                  <w:r>
                    <w:rPr>
                      <w:rFonts w:hint="eastAsia"/>
                      <w:lang w:val="en-US" w:eastAsia="zh-CN"/>
                    </w:rPr>
                    <w:t>化粪池</w:t>
                  </w:r>
                  <w:r>
                    <w:rPr>
                      <w:rFonts w:hint="eastAsia"/>
                    </w:rPr>
                    <w:t>（1个，</w:t>
                  </w:r>
                  <w:r>
                    <w:rPr>
                      <w:rFonts w:hint="eastAsia"/>
                      <w:lang w:val="en-US" w:eastAsia="zh-CN"/>
                    </w:rPr>
                    <w:t>1</w:t>
                  </w:r>
                  <w:r>
                    <w:rPr>
                      <w:rFonts w:hint="eastAsia"/>
                    </w:rPr>
                    <w:t>0m</w:t>
                  </w:r>
                  <w:r>
                    <w:rPr>
                      <w:rFonts w:hint="eastAsia"/>
                      <w:vertAlign w:val="superscript"/>
                    </w:rPr>
                    <w:t>3</w:t>
                  </w:r>
                  <w:r>
                    <w:rPr>
                      <w:rFonts w:hint="eastAsia"/>
                    </w:rPr>
                    <w:t>）</w:t>
                  </w:r>
                  <w:r>
                    <w:t>处理后用于</w:t>
                  </w:r>
                  <w:r>
                    <w:rPr>
                      <w:rFonts w:hint="eastAsia"/>
                    </w:rPr>
                    <w:t>周边</w:t>
                  </w:r>
                  <w:r>
                    <w:rPr>
                      <w:rFonts w:hint="eastAsia"/>
                      <w:lang w:val="en-US" w:eastAsia="zh-CN"/>
                    </w:rPr>
                    <w:t>土地施肥</w:t>
                  </w:r>
                </w:p>
              </w:tc>
              <w:tc>
                <w:tcPr>
                  <w:tcW w:w="1054" w:type="dxa"/>
                  <w:vMerge w:val="continue"/>
                  <w:noWrap w:val="0"/>
                  <w:vAlign w:val="center"/>
                </w:tcPr>
                <w:p>
                  <w:pPr>
                    <w:adjustRightInd w:val="0"/>
                    <w:snapToGrid w:val="0"/>
                    <w:spacing w:line="360" w:lineRule="exact"/>
                    <w:jc w:val="center"/>
                    <w:rPr>
                      <w:szCs w:val="21"/>
                    </w:rPr>
                  </w:pPr>
                </w:p>
              </w:tc>
              <w:tc>
                <w:tcPr>
                  <w:tcW w:w="919" w:type="dxa"/>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2" w:type="dxa"/>
                  <w:vMerge w:val="restart"/>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环保工程</w:t>
                  </w:r>
                </w:p>
              </w:tc>
              <w:tc>
                <w:tcPr>
                  <w:tcW w:w="963" w:type="dxa"/>
                  <w:gridSpan w:val="2"/>
                  <w:vMerge w:val="restart"/>
                  <w:noWrap w:val="0"/>
                  <w:vAlign w:val="center"/>
                </w:tcPr>
                <w:p>
                  <w:pPr>
                    <w:adjustRightInd w:val="0"/>
                    <w:snapToGrid w:val="0"/>
                    <w:spacing w:line="256" w:lineRule="exact"/>
                    <w:jc w:val="center"/>
                    <w:rPr>
                      <w:rFonts w:hint="eastAsia" w:eastAsia="宋体"/>
                      <w:szCs w:val="21"/>
                      <w:lang w:val="en-US" w:eastAsia="zh-CN"/>
                    </w:rPr>
                  </w:pPr>
                  <w:r>
                    <w:rPr>
                      <w:rFonts w:hint="eastAsia"/>
                      <w:szCs w:val="21"/>
                      <w:lang w:val="en-US" w:eastAsia="zh-CN"/>
                    </w:rPr>
                    <w:t>废水</w:t>
                  </w:r>
                </w:p>
              </w:tc>
              <w:tc>
                <w:tcPr>
                  <w:tcW w:w="963" w:type="dxa"/>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雨水</w:t>
                  </w:r>
                </w:p>
              </w:tc>
              <w:tc>
                <w:tcPr>
                  <w:tcW w:w="2947" w:type="dxa"/>
                  <w:noWrap w:val="0"/>
                  <w:vAlign w:val="center"/>
                </w:tcPr>
                <w:p>
                  <w:pPr>
                    <w:adjustRightInd w:val="0"/>
                    <w:snapToGrid w:val="0"/>
                    <w:spacing w:line="256" w:lineRule="exact"/>
                    <w:jc w:val="center"/>
                  </w:pPr>
                  <w:r>
                    <w:t>雨污分流，</w:t>
                  </w:r>
                  <w:r>
                    <w:rPr>
                      <w:rFonts w:hint="eastAsia"/>
                      <w:lang w:val="en-US" w:eastAsia="zh-CN"/>
                    </w:rPr>
                    <w:t>生活区雨水经场区雨水沟导入护佛路道路雨水沟，</w:t>
                  </w:r>
                  <w:r>
                    <w:rPr>
                      <w:rFonts w:hint="eastAsia" w:ascii="Times New Roman" w:hAnsi="Times New Roman" w:eastAsia="宋体" w:cs="Times New Roman"/>
                      <w:b w:val="0"/>
                      <w:bCs w:val="0"/>
                      <w:sz w:val="21"/>
                      <w:szCs w:val="21"/>
                      <w:highlight w:val="none"/>
                      <w:vertAlign w:val="baseline"/>
                      <w:lang w:val="en-US" w:eastAsia="zh-CN"/>
                    </w:rPr>
                    <w:t>填埋场两侧设置截水沟、堆放平台内侧排水沟以及渣场内部排水盲沟，盲沟设计尺寸为1.0m×1.0m，填筑透水性强的天然砂砾，外包反滤土工布，雨水经排水系统作用进入沉砂池，雨水经沉淀处理后用于厂区洒水降尘</w:t>
                  </w:r>
                  <w:r>
                    <w:rPr>
                      <w:rFonts w:hint="eastAsia"/>
                      <w:lang w:val="en-US" w:eastAsia="zh-CN"/>
                    </w:rPr>
                    <w:t>；喷淋废水经沉淀池+絮凝剂处置后回用</w:t>
                  </w:r>
                </w:p>
              </w:tc>
              <w:tc>
                <w:tcPr>
                  <w:tcW w:w="1054" w:type="dxa"/>
                  <w:vMerge w:val="continue"/>
                  <w:noWrap w:val="0"/>
                  <w:vAlign w:val="center"/>
                </w:tcPr>
                <w:p>
                  <w:pPr>
                    <w:adjustRightInd w:val="0"/>
                    <w:snapToGrid w:val="0"/>
                    <w:spacing w:line="360" w:lineRule="exact"/>
                    <w:jc w:val="center"/>
                    <w:rPr>
                      <w:szCs w:val="21"/>
                    </w:rPr>
                  </w:pPr>
                </w:p>
              </w:tc>
              <w:tc>
                <w:tcPr>
                  <w:tcW w:w="919" w:type="dxa"/>
                  <w:vMerge w:val="restart"/>
                  <w:noWrap w:val="0"/>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default"/>
                      <w:szCs w:val="21"/>
                      <w:lang w:val="en-US" w:eastAsia="zh-CN"/>
                    </w:rPr>
                  </w:pPr>
                  <w:r>
                    <w:rPr>
                      <w:rFonts w:hint="eastAsia"/>
                      <w:lang w:val="en-US" w:eastAsia="zh-CN"/>
                    </w:rPr>
                    <w:t>喷雾管网用水</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lang w:val="en-US" w:eastAsia="zh-CN"/>
                    </w:rPr>
                    <w:t>全部蒸发</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eastAsia"/>
                      <w:szCs w:val="21"/>
                      <w:lang w:val="en-US" w:eastAsia="zh-CN"/>
                    </w:rPr>
                  </w:pPr>
                  <w:r>
                    <w:rPr>
                      <w:rFonts w:hint="eastAsia"/>
                      <w:lang w:val="en-US" w:eastAsia="zh-CN"/>
                    </w:rPr>
                    <w:t>堆场扬尘用水</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lang w:val="en-US" w:eastAsia="zh-CN"/>
                    </w:rPr>
                    <w:t>全部蒸发</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eastAsia"/>
                      <w:szCs w:val="21"/>
                      <w:lang w:val="en-US" w:eastAsia="zh-CN"/>
                    </w:rPr>
                  </w:pPr>
                  <w:r>
                    <w:rPr>
                      <w:rFonts w:hint="eastAsia"/>
                      <w:lang w:val="en-US" w:eastAsia="zh-CN"/>
                    </w:rPr>
                    <w:t>道路降尘用水</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lang w:val="en-US" w:eastAsia="zh-CN"/>
                    </w:rPr>
                    <w:t>全部蒸发</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eastAsia"/>
                      <w:lang w:val="en-US" w:eastAsia="zh-CN"/>
                    </w:rPr>
                  </w:pPr>
                  <w:r>
                    <w:rPr>
                      <w:rFonts w:hint="eastAsia"/>
                      <w:lang w:val="en-US" w:eastAsia="zh-CN"/>
                    </w:rPr>
                    <w:t>喷淋废水</w:t>
                  </w:r>
                </w:p>
              </w:tc>
              <w:tc>
                <w:tcPr>
                  <w:tcW w:w="2947" w:type="dxa"/>
                  <w:noWrap w:val="0"/>
                  <w:vAlign w:val="center"/>
                </w:tcPr>
                <w:p>
                  <w:pPr>
                    <w:adjustRightInd w:val="0"/>
                    <w:snapToGrid w:val="0"/>
                    <w:spacing w:line="256" w:lineRule="exact"/>
                    <w:jc w:val="center"/>
                    <w:rPr>
                      <w:rFonts w:hint="eastAsia"/>
                      <w:lang w:val="en-US" w:eastAsia="zh-CN"/>
                    </w:rPr>
                  </w:pPr>
                  <w:r>
                    <w:rPr>
                      <w:rFonts w:hint="eastAsia"/>
                      <w:lang w:val="en-US" w:eastAsia="zh-CN"/>
                    </w:rPr>
                    <w:t>沉淀池+絮凝剂处置后回用</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default"/>
                      <w:lang w:val="en-US" w:eastAsia="zh-CN"/>
                    </w:rPr>
                  </w:pPr>
                  <w:r>
                    <w:rPr>
                      <w:rFonts w:hint="eastAsia"/>
                      <w:lang w:val="en-US" w:eastAsia="zh-CN"/>
                    </w:rPr>
                    <w:t>洗车废水</w:t>
                  </w:r>
                </w:p>
              </w:tc>
              <w:tc>
                <w:tcPr>
                  <w:tcW w:w="2947" w:type="dxa"/>
                  <w:noWrap w:val="0"/>
                  <w:vAlign w:val="center"/>
                </w:tcPr>
                <w:p>
                  <w:pPr>
                    <w:adjustRightInd w:val="0"/>
                    <w:snapToGrid w:val="0"/>
                    <w:spacing w:line="256" w:lineRule="exact"/>
                    <w:jc w:val="center"/>
                    <w:rPr>
                      <w:rFonts w:hint="default"/>
                      <w:lang w:val="en-US" w:eastAsia="zh-CN"/>
                    </w:rPr>
                  </w:pPr>
                  <w:r>
                    <w:rPr>
                      <w:rFonts w:hint="eastAsia"/>
                      <w:lang w:val="en-US" w:eastAsia="zh-CN"/>
                    </w:rPr>
                    <w:t>沉淀池处置后回用</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963" w:type="dxa"/>
                  <w:gridSpan w:val="2"/>
                  <w:vMerge w:val="continue"/>
                  <w:noWrap w:val="0"/>
                  <w:vAlign w:val="center"/>
                </w:tcPr>
                <w:p>
                  <w:pPr>
                    <w:adjustRightInd w:val="0"/>
                    <w:snapToGrid w:val="0"/>
                    <w:spacing w:line="256" w:lineRule="exact"/>
                    <w:jc w:val="center"/>
                    <w:rPr>
                      <w:rFonts w:hint="eastAsia"/>
                      <w:szCs w:val="21"/>
                      <w:lang w:val="en-US" w:eastAsia="zh-CN"/>
                    </w:rPr>
                  </w:pPr>
                </w:p>
              </w:tc>
              <w:tc>
                <w:tcPr>
                  <w:tcW w:w="963" w:type="dxa"/>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生活污水</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rPr>
                    <w:t>餐饮</w:t>
                  </w:r>
                  <w:r>
                    <w:t>废水经隔油池</w:t>
                  </w:r>
                  <w:r>
                    <w:rPr>
                      <w:rFonts w:hint="eastAsia"/>
                      <w:lang w:eastAsia="zh-CN"/>
                    </w:rPr>
                    <w:t>（</w:t>
                  </w:r>
                  <w:r>
                    <w:rPr>
                      <w:rFonts w:hint="eastAsia"/>
                      <w:lang w:val="en-US" w:eastAsia="zh-CN"/>
                    </w:rPr>
                    <w:t>1个，5m</w:t>
                  </w:r>
                  <w:r>
                    <w:rPr>
                      <w:rFonts w:hint="eastAsia"/>
                      <w:vertAlign w:val="superscript"/>
                      <w:lang w:val="en-US" w:eastAsia="zh-CN"/>
                    </w:rPr>
                    <w:t>3</w:t>
                  </w:r>
                  <w:r>
                    <w:rPr>
                      <w:rFonts w:hint="eastAsia"/>
                      <w:lang w:eastAsia="zh-CN"/>
                    </w:rPr>
                    <w:t>）</w:t>
                  </w:r>
                  <w:r>
                    <w:t>处理后与</w:t>
                  </w:r>
                  <w:r>
                    <w:rPr>
                      <w:rFonts w:hint="eastAsia"/>
                    </w:rPr>
                    <w:t>生活污水</w:t>
                  </w:r>
                  <w:r>
                    <w:t>一并进入</w:t>
                  </w:r>
                  <w:r>
                    <w:rPr>
                      <w:rFonts w:hint="eastAsia"/>
                      <w:lang w:val="en-US" w:eastAsia="zh-CN"/>
                    </w:rPr>
                    <w:t>化粪池</w:t>
                  </w:r>
                  <w:r>
                    <w:rPr>
                      <w:rFonts w:hint="eastAsia"/>
                    </w:rPr>
                    <w:t>（1个，</w:t>
                  </w:r>
                  <w:r>
                    <w:rPr>
                      <w:rFonts w:hint="eastAsia"/>
                      <w:lang w:val="en-US" w:eastAsia="zh-CN"/>
                    </w:rPr>
                    <w:t>1</w:t>
                  </w:r>
                  <w:r>
                    <w:rPr>
                      <w:rFonts w:hint="eastAsia"/>
                    </w:rPr>
                    <w:t>0m</w:t>
                  </w:r>
                  <w:r>
                    <w:rPr>
                      <w:rFonts w:hint="eastAsia"/>
                      <w:vertAlign w:val="superscript"/>
                    </w:rPr>
                    <w:t>3</w:t>
                  </w:r>
                  <w:r>
                    <w:rPr>
                      <w:rFonts w:hint="eastAsia"/>
                    </w:rPr>
                    <w:t>）</w:t>
                  </w:r>
                  <w:r>
                    <w:t>处理后用于</w:t>
                  </w:r>
                  <w:r>
                    <w:rPr>
                      <w:rFonts w:hint="eastAsia"/>
                    </w:rPr>
                    <w:t>周边</w:t>
                  </w:r>
                  <w:r>
                    <w:rPr>
                      <w:rFonts w:hint="eastAsia"/>
                      <w:lang w:val="en-US" w:eastAsia="zh-CN"/>
                    </w:rPr>
                    <w:t>土地施肥</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2" w:type="dxa"/>
                  <w:vMerge w:val="continue"/>
                  <w:noWrap w:val="0"/>
                  <w:vAlign w:val="center"/>
                </w:tcPr>
                <w:p>
                  <w:pPr>
                    <w:adjustRightInd w:val="0"/>
                    <w:snapToGrid w:val="0"/>
                    <w:spacing w:line="360" w:lineRule="exact"/>
                    <w:jc w:val="center"/>
                    <w:rPr>
                      <w:rFonts w:hint="eastAsia"/>
                      <w:szCs w:val="21"/>
                      <w:lang w:val="en-US" w:eastAsia="zh-CN"/>
                    </w:rPr>
                  </w:pPr>
                </w:p>
              </w:tc>
              <w:tc>
                <w:tcPr>
                  <w:tcW w:w="426" w:type="dxa"/>
                  <w:vMerge w:val="restart"/>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废气</w:t>
                  </w: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破碎生产区</w:t>
                  </w:r>
                </w:p>
              </w:tc>
              <w:tc>
                <w:tcPr>
                  <w:tcW w:w="2947" w:type="dxa"/>
                  <w:noWrap w:val="0"/>
                  <w:vAlign w:val="center"/>
                </w:tcPr>
                <w:p>
                  <w:pPr>
                    <w:adjustRightInd w:val="0"/>
                    <w:snapToGrid w:val="0"/>
                    <w:spacing w:line="256" w:lineRule="exact"/>
                    <w:jc w:val="center"/>
                    <w:rPr>
                      <w:rFonts w:hint="default" w:eastAsia="宋体"/>
                      <w:lang w:val="en-US" w:eastAsia="zh-CN"/>
                    </w:rPr>
                  </w:pPr>
                  <w:r>
                    <w:rPr>
                      <w:rFonts w:hint="eastAsia"/>
                      <w:lang w:val="en-US" w:eastAsia="zh-CN"/>
                    </w:rPr>
                    <w:t>生产厂房密闭，厂房四周及破碎设备上方设置喷淋设备。</w:t>
                  </w:r>
                </w:p>
              </w:tc>
              <w:tc>
                <w:tcPr>
                  <w:tcW w:w="1054" w:type="dxa"/>
                  <w:vMerge w:val="continue"/>
                  <w:noWrap w:val="0"/>
                  <w:vAlign w:val="center"/>
                </w:tcPr>
                <w:p>
                  <w:pPr>
                    <w:adjustRightInd w:val="0"/>
                    <w:snapToGrid w:val="0"/>
                    <w:spacing w:line="360" w:lineRule="exact"/>
                    <w:jc w:val="center"/>
                    <w:rPr>
                      <w:szCs w:val="21"/>
                    </w:rPr>
                  </w:pPr>
                </w:p>
              </w:tc>
              <w:tc>
                <w:tcPr>
                  <w:tcW w:w="919" w:type="dxa"/>
                  <w:vMerge w:val="restart"/>
                  <w:noWrap w:val="0"/>
                  <w:vAlign w:val="center"/>
                </w:tcPr>
                <w:p>
                  <w:pPr>
                    <w:adjustRightInd w:val="0"/>
                    <w:snapToGrid w:val="0"/>
                    <w:spacing w:line="360" w:lineRule="exact"/>
                    <w:jc w:val="center"/>
                    <w:rPr>
                      <w:rFonts w:hint="default"/>
                      <w:szCs w:val="21"/>
                      <w:lang w:val="en-US" w:eastAsia="zh-CN"/>
                    </w:rPr>
                  </w:pPr>
                  <w:r>
                    <w:rPr>
                      <w:rFonts w:hint="eastAsia"/>
                      <w:szCs w:val="21"/>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426" w:type="dxa"/>
                  <w:vMerge w:val="continue"/>
                  <w:noWrap w:val="0"/>
                  <w:vAlign w:val="center"/>
                </w:tcPr>
                <w:p>
                  <w:pPr>
                    <w:adjustRightInd w:val="0"/>
                    <w:snapToGrid w:val="0"/>
                    <w:spacing w:line="256" w:lineRule="exact"/>
                    <w:jc w:val="center"/>
                    <w:rPr>
                      <w:rFonts w:hint="eastAsia"/>
                      <w:szCs w:val="21"/>
                      <w:lang w:val="en-US" w:eastAsia="zh-CN"/>
                    </w:rP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混凝土块堆场</w:t>
                  </w:r>
                </w:p>
              </w:tc>
              <w:tc>
                <w:tcPr>
                  <w:tcW w:w="2947" w:type="dxa"/>
                  <w:vMerge w:val="restart"/>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洒水降尘</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426" w:type="dxa"/>
                  <w:vMerge w:val="continue"/>
                  <w:noWrap w:val="0"/>
                  <w:vAlign w:val="center"/>
                </w:tcPr>
                <w:p>
                  <w:pPr>
                    <w:adjustRightInd w:val="0"/>
                    <w:snapToGrid w:val="0"/>
                    <w:spacing w:line="256" w:lineRule="exact"/>
                    <w:jc w:val="center"/>
                    <w:rPr>
                      <w:rFonts w:hint="eastAsia"/>
                      <w:szCs w:val="21"/>
                      <w:lang w:val="en-US" w:eastAsia="zh-CN"/>
                    </w:rP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成品骨料堆场</w:t>
                  </w:r>
                </w:p>
              </w:tc>
              <w:tc>
                <w:tcPr>
                  <w:tcW w:w="2947" w:type="dxa"/>
                  <w:vMerge w:val="continue"/>
                  <w:noWrap w:val="0"/>
                  <w:vAlign w:val="center"/>
                </w:tcPr>
                <w:p>
                  <w:pPr>
                    <w:adjustRightInd w:val="0"/>
                    <w:snapToGrid w:val="0"/>
                    <w:spacing w:line="256" w:lineRule="exact"/>
                    <w:jc w:val="center"/>
                    <w:rPr>
                      <w:rFonts w:hint="eastAsia"/>
                      <w:szCs w:val="21"/>
                      <w:lang w:val="en-US" w:eastAsia="zh-CN"/>
                    </w:rPr>
                  </w:pP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1926" w:type="dxa"/>
                  <w:gridSpan w:val="3"/>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设备噪声</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szCs w:val="21"/>
                    </w:rPr>
                    <w:t>破碎生产线设置厂房；加强管理，加强运输管理，禁止车辆超速和随意鸣笛，禁止野蛮装卸，合理安排运输路线</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256" w:lineRule="exact"/>
                    <w:jc w:val="center"/>
                    <w:rPr>
                      <w:rFonts w:hint="eastAsia"/>
                      <w:szCs w:val="21"/>
                      <w:lang w:val="en-US" w:eastAsia="zh-CN"/>
                    </w:rPr>
                  </w:pPr>
                </w:p>
              </w:tc>
              <w:tc>
                <w:tcPr>
                  <w:tcW w:w="426" w:type="dxa"/>
                  <w:vMerge w:val="restart"/>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固废</w:t>
                  </w: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化粪池底泥</w:t>
                  </w:r>
                </w:p>
              </w:tc>
              <w:tc>
                <w:tcPr>
                  <w:tcW w:w="2947" w:type="dxa"/>
                  <w:noWrap w:val="0"/>
                  <w:vAlign w:val="center"/>
                </w:tcPr>
                <w:p>
                  <w:pPr>
                    <w:adjustRightInd w:val="0"/>
                    <w:snapToGrid w:val="0"/>
                    <w:spacing w:line="256" w:lineRule="exact"/>
                    <w:jc w:val="center"/>
                    <w:rPr>
                      <w:rFonts w:hint="default"/>
                      <w:szCs w:val="21"/>
                      <w:lang w:val="en-US"/>
                    </w:rPr>
                  </w:pPr>
                  <w:r>
                    <w:rPr>
                      <w:rFonts w:hint="eastAsia"/>
                      <w:szCs w:val="21"/>
                      <w:lang w:val="en-US" w:eastAsia="zh-CN"/>
                    </w:rPr>
                    <w:t>定期清掏，底泥用于周边绿化施肥</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restart"/>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256" w:lineRule="exact"/>
                    <w:jc w:val="center"/>
                  </w:pPr>
                </w:p>
              </w:tc>
              <w:tc>
                <w:tcPr>
                  <w:tcW w:w="426" w:type="dxa"/>
                  <w:vMerge w:val="continue"/>
                  <w:noWrap w:val="0"/>
                  <w:vAlign w:val="center"/>
                </w:tcPr>
                <w:p>
                  <w:pPr>
                    <w:adjustRightInd w:val="0"/>
                    <w:snapToGrid w:val="0"/>
                    <w:spacing w:line="256" w:lineRule="exact"/>
                    <w:jc w:val="cente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沉淀池（碎石破碎）底泥</w:t>
                  </w:r>
                </w:p>
              </w:tc>
              <w:tc>
                <w:tcPr>
                  <w:tcW w:w="2947" w:type="dxa"/>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定期清掏，自然风干后填埋处置</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Merge w:val="continue"/>
                  <w:noWrap w:val="0"/>
                  <w:vAlign w:val="center"/>
                </w:tcPr>
                <w:p>
                  <w:pPr>
                    <w:adjustRightInd w:val="0"/>
                    <w:snapToGrid w:val="0"/>
                    <w:spacing w:line="256" w:lineRule="exact"/>
                    <w:jc w:val="center"/>
                  </w:pPr>
                </w:p>
              </w:tc>
              <w:tc>
                <w:tcPr>
                  <w:tcW w:w="426" w:type="dxa"/>
                  <w:vMerge w:val="continue"/>
                  <w:noWrap w:val="0"/>
                  <w:vAlign w:val="center"/>
                </w:tcPr>
                <w:p>
                  <w:pPr>
                    <w:adjustRightInd w:val="0"/>
                    <w:snapToGrid w:val="0"/>
                    <w:spacing w:line="256" w:lineRule="exact"/>
                    <w:jc w:val="cente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沉淀池（洗车槽）底泥</w:t>
                  </w:r>
                </w:p>
              </w:tc>
              <w:tc>
                <w:tcPr>
                  <w:tcW w:w="2947" w:type="dxa"/>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定期清掏，自然风干后填埋处置</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Merge w:val="continue"/>
                  <w:noWrap w:val="0"/>
                  <w:vAlign w:val="center"/>
                </w:tcPr>
                <w:p>
                  <w:pPr>
                    <w:adjustRightInd w:val="0"/>
                    <w:snapToGrid w:val="0"/>
                    <w:spacing w:line="256" w:lineRule="exact"/>
                    <w:jc w:val="center"/>
                  </w:pPr>
                </w:p>
              </w:tc>
              <w:tc>
                <w:tcPr>
                  <w:tcW w:w="426" w:type="dxa"/>
                  <w:vMerge w:val="continue"/>
                  <w:noWrap w:val="0"/>
                  <w:vAlign w:val="center"/>
                </w:tcPr>
                <w:p>
                  <w:pPr>
                    <w:adjustRightInd w:val="0"/>
                    <w:snapToGrid w:val="0"/>
                    <w:spacing w:line="256" w:lineRule="exact"/>
                    <w:jc w:val="cente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沉砂池底泥</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szCs w:val="21"/>
                      <w:lang w:val="en-US" w:eastAsia="zh-CN"/>
                    </w:rPr>
                    <w:t>定期清掏，自然风干后填埋处置</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Merge w:val="continue"/>
                  <w:noWrap w:val="0"/>
                  <w:vAlign w:val="center"/>
                </w:tcPr>
                <w:p>
                  <w:pPr>
                    <w:adjustRightInd w:val="0"/>
                    <w:snapToGrid w:val="0"/>
                    <w:spacing w:line="256" w:lineRule="exact"/>
                    <w:jc w:val="center"/>
                  </w:pPr>
                </w:p>
              </w:tc>
              <w:tc>
                <w:tcPr>
                  <w:tcW w:w="426" w:type="dxa"/>
                  <w:vMerge w:val="continue"/>
                  <w:noWrap w:val="0"/>
                  <w:vAlign w:val="center"/>
                </w:tcPr>
                <w:p>
                  <w:pPr>
                    <w:adjustRightInd w:val="0"/>
                    <w:snapToGrid w:val="0"/>
                    <w:spacing w:line="256" w:lineRule="exact"/>
                    <w:jc w:val="center"/>
                  </w:pPr>
                </w:p>
              </w:tc>
              <w:tc>
                <w:tcPr>
                  <w:tcW w:w="1500" w:type="dxa"/>
                  <w:gridSpan w:val="2"/>
                  <w:noWrap w:val="0"/>
                  <w:vAlign w:val="center"/>
                </w:tcPr>
                <w:p>
                  <w:pPr>
                    <w:adjustRightInd w:val="0"/>
                    <w:snapToGrid w:val="0"/>
                    <w:spacing w:line="256" w:lineRule="exact"/>
                    <w:jc w:val="center"/>
                    <w:rPr>
                      <w:rFonts w:hint="default"/>
                      <w:szCs w:val="21"/>
                      <w:lang w:val="en-US" w:eastAsia="zh-CN"/>
                    </w:rPr>
                  </w:pPr>
                  <w:r>
                    <w:rPr>
                      <w:rFonts w:hint="eastAsia"/>
                      <w:szCs w:val="21"/>
                      <w:lang w:val="en-US" w:eastAsia="zh-CN"/>
                    </w:rPr>
                    <w:t>生活垃圾</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szCs w:val="21"/>
                      <w:lang w:val="en-US" w:eastAsia="zh-CN"/>
                    </w:rPr>
                    <w:t>定期交由当地环卫系统处置</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Merge w:val="continue"/>
                  <w:noWrap w:val="0"/>
                  <w:vAlign w:val="center"/>
                </w:tcPr>
                <w:p>
                  <w:pPr>
                    <w:adjustRightInd w:val="0"/>
                    <w:snapToGrid w:val="0"/>
                    <w:spacing w:line="256" w:lineRule="exact"/>
                    <w:jc w:val="center"/>
                  </w:pPr>
                </w:p>
              </w:tc>
              <w:tc>
                <w:tcPr>
                  <w:tcW w:w="426" w:type="dxa"/>
                  <w:vMerge w:val="continue"/>
                  <w:noWrap w:val="0"/>
                  <w:vAlign w:val="center"/>
                </w:tcPr>
                <w:p>
                  <w:pPr>
                    <w:adjustRightInd w:val="0"/>
                    <w:snapToGrid w:val="0"/>
                    <w:spacing w:line="256" w:lineRule="exact"/>
                    <w:jc w:val="center"/>
                  </w:pPr>
                </w:p>
              </w:tc>
              <w:tc>
                <w:tcPr>
                  <w:tcW w:w="1500" w:type="dxa"/>
                  <w:gridSpan w:val="2"/>
                  <w:noWrap w:val="0"/>
                  <w:vAlign w:val="center"/>
                </w:tcPr>
                <w:p>
                  <w:pPr>
                    <w:adjustRightInd w:val="0"/>
                    <w:snapToGrid w:val="0"/>
                    <w:spacing w:line="256" w:lineRule="exact"/>
                    <w:jc w:val="center"/>
                    <w:rPr>
                      <w:rFonts w:hint="eastAsia"/>
                      <w:szCs w:val="21"/>
                      <w:lang w:val="en-US" w:eastAsia="zh-CN"/>
                    </w:rPr>
                  </w:pPr>
                  <w:r>
                    <w:rPr>
                      <w:rFonts w:hint="eastAsia"/>
                      <w:szCs w:val="21"/>
                      <w:lang w:val="en-US" w:eastAsia="zh-CN"/>
                    </w:rPr>
                    <w:t>废机油</w:t>
                  </w:r>
                </w:p>
              </w:tc>
              <w:tc>
                <w:tcPr>
                  <w:tcW w:w="2947" w:type="dxa"/>
                  <w:noWrap w:val="0"/>
                  <w:vAlign w:val="center"/>
                </w:tcPr>
                <w:p>
                  <w:pPr>
                    <w:adjustRightInd w:val="0"/>
                    <w:snapToGrid w:val="0"/>
                    <w:spacing w:line="256" w:lineRule="exact"/>
                    <w:jc w:val="center"/>
                    <w:rPr>
                      <w:rFonts w:hint="eastAsia"/>
                      <w:szCs w:val="21"/>
                      <w:lang w:val="en-US" w:eastAsia="zh-CN"/>
                    </w:rPr>
                  </w:pPr>
                  <w:r>
                    <w:rPr>
                      <w:rFonts w:hint="eastAsia"/>
                      <w:szCs w:val="21"/>
                      <w:lang w:val="en-US" w:eastAsia="zh-CN"/>
                    </w:rPr>
                    <w:t>维修人员打包带走，交由资质单位处置</w:t>
                  </w:r>
                </w:p>
              </w:tc>
              <w:tc>
                <w:tcPr>
                  <w:tcW w:w="1054" w:type="dxa"/>
                  <w:vMerge w:val="continue"/>
                  <w:noWrap w:val="0"/>
                  <w:vAlign w:val="center"/>
                </w:tcPr>
                <w:p>
                  <w:pPr>
                    <w:adjustRightInd w:val="0"/>
                    <w:snapToGrid w:val="0"/>
                    <w:spacing w:line="256" w:lineRule="exact"/>
                    <w:jc w:val="center"/>
                    <w:rPr>
                      <w:rFonts w:hint="eastAsia"/>
                      <w:szCs w:val="21"/>
                      <w:lang w:val="en-US" w:eastAsia="zh-CN"/>
                    </w:rPr>
                  </w:pPr>
                </w:p>
              </w:tc>
              <w:tc>
                <w:tcPr>
                  <w:tcW w:w="919" w:type="dxa"/>
                  <w:vMerge w:val="continue"/>
                  <w:noWrap w:val="0"/>
                  <w:vAlign w:val="center"/>
                </w:tcPr>
                <w:p>
                  <w:pPr>
                    <w:adjustRightInd w:val="0"/>
                    <w:snapToGrid w:val="0"/>
                    <w:spacing w:line="256" w:lineRule="exact"/>
                    <w:jc w:val="center"/>
                    <w:rPr>
                      <w:rFonts w:hint="eastAsia"/>
                      <w:szCs w:val="21"/>
                      <w:lang w:val="en-US" w:eastAsia="zh-CN"/>
                    </w:rPr>
                  </w:pPr>
                </w:p>
              </w:tc>
            </w:tr>
          </w:tbl>
          <w:p>
            <w:pPr>
              <w:widowControl/>
              <w:adjustRightInd w:val="0"/>
              <w:snapToGrid w:val="0"/>
              <w:spacing w:line="360" w:lineRule="auto"/>
              <w:ind w:firstLine="482" w:firstLineChars="200"/>
              <w:jc w:val="left"/>
              <w:rPr>
                <w:rFonts w:hint="eastAsia" w:ascii="Times New Roman" w:hAnsi="Times New Roman" w:eastAsia="宋体" w:cs="Times New Roman"/>
                <w:b/>
                <w:bCs/>
                <w:sz w:val="24"/>
                <w:lang w:val="en-US" w:eastAsia="zh-CN"/>
              </w:rPr>
            </w:pPr>
          </w:p>
          <w:p>
            <w:pPr>
              <w:widowControl/>
              <w:adjustRightInd w:val="0"/>
              <w:snapToGrid w:val="0"/>
              <w:spacing w:line="360" w:lineRule="auto"/>
              <w:ind w:firstLine="482" w:firstLineChars="200"/>
              <w:jc w:val="left"/>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4、主要生产设施及设施参数</w:t>
            </w:r>
          </w:p>
          <w:p>
            <w:pPr>
              <w:widowControl/>
              <w:adjustRightInd w:val="0"/>
              <w:snapToGrid w:val="0"/>
              <w:spacing w:line="360" w:lineRule="auto"/>
              <w:ind w:firstLine="422" w:firstLineChars="200"/>
              <w:jc w:val="center"/>
              <w:rPr>
                <w:rFonts w:hint="eastAsia" w:ascii="Times New Roman" w:hAnsi="Times New Roman" w:eastAsia="宋体" w:cs="Times New Roman"/>
                <w:sz w:val="24"/>
              </w:rPr>
            </w:pPr>
            <w:r>
              <w:rPr>
                <w:b/>
                <w:sz w:val="21"/>
                <w:szCs w:val="21"/>
                <w:highlight w:val="none"/>
              </w:rPr>
              <w:t>表2-3  本项目主要生产</w:t>
            </w:r>
            <w:r>
              <w:rPr>
                <w:rFonts w:hint="eastAsia"/>
                <w:b/>
                <w:sz w:val="21"/>
                <w:szCs w:val="21"/>
                <w:highlight w:val="none"/>
              </w:rPr>
              <w:t>设备</w:t>
            </w:r>
            <w:r>
              <w:rPr>
                <w:b/>
                <w:sz w:val="21"/>
                <w:szCs w:val="21"/>
                <w:highlight w:val="none"/>
              </w:rPr>
              <w:t>及参数</w:t>
            </w:r>
          </w:p>
          <w:tbl>
            <w:tblPr>
              <w:tblStyle w:val="39"/>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7"/>
              <w:gridCol w:w="2840"/>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序号</w:t>
                  </w:r>
                </w:p>
              </w:tc>
              <w:tc>
                <w:tcPr>
                  <w:tcW w:w="2237" w:type="dxa"/>
                  <w:noWrap w:val="0"/>
                  <w:vAlign w:val="center"/>
                </w:tcPr>
                <w:p>
                  <w:pPr>
                    <w:adjustRightInd w:val="0"/>
                    <w:snapToGrid w:val="0"/>
                    <w:spacing w:line="256" w:lineRule="exact"/>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名称</w:t>
                  </w:r>
                </w:p>
              </w:tc>
              <w:tc>
                <w:tcPr>
                  <w:tcW w:w="2840" w:type="dxa"/>
                  <w:noWrap w:val="0"/>
                  <w:vAlign w:val="center"/>
                </w:tcPr>
                <w:p>
                  <w:pPr>
                    <w:adjustRightInd w:val="0"/>
                    <w:snapToGrid w:val="0"/>
                    <w:spacing w:line="256" w:lineRule="exact"/>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规格</w:t>
                  </w:r>
                </w:p>
              </w:tc>
              <w:tc>
                <w:tcPr>
                  <w:tcW w:w="1987" w:type="dxa"/>
                  <w:noWrap w:val="0"/>
                  <w:vAlign w:val="center"/>
                </w:tcPr>
                <w:p>
                  <w:pPr>
                    <w:adjustRightInd w:val="0"/>
                    <w:snapToGrid w:val="0"/>
                    <w:spacing w:line="256" w:lineRule="exact"/>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881"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237" w:type="dxa"/>
                  <w:noWrap w:val="0"/>
                  <w:vAlign w:val="center"/>
                </w:tcPr>
                <w:p>
                  <w:pPr>
                    <w:adjustRightInd w:val="0"/>
                    <w:snapToGrid w:val="0"/>
                    <w:spacing w:line="256"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履带式破碎筛分设备</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XC-1213D</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履带式推土机</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T160型</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压路机</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YZ18</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运输车辆</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10t</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喷淋设备</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蓄水池</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5m</w:t>
                  </w:r>
                  <w:r>
                    <w:rPr>
                      <w:rFonts w:hint="eastAsia" w:ascii="Times New Roman" w:hAnsi="Times New Roman" w:eastAsia="宋体" w:cs="Times New Roman"/>
                      <w:color w:val="auto"/>
                      <w:szCs w:val="21"/>
                      <w:vertAlign w:val="superscript"/>
                      <w:lang w:val="en-US" w:eastAsia="zh-CN"/>
                    </w:rPr>
                    <w:t>3</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沉淀池（混凝土破碎）</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10m</w:t>
                  </w:r>
                  <w:r>
                    <w:rPr>
                      <w:rFonts w:hint="eastAsia" w:ascii="Times New Roman" w:hAnsi="Times New Roman" w:eastAsia="宋体" w:cs="Times New Roman"/>
                      <w:color w:val="auto"/>
                      <w:szCs w:val="21"/>
                      <w:vertAlign w:val="superscript"/>
                      <w:lang w:val="en-US" w:eastAsia="zh-CN"/>
                    </w:rPr>
                    <w:t>3</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lang w:val="en-US" w:eastAsia="zh-CN"/>
                    </w:rPr>
                    <w:t>8</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沉淀池（洗车槽）</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20m</w:t>
                  </w:r>
                  <w:r>
                    <w:rPr>
                      <w:rFonts w:hint="eastAsia" w:ascii="Times New Roman" w:hAnsi="Times New Roman" w:eastAsia="宋体" w:cs="Times New Roman"/>
                      <w:color w:val="auto"/>
                      <w:szCs w:val="21"/>
                      <w:highlight w:val="none"/>
                      <w:vertAlign w:val="superscript"/>
                      <w:lang w:val="en-US" w:eastAsia="zh-CN"/>
                    </w:rPr>
                    <w:t>3</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223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沉砂池</w:t>
                  </w:r>
                </w:p>
              </w:tc>
              <w:tc>
                <w:tcPr>
                  <w:tcW w:w="2840"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150m</w:t>
                  </w:r>
                  <w:r>
                    <w:rPr>
                      <w:rFonts w:hint="eastAsia" w:ascii="Times New Roman" w:hAnsi="Times New Roman" w:eastAsia="宋体" w:cs="Times New Roman"/>
                      <w:color w:val="auto"/>
                      <w:szCs w:val="21"/>
                      <w:highlight w:val="none"/>
                      <w:vertAlign w:val="superscript"/>
                      <w:lang w:val="en-US" w:eastAsia="zh-CN"/>
                    </w:rPr>
                    <w:t>3</w:t>
                  </w:r>
                </w:p>
              </w:tc>
              <w:tc>
                <w:tcPr>
                  <w:tcW w:w="1987" w:type="dxa"/>
                  <w:noWrap w:val="0"/>
                  <w:vAlign w:val="center"/>
                </w:tcPr>
                <w:p>
                  <w:pPr>
                    <w:adjustRightInd w:val="0"/>
                    <w:snapToGrid w:val="0"/>
                    <w:spacing w:line="256"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2个</w:t>
                  </w:r>
                </w:p>
              </w:tc>
            </w:tr>
          </w:tbl>
          <w:p>
            <w:pPr>
              <w:widowControl/>
              <w:adjustRightInd w:val="0"/>
              <w:snapToGrid w:val="0"/>
              <w:spacing w:line="360" w:lineRule="auto"/>
              <w:ind w:firstLine="422" w:firstLineChars="200"/>
              <w:jc w:val="left"/>
              <w:rPr>
                <w:b/>
                <w:bCs/>
                <w:kern w:val="0"/>
                <w:sz w:val="21"/>
                <w:szCs w:val="21"/>
                <w:lang w:bidi="ar"/>
              </w:rPr>
            </w:pPr>
          </w:p>
          <w:p>
            <w:pPr>
              <w:widowControl/>
              <w:adjustRightInd w:val="0"/>
              <w:snapToGrid w:val="0"/>
              <w:spacing w:line="360" w:lineRule="auto"/>
              <w:ind w:firstLine="482" w:firstLineChars="200"/>
              <w:jc w:val="left"/>
              <w:rPr>
                <w:rFonts w:hint="eastAsia" w:ascii="Times New Roman" w:hAnsi="Times New Roman" w:eastAsia="宋体" w:cs="Times New Roman"/>
                <w:sz w:val="24"/>
              </w:rPr>
            </w:pPr>
            <w:r>
              <w:rPr>
                <w:rFonts w:hint="eastAsia"/>
                <w:b/>
                <w:bCs/>
                <w:kern w:val="0"/>
                <w:sz w:val="24"/>
                <w:lang w:val="en-US" w:eastAsia="zh-CN" w:bidi="ar"/>
              </w:rPr>
              <w:t>5</w:t>
            </w:r>
            <w:r>
              <w:rPr>
                <w:b/>
                <w:bCs/>
                <w:kern w:val="0"/>
                <w:sz w:val="24"/>
                <w:lang w:bidi="ar"/>
              </w:rPr>
              <w:t>、主要原辅材料及燃料的种类及用量</w:t>
            </w:r>
          </w:p>
          <w:p>
            <w:pPr>
              <w:snapToGrid w:val="0"/>
              <w:spacing w:line="360" w:lineRule="auto"/>
              <w:ind w:firstLine="482" w:firstLineChars="200"/>
              <w:jc w:val="center"/>
              <w:rPr>
                <w:b/>
                <w:szCs w:val="21"/>
              </w:rPr>
            </w:pPr>
            <w:r>
              <w:rPr>
                <w:b/>
                <w:szCs w:val="21"/>
              </w:rPr>
              <w:t>表</w:t>
            </w:r>
            <w:r>
              <w:rPr>
                <w:rFonts w:hint="eastAsia"/>
                <w:b/>
                <w:szCs w:val="21"/>
              </w:rPr>
              <w:t>2-4</w:t>
            </w:r>
            <w:r>
              <w:rPr>
                <w:b/>
                <w:szCs w:val="21"/>
              </w:rPr>
              <w:t xml:space="preserve">  原材料</w:t>
            </w:r>
            <w:r>
              <w:rPr>
                <w:rFonts w:hint="eastAsia"/>
                <w:b/>
                <w:szCs w:val="21"/>
              </w:rPr>
              <w:t>成分组成</w:t>
            </w:r>
            <w:r>
              <w:rPr>
                <w:b/>
                <w:szCs w:val="21"/>
              </w:rPr>
              <w:t>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216"/>
              <w:gridCol w:w="4492"/>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pct"/>
                  <w:noWrap w:val="0"/>
                  <w:vAlign w:val="center"/>
                </w:tcPr>
                <w:p>
                  <w:pPr>
                    <w:widowControl/>
                    <w:spacing w:before="100" w:beforeAutospacing="1" w:afterAutospacing="1" w:line="400" w:lineRule="exact"/>
                    <w:jc w:val="center"/>
                    <w:rPr>
                      <w:rFonts w:hint="default" w:eastAsia="宋体"/>
                      <w:b/>
                      <w:kern w:val="0"/>
                      <w:szCs w:val="21"/>
                      <w:lang w:val="en-US" w:eastAsia="zh-CN"/>
                    </w:rPr>
                  </w:pPr>
                  <w:r>
                    <w:rPr>
                      <w:rFonts w:hint="eastAsia"/>
                      <w:b/>
                      <w:kern w:val="0"/>
                      <w:szCs w:val="21"/>
                      <w:lang w:val="en-US" w:eastAsia="zh-CN"/>
                    </w:rPr>
                    <w:t>类别</w:t>
                  </w:r>
                </w:p>
              </w:tc>
              <w:tc>
                <w:tcPr>
                  <w:tcW w:w="765" w:type="pct"/>
                  <w:noWrap w:val="0"/>
                  <w:vAlign w:val="center"/>
                </w:tcPr>
                <w:p>
                  <w:pPr>
                    <w:widowControl/>
                    <w:spacing w:before="100" w:beforeAutospacing="1" w:afterAutospacing="1" w:line="400" w:lineRule="exact"/>
                    <w:jc w:val="center"/>
                    <w:rPr>
                      <w:b/>
                      <w:kern w:val="0"/>
                      <w:szCs w:val="21"/>
                    </w:rPr>
                  </w:pPr>
                  <w:r>
                    <w:rPr>
                      <w:b/>
                      <w:kern w:val="0"/>
                      <w:szCs w:val="21"/>
                    </w:rPr>
                    <w:t>名称</w:t>
                  </w:r>
                </w:p>
              </w:tc>
              <w:tc>
                <w:tcPr>
                  <w:tcW w:w="2827" w:type="pct"/>
                  <w:noWrap w:val="0"/>
                  <w:vAlign w:val="center"/>
                </w:tcPr>
                <w:p>
                  <w:pPr>
                    <w:widowControl/>
                    <w:spacing w:before="100" w:beforeAutospacing="1" w:afterAutospacing="1" w:line="400" w:lineRule="exact"/>
                    <w:jc w:val="center"/>
                    <w:rPr>
                      <w:rFonts w:hint="eastAsia"/>
                      <w:b/>
                      <w:kern w:val="0"/>
                      <w:szCs w:val="21"/>
                    </w:rPr>
                  </w:pPr>
                  <w:r>
                    <w:rPr>
                      <w:rFonts w:hint="eastAsia"/>
                      <w:b/>
                      <w:kern w:val="0"/>
                      <w:szCs w:val="21"/>
                    </w:rPr>
                    <w:t>主要组成</w:t>
                  </w:r>
                </w:p>
              </w:tc>
              <w:tc>
                <w:tcPr>
                  <w:tcW w:w="831" w:type="pct"/>
                  <w:noWrap w:val="0"/>
                  <w:vAlign w:val="center"/>
                </w:tcPr>
                <w:p>
                  <w:pPr>
                    <w:widowControl/>
                    <w:spacing w:before="100" w:beforeAutospacing="1" w:afterAutospacing="1" w:line="400" w:lineRule="exact"/>
                    <w:jc w:val="center"/>
                    <w:rPr>
                      <w:b/>
                      <w:kern w:val="0"/>
                      <w:szCs w:val="21"/>
                    </w:rPr>
                  </w:pPr>
                  <w:r>
                    <w:rPr>
                      <w:b/>
                      <w:kern w:val="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pct"/>
                  <w:noWrap w:val="0"/>
                  <w:vAlign w:val="center"/>
                </w:tcPr>
                <w:p>
                  <w:pPr>
                    <w:widowControl/>
                    <w:spacing w:before="100" w:beforeAutospacing="1" w:afterAutospacing="1" w:line="400" w:lineRule="exact"/>
                    <w:jc w:val="center"/>
                    <w:rPr>
                      <w:rFonts w:hint="default" w:eastAsia="宋体"/>
                      <w:b w:val="0"/>
                      <w:bCs/>
                      <w:kern w:val="0"/>
                      <w:szCs w:val="21"/>
                      <w:lang w:val="en-US" w:eastAsia="zh-CN"/>
                    </w:rPr>
                  </w:pPr>
                  <w:r>
                    <w:rPr>
                      <w:rFonts w:hint="eastAsia"/>
                      <w:b w:val="0"/>
                      <w:bCs/>
                      <w:kern w:val="0"/>
                      <w:szCs w:val="21"/>
                      <w:lang w:val="en-US" w:eastAsia="zh-CN"/>
                    </w:rPr>
                    <w:t>原料</w:t>
                  </w:r>
                </w:p>
              </w:tc>
              <w:tc>
                <w:tcPr>
                  <w:tcW w:w="765" w:type="pct"/>
                  <w:noWrap w:val="0"/>
                  <w:vAlign w:val="center"/>
                </w:tcPr>
                <w:p>
                  <w:pPr>
                    <w:widowControl/>
                    <w:spacing w:before="100" w:beforeAutospacing="1" w:afterAutospacing="1" w:line="400" w:lineRule="exact"/>
                    <w:jc w:val="center"/>
                    <w:rPr>
                      <w:rFonts w:hint="default" w:eastAsia="宋体"/>
                      <w:b w:val="0"/>
                      <w:bCs/>
                      <w:kern w:val="0"/>
                      <w:szCs w:val="21"/>
                      <w:lang w:val="en-US" w:eastAsia="zh-CN"/>
                    </w:rPr>
                  </w:pPr>
                  <w:r>
                    <w:rPr>
                      <w:rFonts w:hint="eastAsia"/>
                      <w:b w:val="0"/>
                      <w:bCs/>
                      <w:kern w:val="0"/>
                      <w:szCs w:val="21"/>
                      <w:lang w:val="en-US" w:eastAsia="zh-CN"/>
                    </w:rPr>
                    <w:t>建筑垃圾</w:t>
                  </w:r>
                </w:p>
              </w:tc>
              <w:tc>
                <w:tcPr>
                  <w:tcW w:w="2827" w:type="pct"/>
                  <w:noWrap w:val="0"/>
                  <w:vAlign w:val="center"/>
                </w:tcPr>
                <w:p>
                  <w:pPr>
                    <w:widowControl/>
                    <w:spacing w:before="100" w:beforeAutospacing="1" w:afterAutospacing="1" w:line="400" w:lineRule="exact"/>
                    <w:jc w:val="center"/>
                    <w:rPr>
                      <w:rFonts w:hint="default" w:eastAsia="宋体"/>
                      <w:b w:val="0"/>
                      <w:bCs/>
                      <w:kern w:val="0"/>
                      <w:szCs w:val="21"/>
                      <w:lang w:val="en-US" w:eastAsia="zh-CN"/>
                    </w:rPr>
                  </w:pPr>
                  <w:r>
                    <w:rPr>
                      <w:rFonts w:hint="eastAsia"/>
                      <w:b w:val="0"/>
                      <w:bCs/>
                      <w:kern w:val="0"/>
                      <w:szCs w:val="21"/>
                      <w:lang w:val="en-US" w:eastAsia="zh-CN"/>
                    </w:rPr>
                    <w:t>混凝土块、</w:t>
                  </w:r>
                  <w:r>
                    <w:rPr>
                      <w:rFonts w:hint="eastAsia"/>
                      <w:szCs w:val="21"/>
                      <w:lang w:val="en-US" w:eastAsia="zh-CN"/>
                    </w:rPr>
                    <w:t>废木头、废纸板、废钢材、废砖头、装修垃圾、装修白色垃圾</w:t>
                  </w:r>
                </w:p>
              </w:tc>
              <w:tc>
                <w:tcPr>
                  <w:tcW w:w="831" w:type="pct"/>
                  <w:noWrap w:val="0"/>
                  <w:vAlign w:val="center"/>
                </w:tcPr>
                <w:p>
                  <w:pPr>
                    <w:widowControl/>
                    <w:spacing w:before="100" w:beforeAutospacing="1" w:afterAutospacing="1" w:line="400" w:lineRule="exact"/>
                    <w:jc w:val="center"/>
                    <w:rPr>
                      <w:rFonts w:hint="default" w:eastAsia="宋体"/>
                      <w:b w:val="0"/>
                      <w:bCs/>
                      <w:kern w:val="0"/>
                      <w:szCs w:val="21"/>
                      <w:lang w:val="en-US" w:eastAsia="zh-CN"/>
                    </w:rPr>
                  </w:pPr>
                  <w:r>
                    <w:rPr>
                      <w:rFonts w:hint="eastAsia" w:ascii="Times New Roman" w:hAnsi="Times New Roman" w:eastAsia="宋体" w:cs="Times New Roman"/>
                      <w:lang w:val="en-US" w:eastAsia="zh-CN"/>
                    </w:rPr>
                    <w:t>当地工程项目产生的废弃物</w:t>
                  </w:r>
                </w:p>
              </w:tc>
            </w:tr>
          </w:tbl>
          <w:p>
            <w:pPr>
              <w:widowControl/>
              <w:adjustRightInd w:val="0"/>
              <w:snapToGrid w:val="0"/>
              <w:spacing w:line="360" w:lineRule="auto"/>
              <w:ind w:firstLine="480" w:firstLineChars="200"/>
              <w:jc w:val="left"/>
              <w:rPr>
                <w:rFonts w:hint="eastAsia" w:ascii="Times New Roman" w:hAnsi="Times New Roman" w:eastAsia="宋体" w:cs="Times New Roman"/>
                <w:sz w:val="24"/>
              </w:rPr>
            </w:pPr>
          </w:p>
          <w:p>
            <w:pPr>
              <w:snapToGrid w:val="0"/>
              <w:spacing w:line="360" w:lineRule="auto"/>
              <w:ind w:firstLine="482" w:firstLineChars="200"/>
              <w:jc w:val="center"/>
              <w:rPr>
                <w:rFonts w:hint="eastAsia"/>
                <w:sz w:val="24"/>
              </w:rPr>
            </w:pPr>
            <w:r>
              <w:rPr>
                <w:b/>
                <w:szCs w:val="21"/>
              </w:rPr>
              <w:t>表</w:t>
            </w:r>
            <w:r>
              <w:rPr>
                <w:rFonts w:hint="eastAsia"/>
                <w:b/>
                <w:szCs w:val="21"/>
              </w:rPr>
              <w:t>2-</w:t>
            </w:r>
            <w:r>
              <w:rPr>
                <w:rFonts w:hint="eastAsia"/>
                <w:b/>
                <w:szCs w:val="21"/>
                <w:lang w:val="en-US" w:eastAsia="zh-CN"/>
              </w:rPr>
              <w:t>5</w:t>
            </w:r>
            <w:r>
              <w:rPr>
                <w:b/>
                <w:szCs w:val="21"/>
              </w:rPr>
              <w:t xml:space="preserve">  原辅材料</w:t>
            </w:r>
            <w:r>
              <w:rPr>
                <w:rFonts w:hint="eastAsia"/>
                <w:b/>
                <w:szCs w:val="21"/>
                <w:lang w:eastAsia="zh-CN"/>
              </w:rPr>
              <w:t>、</w:t>
            </w:r>
            <w:r>
              <w:rPr>
                <w:rFonts w:hint="eastAsia"/>
                <w:b/>
                <w:szCs w:val="21"/>
                <w:lang w:val="en-US" w:eastAsia="zh-CN"/>
              </w:rPr>
              <w:t>能源</w:t>
            </w:r>
            <w:r>
              <w:rPr>
                <w:b/>
                <w:szCs w:val="21"/>
              </w:rPr>
              <w:t>消耗表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405"/>
              <w:gridCol w:w="1063"/>
              <w:gridCol w:w="1427"/>
              <w:gridCol w:w="1608"/>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pct"/>
                  <w:noWrap w:val="0"/>
                  <w:vAlign w:val="center"/>
                </w:tcPr>
                <w:p>
                  <w:pPr>
                    <w:widowControl/>
                    <w:spacing w:before="100" w:beforeAutospacing="1" w:afterAutospacing="1" w:line="400" w:lineRule="exact"/>
                    <w:jc w:val="center"/>
                    <w:rPr>
                      <w:rFonts w:hint="eastAsia" w:eastAsia="宋体"/>
                      <w:b/>
                      <w:kern w:val="0"/>
                      <w:szCs w:val="21"/>
                      <w:lang w:eastAsia="zh-CN"/>
                    </w:rPr>
                  </w:pPr>
                  <w:r>
                    <w:rPr>
                      <w:rFonts w:hint="eastAsia"/>
                      <w:b/>
                      <w:kern w:val="0"/>
                      <w:szCs w:val="21"/>
                      <w:lang w:val="en-US" w:eastAsia="zh-CN"/>
                    </w:rPr>
                    <w:t>类别</w:t>
                  </w:r>
                </w:p>
              </w:tc>
              <w:tc>
                <w:tcPr>
                  <w:tcW w:w="884" w:type="pct"/>
                  <w:noWrap w:val="0"/>
                  <w:vAlign w:val="center"/>
                </w:tcPr>
                <w:p>
                  <w:pPr>
                    <w:widowControl/>
                    <w:spacing w:before="100" w:beforeAutospacing="1" w:afterAutospacing="1" w:line="400" w:lineRule="exact"/>
                    <w:jc w:val="center"/>
                    <w:rPr>
                      <w:b/>
                      <w:kern w:val="0"/>
                      <w:szCs w:val="21"/>
                    </w:rPr>
                  </w:pPr>
                  <w:r>
                    <w:rPr>
                      <w:b/>
                      <w:kern w:val="0"/>
                      <w:szCs w:val="21"/>
                    </w:rPr>
                    <w:t>名称</w:t>
                  </w:r>
                </w:p>
              </w:tc>
              <w:tc>
                <w:tcPr>
                  <w:tcW w:w="669" w:type="pct"/>
                  <w:noWrap w:val="0"/>
                  <w:vAlign w:val="center"/>
                </w:tcPr>
                <w:p>
                  <w:pPr>
                    <w:widowControl/>
                    <w:spacing w:before="100" w:beforeAutospacing="1" w:afterAutospacing="1" w:line="400" w:lineRule="exact"/>
                    <w:jc w:val="center"/>
                    <w:rPr>
                      <w:b/>
                      <w:kern w:val="0"/>
                      <w:szCs w:val="21"/>
                    </w:rPr>
                  </w:pPr>
                  <w:r>
                    <w:rPr>
                      <w:b/>
                      <w:kern w:val="0"/>
                      <w:szCs w:val="21"/>
                    </w:rPr>
                    <w:t>规格</w:t>
                  </w:r>
                </w:p>
              </w:tc>
              <w:tc>
                <w:tcPr>
                  <w:tcW w:w="898" w:type="pct"/>
                  <w:noWrap w:val="0"/>
                  <w:vAlign w:val="center"/>
                </w:tcPr>
                <w:p>
                  <w:pPr>
                    <w:widowControl/>
                    <w:spacing w:before="100" w:beforeAutospacing="1" w:afterAutospacing="1" w:line="400" w:lineRule="exact"/>
                    <w:jc w:val="center"/>
                    <w:rPr>
                      <w:b/>
                      <w:kern w:val="0"/>
                      <w:szCs w:val="21"/>
                    </w:rPr>
                  </w:pPr>
                  <w:r>
                    <w:rPr>
                      <w:b/>
                      <w:kern w:val="0"/>
                      <w:szCs w:val="21"/>
                    </w:rPr>
                    <w:t>年用量</w:t>
                  </w:r>
                </w:p>
              </w:tc>
              <w:tc>
                <w:tcPr>
                  <w:tcW w:w="1012" w:type="pct"/>
                  <w:noWrap w:val="0"/>
                  <w:vAlign w:val="center"/>
                </w:tcPr>
                <w:p>
                  <w:pPr>
                    <w:widowControl/>
                    <w:spacing w:before="100" w:beforeAutospacing="1" w:afterAutospacing="1" w:line="400" w:lineRule="exact"/>
                    <w:jc w:val="center"/>
                    <w:rPr>
                      <w:b/>
                      <w:kern w:val="0"/>
                      <w:szCs w:val="21"/>
                    </w:rPr>
                  </w:pPr>
                  <w:r>
                    <w:rPr>
                      <w:b/>
                      <w:kern w:val="0"/>
                      <w:szCs w:val="21"/>
                    </w:rPr>
                    <w:t>储存位置</w:t>
                  </w:r>
                </w:p>
              </w:tc>
              <w:tc>
                <w:tcPr>
                  <w:tcW w:w="870" w:type="pct"/>
                  <w:noWrap w:val="0"/>
                  <w:vAlign w:val="center"/>
                </w:tcPr>
                <w:p>
                  <w:pPr>
                    <w:widowControl/>
                    <w:spacing w:before="100" w:beforeAutospacing="1" w:afterAutospacing="1" w:line="400" w:lineRule="exact"/>
                    <w:jc w:val="center"/>
                    <w:rPr>
                      <w:b/>
                      <w:kern w:val="0"/>
                      <w:szCs w:val="21"/>
                    </w:rPr>
                  </w:pPr>
                  <w:r>
                    <w:rPr>
                      <w:b/>
                      <w:kern w:val="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pct"/>
                  <w:noWrap w:val="0"/>
                  <w:vAlign w:val="center"/>
                </w:tcPr>
                <w:p>
                  <w:pPr>
                    <w:widowControl/>
                    <w:spacing w:before="100" w:beforeAutospacing="1" w:afterAutospacing="1" w:line="400" w:lineRule="exact"/>
                    <w:jc w:val="center"/>
                    <w:rPr>
                      <w:bCs/>
                      <w:kern w:val="0"/>
                      <w:szCs w:val="21"/>
                    </w:rPr>
                  </w:pPr>
                  <w:r>
                    <w:rPr>
                      <w:bCs/>
                      <w:kern w:val="0"/>
                      <w:szCs w:val="21"/>
                    </w:rPr>
                    <w:t>原辅料</w:t>
                  </w:r>
                </w:p>
              </w:tc>
              <w:tc>
                <w:tcPr>
                  <w:tcW w:w="884" w:type="pct"/>
                  <w:noWrap w:val="0"/>
                  <w:vAlign w:val="center"/>
                </w:tcPr>
                <w:p>
                  <w:pPr>
                    <w:widowControl/>
                    <w:spacing w:before="100" w:beforeAutospacing="1" w:afterAutospacing="1" w:line="400" w:lineRule="exact"/>
                    <w:jc w:val="center"/>
                    <w:rPr>
                      <w:bCs/>
                      <w:kern w:val="0"/>
                      <w:szCs w:val="21"/>
                    </w:rPr>
                  </w:pPr>
                  <w:r>
                    <w:rPr>
                      <w:rFonts w:hint="eastAsia"/>
                      <w:b w:val="0"/>
                      <w:bCs/>
                      <w:kern w:val="0"/>
                      <w:szCs w:val="21"/>
                      <w:lang w:val="en-US" w:eastAsia="zh-CN"/>
                    </w:rPr>
                    <w:t>建筑垃圾</w:t>
                  </w:r>
                </w:p>
              </w:tc>
              <w:tc>
                <w:tcPr>
                  <w:tcW w:w="669" w:type="pct"/>
                  <w:noWrap w:val="0"/>
                  <w:vAlign w:val="center"/>
                </w:tcPr>
                <w:p>
                  <w:pPr>
                    <w:widowControl/>
                    <w:spacing w:before="100" w:beforeAutospacing="1" w:afterAutospacing="1" w:line="400" w:lineRule="exact"/>
                    <w:jc w:val="center"/>
                    <w:rPr>
                      <w:bCs/>
                      <w:kern w:val="0"/>
                      <w:szCs w:val="21"/>
                    </w:rPr>
                  </w:pPr>
                  <w:r>
                    <w:rPr>
                      <w:bCs/>
                      <w:kern w:val="0"/>
                      <w:szCs w:val="21"/>
                    </w:rPr>
                    <w:t>/</w:t>
                  </w:r>
                </w:p>
              </w:tc>
              <w:tc>
                <w:tcPr>
                  <w:tcW w:w="898" w:type="pct"/>
                  <w:noWrap w:val="0"/>
                  <w:vAlign w:val="center"/>
                </w:tcPr>
                <w:p>
                  <w:pPr>
                    <w:widowControl/>
                    <w:spacing w:before="100" w:beforeAutospacing="1" w:afterAutospacing="1" w:line="400" w:lineRule="exact"/>
                    <w:jc w:val="center"/>
                    <w:rPr>
                      <w:bCs/>
                      <w:kern w:val="0"/>
                      <w:szCs w:val="21"/>
                    </w:rPr>
                  </w:pPr>
                  <w:r>
                    <w:rPr>
                      <w:rFonts w:hint="eastAsia"/>
                      <w:bCs/>
                      <w:kern w:val="0"/>
                      <w:szCs w:val="21"/>
                      <w:lang w:val="en-US" w:eastAsia="zh-CN"/>
                    </w:rPr>
                    <w:t>175003</w:t>
                  </w:r>
                  <w:r>
                    <w:rPr>
                      <w:bCs/>
                      <w:kern w:val="0"/>
                      <w:szCs w:val="21"/>
                    </w:rPr>
                    <w:t>吨</w:t>
                  </w:r>
                </w:p>
              </w:tc>
              <w:tc>
                <w:tcPr>
                  <w:tcW w:w="1012" w:type="pct"/>
                  <w:noWrap w:val="0"/>
                  <w:vAlign w:val="center"/>
                </w:tcPr>
                <w:p>
                  <w:pPr>
                    <w:widowControl/>
                    <w:spacing w:before="100" w:beforeAutospacing="1" w:afterAutospacing="1" w:line="400" w:lineRule="exact"/>
                    <w:jc w:val="center"/>
                    <w:rPr>
                      <w:bCs/>
                      <w:kern w:val="0"/>
                      <w:szCs w:val="21"/>
                    </w:rPr>
                  </w:pPr>
                  <w:r>
                    <w:rPr>
                      <w:rFonts w:hint="eastAsia"/>
                      <w:bCs/>
                      <w:kern w:val="0"/>
                      <w:szCs w:val="21"/>
                      <w:lang w:val="en-US" w:eastAsia="zh-CN"/>
                    </w:rPr>
                    <w:t>建筑垃圾</w:t>
                  </w:r>
                  <w:r>
                    <w:rPr>
                      <w:rFonts w:hint="eastAsia"/>
                      <w:bCs/>
                      <w:kern w:val="0"/>
                      <w:szCs w:val="21"/>
                    </w:rPr>
                    <w:t>堆场</w:t>
                  </w:r>
                </w:p>
              </w:tc>
              <w:tc>
                <w:tcPr>
                  <w:tcW w:w="870" w:type="pct"/>
                  <w:noWrap w:val="0"/>
                  <w:vAlign w:val="center"/>
                </w:tcPr>
                <w:p>
                  <w:pPr>
                    <w:widowControl/>
                    <w:spacing w:before="100" w:beforeAutospacing="1" w:afterAutospacing="1" w:line="400" w:lineRule="exact"/>
                    <w:jc w:val="center"/>
                    <w:rPr>
                      <w:bCs/>
                      <w:kern w:val="0"/>
                      <w:szCs w:val="21"/>
                    </w:rPr>
                  </w:pPr>
                  <w:r>
                    <w:rPr>
                      <w:rFonts w:hint="eastAsia" w:ascii="Times New Roman" w:hAnsi="Times New Roman" w:eastAsia="宋体" w:cs="Times New Roman"/>
                      <w:lang w:val="en-US" w:eastAsia="zh-CN"/>
                    </w:rPr>
                    <w:t>当地工程项目产生的废弃物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pct"/>
                  <w:noWrap w:val="0"/>
                  <w:vAlign w:val="center"/>
                </w:tcPr>
                <w:p>
                  <w:pPr>
                    <w:widowControl/>
                    <w:spacing w:before="100" w:beforeAutospacing="1" w:afterAutospacing="1" w:line="400" w:lineRule="exact"/>
                    <w:jc w:val="center"/>
                    <w:rPr>
                      <w:rFonts w:hint="default" w:eastAsia="宋体"/>
                      <w:bCs/>
                      <w:kern w:val="0"/>
                      <w:szCs w:val="21"/>
                      <w:lang w:val="en-US" w:eastAsia="zh-CN"/>
                    </w:rPr>
                  </w:pPr>
                  <w:r>
                    <w:rPr>
                      <w:rFonts w:hint="eastAsia"/>
                      <w:bCs/>
                      <w:kern w:val="0"/>
                      <w:szCs w:val="21"/>
                      <w:lang w:val="en-US" w:eastAsia="zh-CN"/>
                    </w:rPr>
                    <w:t>辅料</w:t>
                  </w:r>
                </w:p>
              </w:tc>
              <w:tc>
                <w:tcPr>
                  <w:tcW w:w="884" w:type="pct"/>
                  <w:noWrap w:val="0"/>
                  <w:vAlign w:val="center"/>
                </w:tcPr>
                <w:p>
                  <w:pPr>
                    <w:widowControl/>
                    <w:spacing w:before="100" w:beforeAutospacing="1" w:afterAutospacing="1" w:line="400" w:lineRule="exact"/>
                    <w:jc w:val="center"/>
                    <w:rPr>
                      <w:rFonts w:hint="default"/>
                      <w:b w:val="0"/>
                      <w:bCs/>
                      <w:kern w:val="0"/>
                      <w:szCs w:val="21"/>
                      <w:lang w:val="en-US" w:eastAsia="zh-CN"/>
                    </w:rPr>
                  </w:pPr>
                  <w:r>
                    <w:rPr>
                      <w:rFonts w:hint="eastAsia"/>
                      <w:b w:val="0"/>
                      <w:bCs/>
                      <w:kern w:val="0"/>
                      <w:szCs w:val="21"/>
                      <w:lang w:val="en-US" w:eastAsia="zh-CN"/>
                    </w:rPr>
                    <w:t>絮凝剂</w:t>
                  </w:r>
                </w:p>
              </w:tc>
              <w:tc>
                <w:tcPr>
                  <w:tcW w:w="669" w:type="pct"/>
                  <w:noWrap w:val="0"/>
                  <w:vAlign w:val="center"/>
                </w:tcPr>
                <w:p>
                  <w:pPr>
                    <w:widowControl/>
                    <w:spacing w:before="100" w:beforeAutospacing="1" w:afterAutospacing="1" w:line="400" w:lineRule="exact"/>
                    <w:jc w:val="center"/>
                    <w:rPr>
                      <w:rFonts w:hint="eastAsia" w:eastAsia="宋体"/>
                      <w:bCs/>
                      <w:kern w:val="0"/>
                      <w:szCs w:val="21"/>
                      <w:lang w:val="en-US" w:eastAsia="zh-CN"/>
                    </w:rPr>
                  </w:pPr>
                  <w:r>
                    <w:rPr>
                      <w:rFonts w:hint="eastAsia"/>
                      <w:bCs/>
                      <w:kern w:val="0"/>
                      <w:szCs w:val="21"/>
                      <w:lang w:val="en-US" w:eastAsia="zh-CN"/>
                    </w:rPr>
                    <w:t>/</w:t>
                  </w:r>
                </w:p>
              </w:tc>
              <w:tc>
                <w:tcPr>
                  <w:tcW w:w="898" w:type="pct"/>
                  <w:noWrap w:val="0"/>
                  <w:vAlign w:val="center"/>
                </w:tcPr>
                <w:p>
                  <w:pPr>
                    <w:widowControl/>
                    <w:spacing w:before="100" w:beforeAutospacing="1" w:afterAutospacing="1" w:line="400" w:lineRule="exact"/>
                    <w:jc w:val="center"/>
                    <w:rPr>
                      <w:rFonts w:hint="default"/>
                      <w:bCs/>
                      <w:kern w:val="0"/>
                      <w:szCs w:val="21"/>
                      <w:lang w:val="en-US" w:eastAsia="zh-CN"/>
                    </w:rPr>
                  </w:pPr>
                  <w:r>
                    <w:rPr>
                      <w:rFonts w:hint="eastAsia"/>
                      <w:bCs/>
                      <w:kern w:val="0"/>
                      <w:szCs w:val="21"/>
                      <w:lang w:val="en-US" w:eastAsia="zh-CN"/>
                    </w:rPr>
                    <w:t>/</w:t>
                  </w:r>
                </w:p>
              </w:tc>
              <w:tc>
                <w:tcPr>
                  <w:tcW w:w="1012" w:type="pct"/>
                  <w:noWrap w:val="0"/>
                  <w:vAlign w:val="center"/>
                </w:tcPr>
                <w:p>
                  <w:pPr>
                    <w:widowControl/>
                    <w:spacing w:before="100" w:beforeAutospacing="1" w:afterAutospacing="1" w:line="400" w:lineRule="exact"/>
                    <w:jc w:val="center"/>
                    <w:rPr>
                      <w:rFonts w:hint="default"/>
                      <w:bCs/>
                      <w:kern w:val="0"/>
                      <w:szCs w:val="21"/>
                      <w:lang w:val="en-US" w:eastAsia="zh-CN"/>
                    </w:rPr>
                  </w:pPr>
                  <w:r>
                    <w:rPr>
                      <w:rFonts w:hint="eastAsia"/>
                      <w:bCs/>
                      <w:kern w:val="0"/>
                      <w:szCs w:val="21"/>
                      <w:lang w:val="en-US" w:eastAsia="zh-CN"/>
                    </w:rPr>
                    <w:t>办公生活区</w:t>
                  </w:r>
                </w:p>
              </w:tc>
              <w:tc>
                <w:tcPr>
                  <w:tcW w:w="870" w:type="pct"/>
                  <w:noWrap w:val="0"/>
                  <w:vAlign w:val="center"/>
                </w:tcPr>
                <w:p>
                  <w:pPr>
                    <w:widowControl/>
                    <w:spacing w:before="100" w:beforeAutospacing="1" w:afterAutospacing="1" w:line="40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pct"/>
                  <w:vMerge w:val="restart"/>
                  <w:noWrap w:val="0"/>
                  <w:vAlign w:val="center"/>
                </w:tcPr>
                <w:p>
                  <w:pPr>
                    <w:widowControl/>
                    <w:spacing w:before="100" w:beforeAutospacing="1" w:afterAutospacing="1" w:line="400" w:lineRule="exact"/>
                    <w:jc w:val="center"/>
                    <w:rPr>
                      <w:bCs/>
                      <w:kern w:val="0"/>
                      <w:szCs w:val="21"/>
                    </w:rPr>
                  </w:pPr>
                  <w:r>
                    <w:rPr>
                      <w:bCs/>
                      <w:kern w:val="0"/>
                      <w:szCs w:val="21"/>
                    </w:rPr>
                    <w:t>能源</w:t>
                  </w:r>
                </w:p>
              </w:tc>
              <w:tc>
                <w:tcPr>
                  <w:tcW w:w="884" w:type="pct"/>
                  <w:noWrap w:val="0"/>
                  <w:vAlign w:val="center"/>
                </w:tcPr>
                <w:p>
                  <w:pPr>
                    <w:widowControl/>
                    <w:spacing w:line="400" w:lineRule="exact"/>
                    <w:jc w:val="center"/>
                    <w:rPr>
                      <w:bCs/>
                      <w:kern w:val="0"/>
                      <w:szCs w:val="21"/>
                    </w:rPr>
                  </w:pPr>
                  <w:r>
                    <w:rPr>
                      <w:bCs/>
                      <w:kern w:val="0"/>
                      <w:szCs w:val="21"/>
                    </w:rPr>
                    <w:t>电</w:t>
                  </w:r>
                </w:p>
              </w:tc>
              <w:tc>
                <w:tcPr>
                  <w:tcW w:w="669" w:type="pct"/>
                  <w:noWrap w:val="0"/>
                  <w:vAlign w:val="center"/>
                </w:tcPr>
                <w:p>
                  <w:pPr>
                    <w:widowControl/>
                    <w:spacing w:before="100" w:beforeAutospacing="1" w:afterAutospacing="1" w:line="400" w:lineRule="exact"/>
                    <w:jc w:val="center"/>
                    <w:rPr>
                      <w:bCs/>
                      <w:kern w:val="0"/>
                      <w:szCs w:val="21"/>
                    </w:rPr>
                  </w:pPr>
                  <w:r>
                    <w:rPr>
                      <w:bCs/>
                      <w:kern w:val="0"/>
                      <w:szCs w:val="21"/>
                    </w:rPr>
                    <w:t>/</w:t>
                  </w:r>
                </w:p>
              </w:tc>
              <w:tc>
                <w:tcPr>
                  <w:tcW w:w="898" w:type="pct"/>
                  <w:noWrap w:val="0"/>
                  <w:vAlign w:val="center"/>
                </w:tcPr>
                <w:p>
                  <w:pPr>
                    <w:widowControl/>
                    <w:spacing w:before="100" w:beforeAutospacing="1" w:afterAutospacing="1" w:line="400" w:lineRule="exact"/>
                    <w:jc w:val="center"/>
                    <w:rPr>
                      <w:bCs/>
                      <w:kern w:val="0"/>
                      <w:szCs w:val="21"/>
                    </w:rPr>
                  </w:pPr>
                  <w:r>
                    <w:rPr>
                      <w:rFonts w:hint="eastAsia"/>
                      <w:bCs/>
                      <w:kern w:val="0"/>
                      <w:szCs w:val="21"/>
                      <w:lang w:val="en-US" w:eastAsia="zh-CN"/>
                    </w:rPr>
                    <w:t>2</w:t>
                  </w:r>
                  <w:r>
                    <w:rPr>
                      <w:bCs/>
                      <w:kern w:val="0"/>
                      <w:szCs w:val="21"/>
                    </w:rPr>
                    <w:t>0</w:t>
                  </w:r>
                  <w:r>
                    <w:rPr>
                      <w:rFonts w:hint="eastAsia"/>
                      <w:bCs/>
                      <w:kern w:val="0"/>
                      <w:szCs w:val="21"/>
                      <w:lang w:val="en-US" w:eastAsia="zh-CN"/>
                    </w:rPr>
                    <w:t>1</w:t>
                  </w:r>
                  <w:r>
                    <w:rPr>
                      <w:bCs/>
                      <w:kern w:val="0"/>
                      <w:szCs w:val="21"/>
                    </w:rPr>
                    <w:t>.</w:t>
                  </w:r>
                  <w:r>
                    <w:rPr>
                      <w:rFonts w:hint="eastAsia"/>
                      <w:bCs/>
                      <w:kern w:val="0"/>
                      <w:szCs w:val="21"/>
                      <w:lang w:val="en-US" w:eastAsia="zh-CN"/>
                    </w:rPr>
                    <w:t>4</w:t>
                  </w:r>
                  <w:r>
                    <w:rPr>
                      <w:bCs/>
                      <w:kern w:val="0"/>
                      <w:szCs w:val="21"/>
                    </w:rPr>
                    <w:t>万</w:t>
                  </w:r>
                  <w:r>
                    <w:rPr>
                      <w:szCs w:val="21"/>
                    </w:rPr>
                    <w:t>kW·h/a</w:t>
                  </w:r>
                </w:p>
              </w:tc>
              <w:tc>
                <w:tcPr>
                  <w:tcW w:w="1012" w:type="pct"/>
                  <w:noWrap w:val="0"/>
                  <w:vAlign w:val="center"/>
                </w:tcPr>
                <w:p>
                  <w:pPr>
                    <w:widowControl/>
                    <w:spacing w:before="100" w:beforeAutospacing="1" w:afterAutospacing="1" w:line="400" w:lineRule="exact"/>
                    <w:jc w:val="center"/>
                    <w:rPr>
                      <w:bCs/>
                      <w:kern w:val="0"/>
                      <w:szCs w:val="21"/>
                    </w:rPr>
                  </w:pPr>
                  <w:r>
                    <w:rPr>
                      <w:bCs/>
                      <w:kern w:val="0"/>
                      <w:szCs w:val="21"/>
                    </w:rPr>
                    <w:t>/</w:t>
                  </w:r>
                </w:p>
              </w:tc>
              <w:tc>
                <w:tcPr>
                  <w:tcW w:w="870" w:type="pct"/>
                  <w:noWrap w:val="0"/>
                  <w:vAlign w:val="center"/>
                </w:tcPr>
                <w:p>
                  <w:pPr>
                    <w:widowControl/>
                    <w:spacing w:before="100" w:beforeAutospacing="1" w:afterAutospacing="1" w:line="400" w:lineRule="exact"/>
                    <w:jc w:val="center"/>
                    <w:rPr>
                      <w:bCs/>
                      <w:kern w:val="0"/>
                      <w:szCs w:val="21"/>
                    </w:rPr>
                  </w:pPr>
                  <w:r>
                    <w:rPr>
                      <w:bCs/>
                      <w:kern w:val="0"/>
                      <w:szCs w:val="21"/>
                    </w:rPr>
                    <w:t>当地国家电网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pct"/>
                  <w:vMerge w:val="continue"/>
                  <w:noWrap w:val="0"/>
                  <w:vAlign w:val="center"/>
                </w:tcPr>
                <w:p>
                  <w:pPr>
                    <w:widowControl/>
                    <w:spacing w:before="100" w:beforeAutospacing="1" w:afterAutospacing="1" w:line="400" w:lineRule="exact"/>
                    <w:jc w:val="center"/>
                    <w:rPr>
                      <w:bCs/>
                      <w:kern w:val="0"/>
                      <w:szCs w:val="21"/>
                    </w:rPr>
                  </w:pPr>
                </w:p>
              </w:tc>
              <w:tc>
                <w:tcPr>
                  <w:tcW w:w="884" w:type="pct"/>
                  <w:noWrap w:val="0"/>
                  <w:vAlign w:val="center"/>
                </w:tcPr>
                <w:p>
                  <w:pPr>
                    <w:widowControl/>
                    <w:spacing w:line="400" w:lineRule="exact"/>
                    <w:jc w:val="center"/>
                    <w:rPr>
                      <w:bCs/>
                      <w:kern w:val="0"/>
                      <w:szCs w:val="21"/>
                    </w:rPr>
                  </w:pPr>
                  <w:r>
                    <w:rPr>
                      <w:bCs/>
                      <w:kern w:val="0"/>
                      <w:szCs w:val="21"/>
                    </w:rPr>
                    <w:t>水</w:t>
                  </w:r>
                </w:p>
              </w:tc>
              <w:tc>
                <w:tcPr>
                  <w:tcW w:w="669" w:type="pct"/>
                  <w:noWrap w:val="0"/>
                  <w:vAlign w:val="center"/>
                </w:tcPr>
                <w:p>
                  <w:pPr>
                    <w:widowControl/>
                    <w:spacing w:before="100" w:beforeAutospacing="1" w:afterAutospacing="1" w:line="400" w:lineRule="exact"/>
                    <w:jc w:val="center"/>
                    <w:rPr>
                      <w:bCs/>
                      <w:kern w:val="0"/>
                      <w:szCs w:val="21"/>
                      <w:highlight w:val="none"/>
                    </w:rPr>
                  </w:pPr>
                  <w:r>
                    <w:rPr>
                      <w:bCs/>
                      <w:kern w:val="0"/>
                      <w:szCs w:val="21"/>
                      <w:highlight w:val="none"/>
                    </w:rPr>
                    <w:t>/</w:t>
                  </w:r>
                </w:p>
              </w:tc>
              <w:tc>
                <w:tcPr>
                  <w:tcW w:w="898" w:type="pct"/>
                  <w:noWrap w:val="0"/>
                  <w:vAlign w:val="center"/>
                </w:tcPr>
                <w:p>
                  <w:pPr>
                    <w:widowControl/>
                    <w:spacing w:before="100" w:beforeAutospacing="1" w:afterAutospacing="1" w:line="400" w:lineRule="exact"/>
                    <w:jc w:val="center"/>
                    <w:rPr>
                      <w:bCs/>
                      <w:kern w:val="0"/>
                      <w:szCs w:val="21"/>
                      <w:highlight w:val="none"/>
                    </w:rPr>
                  </w:pPr>
                  <w:r>
                    <w:rPr>
                      <w:rFonts w:hint="eastAsia"/>
                      <w:bCs/>
                      <w:kern w:val="0"/>
                      <w:szCs w:val="21"/>
                      <w:highlight w:val="none"/>
                      <w:lang w:val="en-US" w:eastAsia="zh-CN"/>
                    </w:rPr>
                    <w:t>5292.5</w:t>
                  </w:r>
                  <w:r>
                    <w:rPr>
                      <w:rFonts w:hint="eastAsia"/>
                      <w:bCs/>
                      <w:kern w:val="0"/>
                      <w:szCs w:val="21"/>
                      <w:highlight w:val="none"/>
                    </w:rPr>
                    <w:t>m</w:t>
                  </w:r>
                  <w:r>
                    <w:rPr>
                      <w:rFonts w:hint="eastAsia"/>
                      <w:bCs/>
                      <w:kern w:val="0"/>
                      <w:szCs w:val="21"/>
                      <w:highlight w:val="none"/>
                      <w:vertAlign w:val="superscript"/>
                    </w:rPr>
                    <w:t>3</w:t>
                  </w:r>
                </w:p>
              </w:tc>
              <w:tc>
                <w:tcPr>
                  <w:tcW w:w="1012" w:type="pct"/>
                  <w:noWrap w:val="0"/>
                  <w:vAlign w:val="center"/>
                </w:tcPr>
                <w:p>
                  <w:pPr>
                    <w:widowControl/>
                    <w:spacing w:before="100" w:beforeAutospacing="1" w:afterAutospacing="1" w:line="400" w:lineRule="exact"/>
                    <w:jc w:val="center"/>
                    <w:rPr>
                      <w:bCs/>
                      <w:kern w:val="0"/>
                      <w:szCs w:val="21"/>
                    </w:rPr>
                  </w:pPr>
                  <w:r>
                    <w:rPr>
                      <w:bCs/>
                      <w:kern w:val="0"/>
                      <w:szCs w:val="21"/>
                    </w:rPr>
                    <w:t>/</w:t>
                  </w:r>
                </w:p>
              </w:tc>
              <w:tc>
                <w:tcPr>
                  <w:tcW w:w="870" w:type="pct"/>
                  <w:noWrap w:val="0"/>
                  <w:vAlign w:val="center"/>
                </w:tcPr>
                <w:p>
                  <w:pPr>
                    <w:widowControl/>
                    <w:spacing w:before="100" w:beforeAutospacing="1" w:afterAutospacing="1" w:line="400" w:lineRule="exact"/>
                    <w:jc w:val="center"/>
                    <w:rPr>
                      <w:rFonts w:hint="default" w:eastAsia="宋体"/>
                      <w:bCs/>
                      <w:kern w:val="0"/>
                      <w:szCs w:val="21"/>
                      <w:lang w:val="en-US" w:eastAsia="zh-CN"/>
                    </w:rPr>
                  </w:pPr>
                  <w:r>
                    <w:rPr>
                      <w:rFonts w:hint="eastAsia"/>
                      <w:bCs/>
                      <w:kern w:val="0"/>
                      <w:szCs w:val="21"/>
                      <w:lang w:val="en-US" w:eastAsia="zh-CN"/>
                    </w:rPr>
                    <w:t>井水</w:t>
                  </w:r>
                </w:p>
              </w:tc>
            </w:tr>
          </w:tbl>
          <w:p>
            <w:pPr>
              <w:widowControl/>
              <w:adjustRightInd w:val="0"/>
              <w:snapToGrid w:val="0"/>
              <w:spacing w:line="360" w:lineRule="auto"/>
              <w:ind w:firstLine="482" w:firstLineChars="200"/>
              <w:jc w:val="left"/>
              <w:rPr>
                <w:b/>
                <w:bCs/>
                <w:color w:val="auto"/>
                <w:kern w:val="0"/>
                <w:sz w:val="24"/>
                <w:lang w:bidi="ar"/>
              </w:rPr>
            </w:pPr>
          </w:p>
          <w:p>
            <w:pPr>
              <w:widowControl/>
              <w:adjustRightInd w:val="0"/>
              <w:snapToGrid w:val="0"/>
              <w:spacing w:line="360" w:lineRule="auto"/>
              <w:ind w:firstLine="482" w:firstLineChars="200"/>
              <w:jc w:val="left"/>
              <w:rPr>
                <w:rFonts w:hint="default" w:eastAsia="宋体"/>
                <w:b/>
                <w:bCs/>
                <w:color w:val="auto"/>
                <w:kern w:val="0"/>
                <w:sz w:val="24"/>
                <w:lang w:val="en-US" w:eastAsia="zh-CN" w:bidi="ar"/>
              </w:rPr>
            </w:pPr>
            <w:r>
              <w:rPr>
                <w:rFonts w:hint="eastAsia"/>
                <w:b/>
                <w:bCs/>
                <w:color w:val="auto"/>
                <w:kern w:val="0"/>
                <w:sz w:val="24"/>
                <w:lang w:val="en-US" w:eastAsia="zh-CN" w:bidi="ar"/>
              </w:rPr>
              <w:t>6、填埋场工程</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库区工程</w:t>
            </w:r>
          </w:p>
          <w:p>
            <w:pPr>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根据拟建垃圾填埋场的地形特点，为了充分利用土地减少占地，节省投资，填埋场建设充分利用天然地形形成填埋区，并根据场地的地形、地质条件以及场容的要求对场底和四周边坡进行防渗层和排水系统的施工和布置。</w:t>
            </w:r>
          </w:p>
          <w:p>
            <w:pPr>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拟建场地原始地形为“</w:t>
            </w:r>
            <w:r>
              <w:rPr>
                <w:rFonts w:hint="eastAsia" w:ascii="Times New Roman" w:hAnsi="Times New Roman" w:eastAsia="宋体" w:cs="Times New Roman"/>
                <w:color w:val="auto"/>
                <w:sz w:val="24"/>
                <w:lang w:val="en-US" w:eastAsia="zh-CN"/>
              </w:rPr>
              <w:t>V</w:t>
            </w:r>
            <w:r>
              <w:rPr>
                <w:rFonts w:hint="eastAsia" w:ascii="Times New Roman" w:hAnsi="Times New Roman" w:eastAsia="宋体" w:cs="Times New Roman"/>
                <w:color w:val="auto"/>
                <w:sz w:val="24"/>
              </w:rPr>
              <w:t>”型沟谷，沟深约20-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m，宽约</w:t>
            </w:r>
            <w:r>
              <w:rPr>
                <w:rFonts w:hint="eastAsia"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rPr>
              <w:t>0-1</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0m，沟底坡度约为</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%，两侧边坡坡度为1:1~1:</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不等。采用</w:t>
            </w:r>
            <w:r>
              <w:rPr>
                <w:rFonts w:hint="eastAsia" w:ascii="Times New Roman" w:hAnsi="Times New Roman" w:eastAsia="宋体" w:cs="Times New Roman"/>
                <w:color w:val="auto"/>
                <w:sz w:val="24"/>
                <w:lang w:val="en-US" w:eastAsia="zh-CN"/>
              </w:rPr>
              <w:t>填埋</w:t>
            </w:r>
            <w:r>
              <w:rPr>
                <w:rFonts w:hint="eastAsia" w:ascii="Times New Roman" w:hAnsi="Times New Roman" w:eastAsia="宋体" w:cs="Times New Roman"/>
                <w:color w:val="auto"/>
                <w:sz w:val="24"/>
              </w:rPr>
              <w:t>方式平整库区，库区底部整平后均进行压实处理，压实系数不小于0.93。填埋场设计总库容为</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0万m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（2）填埋工程</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填埋区采用分段坝体梯形方式进行填埋。本弃土场设计有7个堆放平台，各平台设计高程分别为+410m、+403m、+396m、+390m、+384m、+378m、+373m。其中+410m堆放平台和+403m堆放平台高差为7m，弃土边坡坡比为1:2，马道宽4m；+403m堆放平台和+396m堆放平台高差为7m，弃土边坡坡比为1:2，马道宽4m；+396m堆放平台和+390m堆放平台高差为6m，弃土边坡坡比为1:2，马道宽4m；+390m堆放平台和+384m堆放平台高差为6m，弃土边坡坡比为1:2，马道宽4m；+384m堆放平台和+378m堆放平台高差为6m，弃土边坡坡比为1:2，马道宽4m；+378m堆放平台和+373m堆放平台高差为5m，弃土边坡坡比为1:3。</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为了防止风蚀和雨水冲刷造成水土流失，外坡坡面采用草皮护坡，内坡防渗</w:t>
            </w:r>
            <w:r>
              <w:rPr>
                <w:rFonts w:hint="eastAsia" w:ascii="Times New Roman" w:hAnsi="Times New Roman" w:eastAsia="宋体" w:cs="Times New Roman"/>
                <w:color w:val="auto"/>
                <w:sz w:val="24"/>
                <w:highlight w:val="none"/>
                <w:lang w:val="en-US" w:eastAsia="zh-CN"/>
              </w:rPr>
              <w:t>构造按照工艺设计进行。</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（3）防渗工程</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本项目填埋区在底部和边坡进行压实处理，压实系数不小于0.93；并按照相关标准进行防渗处理。</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①防渗标准</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以现行《建筑垃圾处理技术标准》(CJJ/T134-2019)中的相关要求作为防渗层的防渗标准。</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②防渗层设计</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本项目填埋区库底采用HPDE防渗系统，防渗结构自下而上依次为：反滤层土工滤网200g/m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+卵石导流层（厚300mm）+长丝针刺无纺土工布200g/m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+厚实土壤750mm+1.5mmHPDE土工膜+长丝针刺无纺土工布800g/m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+卵石导流层（厚300mm）+反滤层土工滤网200g/m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+500mm厚袋装土；</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填埋区边坡采用HPDE防渗系统，防渗结构自下而上依次为：长丝针刺无纺土工布600g/m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+1.5mmHPDE土工膜+长丝针刺无纺土工布800g/m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+500mm厚袋装土。</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（4）排水系统</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考虑到降雨情况下，填埋场区内将不可避免产生雨水。因此，本项目在填埋场设计排水系统，主要包括：截排水沟、平台排水沟、排水盲沟、沉砂池等。</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①截排水沟</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弃土场两侧截水沟：主体工程区北高南低，东西侧较高，高程在+368.0m~+411.69m，中间区域下凹。区域内根据高程分布在弃土场两侧设置截水沟，依据高差截流地表雨水，截水沟采用M7.5浆砌石砌筑，梯形断面，其断面尺寸为底宽×高=1.0m×0.8m，内壁采用M10水泥砂浆抹面，共计设置截水沟1200m。</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②平台排水沟</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主体设计在弃渣堆存后形成的边坡台阶（马道）内侧设置排水沟，以拦截边坡来水，并与两面截水沟相连，采用M7.5浆砌砖砌筑，矩形断面，其断面尺寸为底宽×高=0.3m×0.4m，内壁采用M10水泥砂浆抹面，共计设置排水沟960m。</w:t>
            </w:r>
          </w:p>
          <w:p>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③排水盲沟</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由于本项目填埋场为沟道型，两侧坡面汇水均向中间汇集，因此主体设计沿弃土场中轴线设置排水盲沟以防止雨水向下渗集。盲沟设计尺寸为1.0m×1.0m，填筑透水性强的天然砂砾，外包反滤土工布。</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④沉砂池</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根据初步设计，本项目两侧截水沟末端设置沉砂池2座，沉砂池尺寸为长×宽×深=10m×10m×2.5m，浆砌石砌筑。截水沟拦截的雨水经沉砂池沉淀后用于厂区洒水降尘。</w:t>
            </w:r>
          </w:p>
          <w:p>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（5）拦渣坝</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工程设计在项目区域南侧边界建设1座碾压拦渣坝。拦渣坝长30m，上宽5m，高5m，内外坡度1:1。坝体埋深约1.0m，埋深部分采用混凝土块填筑而成。露出部分利用土石方层层碾压堆叠而成。</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拦渣坝工程等级为4级，排洪工程等级为4级，防洪标准为20年一遇。</w:t>
            </w:r>
          </w:p>
          <w:p>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（6）封场</w:t>
            </w:r>
          </w:p>
          <w:p>
            <w:pPr>
              <w:widowControl/>
              <w:adjustRightInd w:val="0"/>
              <w:snapToGrid w:val="0"/>
              <w:spacing w:line="360" w:lineRule="auto"/>
              <w:ind w:firstLine="480" w:firstLineChars="200"/>
              <w:jc w:val="left"/>
              <w:rPr>
                <w:rFonts w:hint="eastAsia"/>
                <w:b w:val="0"/>
                <w:bCs w:val="0"/>
                <w:color w:val="auto"/>
                <w:kern w:val="0"/>
                <w:sz w:val="24"/>
                <w:highlight w:val="none"/>
                <w:lang w:val="en-US" w:eastAsia="zh-CN" w:bidi="ar"/>
              </w:rPr>
            </w:pPr>
            <w:r>
              <w:rPr>
                <w:rFonts w:hint="eastAsia"/>
                <w:b w:val="0"/>
                <w:bCs w:val="0"/>
                <w:color w:val="auto"/>
                <w:kern w:val="0"/>
                <w:sz w:val="24"/>
                <w:highlight w:val="none"/>
                <w:lang w:val="en-US" w:eastAsia="zh-CN" w:bidi="ar"/>
              </w:rPr>
              <w:t>主体设计在弃土填至设计标高后，拆除破碎生产区及附属设施，土地平整，撒播草种进行复垦绿化。</w:t>
            </w:r>
          </w:p>
          <w:p>
            <w:pPr>
              <w:widowControl/>
              <w:adjustRightInd w:val="0"/>
              <w:snapToGrid w:val="0"/>
              <w:spacing w:line="360" w:lineRule="auto"/>
              <w:ind w:firstLine="480" w:firstLineChars="200"/>
              <w:jc w:val="left"/>
              <w:rPr>
                <w:rFonts w:hint="eastAsia"/>
                <w:b w:val="0"/>
                <w:bCs w:val="0"/>
                <w:color w:val="auto"/>
                <w:kern w:val="0"/>
                <w:sz w:val="24"/>
                <w:highlight w:val="none"/>
                <w:lang w:val="en-US" w:eastAsia="zh-CN" w:bidi="ar"/>
              </w:rPr>
            </w:pPr>
            <w:r>
              <w:rPr>
                <w:rFonts w:hint="eastAsia"/>
                <w:b w:val="0"/>
                <w:bCs w:val="0"/>
                <w:color w:val="auto"/>
                <w:kern w:val="0"/>
                <w:sz w:val="24"/>
                <w:highlight w:val="none"/>
                <w:lang w:val="en-US" w:eastAsia="zh-CN" w:bidi="ar"/>
              </w:rPr>
              <w:t>封场后，填埋场区设置标志，注明封场时间以及使用该土地时应注意的事项。</w:t>
            </w:r>
          </w:p>
          <w:p>
            <w:pPr>
              <w:widowControl/>
              <w:adjustRightInd w:val="0"/>
              <w:snapToGrid w:val="0"/>
              <w:spacing w:line="360" w:lineRule="auto"/>
              <w:ind w:firstLine="482" w:firstLineChars="200"/>
              <w:jc w:val="left"/>
              <w:rPr>
                <w:b/>
                <w:bCs/>
                <w:color w:val="auto"/>
                <w:kern w:val="0"/>
                <w:sz w:val="24"/>
                <w:lang w:bidi="ar"/>
              </w:rPr>
            </w:pPr>
            <w:r>
              <w:rPr>
                <w:rFonts w:hint="eastAsia"/>
                <w:b/>
                <w:bCs/>
                <w:color w:val="auto"/>
                <w:kern w:val="0"/>
                <w:sz w:val="24"/>
                <w:lang w:val="en-US" w:eastAsia="zh-CN" w:bidi="ar"/>
              </w:rPr>
              <w:t>7</w:t>
            </w:r>
            <w:r>
              <w:rPr>
                <w:b/>
                <w:bCs/>
                <w:color w:val="auto"/>
                <w:kern w:val="0"/>
                <w:sz w:val="24"/>
                <w:lang w:bidi="ar"/>
              </w:rPr>
              <w:t>、劳动定员及工作制度：</w:t>
            </w:r>
          </w:p>
          <w:p>
            <w:pPr>
              <w:snapToGrid w:val="0"/>
              <w:spacing w:line="360" w:lineRule="auto"/>
              <w:ind w:firstLine="480" w:firstLineChars="200"/>
              <w:rPr>
                <w:rFonts w:hint="eastAsia" w:eastAsia="宋体"/>
                <w:sz w:val="24"/>
                <w:lang w:val="en-US" w:eastAsia="zh-CN"/>
              </w:rPr>
            </w:pPr>
            <w:r>
              <w:rPr>
                <w:color w:val="auto"/>
                <w:sz w:val="24"/>
              </w:rPr>
              <w:t>本项目劳动定员</w:t>
            </w:r>
            <w:r>
              <w:rPr>
                <w:rFonts w:hint="eastAsia"/>
                <w:color w:val="auto"/>
                <w:sz w:val="24"/>
                <w:lang w:val="en-US" w:eastAsia="zh-CN"/>
              </w:rPr>
              <w:t>15</w:t>
            </w:r>
            <w:r>
              <w:rPr>
                <w:color w:val="auto"/>
                <w:sz w:val="24"/>
              </w:rPr>
              <w:t>人，</w:t>
            </w:r>
            <w:r>
              <w:rPr>
                <w:rFonts w:hint="eastAsia"/>
                <w:color w:val="auto"/>
                <w:sz w:val="24"/>
              </w:rPr>
              <w:t>厂区提供食宿</w:t>
            </w:r>
            <w:r>
              <w:rPr>
                <w:rFonts w:hint="eastAsia"/>
                <w:sz w:val="24"/>
              </w:rPr>
              <w:t>，</w:t>
            </w:r>
            <w:r>
              <w:rPr>
                <w:rFonts w:hint="eastAsia" w:ascii="Times New Roman" w:hAnsi="Times New Roman" w:eastAsia="宋体" w:cs="Times New Roman"/>
                <w:sz w:val="24"/>
                <w:shd w:val="clear" w:color="auto" w:fill="FFFFFF"/>
                <w:lang w:val="en-US" w:eastAsia="zh-CN"/>
              </w:rPr>
              <w:t>食堂供给人员15人，住宿人员2人</w:t>
            </w:r>
            <w:r>
              <w:rPr>
                <w:rFonts w:hint="eastAsia"/>
                <w:sz w:val="24"/>
              </w:rPr>
              <w:t>，</w:t>
            </w:r>
            <w:r>
              <w:rPr>
                <w:sz w:val="24"/>
              </w:rPr>
              <w:t>年生产3</w:t>
            </w:r>
            <w:r>
              <w:rPr>
                <w:rFonts w:hint="eastAsia"/>
                <w:sz w:val="24"/>
                <w:lang w:val="en-US" w:eastAsia="zh-CN"/>
              </w:rPr>
              <w:t>65</w:t>
            </w:r>
            <w:r>
              <w:rPr>
                <w:sz w:val="24"/>
              </w:rPr>
              <w:t>天</w:t>
            </w:r>
            <w:r>
              <w:rPr>
                <w:rFonts w:hint="eastAsia"/>
                <w:sz w:val="24"/>
                <w:lang w:eastAsia="zh-CN"/>
              </w:rPr>
              <w:t>，</w:t>
            </w:r>
            <w:r>
              <w:rPr>
                <w:rFonts w:hint="eastAsia"/>
                <w:sz w:val="24"/>
                <w:lang w:val="en-US" w:eastAsia="zh-CN"/>
              </w:rPr>
              <w:t>每天工作10小时</w:t>
            </w:r>
            <w:r>
              <w:rPr>
                <w:sz w:val="24"/>
              </w:rPr>
              <w:t>。</w:t>
            </w:r>
            <w:r>
              <w:rPr>
                <w:rFonts w:hint="eastAsia"/>
                <w:sz w:val="24"/>
                <w:lang w:val="en-US" w:eastAsia="zh-CN"/>
              </w:rPr>
              <w:t>本项目依托“大湾建筑垃圾临时处置点项目”已建办公生活区及生活设施。</w:t>
            </w:r>
          </w:p>
          <w:p>
            <w:pPr>
              <w:snapToGrid w:val="0"/>
              <w:spacing w:line="360" w:lineRule="auto"/>
              <w:ind w:firstLine="482" w:firstLineChars="200"/>
              <w:rPr>
                <w:rFonts w:hint="eastAsia"/>
                <w:b/>
                <w:bCs/>
                <w:sz w:val="24"/>
              </w:rPr>
            </w:pPr>
            <w:r>
              <w:rPr>
                <w:rFonts w:hint="eastAsia"/>
                <w:b/>
                <w:bCs/>
                <w:sz w:val="24"/>
                <w:lang w:val="en-US" w:eastAsia="zh-CN"/>
              </w:rPr>
              <w:t>8</w:t>
            </w:r>
            <w:r>
              <w:rPr>
                <w:rFonts w:hint="eastAsia"/>
                <w:b/>
                <w:bCs/>
                <w:sz w:val="24"/>
              </w:rPr>
              <w:t>、公用功能</w:t>
            </w:r>
          </w:p>
          <w:p>
            <w:pPr>
              <w:snapToGrid w:val="0"/>
              <w:spacing w:line="360" w:lineRule="auto"/>
              <w:ind w:firstLine="482" w:firstLineChars="200"/>
              <w:rPr>
                <w:rFonts w:hint="eastAsia"/>
                <w:b/>
                <w:bCs/>
                <w:sz w:val="24"/>
              </w:rPr>
            </w:pPr>
            <w:r>
              <w:rPr>
                <w:rFonts w:hint="eastAsia"/>
                <w:b/>
                <w:bCs/>
                <w:sz w:val="24"/>
              </w:rPr>
              <w:t>（1）给水</w:t>
            </w:r>
          </w:p>
          <w:p>
            <w:pPr>
              <w:widowControl/>
              <w:adjustRightInd w:val="0"/>
              <w:snapToGrid w:val="0"/>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本项目水源为</w:t>
            </w:r>
            <w:r>
              <w:rPr>
                <w:rFonts w:hint="eastAsia" w:ascii="Times New Roman" w:hAnsi="Times New Roman" w:eastAsia="宋体" w:cs="Times New Roman"/>
                <w:sz w:val="24"/>
                <w:lang w:val="en-US" w:eastAsia="zh-CN"/>
              </w:rPr>
              <w:t>井水</w:t>
            </w:r>
            <w:r>
              <w:rPr>
                <w:rFonts w:hint="eastAsia" w:ascii="Times New Roman" w:hAnsi="Times New Roman" w:eastAsia="宋体" w:cs="Times New Roman"/>
                <w:sz w:val="24"/>
              </w:rPr>
              <w:t>，主要分为</w:t>
            </w:r>
            <w:r>
              <w:rPr>
                <w:rFonts w:hint="eastAsia" w:ascii="Times New Roman" w:hAnsi="Times New Roman" w:eastAsia="宋体" w:cs="Times New Roman"/>
                <w:sz w:val="24"/>
                <w:lang w:val="en-US" w:eastAsia="zh-CN"/>
              </w:rPr>
              <w:t>混凝土破碎喷淋</w:t>
            </w:r>
            <w:r>
              <w:rPr>
                <w:rFonts w:hint="eastAsia" w:ascii="Times New Roman" w:hAnsi="Times New Roman" w:eastAsia="宋体" w:cs="Times New Roman"/>
                <w:sz w:val="24"/>
              </w:rPr>
              <w:t>用水、</w:t>
            </w:r>
            <w:r>
              <w:rPr>
                <w:rFonts w:hint="eastAsia" w:ascii="Times New Roman" w:hAnsi="Times New Roman" w:eastAsia="宋体" w:cs="Times New Roman"/>
                <w:sz w:val="24"/>
                <w:lang w:val="en-US" w:eastAsia="zh-CN"/>
              </w:rPr>
              <w:t>喷雾管网用水、堆场降尘用水</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道路降尘用水、洗车用水、</w:t>
            </w:r>
            <w:r>
              <w:rPr>
                <w:rFonts w:hint="eastAsia" w:ascii="Times New Roman" w:hAnsi="Times New Roman" w:eastAsia="宋体" w:cs="Times New Roman"/>
                <w:sz w:val="24"/>
              </w:rPr>
              <w:t>生活用水。</w:t>
            </w:r>
          </w:p>
          <w:p>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项目采用雨污分流制</w:t>
            </w:r>
            <w:r>
              <w:rPr>
                <w:rFonts w:hint="eastAsia" w:ascii="Times New Roman" w:hAnsi="Times New Roman" w:cs="Times New Roman"/>
                <w:color w:val="auto"/>
                <w:sz w:val="24"/>
                <w:szCs w:val="24"/>
                <w:lang w:val="en-US" w:eastAsia="zh-CN"/>
              </w:rPr>
              <w:t>，填埋场两侧设置截水沟、堆放平台内侧排水沟以及渣场内部排水盲沟，盲沟设计尺寸为1.0m×1.0m，填筑透水性强的天然砂砾，外包反滤土工布，雨水经排水系统作用进入沉砂池，雨水经沉淀处理后用于厂区洒水降尘。根据后文初期雨水核算，单次雨水量约为176.23</w:t>
            </w:r>
            <w:r>
              <w:rPr>
                <w:rFonts w:hint="eastAsia"/>
                <w:sz w:val="24"/>
              </w:rPr>
              <w:t>m</w:t>
            </w:r>
            <w:r>
              <w:rPr>
                <w:rFonts w:hint="eastAsia"/>
                <w:sz w:val="24"/>
                <w:vertAlign w:val="superscript"/>
              </w:rPr>
              <w:t>3</w:t>
            </w:r>
            <w:r>
              <w:rPr>
                <w:rFonts w:hint="eastAsia"/>
                <w:sz w:val="24"/>
                <w:lang w:eastAsia="zh-CN"/>
              </w:rPr>
              <w:t>。</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eastAsia"/>
                <w:sz w:val="24"/>
              </w:rPr>
              <w:t>根据建设单位运行经验，</w:t>
            </w:r>
            <w:r>
              <w:rPr>
                <w:rFonts w:hint="eastAsia"/>
                <w:kern w:val="0"/>
                <w:sz w:val="24"/>
              </w:rPr>
              <w:t>喷淋用水约为8L/t破碎产品，则用水量约为</w:t>
            </w:r>
            <w:r>
              <w:rPr>
                <w:rFonts w:hint="eastAsia"/>
                <w:kern w:val="0"/>
                <w:sz w:val="24"/>
                <w:lang w:val="en-US" w:eastAsia="zh-CN"/>
              </w:rPr>
              <w:t>2.3</w:t>
            </w:r>
            <w:r>
              <w:rPr>
                <w:rFonts w:hint="eastAsia"/>
                <w:kern w:val="0"/>
                <w:sz w:val="24"/>
              </w:rPr>
              <w:t>m</w:t>
            </w:r>
            <w:r>
              <w:rPr>
                <w:rFonts w:hint="eastAsia"/>
                <w:kern w:val="0"/>
                <w:sz w:val="24"/>
                <w:vertAlign w:val="superscript"/>
              </w:rPr>
              <w:t>3</w:t>
            </w:r>
            <w:r>
              <w:rPr>
                <w:rFonts w:hint="eastAsia"/>
                <w:kern w:val="0"/>
                <w:sz w:val="24"/>
              </w:rPr>
              <w:t>/d，</w:t>
            </w:r>
            <w:r>
              <w:rPr>
                <w:rFonts w:hint="eastAsia"/>
                <w:sz w:val="24"/>
              </w:rPr>
              <w:t>蒸发损耗按照20%计，则每天补充水量为</w:t>
            </w:r>
            <w:r>
              <w:rPr>
                <w:rFonts w:hint="eastAsia"/>
                <w:sz w:val="24"/>
                <w:lang w:val="en-US" w:eastAsia="zh-CN"/>
              </w:rPr>
              <w:t>0.46</w:t>
            </w:r>
            <w:r>
              <w:rPr>
                <w:rFonts w:hint="eastAsia"/>
                <w:sz w:val="24"/>
              </w:rPr>
              <w:t>m</w:t>
            </w:r>
            <w:r>
              <w:rPr>
                <w:rFonts w:hint="eastAsia"/>
                <w:sz w:val="24"/>
                <w:vertAlign w:val="superscript"/>
              </w:rPr>
              <w:t>3</w:t>
            </w:r>
            <w:r>
              <w:rPr>
                <w:rFonts w:hint="eastAsia"/>
                <w:sz w:val="24"/>
              </w:rPr>
              <w:t>/d</w:t>
            </w:r>
            <w:r>
              <w:rPr>
                <w:rFonts w:hint="eastAsia"/>
                <w:sz w:val="24"/>
                <w:lang w:eastAsia="zh-CN"/>
              </w:rPr>
              <w:t>；</w:t>
            </w:r>
            <w:r>
              <w:rPr>
                <w:rFonts w:hint="eastAsia"/>
                <w:sz w:val="24"/>
              </w:rPr>
              <w:t>根据建设单位运行经验，喷雾管网用水约</w:t>
            </w:r>
            <w:r>
              <w:rPr>
                <w:rFonts w:hint="eastAsia"/>
                <w:sz w:val="24"/>
                <w:lang w:val="en-US" w:eastAsia="zh-CN"/>
              </w:rPr>
              <w:t>2</w:t>
            </w:r>
            <w:r>
              <w:rPr>
                <w:rFonts w:hint="eastAsia"/>
                <w:sz w:val="24"/>
              </w:rPr>
              <w:t>m</w:t>
            </w:r>
            <w:r>
              <w:rPr>
                <w:rFonts w:hint="eastAsia"/>
                <w:sz w:val="24"/>
                <w:vertAlign w:val="superscript"/>
              </w:rPr>
              <w:t>3</w:t>
            </w:r>
            <w:r>
              <w:rPr>
                <w:rFonts w:hint="eastAsia"/>
                <w:sz w:val="24"/>
              </w:rPr>
              <w:t>/d</w:t>
            </w:r>
            <w:r>
              <w:rPr>
                <w:rFonts w:hint="eastAsia"/>
                <w:sz w:val="24"/>
                <w:lang w:eastAsia="zh-CN"/>
              </w:rPr>
              <w:t>；</w:t>
            </w:r>
            <w:r>
              <w:rPr>
                <w:rFonts w:hint="eastAsia"/>
                <w:sz w:val="24"/>
                <w:lang w:val="en-US" w:eastAsia="zh-CN"/>
              </w:rPr>
              <w:t>只有混凝土块堆场与骨料成品堆场需要洒水抑尘，</w:t>
            </w:r>
            <w:r>
              <w:rPr>
                <w:rFonts w:hint="eastAsia" w:ascii="Times New Roman" w:hAnsi="Times New Roman" w:eastAsia="宋体" w:cs="Times New Roman"/>
                <w:sz w:val="24"/>
                <w:lang w:val="en-US" w:eastAsia="zh-CN"/>
              </w:rPr>
              <w:t>堆场降尘用水约</w:t>
            </w:r>
            <w:r>
              <w:rPr>
                <w:rFonts w:hint="eastAsia"/>
                <w:sz w:val="24"/>
                <w:lang w:val="en-US" w:eastAsia="zh-CN"/>
              </w:rPr>
              <w:t>2.5</w:t>
            </w:r>
            <w:r>
              <w:rPr>
                <w:rFonts w:hint="eastAsia"/>
                <w:sz w:val="24"/>
              </w:rPr>
              <w:t>m</w:t>
            </w:r>
            <w:r>
              <w:rPr>
                <w:rFonts w:hint="eastAsia"/>
                <w:sz w:val="24"/>
                <w:vertAlign w:val="superscript"/>
              </w:rPr>
              <w:t>3</w:t>
            </w:r>
            <w:r>
              <w:rPr>
                <w:rFonts w:hint="eastAsia"/>
                <w:sz w:val="24"/>
              </w:rPr>
              <w:t>/d</w:t>
            </w:r>
            <w:r>
              <w:rPr>
                <w:rFonts w:hint="eastAsia"/>
                <w:sz w:val="24"/>
                <w:lang w:eastAsia="zh-CN"/>
              </w:rPr>
              <w:t>；</w:t>
            </w:r>
            <w:r>
              <w:rPr>
                <w:rFonts w:hint="eastAsia" w:ascii="Times New Roman" w:hAnsi="Times New Roman" w:eastAsia="宋体" w:cs="Times New Roman"/>
                <w:sz w:val="24"/>
                <w:lang w:val="en-US" w:eastAsia="zh-CN"/>
              </w:rPr>
              <w:t>道路降尘用水约5m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ascii="Times New Roman" w:hAnsi="Times New Roman" w:cs="Times New Roman"/>
                <w:color w:val="auto"/>
                <w:sz w:val="24"/>
                <w:szCs w:val="24"/>
                <w:lang w:val="en-US" w:eastAsia="zh-CN"/>
              </w:rPr>
              <w:t>洗车用水量约为0.5m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/次，</w:t>
            </w:r>
            <w:r>
              <w:rPr>
                <w:rFonts w:hint="eastAsia"/>
                <w:sz w:val="24"/>
              </w:rPr>
              <w:t>根据建设单位运行经验</w:t>
            </w:r>
            <w:r>
              <w:rPr>
                <w:rFonts w:hint="eastAsia"/>
                <w:sz w:val="24"/>
                <w:lang w:eastAsia="zh-CN"/>
              </w:rPr>
              <w:t>，</w:t>
            </w:r>
            <w:r>
              <w:rPr>
                <w:rFonts w:hint="eastAsia" w:ascii="Times New Roman" w:hAnsi="Times New Roman" w:cs="Times New Roman"/>
                <w:color w:val="auto"/>
                <w:sz w:val="24"/>
                <w:szCs w:val="24"/>
                <w:vertAlign w:val="baseline"/>
                <w:lang w:val="en-US" w:eastAsia="zh-CN"/>
              </w:rPr>
              <w:t>每辆车每天平均洗3次，则洗车用水约15m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/d，</w:t>
            </w:r>
            <w:r>
              <w:rPr>
                <w:rFonts w:hint="eastAsia" w:ascii="Times New Roman" w:hAnsi="Times New Roman" w:cs="Times New Roman"/>
                <w:color w:val="auto"/>
                <w:sz w:val="24"/>
                <w:szCs w:val="24"/>
                <w:lang w:val="en-US" w:eastAsia="zh-CN"/>
              </w:rPr>
              <w:t>蒸发损耗按照20%计，则每天补充水量为3m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hd w:val="clear" w:color="auto" w:fill="FFFFFF"/>
              </w:rPr>
              <w:t>本项目生活区有</w:t>
            </w:r>
            <w:r>
              <w:rPr>
                <w:rFonts w:hint="eastAsia" w:ascii="Times New Roman" w:hAnsi="Times New Roman" w:eastAsia="宋体" w:cs="Times New Roman"/>
                <w:sz w:val="24"/>
                <w:shd w:val="clear" w:color="auto" w:fill="FFFFFF"/>
                <w:lang w:val="en-US" w:eastAsia="zh-CN"/>
              </w:rPr>
              <w:t>15</w:t>
            </w:r>
            <w:r>
              <w:rPr>
                <w:rFonts w:hint="eastAsia" w:ascii="Times New Roman" w:hAnsi="Times New Roman" w:eastAsia="宋体" w:cs="Times New Roman"/>
                <w:sz w:val="24"/>
                <w:shd w:val="clear" w:color="auto" w:fill="FFFFFF"/>
              </w:rPr>
              <w:t>人</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食堂供给15人，住宿2人</w:t>
            </w:r>
            <w:r>
              <w:rPr>
                <w:rFonts w:hint="eastAsia" w:ascii="Times New Roman" w:hAnsi="Times New Roman" w:eastAsia="宋体" w:cs="Times New Roman"/>
                <w:sz w:val="24"/>
              </w:rPr>
              <w:t>。</w:t>
            </w:r>
          </w:p>
          <w:p>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rPr>
              <w:t>参考四川省人民政府关于印发《四川省用水定额》的通知（川府函〔2021〕8号）并结合项目实际情况，</w:t>
            </w:r>
            <w:r>
              <w:rPr>
                <w:rFonts w:hint="eastAsia" w:ascii="Times New Roman" w:hAnsi="Times New Roman" w:eastAsia="宋体" w:cs="Times New Roman"/>
                <w:sz w:val="24"/>
                <w:lang w:val="en-US" w:eastAsia="zh-CN"/>
              </w:rPr>
              <w:t>住宿人员</w:t>
            </w:r>
            <w:r>
              <w:rPr>
                <w:rFonts w:hint="eastAsia" w:ascii="Times New Roman" w:hAnsi="Times New Roman" w:eastAsia="宋体" w:cs="Times New Roman"/>
                <w:sz w:val="24"/>
              </w:rPr>
              <w:t>用水水量按120L/人·d计，</w:t>
            </w:r>
            <w:r>
              <w:rPr>
                <w:rFonts w:hint="eastAsia" w:ascii="Times New Roman" w:hAnsi="Times New Roman" w:eastAsia="宋体" w:cs="Times New Roman"/>
                <w:sz w:val="24"/>
                <w:lang w:val="en-US" w:eastAsia="zh-CN"/>
              </w:rPr>
              <w:t>非住宿人员</w:t>
            </w:r>
            <w:r>
              <w:rPr>
                <w:rFonts w:hint="eastAsia" w:ascii="Times New Roman" w:hAnsi="Times New Roman" w:eastAsia="宋体" w:cs="Times New Roman"/>
                <w:sz w:val="24"/>
              </w:rPr>
              <w:t>用水水量按1</w:t>
            </w:r>
            <w:r>
              <w:rPr>
                <w:rFonts w:hint="eastAsia" w:ascii="Times New Roman" w:hAnsi="Times New Roman" w:eastAsia="宋体" w:cs="Times New Roman"/>
                <w:sz w:val="24"/>
                <w:lang w:val="en-US" w:eastAsia="zh-CN"/>
              </w:rPr>
              <w:t>0</w:t>
            </w:r>
            <w:r>
              <w:rPr>
                <w:rFonts w:hint="eastAsia" w:ascii="Times New Roman" w:hAnsi="Times New Roman" w:eastAsia="宋体" w:cs="Times New Roman"/>
                <w:sz w:val="24"/>
              </w:rPr>
              <w:t>0L/人·d计</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则生活用水量为</w:t>
            </w:r>
            <w:r>
              <w:rPr>
                <w:rFonts w:hint="eastAsia" w:ascii="Times New Roman" w:hAnsi="Times New Roman" w:eastAsia="宋体" w:cs="Times New Roman"/>
                <w:sz w:val="24"/>
                <w:lang w:val="en-US" w:eastAsia="zh-CN"/>
              </w:rPr>
              <w:t>1.54</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/d，产污系数按0.8考虑，则生活污水产生量为</w:t>
            </w:r>
            <w:r>
              <w:rPr>
                <w:rFonts w:hint="eastAsia" w:ascii="Times New Roman" w:hAnsi="Times New Roman" w:eastAsia="宋体" w:cs="Times New Roman"/>
                <w:sz w:val="24"/>
                <w:lang w:val="en-US" w:eastAsia="zh-CN"/>
              </w:rPr>
              <w:t>1.23</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w:t>
            </w:r>
            <w:r>
              <w:rPr>
                <w:rFonts w:hint="eastAsia" w:ascii="Times New Roman" w:hAnsi="Times New Roman" w:eastAsia="宋体" w:cs="Times New Roman"/>
                <w:sz w:val="24"/>
                <w:lang w:eastAsia="zh-CN"/>
              </w:rPr>
              <w:t>。</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用水</w:t>
            </w:r>
            <w:r>
              <w:rPr>
                <w:rFonts w:hint="default" w:ascii="Times New Roman" w:hAnsi="Times New Roman" w:eastAsia="宋体" w:cs="Times New Roman"/>
                <w:color w:val="auto"/>
                <w:sz w:val="24"/>
                <w:szCs w:val="24"/>
                <w:lang w:val="en-US" w:eastAsia="zh-CN"/>
              </w:rPr>
              <w:t>和排水量见下表所示：</w:t>
            </w:r>
          </w:p>
          <w:p>
            <w:pPr>
              <w:snapToGrid w:val="0"/>
              <w:spacing w:line="360" w:lineRule="auto"/>
              <w:ind w:firstLine="482" w:firstLineChars="200"/>
              <w:jc w:val="center"/>
              <w:rPr>
                <w:rFonts w:hint="eastAsia"/>
                <w:sz w:val="24"/>
              </w:rPr>
            </w:pPr>
            <w:r>
              <w:rPr>
                <w:b/>
                <w:szCs w:val="21"/>
              </w:rPr>
              <w:t>表</w:t>
            </w:r>
            <w:r>
              <w:rPr>
                <w:rFonts w:hint="eastAsia"/>
                <w:b/>
                <w:szCs w:val="21"/>
              </w:rPr>
              <w:t>2-</w:t>
            </w:r>
            <w:r>
              <w:rPr>
                <w:rFonts w:hint="eastAsia"/>
                <w:b/>
                <w:szCs w:val="21"/>
                <w:lang w:val="en-US" w:eastAsia="zh-CN"/>
              </w:rPr>
              <w:t>6</w:t>
            </w:r>
            <w:r>
              <w:rPr>
                <w:b/>
                <w:szCs w:val="21"/>
              </w:rPr>
              <w:t xml:space="preserve">  </w:t>
            </w:r>
            <w:r>
              <w:rPr>
                <w:rFonts w:hint="eastAsia"/>
                <w:b/>
                <w:szCs w:val="21"/>
                <w:lang w:val="en-US" w:eastAsia="zh-CN"/>
              </w:rPr>
              <w:t>本项目</w:t>
            </w:r>
            <w:r>
              <w:rPr>
                <w:rFonts w:hint="eastAsia"/>
                <w:b/>
                <w:kern w:val="0"/>
                <w:szCs w:val="21"/>
              </w:rPr>
              <w:t>用水情况估算一览</w:t>
            </w:r>
            <w:r>
              <w:rPr>
                <w:b/>
                <w:kern w:val="0"/>
                <w:szCs w:val="21"/>
              </w:rPr>
              <w:t>表</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25"/>
              <w:gridCol w:w="1003"/>
              <w:gridCol w:w="933"/>
              <w:gridCol w:w="1147"/>
              <w:gridCol w:w="928"/>
              <w:gridCol w:w="11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序号</w:t>
                  </w:r>
                </w:p>
              </w:tc>
              <w:tc>
                <w:tcPr>
                  <w:tcW w:w="615" w:type="pct"/>
                  <w:noWrap w:val="0"/>
                  <w:vAlign w:val="center"/>
                </w:tcPr>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szCs w:val="21"/>
                    </w:rPr>
                    <w:t>用水项目</w:t>
                  </w:r>
                </w:p>
              </w:tc>
              <w:tc>
                <w:tcPr>
                  <w:tcW w:w="615" w:type="pct"/>
                  <w:noWrap w:val="0"/>
                  <w:vAlign w:val="center"/>
                </w:tcPr>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szCs w:val="21"/>
                    </w:rPr>
                    <w:t>规模</w:t>
                  </w:r>
                </w:p>
              </w:tc>
              <w:tc>
                <w:tcPr>
                  <w:tcW w:w="619" w:type="pct"/>
                  <w:noWrap w:val="0"/>
                  <w:vAlign w:val="center"/>
                </w:tcPr>
                <w:p>
                  <w:pPr>
                    <w:widowControl/>
                    <w:spacing w:line="280" w:lineRule="exact"/>
                    <w:jc w:val="center"/>
                    <w:rPr>
                      <w:kern w:val="0"/>
                      <w:szCs w:val="21"/>
                    </w:rPr>
                  </w:pPr>
                  <w:r>
                    <w:rPr>
                      <w:kern w:val="0"/>
                      <w:szCs w:val="21"/>
                    </w:rPr>
                    <w:t>用水</w:t>
                  </w:r>
                </w:p>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kern w:val="0"/>
                      <w:szCs w:val="21"/>
                    </w:rPr>
                    <w:t>定额</w:t>
                  </w:r>
                </w:p>
              </w:tc>
              <w:tc>
                <w:tcPr>
                  <w:tcW w:w="649" w:type="pct"/>
                  <w:noWrap w:val="0"/>
                  <w:vAlign w:val="center"/>
                </w:tcPr>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szCs w:val="21"/>
                    </w:rPr>
                    <w:t>日</w:t>
                  </w:r>
                  <w:r>
                    <w:rPr>
                      <w:rFonts w:hint="eastAsia"/>
                      <w:szCs w:val="21"/>
                      <w:lang w:val="en-US" w:eastAsia="zh-CN"/>
                    </w:rPr>
                    <w:t>（补充/用）</w:t>
                  </w:r>
                  <w:r>
                    <w:rPr>
                      <w:szCs w:val="21"/>
                    </w:rPr>
                    <w:t>水量（m</w:t>
                  </w:r>
                  <w:r>
                    <w:rPr>
                      <w:szCs w:val="21"/>
                      <w:vertAlign w:val="superscript"/>
                    </w:rPr>
                    <w:t>3</w:t>
                  </w:r>
                  <w:r>
                    <w:rPr>
                      <w:szCs w:val="21"/>
                    </w:rPr>
                    <w:t>/d</w:t>
                  </w:r>
                  <w:r>
                    <w:rPr>
                      <w:rFonts w:hint="eastAsia"/>
                      <w:szCs w:val="21"/>
                    </w:rPr>
                    <w:t>）</w:t>
                  </w:r>
                </w:p>
              </w:tc>
              <w:tc>
                <w:tcPr>
                  <w:tcW w:w="617" w:type="pct"/>
                  <w:noWrap w:val="0"/>
                  <w:vAlign w:val="center"/>
                </w:tcPr>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szCs w:val="21"/>
                    </w:rPr>
                    <w:t>产污系数</w:t>
                  </w:r>
                </w:p>
              </w:tc>
              <w:tc>
                <w:tcPr>
                  <w:tcW w:w="649" w:type="pct"/>
                  <w:noWrap w:val="0"/>
                  <w:vAlign w:val="center"/>
                </w:tcPr>
                <w:p>
                  <w:pPr>
                    <w:widowControl/>
                    <w:spacing w:line="280" w:lineRule="exact"/>
                    <w:jc w:val="center"/>
                    <w:rPr>
                      <w:rFonts w:hint="eastAsia" w:ascii="Times New Roman" w:hAnsi="Times New Roman" w:eastAsia="宋体" w:cs="Times New Roman"/>
                      <w:color w:val="auto"/>
                      <w:sz w:val="24"/>
                      <w:szCs w:val="24"/>
                      <w:vertAlign w:val="baseline"/>
                      <w:lang w:val="en-US" w:eastAsia="zh-CN"/>
                    </w:rPr>
                  </w:pPr>
                  <w:r>
                    <w:rPr>
                      <w:rFonts w:hint="eastAsia"/>
                      <w:szCs w:val="21"/>
                    </w:rPr>
                    <w:t>回用</w:t>
                  </w:r>
                  <w:r>
                    <w:rPr>
                      <w:rFonts w:hint="eastAsia"/>
                      <w:szCs w:val="21"/>
                      <w:lang w:val="en-US" w:eastAsia="zh-CN"/>
                    </w:rPr>
                    <w:t>/污</w:t>
                  </w:r>
                  <w:r>
                    <w:rPr>
                      <w:rFonts w:hint="eastAsia"/>
                      <w:szCs w:val="21"/>
                    </w:rPr>
                    <w:t>水</w:t>
                  </w:r>
                  <w:r>
                    <w:rPr>
                      <w:szCs w:val="21"/>
                    </w:rPr>
                    <w:t>量（m</w:t>
                  </w:r>
                  <w:r>
                    <w:rPr>
                      <w:szCs w:val="21"/>
                      <w:vertAlign w:val="superscript"/>
                    </w:rPr>
                    <w:t>3</w:t>
                  </w:r>
                  <w:r>
                    <w:rPr>
                      <w:szCs w:val="21"/>
                    </w:rPr>
                    <w:t>/d</w:t>
                  </w:r>
                  <w:r>
                    <w:rPr>
                      <w:rFonts w:hint="eastAsia"/>
                      <w:szCs w:val="21"/>
                    </w:rPr>
                    <w:t>）</w:t>
                  </w:r>
                </w:p>
              </w:tc>
              <w:tc>
                <w:tcPr>
                  <w:tcW w:w="618"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1</w:t>
                  </w:r>
                </w:p>
              </w:tc>
              <w:tc>
                <w:tcPr>
                  <w:tcW w:w="615"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喷淋用水</w:t>
                  </w:r>
                </w:p>
              </w:tc>
              <w:tc>
                <w:tcPr>
                  <w:tcW w:w="615"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105000t</w:t>
                  </w:r>
                </w:p>
              </w:tc>
              <w:tc>
                <w:tcPr>
                  <w:tcW w:w="619" w:type="pct"/>
                  <w:noWrap w:val="0"/>
                  <w:vAlign w:val="center"/>
                </w:tcPr>
                <w:p>
                  <w:pPr>
                    <w:widowControl/>
                    <w:spacing w:line="280" w:lineRule="exact"/>
                    <w:jc w:val="center"/>
                    <w:rPr>
                      <w:kern w:val="0"/>
                      <w:szCs w:val="21"/>
                    </w:rPr>
                  </w:pPr>
                  <w:r>
                    <w:rPr>
                      <w:rFonts w:hint="eastAsia"/>
                      <w:szCs w:val="21"/>
                    </w:rPr>
                    <w:t>8L/t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0.46</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1.84</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沉淀池+絮凝剂处理后回用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2</w:t>
                  </w:r>
                </w:p>
              </w:tc>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喷雾管网用水</w:t>
                  </w:r>
                </w:p>
              </w:tc>
              <w:tc>
                <w:tcPr>
                  <w:tcW w:w="615"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19" w:type="pct"/>
                  <w:noWrap w:val="0"/>
                  <w:vAlign w:val="center"/>
                </w:tcPr>
                <w:p>
                  <w:pPr>
                    <w:widowControl/>
                    <w:spacing w:line="280" w:lineRule="exact"/>
                    <w:jc w:val="center"/>
                    <w:rPr>
                      <w:rFonts w:hint="eastAsia" w:eastAsia="宋体"/>
                      <w:kern w:val="0"/>
                      <w:szCs w:val="21"/>
                      <w:lang w:val="en-US" w:eastAsia="zh-CN"/>
                    </w:rPr>
                  </w:pPr>
                  <w:r>
                    <w:rPr>
                      <w:rFonts w:hint="eastAsia"/>
                      <w:kern w:val="0"/>
                      <w:szCs w:val="21"/>
                      <w:lang w:val="en-US" w:eastAsia="zh-CN"/>
                    </w:rPr>
                    <w:t>/</w:t>
                  </w:r>
                </w:p>
              </w:tc>
              <w:tc>
                <w:tcPr>
                  <w:tcW w:w="649"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2</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全部蒸发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3</w:t>
                  </w:r>
                </w:p>
              </w:tc>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堆场降尘用水</w:t>
                  </w:r>
                </w:p>
              </w:tc>
              <w:tc>
                <w:tcPr>
                  <w:tcW w:w="615"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19" w:type="pct"/>
                  <w:noWrap w:val="0"/>
                  <w:vAlign w:val="center"/>
                </w:tcPr>
                <w:p>
                  <w:pPr>
                    <w:widowControl/>
                    <w:spacing w:line="280" w:lineRule="exact"/>
                    <w:jc w:val="center"/>
                    <w:rPr>
                      <w:rFonts w:hint="eastAsia" w:eastAsia="宋体"/>
                      <w:kern w:val="0"/>
                      <w:szCs w:val="21"/>
                      <w:lang w:val="en-US" w:eastAsia="zh-CN"/>
                    </w:rPr>
                  </w:pPr>
                  <w:r>
                    <w:rPr>
                      <w:rFonts w:hint="eastAsia"/>
                      <w:kern w:val="0"/>
                      <w:szCs w:val="21"/>
                      <w:lang w:val="en-US" w:eastAsia="zh-CN"/>
                    </w:rPr>
                    <w: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2.5</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18" w:type="pct"/>
                  <w:noWrap w:val="0"/>
                  <w:vAlign w:val="center"/>
                </w:tcPr>
                <w:p>
                  <w:pPr>
                    <w:widowControl/>
                    <w:spacing w:line="280" w:lineRule="exact"/>
                    <w:jc w:val="center"/>
                    <w:rPr>
                      <w:rFonts w:hint="eastAsia"/>
                      <w:szCs w:val="21"/>
                      <w:lang w:val="en-US" w:eastAsia="zh-CN"/>
                    </w:rPr>
                  </w:pPr>
                  <w:r>
                    <w:rPr>
                      <w:rFonts w:hint="eastAsia"/>
                      <w:szCs w:val="21"/>
                      <w:lang w:val="en-US" w:eastAsia="zh-CN"/>
                    </w:rPr>
                    <w:t>全部蒸发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4</w:t>
                  </w:r>
                </w:p>
              </w:tc>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道路降尘用水</w:t>
                  </w:r>
                </w:p>
              </w:tc>
              <w:tc>
                <w:tcPr>
                  <w:tcW w:w="615"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19" w:type="pct"/>
                  <w:noWrap w:val="0"/>
                  <w:vAlign w:val="center"/>
                </w:tcPr>
                <w:p>
                  <w:pPr>
                    <w:widowControl/>
                    <w:spacing w:line="280" w:lineRule="exact"/>
                    <w:jc w:val="center"/>
                    <w:rPr>
                      <w:rFonts w:hint="eastAsia" w:eastAsia="宋体"/>
                      <w:kern w:val="0"/>
                      <w:sz w:val="21"/>
                      <w:szCs w:val="21"/>
                      <w:lang w:val="en-US" w:eastAsia="zh-CN"/>
                    </w:rPr>
                  </w:pPr>
                  <w:r>
                    <w:rPr>
                      <w:rFonts w:hint="eastAsia"/>
                      <w:kern w:val="0"/>
                      <w:sz w:val="21"/>
                      <w:szCs w:val="21"/>
                      <w:lang w:val="en-US" w:eastAsia="zh-CN"/>
                    </w:rPr>
                    <w:t>/</w:t>
                  </w:r>
                </w:p>
              </w:tc>
              <w:tc>
                <w:tcPr>
                  <w:tcW w:w="649"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5</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w:t>
                  </w:r>
                </w:p>
              </w:tc>
              <w:tc>
                <w:tcPr>
                  <w:tcW w:w="618" w:type="pct"/>
                  <w:noWrap w:val="0"/>
                  <w:vAlign w:val="center"/>
                </w:tcPr>
                <w:p>
                  <w:pPr>
                    <w:widowControl/>
                    <w:spacing w:line="280" w:lineRule="exact"/>
                    <w:jc w:val="center"/>
                    <w:rPr>
                      <w:rFonts w:hint="eastAsia"/>
                      <w:szCs w:val="21"/>
                      <w:lang w:val="en-US" w:eastAsia="zh-CN"/>
                    </w:rPr>
                  </w:pPr>
                  <w:r>
                    <w:rPr>
                      <w:rFonts w:hint="eastAsia"/>
                      <w:szCs w:val="21"/>
                      <w:lang w:val="en-US" w:eastAsia="zh-CN"/>
                    </w:rPr>
                    <w:t>全部蒸发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5</w:t>
                  </w:r>
                </w:p>
              </w:tc>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洗车用水</w:t>
                  </w:r>
                </w:p>
              </w:tc>
              <w:tc>
                <w:tcPr>
                  <w:tcW w:w="615"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30次</w:t>
                  </w:r>
                </w:p>
              </w:tc>
              <w:tc>
                <w:tcPr>
                  <w:tcW w:w="619" w:type="pct"/>
                  <w:noWrap w:val="0"/>
                  <w:vAlign w:val="center"/>
                </w:tcPr>
                <w:p>
                  <w:pPr>
                    <w:widowControl/>
                    <w:spacing w:line="280" w:lineRule="exact"/>
                    <w:jc w:val="center"/>
                    <w:rPr>
                      <w:kern w:val="0"/>
                      <w:sz w:val="21"/>
                      <w:szCs w:val="21"/>
                    </w:rPr>
                  </w:pPr>
                  <w:r>
                    <w:rPr>
                      <w:rFonts w:hint="eastAsia" w:ascii="Times New Roman" w:hAnsi="Times New Roman" w:cs="Times New Roman"/>
                      <w:color w:val="auto"/>
                      <w:sz w:val="21"/>
                      <w:szCs w:val="21"/>
                      <w:lang w:val="en-US" w:eastAsia="zh-CN"/>
                    </w:rPr>
                    <w:t>0.5m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/次</w:t>
                  </w:r>
                </w:p>
              </w:tc>
              <w:tc>
                <w:tcPr>
                  <w:tcW w:w="649"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3</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12</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沉淀池处理后回用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65" w:type="pct"/>
                  <w:gridSpan w:val="4"/>
                  <w:noWrap w:val="0"/>
                  <w:vAlign w:val="center"/>
                </w:tcPr>
                <w:p>
                  <w:pPr>
                    <w:widowControl/>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合计（1~5）</w:t>
                  </w:r>
                </w:p>
              </w:tc>
              <w:tc>
                <w:tcPr>
                  <w:tcW w:w="649" w:type="pct"/>
                  <w:noWrap w:val="0"/>
                  <w:vAlign w:val="center"/>
                </w:tcPr>
                <w:p>
                  <w:pPr>
                    <w:widowControl/>
                    <w:spacing w:line="280" w:lineRule="exact"/>
                    <w:jc w:val="center"/>
                    <w:rPr>
                      <w:rFonts w:hint="default"/>
                      <w:szCs w:val="21"/>
                      <w:lang w:val="en-US" w:eastAsia="zh-CN"/>
                    </w:rPr>
                  </w:pPr>
                  <w:r>
                    <w:rPr>
                      <w:rFonts w:hint="eastAsia"/>
                      <w:szCs w:val="21"/>
                      <w:lang w:val="en-US" w:eastAsia="zh-CN"/>
                    </w:rPr>
                    <w:t>12.96</w:t>
                  </w:r>
                </w:p>
              </w:tc>
              <w:tc>
                <w:tcPr>
                  <w:tcW w:w="617" w:type="pct"/>
                  <w:noWrap w:val="0"/>
                  <w:vAlign w:val="center"/>
                </w:tcPr>
                <w:p>
                  <w:pPr>
                    <w:widowControl/>
                    <w:spacing w:line="280" w:lineRule="exact"/>
                    <w:jc w:val="center"/>
                    <w:rPr>
                      <w:rFonts w:hint="default"/>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szCs w:val="21"/>
                      <w:lang w:val="en-US" w:eastAsia="zh-CN"/>
                    </w:rPr>
                  </w:pPr>
                  <w:r>
                    <w:rPr>
                      <w:rFonts w:hint="eastAsia"/>
                      <w:szCs w:val="21"/>
                      <w:lang w:val="en-US" w:eastAsia="zh-CN"/>
                    </w:rPr>
                    <w:t>13.84</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6</w:t>
                  </w:r>
                </w:p>
              </w:tc>
              <w:tc>
                <w:tcPr>
                  <w:tcW w:w="615" w:type="pct"/>
                  <w:vMerge w:val="restart"/>
                  <w:noWrap w:val="0"/>
                  <w:vAlign w:val="center"/>
                </w:tcPr>
                <w:p>
                  <w:pPr>
                    <w:widowControl/>
                    <w:spacing w:line="280" w:lineRule="exact"/>
                    <w:jc w:val="center"/>
                    <w:rPr>
                      <w:rFonts w:hint="default"/>
                      <w:szCs w:val="21"/>
                      <w:lang w:val="en-US" w:eastAsia="zh-CN"/>
                    </w:rPr>
                  </w:pPr>
                  <w:r>
                    <w:rPr>
                      <w:rFonts w:hint="eastAsia"/>
                      <w:szCs w:val="21"/>
                      <w:lang w:val="en-US" w:eastAsia="zh-CN"/>
                    </w:rPr>
                    <w:t>生活用水</w:t>
                  </w:r>
                </w:p>
              </w:tc>
              <w:tc>
                <w:tcPr>
                  <w:tcW w:w="615"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13人</w:t>
                  </w:r>
                </w:p>
              </w:tc>
              <w:tc>
                <w:tcPr>
                  <w:tcW w:w="619" w:type="pct"/>
                  <w:noWrap w:val="0"/>
                  <w:vAlign w:val="center"/>
                </w:tcPr>
                <w:p>
                  <w:pPr>
                    <w:widowControl/>
                    <w:spacing w:line="280" w:lineRule="exact"/>
                    <w:jc w:val="center"/>
                    <w:rPr>
                      <w:kern w:val="0"/>
                      <w:szCs w:val="21"/>
                    </w:rPr>
                  </w:pPr>
                  <w:r>
                    <w:rPr>
                      <w:rFonts w:hint="eastAsia"/>
                      <w:kern w:val="0"/>
                      <w:szCs w:val="21"/>
                    </w:rPr>
                    <w:t>1</w:t>
                  </w:r>
                  <w:r>
                    <w:rPr>
                      <w:rFonts w:hint="eastAsia"/>
                      <w:kern w:val="0"/>
                      <w:szCs w:val="21"/>
                      <w:lang w:val="en-US" w:eastAsia="zh-CN"/>
                    </w:rPr>
                    <w:t>0</w:t>
                  </w:r>
                  <w:r>
                    <w:rPr>
                      <w:rFonts w:hint="eastAsia"/>
                      <w:kern w:val="0"/>
                      <w:szCs w:val="21"/>
                    </w:rPr>
                    <w:t>0L/人·d</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1.3</w:t>
                  </w:r>
                </w:p>
              </w:tc>
              <w:tc>
                <w:tcPr>
                  <w:tcW w:w="617"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0.8</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1.04</w:t>
                  </w:r>
                </w:p>
              </w:tc>
              <w:tc>
                <w:tcPr>
                  <w:tcW w:w="618" w:type="pct"/>
                  <w:vMerge w:val="restart"/>
                  <w:noWrap w:val="0"/>
                  <w:vAlign w:val="center"/>
                </w:tcPr>
                <w:p>
                  <w:pPr>
                    <w:widowControl/>
                    <w:spacing w:line="280" w:lineRule="exact"/>
                    <w:jc w:val="center"/>
                    <w:rPr>
                      <w:rFonts w:hint="default"/>
                      <w:szCs w:val="21"/>
                      <w:lang w:val="en-US" w:eastAsia="zh-CN"/>
                    </w:rPr>
                  </w:pPr>
                  <w:r>
                    <w:rPr>
                      <w:rFonts w:hint="eastAsia"/>
                      <w:szCs w:val="21"/>
                      <w:lang w:val="en-US" w:eastAsia="zh-CN"/>
                    </w:rPr>
                    <w:t>化粪池处置后用于周边土地施肥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pct"/>
                  <w:noWrap w:val="0"/>
                  <w:vAlign w:val="center"/>
                </w:tcPr>
                <w:p>
                  <w:pPr>
                    <w:widowControl/>
                    <w:spacing w:line="280" w:lineRule="exact"/>
                    <w:jc w:val="center"/>
                    <w:rPr>
                      <w:rFonts w:hint="default"/>
                      <w:szCs w:val="21"/>
                      <w:lang w:val="en-US" w:eastAsia="zh-CN"/>
                    </w:rPr>
                  </w:pPr>
                  <w:r>
                    <w:rPr>
                      <w:rFonts w:hint="eastAsia"/>
                      <w:szCs w:val="21"/>
                      <w:lang w:val="en-US" w:eastAsia="zh-CN"/>
                    </w:rPr>
                    <w:t>7</w:t>
                  </w:r>
                </w:p>
              </w:tc>
              <w:tc>
                <w:tcPr>
                  <w:tcW w:w="615" w:type="pct"/>
                  <w:vMerge w:val="continue"/>
                  <w:noWrap w:val="0"/>
                  <w:vAlign w:val="center"/>
                </w:tcPr>
                <w:p>
                  <w:pPr>
                    <w:widowControl/>
                    <w:spacing w:line="280" w:lineRule="exact"/>
                    <w:jc w:val="center"/>
                    <w:rPr>
                      <w:rFonts w:hint="eastAsia"/>
                      <w:szCs w:val="21"/>
                      <w:lang w:val="en-US" w:eastAsia="zh-CN"/>
                    </w:rPr>
                  </w:pPr>
                </w:p>
              </w:tc>
              <w:tc>
                <w:tcPr>
                  <w:tcW w:w="615"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2人</w:t>
                  </w:r>
                </w:p>
              </w:tc>
              <w:tc>
                <w:tcPr>
                  <w:tcW w:w="619" w:type="pct"/>
                  <w:noWrap w:val="0"/>
                  <w:vAlign w:val="center"/>
                </w:tcPr>
                <w:p>
                  <w:pPr>
                    <w:widowControl/>
                    <w:spacing w:line="280" w:lineRule="exact"/>
                    <w:jc w:val="center"/>
                    <w:rPr>
                      <w:kern w:val="0"/>
                      <w:szCs w:val="21"/>
                    </w:rPr>
                  </w:pPr>
                  <w:r>
                    <w:rPr>
                      <w:rFonts w:hint="eastAsia"/>
                      <w:kern w:val="0"/>
                      <w:szCs w:val="21"/>
                    </w:rPr>
                    <w:t>120L/人·d</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0.24</w:t>
                  </w:r>
                </w:p>
              </w:tc>
              <w:tc>
                <w:tcPr>
                  <w:tcW w:w="617"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0.8</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0.19</w:t>
                  </w:r>
                </w:p>
              </w:tc>
              <w:tc>
                <w:tcPr>
                  <w:tcW w:w="618" w:type="pct"/>
                  <w:vMerge w:val="continue"/>
                  <w:noWrap w:val="0"/>
                  <w:vAlign w:val="center"/>
                </w:tcPr>
                <w:p>
                  <w:pPr>
                    <w:widowControl/>
                    <w:spacing w:line="280"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pct"/>
                  <w:gridSpan w:val="4"/>
                  <w:noWrap w:val="0"/>
                  <w:vAlign w:val="center"/>
                </w:tcPr>
                <w:p>
                  <w:pPr>
                    <w:widowControl/>
                    <w:spacing w:line="280" w:lineRule="exact"/>
                    <w:jc w:val="center"/>
                    <w:rPr>
                      <w:rFonts w:hint="default"/>
                      <w:kern w:val="0"/>
                      <w:szCs w:val="21"/>
                      <w:lang w:val="en-US" w:eastAsia="zh-CN"/>
                    </w:rPr>
                  </w:pPr>
                  <w:r>
                    <w:rPr>
                      <w:rFonts w:hint="eastAsia"/>
                      <w:kern w:val="0"/>
                      <w:szCs w:val="21"/>
                      <w:lang w:val="en-US" w:eastAsia="zh-CN"/>
                    </w:rPr>
                    <w:t>合计（6~7）</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1.54</w:t>
                  </w:r>
                </w:p>
              </w:tc>
              <w:tc>
                <w:tcPr>
                  <w:tcW w:w="617" w:type="pct"/>
                  <w:noWrap w:val="0"/>
                  <w:vAlign w:val="center"/>
                </w:tcPr>
                <w:p>
                  <w:pPr>
                    <w:widowControl/>
                    <w:spacing w:line="280" w:lineRule="exact"/>
                    <w:jc w:val="center"/>
                    <w:rPr>
                      <w:rFonts w:hint="eastAsia" w:eastAsia="宋体"/>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eastAsia="宋体"/>
                      <w:szCs w:val="21"/>
                      <w:lang w:val="en-US" w:eastAsia="zh-CN"/>
                    </w:rPr>
                  </w:pPr>
                  <w:r>
                    <w:rPr>
                      <w:rFonts w:hint="eastAsia"/>
                      <w:szCs w:val="21"/>
                      <w:lang w:val="en-US" w:eastAsia="zh-CN"/>
                    </w:rPr>
                    <w:t>1.23</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pct"/>
                  <w:gridSpan w:val="4"/>
                  <w:noWrap w:val="0"/>
                  <w:vAlign w:val="center"/>
                </w:tcPr>
                <w:p>
                  <w:pPr>
                    <w:widowControl/>
                    <w:spacing w:line="280" w:lineRule="exact"/>
                    <w:jc w:val="center"/>
                    <w:rPr>
                      <w:rFonts w:hint="default"/>
                      <w:kern w:val="0"/>
                      <w:szCs w:val="21"/>
                      <w:lang w:val="en-US" w:eastAsia="zh-CN"/>
                    </w:rPr>
                  </w:pPr>
                  <w:r>
                    <w:rPr>
                      <w:rFonts w:hint="eastAsia"/>
                      <w:kern w:val="0"/>
                      <w:szCs w:val="21"/>
                      <w:lang w:val="en-US" w:eastAsia="zh-CN"/>
                    </w:rPr>
                    <w:t>初期雨水</w:t>
                  </w:r>
                </w:p>
              </w:tc>
              <w:tc>
                <w:tcPr>
                  <w:tcW w:w="649" w:type="pct"/>
                  <w:noWrap w:val="0"/>
                  <w:vAlign w:val="center"/>
                </w:tcPr>
                <w:p>
                  <w:pPr>
                    <w:widowControl/>
                    <w:spacing w:line="280" w:lineRule="exact"/>
                    <w:jc w:val="center"/>
                    <w:rPr>
                      <w:rFonts w:hint="default"/>
                      <w:szCs w:val="21"/>
                      <w:lang w:val="en-US" w:eastAsia="zh-CN"/>
                    </w:rPr>
                  </w:pPr>
                  <w:r>
                    <w:rPr>
                      <w:rFonts w:hint="eastAsia"/>
                      <w:szCs w:val="21"/>
                      <w:lang w:val="en-US" w:eastAsia="zh-CN"/>
                    </w:rPr>
                    <w:t>176.23</w:t>
                  </w:r>
                </w:p>
              </w:tc>
              <w:tc>
                <w:tcPr>
                  <w:tcW w:w="617" w:type="pct"/>
                  <w:noWrap w:val="0"/>
                  <w:vAlign w:val="center"/>
                </w:tcPr>
                <w:p>
                  <w:pPr>
                    <w:widowControl/>
                    <w:spacing w:line="280" w:lineRule="exact"/>
                    <w:jc w:val="center"/>
                    <w:rPr>
                      <w:rFonts w:hint="default"/>
                      <w:szCs w:val="21"/>
                      <w:lang w:val="en-US" w:eastAsia="zh-CN"/>
                    </w:rPr>
                  </w:pPr>
                  <w:r>
                    <w:rPr>
                      <w:rFonts w:hint="eastAsia"/>
                      <w:szCs w:val="21"/>
                      <w:lang w:val="en-US" w:eastAsia="zh-CN"/>
                    </w:rPr>
                    <w:t>/</w:t>
                  </w:r>
                </w:p>
              </w:tc>
              <w:tc>
                <w:tcPr>
                  <w:tcW w:w="649" w:type="pct"/>
                  <w:noWrap w:val="0"/>
                  <w:vAlign w:val="center"/>
                </w:tcPr>
                <w:p>
                  <w:pPr>
                    <w:widowControl/>
                    <w:spacing w:line="280" w:lineRule="exact"/>
                    <w:jc w:val="center"/>
                    <w:rPr>
                      <w:rFonts w:hint="default"/>
                      <w:szCs w:val="21"/>
                      <w:lang w:val="en-US" w:eastAsia="zh-CN"/>
                    </w:rPr>
                  </w:pPr>
                  <w:r>
                    <w:rPr>
                      <w:rFonts w:hint="eastAsia"/>
                      <w:szCs w:val="21"/>
                      <w:lang w:val="en-US" w:eastAsia="zh-CN"/>
                    </w:rPr>
                    <w:t>176.23</w:t>
                  </w:r>
                </w:p>
              </w:tc>
              <w:tc>
                <w:tcPr>
                  <w:tcW w:w="618" w:type="pct"/>
                  <w:noWrap w:val="0"/>
                  <w:vAlign w:val="center"/>
                </w:tcPr>
                <w:p>
                  <w:pPr>
                    <w:widowControl/>
                    <w:spacing w:line="280" w:lineRule="exact"/>
                    <w:jc w:val="center"/>
                    <w:rPr>
                      <w:rFonts w:hint="default"/>
                      <w:szCs w:val="21"/>
                      <w:lang w:val="en-US" w:eastAsia="zh-CN"/>
                    </w:rPr>
                  </w:pPr>
                  <w:r>
                    <w:rPr>
                      <w:rFonts w:hint="eastAsia"/>
                      <w:szCs w:val="21"/>
                      <w:lang w:val="en-US" w:eastAsia="zh-CN"/>
                    </w:rPr>
                    <w:t>厂区洒水降尘</w:t>
                  </w:r>
                </w:p>
              </w:tc>
            </w:tr>
          </w:tbl>
          <w:p>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项目水量平衡见下图：</w:t>
            </w:r>
          </w:p>
          <w:p>
            <w:pPr>
              <w:keepNext w:val="0"/>
              <w:keepLines w:val="0"/>
              <w:pageBreakBefore w:val="0"/>
              <w:widowControl/>
              <w:kinsoku/>
              <w:wordWrap/>
              <w:overflowPunct/>
              <w:topLinePunct w:val="0"/>
              <w:autoSpaceDE/>
              <w:autoSpaceDN/>
              <w:bidi w:val="0"/>
              <w:adjustRightInd w:val="0"/>
              <w:snapToGrid w:val="0"/>
              <w:spacing w:line="360" w:lineRule="auto"/>
              <w:ind w:firstLine="240" w:firstLineChars="1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object>
                <v:shape id="_x0000_i1031" o:spt="75" type="#_x0000_t75" style="height:359.25pt;width:350.25pt;" o:ole="t" filled="f" o:preferrelative="t" stroked="f" coordsize="21600,21600">
                  <v:path/>
                  <v:fill on="f" focussize="0,0"/>
                  <v:stroke on="f"/>
                  <v:imagedata r:id="rId13" o:title=""/>
                  <o:lock v:ext="edit" aspectratio="t"/>
                  <w10:wrap type="none"/>
                  <w10:anchorlock/>
                </v:shape>
                <o:OLEObject Type="Embed" ProgID="" ShapeID="_x0000_i1031" DrawAspect="Content" ObjectID="_1468075725" r:id="rId12">
                  <o:LockedField>false</o:LockedField>
                </o:OLEObject>
              </w:object>
            </w:r>
          </w:p>
          <w:p>
            <w:pPr>
              <w:spacing w:after="120"/>
              <w:jc w:val="center"/>
              <w:rPr>
                <w:highlight w:val="none"/>
              </w:rPr>
            </w:pPr>
            <w:bookmarkStart w:id="2" w:name="OLE_LINK3"/>
            <w:r>
              <w:rPr>
                <w:rFonts w:hint="eastAsia"/>
                <w:b/>
                <w:kern w:val="0"/>
                <w:szCs w:val="21"/>
                <w:highlight w:val="none"/>
              </w:rPr>
              <w:t>图2-</w:t>
            </w:r>
            <w:r>
              <w:rPr>
                <w:rFonts w:hint="eastAsia"/>
                <w:b/>
                <w:kern w:val="0"/>
                <w:szCs w:val="21"/>
                <w:highlight w:val="none"/>
                <w:lang w:val="en-US" w:eastAsia="zh-CN"/>
              </w:rPr>
              <w:t>2</w:t>
            </w:r>
            <w:r>
              <w:rPr>
                <w:rFonts w:hint="eastAsia"/>
                <w:b/>
                <w:kern w:val="0"/>
                <w:szCs w:val="21"/>
                <w:highlight w:val="none"/>
              </w:rPr>
              <w:t xml:space="preserve">  水量平衡图</w:t>
            </w:r>
            <w:bookmarkEnd w:id="2"/>
          </w:p>
          <w:p>
            <w:pPr>
              <w:widowControl/>
              <w:adjustRightInd w:val="0"/>
              <w:snapToGrid w:val="0"/>
              <w:spacing w:line="360" w:lineRule="auto"/>
              <w:ind w:firstLine="482" w:firstLineChars="200"/>
              <w:jc w:val="left"/>
              <w:rPr>
                <w:rFonts w:hint="eastAsia"/>
                <w:b/>
                <w:bCs/>
                <w:kern w:val="0"/>
                <w:sz w:val="24"/>
                <w:lang w:bidi="ar"/>
              </w:rPr>
            </w:pPr>
            <w:r>
              <w:rPr>
                <w:rFonts w:hint="eastAsia"/>
                <w:b/>
                <w:bCs/>
                <w:kern w:val="0"/>
                <w:sz w:val="24"/>
                <w:lang w:bidi="ar"/>
              </w:rPr>
              <w:t>（2）排水</w:t>
            </w:r>
          </w:p>
          <w:p>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①雨水</w:t>
            </w:r>
          </w:p>
          <w:p>
            <w:pPr>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雨污分流，生活区雨水经场区雨水沟导入护佛路道路雨水沟，填埋场两侧设置截水沟、堆放平台内侧排水沟以及渣场内部排水盲沟，盲沟设计尺寸为1.0m×1.0m，填筑透水性强的天然砂砾，外包反滤土工布，雨水经排水系统作用进入沉砂池，雨水经沉淀处理后用于厂区洒水降尘。</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②污水</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sz w:val="24"/>
              </w:rPr>
              <w:t>生</w:t>
            </w:r>
            <w:r>
              <w:rPr>
                <w:rFonts w:hint="eastAsia" w:ascii="Times New Roman" w:hAnsi="Times New Roman" w:eastAsia="宋体" w:cs="Times New Roman"/>
                <w:sz w:val="24"/>
              </w:rPr>
              <w:t>活污水经化粪池预处理，处理后的废水用于周边</w:t>
            </w:r>
            <w:r>
              <w:rPr>
                <w:rFonts w:hint="eastAsia" w:ascii="Times New Roman" w:hAnsi="Times New Roman" w:eastAsia="宋体" w:cs="Times New Roman"/>
                <w:sz w:val="24"/>
                <w:lang w:val="en-US" w:eastAsia="zh-CN"/>
              </w:rPr>
              <w:t>土地施肥。</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③废水</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喷雾管网用水、堆场扬尘用水、道路降尘用水全部蒸发，无废水产生，故废水为喷淋废水、洗车废水、雨水。</w:t>
            </w:r>
          </w:p>
          <w:p>
            <w:pPr>
              <w:widowControl/>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喷淋废水经沉淀池+絮凝剂处理后，回用喷淋过程；洗车废水经沉淀池处置后回用洗车过程。</w:t>
            </w:r>
          </w:p>
          <w:p>
            <w:pPr>
              <w:widowControl/>
              <w:adjustRightInd w:val="0"/>
              <w:snapToGrid w:val="0"/>
              <w:spacing w:line="360" w:lineRule="auto"/>
              <w:ind w:firstLine="482" w:firstLineChars="200"/>
              <w:jc w:val="left"/>
              <w:rPr>
                <w:rFonts w:hint="eastAsia"/>
                <w:b/>
                <w:bCs/>
                <w:kern w:val="0"/>
                <w:sz w:val="24"/>
                <w:lang w:bidi="ar"/>
              </w:rPr>
            </w:pPr>
            <w:r>
              <w:rPr>
                <w:rFonts w:hint="eastAsia"/>
                <w:b/>
                <w:bCs/>
                <w:kern w:val="0"/>
                <w:sz w:val="24"/>
                <w:lang w:bidi="ar"/>
              </w:rPr>
              <w:t>（3）供电</w:t>
            </w:r>
          </w:p>
          <w:p>
            <w:pPr>
              <w:snapToGrid w:val="0"/>
              <w:spacing w:line="360" w:lineRule="auto"/>
              <w:ind w:firstLine="480" w:firstLineChars="200"/>
              <w:rPr>
                <w:rFonts w:hint="eastAsia"/>
                <w:sz w:val="24"/>
              </w:rPr>
            </w:pPr>
            <w:r>
              <w:rPr>
                <w:sz w:val="24"/>
                <w:szCs w:val="22"/>
              </w:rPr>
              <w:t>本项目供电电源</w:t>
            </w:r>
            <w:r>
              <w:rPr>
                <w:rFonts w:hint="eastAsia"/>
                <w:sz w:val="24"/>
                <w:szCs w:val="22"/>
              </w:rPr>
              <w:t>由当地国家电网供给</w:t>
            </w:r>
            <w:r>
              <w:rPr>
                <w:rFonts w:hint="eastAsia"/>
                <w:sz w:val="24"/>
                <w:szCs w:val="22"/>
                <w:lang w:eastAsia="zh-CN"/>
              </w:rPr>
              <w:t>，</w:t>
            </w:r>
            <w:r>
              <w:rPr>
                <w:rFonts w:hint="eastAsia"/>
                <w:sz w:val="24"/>
                <w:szCs w:val="22"/>
                <w:lang w:val="en-US" w:eastAsia="zh-CN"/>
              </w:rPr>
              <w:t>项目用电量较小，能</w:t>
            </w:r>
            <w:r>
              <w:rPr>
                <w:rFonts w:hint="eastAsia"/>
                <w:sz w:val="24"/>
              </w:rPr>
              <w:t>满足项目电力需求</w:t>
            </w:r>
            <w:r>
              <w:rPr>
                <w:sz w:val="24"/>
                <w:szCs w:val="22"/>
              </w:rPr>
              <w:t>。</w:t>
            </w:r>
          </w:p>
          <w:p>
            <w:pPr>
              <w:widowControl/>
              <w:adjustRightInd w:val="0"/>
              <w:snapToGrid w:val="0"/>
              <w:spacing w:line="360" w:lineRule="auto"/>
              <w:ind w:firstLine="482" w:firstLineChars="200"/>
              <w:jc w:val="left"/>
              <w:rPr>
                <w:rFonts w:hint="default" w:eastAsia="宋体"/>
                <w:b/>
                <w:bCs/>
                <w:kern w:val="0"/>
                <w:sz w:val="24"/>
                <w:highlight w:val="none"/>
                <w:lang w:val="en-US" w:eastAsia="zh-CN" w:bidi="ar"/>
              </w:rPr>
            </w:pPr>
            <w:r>
              <w:rPr>
                <w:rFonts w:hint="eastAsia"/>
                <w:b/>
                <w:bCs/>
                <w:kern w:val="0"/>
                <w:sz w:val="24"/>
                <w:highlight w:val="none"/>
                <w:lang w:eastAsia="zh-CN" w:bidi="ar"/>
              </w:rPr>
              <w:t>（</w:t>
            </w:r>
            <w:r>
              <w:rPr>
                <w:rFonts w:hint="eastAsia"/>
                <w:b/>
                <w:bCs/>
                <w:kern w:val="0"/>
                <w:sz w:val="24"/>
                <w:highlight w:val="none"/>
                <w:lang w:val="en-US" w:eastAsia="zh-CN" w:bidi="ar"/>
              </w:rPr>
              <w:t>4</w:t>
            </w:r>
            <w:r>
              <w:rPr>
                <w:rFonts w:hint="eastAsia"/>
                <w:b/>
                <w:bCs/>
                <w:kern w:val="0"/>
                <w:sz w:val="24"/>
                <w:highlight w:val="none"/>
                <w:lang w:eastAsia="zh-CN" w:bidi="ar"/>
              </w:rPr>
              <w:t>）</w:t>
            </w:r>
            <w:r>
              <w:rPr>
                <w:rFonts w:hint="eastAsia"/>
                <w:b/>
                <w:bCs/>
                <w:kern w:val="0"/>
                <w:sz w:val="24"/>
                <w:highlight w:val="none"/>
                <w:lang w:val="en-US" w:eastAsia="zh-CN" w:bidi="ar"/>
              </w:rPr>
              <w:t>土石方</w:t>
            </w:r>
          </w:p>
          <w:p>
            <w:pPr>
              <w:widowControl/>
              <w:adjustRightInd w:val="0"/>
              <w:snapToGrid w:val="0"/>
              <w:spacing w:line="360" w:lineRule="auto"/>
              <w:ind w:firstLine="480" w:firstLineChars="200"/>
              <w:jc w:val="left"/>
              <w:rPr>
                <w:rFonts w:hint="default"/>
                <w:b w:val="0"/>
                <w:bCs w:val="0"/>
                <w:kern w:val="0"/>
                <w:sz w:val="24"/>
                <w:highlight w:val="none"/>
                <w:lang w:val="en-US" w:eastAsia="zh-CN" w:bidi="ar"/>
              </w:rPr>
            </w:pPr>
            <w:r>
              <w:rPr>
                <w:rFonts w:hint="eastAsia"/>
                <w:b w:val="0"/>
                <w:bCs w:val="0"/>
                <w:kern w:val="0"/>
                <w:sz w:val="24"/>
                <w:highlight w:val="none"/>
                <w:lang w:val="en-US" w:eastAsia="zh-CN" w:bidi="ar"/>
              </w:rPr>
              <w:t>项目建设累计开挖土石方约2.93万m</w:t>
            </w:r>
            <w:r>
              <w:rPr>
                <w:rFonts w:hint="eastAsia"/>
                <w:b w:val="0"/>
                <w:bCs w:val="0"/>
                <w:kern w:val="0"/>
                <w:sz w:val="24"/>
                <w:highlight w:val="none"/>
                <w:vertAlign w:val="superscript"/>
                <w:lang w:val="en-US" w:eastAsia="zh-CN" w:bidi="ar"/>
              </w:rPr>
              <w:t>3</w:t>
            </w:r>
            <w:r>
              <w:rPr>
                <w:rFonts w:hint="eastAsia"/>
                <w:b w:val="0"/>
                <w:bCs w:val="0"/>
                <w:kern w:val="0"/>
                <w:sz w:val="24"/>
                <w:highlight w:val="none"/>
                <w:lang w:val="en-US" w:eastAsia="zh-CN" w:bidi="ar"/>
              </w:rPr>
              <w:t>（含表土剥离1.40万m</w:t>
            </w:r>
            <w:r>
              <w:rPr>
                <w:rFonts w:hint="eastAsia"/>
                <w:b w:val="0"/>
                <w:bCs w:val="0"/>
                <w:kern w:val="0"/>
                <w:sz w:val="24"/>
                <w:highlight w:val="none"/>
                <w:vertAlign w:val="superscript"/>
                <w:lang w:val="en-US" w:eastAsia="zh-CN" w:bidi="ar"/>
              </w:rPr>
              <w:t>3</w:t>
            </w:r>
            <w:r>
              <w:rPr>
                <w:rFonts w:hint="eastAsia"/>
                <w:b w:val="0"/>
                <w:bCs w:val="0"/>
                <w:kern w:val="0"/>
                <w:sz w:val="24"/>
                <w:highlight w:val="none"/>
                <w:lang w:val="en-US" w:eastAsia="zh-CN" w:bidi="ar"/>
              </w:rPr>
              <w:t>），回填土石方约2.93万m</w:t>
            </w:r>
            <w:r>
              <w:rPr>
                <w:rFonts w:hint="eastAsia"/>
                <w:b w:val="0"/>
                <w:bCs w:val="0"/>
                <w:kern w:val="0"/>
                <w:sz w:val="24"/>
                <w:highlight w:val="none"/>
                <w:vertAlign w:val="superscript"/>
                <w:lang w:val="en-US" w:eastAsia="zh-CN" w:bidi="ar"/>
              </w:rPr>
              <w:t>3</w:t>
            </w:r>
            <w:r>
              <w:rPr>
                <w:rFonts w:hint="eastAsia"/>
                <w:b w:val="0"/>
                <w:bCs w:val="0"/>
                <w:kern w:val="0"/>
                <w:sz w:val="24"/>
                <w:highlight w:val="none"/>
                <w:lang w:val="en-US" w:eastAsia="zh-CN" w:bidi="ar"/>
              </w:rPr>
              <w:t>（含表土回覆1.40万m</w:t>
            </w:r>
            <w:r>
              <w:rPr>
                <w:rFonts w:hint="eastAsia"/>
                <w:b w:val="0"/>
                <w:bCs w:val="0"/>
                <w:kern w:val="0"/>
                <w:sz w:val="24"/>
                <w:highlight w:val="none"/>
                <w:vertAlign w:val="superscript"/>
                <w:lang w:val="en-US" w:eastAsia="zh-CN" w:bidi="ar"/>
              </w:rPr>
              <w:t>3</w:t>
            </w:r>
            <w:r>
              <w:rPr>
                <w:rFonts w:hint="eastAsia"/>
                <w:b w:val="0"/>
                <w:bCs w:val="0"/>
                <w:kern w:val="0"/>
                <w:sz w:val="24"/>
                <w:highlight w:val="none"/>
                <w:lang w:val="en-US" w:eastAsia="zh-CN" w:bidi="ar"/>
              </w:rPr>
              <w:t>），无借方、余方。开挖的土石方区内相互调用，</w:t>
            </w:r>
            <w:r>
              <w:rPr>
                <w:rFonts w:hint="eastAsia"/>
                <w:color w:val="auto"/>
                <w:sz w:val="24"/>
              </w:rPr>
              <w:t>表土用于后期场地绿化恢复</w:t>
            </w:r>
            <w:r>
              <w:rPr>
                <w:rFonts w:hint="eastAsia"/>
                <w:color w:val="auto"/>
                <w:sz w:val="24"/>
                <w:lang w:eastAsia="zh-CN"/>
              </w:rPr>
              <w:t>，</w:t>
            </w:r>
            <w:r>
              <w:rPr>
                <w:rFonts w:hint="eastAsia"/>
                <w:b w:val="0"/>
                <w:bCs w:val="0"/>
                <w:kern w:val="0"/>
                <w:sz w:val="24"/>
                <w:highlight w:val="none"/>
                <w:lang w:val="en-US" w:eastAsia="zh-CN" w:bidi="ar"/>
              </w:rPr>
              <w:t>不产生弃方。</w:t>
            </w:r>
          </w:p>
          <w:p>
            <w:pPr>
              <w:widowControl/>
              <w:adjustRightInd w:val="0"/>
              <w:snapToGrid w:val="0"/>
              <w:spacing w:line="360" w:lineRule="auto"/>
              <w:ind w:firstLine="482" w:firstLineChars="200"/>
              <w:jc w:val="left"/>
              <w:rPr>
                <w:rFonts w:hint="default"/>
                <w:b/>
                <w:bCs/>
                <w:kern w:val="0"/>
                <w:sz w:val="24"/>
                <w:highlight w:val="none"/>
                <w:lang w:val="en-US" w:eastAsia="zh-CN" w:bidi="ar"/>
              </w:rPr>
            </w:pPr>
            <w:r>
              <w:rPr>
                <w:rFonts w:hint="eastAsia"/>
                <w:b/>
                <w:bCs/>
                <w:kern w:val="0"/>
                <w:sz w:val="24"/>
                <w:highlight w:val="none"/>
                <w:lang w:val="en-US" w:eastAsia="zh-CN" w:bidi="ar"/>
              </w:rPr>
              <w:t>9、</w:t>
            </w:r>
            <w:r>
              <w:rPr>
                <w:b/>
                <w:bCs/>
                <w:kern w:val="0"/>
                <w:sz w:val="24"/>
                <w:highlight w:val="none"/>
                <w:lang w:bidi="ar"/>
              </w:rPr>
              <w:t>厂区平面布置合理性分析</w:t>
            </w:r>
          </w:p>
          <w:p>
            <w:pPr>
              <w:widowControl/>
              <w:adjustRightInd w:val="0"/>
              <w:snapToGrid w:val="0"/>
              <w:spacing w:line="360" w:lineRule="auto"/>
              <w:ind w:firstLine="480" w:firstLineChars="200"/>
              <w:jc w:val="left"/>
              <w:rPr>
                <w:rFonts w:hint="default"/>
                <w:b w:val="0"/>
                <w:bCs w:val="0"/>
                <w:kern w:val="0"/>
                <w:sz w:val="24"/>
                <w:lang w:val="en-US" w:eastAsia="zh-CN" w:bidi="ar"/>
              </w:rPr>
            </w:pPr>
            <w:r>
              <w:rPr>
                <w:rFonts w:hint="eastAsia"/>
                <w:b w:val="0"/>
                <w:bCs w:val="0"/>
                <w:kern w:val="0"/>
                <w:sz w:val="24"/>
                <w:lang w:val="en-US" w:eastAsia="zh-CN" w:bidi="ar"/>
              </w:rPr>
              <w:t>本项目为建筑垃圾填埋场，服务范围为乐山市市中区及周边地区。</w:t>
            </w:r>
          </w:p>
          <w:p>
            <w:pPr>
              <w:widowControl/>
              <w:adjustRightInd w:val="0"/>
              <w:snapToGrid w:val="0"/>
              <w:spacing w:line="360" w:lineRule="auto"/>
              <w:ind w:firstLine="480" w:firstLineChars="200"/>
              <w:rPr>
                <w:rFonts w:hint="eastAsia"/>
                <w:kern w:val="0"/>
                <w:sz w:val="24"/>
                <w:lang w:bidi="ar"/>
              </w:rPr>
            </w:pPr>
            <w:r>
              <w:rPr>
                <w:rFonts w:hint="eastAsia"/>
                <w:kern w:val="0"/>
                <w:sz w:val="24"/>
                <w:lang w:bidi="ar"/>
              </w:rPr>
              <w:t>①本项目布置按照“合理分区、物流便捷、突出环保、和谐统一”的原则，结合厂内用地条件及</w:t>
            </w:r>
            <w:r>
              <w:rPr>
                <w:rFonts w:hint="eastAsia"/>
                <w:kern w:val="0"/>
                <w:sz w:val="24"/>
                <w:lang w:val="en-US" w:eastAsia="zh-CN" w:bidi="ar"/>
              </w:rPr>
              <w:t>车辆运输</w:t>
            </w:r>
            <w:r>
              <w:rPr>
                <w:rFonts w:hint="eastAsia"/>
                <w:kern w:val="0"/>
                <w:sz w:val="24"/>
                <w:lang w:bidi="ar"/>
              </w:rPr>
              <w:t>，对厂区进行统筹安排。</w:t>
            </w:r>
          </w:p>
          <w:p>
            <w:pPr>
              <w:widowControl/>
              <w:adjustRightInd w:val="0"/>
              <w:snapToGrid w:val="0"/>
              <w:spacing w:line="360" w:lineRule="auto"/>
              <w:ind w:firstLine="480" w:firstLineChars="200"/>
              <w:rPr>
                <w:rFonts w:hint="default" w:ascii="Times New Roman" w:hAnsi="Times New Roman" w:eastAsia="宋体" w:cs="Times New Roman"/>
                <w:kern w:val="0"/>
                <w:sz w:val="24"/>
                <w:lang w:val="en-US" w:eastAsia="zh-CN" w:bidi="ar"/>
              </w:rPr>
            </w:pPr>
            <w:r>
              <w:rPr>
                <w:rFonts w:hint="eastAsia"/>
                <w:kern w:val="0"/>
                <w:sz w:val="24"/>
                <w:lang w:bidi="ar"/>
              </w:rPr>
              <w:t>②厂区分为</w:t>
            </w:r>
            <w:r>
              <w:rPr>
                <w:rFonts w:hint="eastAsia"/>
                <w:kern w:val="0"/>
                <w:sz w:val="24"/>
                <w:lang w:val="en-US" w:eastAsia="zh-CN" w:bidi="ar"/>
              </w:rPr>
              <w:t>填埋</w:t>
            </w:r>
            <w:r>
              <w:rPr>
                <w:rFonts w:hint="eastAsia"/>
                <w:kern w:val="0"/>
                <w:sz w:val="24"/>
                <w:lang w:bidi="ar"/>
              </w:rPr>
              <w:t>区与办公生活区</w:t>
            </w:r>
            <w:r>
              <w:rPr>
                <w:rFonts w:hint="eastAsia"/>
                <w:kern w:val="0"/>
                <w:sz w:val="24"/>
                <w:lang w:eastAsia="zh-CN" w:bidi="ar"/>
              </w:rPr>
              <w:t>。</w:t>
            </w:r>
            <w:r>
              <w:rPr>
                <w:rFonts w:hint="eastAsia"/>
                <w:kern w:val="0"/>
                <w:sz w:val="24"/>
                <w:lang w:val="en-US" w:eastAsia="zh-CN" w:bidi="ar"/>
              </w:rPr>
              <w:t>办公生活区位于填埋区西北侧，之间由场</w:t>
            </w:r>
            <w:r>
              <w:rPr>
                <w:rFonts w:hint="eastAsia" w:ascii="Times New Roman" w:hAnsi="Times New Roman" w:eastAsia="宋体" w:cs="Times New Roman"/>
                <w:kern w:val="0"/>
                <w:sz w:val="24"/>
                <w:lang w:val="en-US" w:eastAsia="zh-CN" w:bidi="ar"/>
              </w:rPr>
              <w:t>内道路连接。场内道路与填埋区四周为小山丘，茂盛树林将填埋区与场内道路与周边居民隔开。</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bidi="ar"/>
              </w:rPr>
            </w:pPr>
            <w:r>
              <w:rPr>
                <w:rFonts w:hint="eastAsia" w:ascii="Times New Roman" w:hAnsi="Times New Roman" w:eastAsia="宋体" w:cs="Times New Roman"/>
                <w:kern w:val="0"/>
                <w:sz w:val="24"/>
                <w:lang w:val="en-US" w:eastAsia="zh-CN" w:bidi="ar"/>
              </w:rPr>
              <w:t>③厂区出入口场与护佛路北段相连，用于建筑垃圾进场、可利用废物外运的运输。</w:t>
            </w:r>
          </w:p>
          <w:p>
            <w:pPr>
              <w:autoSpaceDE w:val="0"/>
              <w:autoSpaceDN w:val="0"/>
              <w:adjustRightInd w:val="0"/>
              <w:snapToGrid w:val="0"/>
              <w:spacing w:line="360" w:lineRule="auto"/>
              <w:ind w:right="6" w:firstLine="511" w:firstLineChars="213"/>
              <w:rPr>
                <w:rFonts w:hint="eastAsia"/>
                <w:b/>
                <w:bCs/>
                <w:kern w:val="0"/>
                <w:sz w:val="24"/>
                <w:lang w:val="en-US" w:eastAsia="zh-CN" w:bidi="ar"/>
              </w:rPr>
            </w:pPr>
            <w:r>
              <w:rPr>
                <w:rFonts w:hint="eastAsia"/>
                <w:sz w:val="24"/>
              </w:rPr>
              <w:t>综上，本项目总平面布置功能分区清晰，物流短捷，人流、物流互不干扰，有机地协调了</w:t>
            </w:r>
            <w:r>
              <w:rPr>
                <w:rFonts w:hint="eastAsia"/>
                <w:sz w:val="24"/>
                <w:lang w:val="en-US" w:eastAsia="zh-CN"/>
              </w:rPr>
              <w:t>运入</w:t>
            </w:r>
            <w:r>
              <w:rPr>
                <w:rFonts w:hint="eastAsia"/>
                <w:sz w:val="24"/>
              </w:rPr>
              <w:t>与</w:t>
            </w:r>
            <w:r>
              <w:rPr>
                <w:rFonts w:hint="eastAsia"/>
                <w:sz w:val="24"/>
                <w:lang w:val="en-US" w:eastAsia="zh-CN"/>
              </w:rPr>
              <w:t>运</w:t>
            </w:r>
            <w:r>
              <w:rPr>
                <w:rFonts w:hint="eastAsia"/>
                <w:sz w:val="24"/>
              </w:rPr>
              <w:t>出的关系。故本项目总图布置从环保角度而言合理可行。</w:t>
            </w:r>
          </w:p>
          <w:p>
            <w:pPr>
              <w:widowControl/>
              <w:adjustRightInd w:val="0"/>
              <w:snapToGrid w:val="0"/>
              <w:spacing w:line="360" w:lineRule="auto"/>
              <w:ind w:firstLine="482" w:firstLineChars="200"/>
              <w:jc w:val="left"/>
              <w:rPr>
                <w:rFonts w:hint="default" w:ascii="Times New Roman" w:hAnsi="Times New Roman" w:eastAsia="宋体" w:cs="Times New Roman"/>
                <w:sz w:val="24"/>
                <w:lang w:val="en-US" w:eastAsia="zh-CN"/>
              </w:rPr>
            </w:pPr>
            <w:r>
              <w:rPr>
                <w:rFonts w:hint="eastAsia"/>
                <w:b/>
                <w:bCs/>
                <w:kern w:val="0"/>
                <w:sz w:val="24"/>
                <w:lang w:val="en-US" w:eastAsia="zh-CN" w:bidi="ar"/>
              </w:rPr>
              <w:t>10</w:t>
            </w:r>
            <w:r>
              <w:rPr>
                <w:b/>
                <w:bCs/>
                <w:kern w:val="0"/>
                <w:sz w:val="24"/>
                <w:lang w:bidi="ar"/>
              </w:rPr>
              <w:t>、</w:t>
            </w:r>
            <w:r>
              <w:rPr>
                <w:rFonts w:hint="eastAsia"/>
                <w:b/>
                <w:bCs/>
                <w:kern w:val="0"/>
                <w:sz w:val="24"/>
                <w:lang w:val="en-US" w:eastAsia="zh-CN" w:bidi="ar"/>
              </w:rPr>
              <w:t>建筑垃圾入场要求</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（1）建筑垃圾成分预测</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本项目建筑垃圾主要来源于土地开挖、道路开挖、建筑施工、建材生产和房屋装修等过程中产生的固体废弃物，主要由渣土、碎石块、废砂浆、砖瓦碎块、混凝土块等组成。</w:t>
            </w:r>
          </w:p>
          <w:p>
            <w:pPr>
              <w:widowControl/>
              <w:adjustRightInd w:val="0"/>
              <w:snapToGrid w:val="0"/>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szCs w:val="22"/>
                <w:lang w:val="en-US" w:eastAsia="zh-CN"/>
              </w:rPr>
              <w:t>类比同类型项目，建筑施工垃圾主要有散落的砂浆和混凝土、剔凿产生的砖石和混凝土碎块、打桩截下的钢筋混凝土桩头、木材、各种包装材料，约占建筑垃圾总量的80%，其它垃圾成分约占20%；旧建筑拆除垃圾中砖块、瓦砾约占80%，其余为木料、石灰、渣土等；装修垃圾主要成分为混凝土块、砖块、灰土</w:t>
            </w:r>
            <w:r>
              <w:rPr>
                <w:rFonts w:hint="eastAsia" w:ascii="Times New Roman" w:hAnsi="Times New Roman" w:eastAsia="宋体" w:cs="Times New Roman"/>
                <w:sz w:val="24"/>
                <w:lang w:val="en-US" w:eastAsia="zh-CN"/>
              </w:rPr>
              <w:t>、木块以及其他等。</w:t>
            </w:r>
          </w:p>
          <w:p>
            <w:pPr>
              <w:widowControl/>
              <w:adjustRightInd w:val="0"/>
              <w:snapToGrid w:val="0"/>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（2）项目以处理土地开挖、道路开挖、旧建筑物拆除、建筑施工垃圾为主，建筑垃圾填埋场的进场要求如下：</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①乐山市中区市政建设、房地产旧城改造过程中产生的渣土、碎石块、废砂浆、砖瓦碎块、混凝土块、废木等可以进场填埋，且工程渣土与泥浆物料进场时含水率需小于40%；</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②建筑物装饰装修过程中产生的土、砂、石、砖、瓦、灰、水泥以及破损的木料等固体废弃物可以进场填埋，</w:t>
            </w:r>
            <w:r>
              <w:rPr>
                <w:rFonts w:hint="eastAsia" w:ascii="Times New Roman" w:hAnsi="Times New Roman" w:eastAsia="宋体" w:cs="Times New Roman"/>
                <w:b w:val="0"/>
                <w:bCs w:val="0"/>
                <w:sz w:val="24"/>
                <w:szCs w:val="22"/>
                <w:lang w:val="en-US" w:eastAsia="zh-CN"/>
              </w:rPr>
              <w:t>废弃的油漆、涂料、腻子粉等含有有害物质的废弃物及其容器等按照有害垃圾进行处置，禁止入场；</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③禁止建筑垃圾以外的所有工业固体废物入场；</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④禁止由环卫部门收集的或自行收集的混合生活垃圾，以及企事业单位产生的办公废物入场；</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⑤禁止生活垃圾焚烧炉渣入场；</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⑥禁止生活垃圾产生的固态残余物入场；</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⑦禁止有毒工业制品及其残余物、有毒药物、有化学反应并产生有害物质、有腐蚀性或反射性物质、易燃易爆危险品、生物危险品、医院垃圾、城市污水处理后的污泥、未经处理的粪便及其他严重环境污染的垃圾及危险物品入场。</w:t>
            </w:r>
          </w:p>
          <w:p>
            <w:pPr>
              <w:snapToGrid w:val="0"/>
              <w:spacing w:line="360" w:lineRule="auto"/>
              <w:ind w:firstLine="482" w:firstLineChars="200"/>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11、垃圾运输方案</w:t>
            </w:r>
          </w:p>
          <w:p>
            <w:pPr>
              <w:snapToGrid w:val="0"/>
              <w:spacing w:line="360" w:lineRule="auto"/>
              <w:ind w:firstLine="480" w:firstLineChars="200"/>
              <w:rPr>
                <w:rFonts w:hint="default" w:ascii="Times New Roman" w:hAnsi="Times New Roman" w:cs="Times New Roman"/>
                <w:bCs/>
                <w:sz w:val="24"/>
                <w:szCs w:val="24"/>
              </w:rPr>
            </w:pPr>
            <w:r>
              <w:rPr>
                <w:rFonts w:hint="eastAsia" w:ascii="Times New Roman" w:hAnsi="Times New Roman" w:eastAsia="宋体" w:cs="Times New Roman"/>
                <w:sz w:val="24"/>
                <w:szCs w:val="22"/>
                <w:lang w:val="en-US" w:eastAsia="zh-CN"/>
              </w:rPr>
              <w:t>乐山市市中区及周边建筑垃圾产生单位将建筑垃圾分类收集，将符合入场要求的建筑垃圾运输至本项目建筑垃圾填埋场处置。在运输中运输车辆应机械密闭，车辆上路前应对两侧、底盘、轮胎等进行全方位的冲洗，确保不带泥土上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33"/>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工艺流程和产排污环节</w:t>
            </w:r>
          </w:p>
        </w:tc>
        <w:tc>
          <w:tcPr>
            <w:tcW w:w="8161" w:type="dxa"/>
            <w:noWrap w:val="0"/>
            <w:vAlign w:val="top"/>
          </w:tcPr>
          <w:p>
            <w:pPr>
              <w:snapToGrid w:val="0"/>
              <w:spacing w:line="360" w:lineRule="auto"/>
              <w:ind w:firstLine="482" w:firstLineChars="200"/>
              <w:rPr>
                <w:rFonts w:hint="eastAsia"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1、施工期工艺流程</w:t>
            </w:r>
          </w:p>
          <w:p>
            <w:pPr>
              <w:snapToGrid w:val="0"/>
              <w:spacing w:line="360" w:lineRule="auto"/>
              <w:ind w:firstLine="482" w:firstLineChars="200"/>
              <w:rPr>
                <w:rFonts w:hint="eastAsia"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施工期工艺流程：</w:t>
            </w:r>
          </w:p>
          <w:p>
            <w:pPr>
              <w:snapToGrid w:val="0"/>
              <w:spacing w:line="360" w:lineRule="auto"/>
              <w:ind w:firstLine="480" w:firstLineChars="20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本项目为实际为大湾弃土场二期项目，一期已填埋完成，并复垦，恢复绿化。本项目依托已建生活区及配套设施。</w:t>
            </w:r>
            <w:r>
              <w:rPr>
                <w:rFonts w:hint="eastAsia"/>
                <w:sz w:val="24"/>
              </w:rPr>
              <w:t>施工期产污流程见下图。</w:t>
            </w:r>
          </w:p>
          <w:p>
            <w:pPr>
              <w:widowControl w:val="0"/>
              <w:adjustRightInd w:val="0"/>
              <w:snapToGrid w:val="0"/>
              <w:ind w:firstLine="420" w:firstLineChars="200"/>
              <w:jc w:val="center"/>
              <w:rPr>
                <w:rFonts w:ascii="Times New Roman" w:hAnsi="Times New Roman" w:eastAsia="宋体" w:cs="Times New Roman"/>
                <w:kern w:val="2"/>
                <w:sz w:val="21"/>
                <w:szCs w:val="21"/>
                <w:lang w:val="en-US" w:eastAsia="zh-CN" w:bidi="ar-SA"/>
              </w:rPr>
            </w:pPr>
            <w:r>
              <w:rPr>
                <w:rFonts w:ascii="Times New Roman" w:hAnsi="Times New Roman" w:eastAsia="宋体" w:cs="Courier New"/>
                <w:kern w:val="2"/>
                <w:sz w:val="21"/>
                <w:szCs w:val="21"/>
                <w:lang w:val="en-US" w:eastAsia="zh-CN" w:bidi="ar-SA"/>
              </w:rPr>
              <w:object>
                <v:shape id="_x0000_i1032" o:spt="75" type="#_x0000_t75" style="height:110pt;width:306pt;" o:ole="t" filled="f" o:preferrelative="t" stroked="f" coordsize="21600,21600">
                  <v:path/>
                  <v:fill on="f" focussize="0,0"/>
                  <v:stroke on="f" joinstyle="miter"/>
                  <v:imagedata r:id="rId15" o:title=""/>
                  <o:lock v:ext="edit" aspectratio="t"/>
                  <w10:wrap type="none"/>
                  <w10:anchorlock/>
                </v:shape>
                <o:OLEObject Type="Embed" ProgID="Visio.Drawing.11" ShapeID="_x0000_i1032" DrawAspect="Content" ObjectID="_1468075726" r:id="rId14">
                  <o:LockedField>false</o:LockedField>
                </o:OLEObject>
              </w:object>
            </w:r>
          </w:p>
          <w:p>
            <w:pPr>
              <w:spacing w:after="120"/>
              <w:jc w:val="center"/>
              <w:rPr>
                <w:rFonts w:ascii="Times New Roman" w:hAnsi="Times New Roman" w:eastAsia="宋体" w:cs="Times New Roman"/>
                <w:b/>
                <w:kern w:val="0"/>
                <w:szCs w:val="21"/>
              </w:rPr>
            </w:pPr>
            <w:bookmarkStart w:id="3" w:name="_Ref456520460"/>
            <w:r>
              <w:rPr>
                <w:rFonts w:hint="eastAsia" w:ascii="Times New Roman" w:hAnsi="Times New Roman" w:eastAsia="宋体" w:cs="Times New Roman"/>
                <w:b/>
                <w:kern w:val="0"/>
                <w:szCs w:val="21"/>
              </w:rPr>
              <w:t>图2-</w:t>
            </w:r>
            <w:r>
              <w:rPr>
                <w:rFonts w:hint="eastAsia" w:ascii="Times New Roman" w:hAnsi="Times New Roman" w:eastAsia="宋体" w:cs="Times New Roman"/>
                <w:b/>
                <w:kern w:val="0"/>
                <w:szCs w:val="21"/>
                <w:lang w:val="en-US" w:eastAsia="zh-CN"/>
              </w:rPr>
              <w:t>3</w:t>
            </w:r>
            <w:r>
              <w:rPr>
                <w:rFonts w:hint="eastAsia" w:ascii="Times New Roman" w:hAnsi="Times New Roman" w:eastAsia="宋体" w:cs="Times New Roman"/>
                <w:b/>
                <w:kern w:val="0"/>
                <w:szCs w:val="21"/>
              </w:rPr>
              <w:t xml:space="preserve">  </w:t>
            </w:r>
            <w:r>
              <w:rPr>
                <w:rFonts w:ascii="Times New Roman" w:hAnsi="Times New Roman" w:eastAsia="宋体" w:cs="Times New Roman"/>
                <w:b/>
                <w:kern w:val="0"/>
                <w:szCs w:val="21"/>
              </w:rPr>
              <w:t>施工期工艺流程及产污环节图</w:t>
            </w:r>
            <w:bookmarkEnd w:id="3"/>
          </w:p>
          <w:p>
            <w:pPr>
              <w:spacing w:line="360" w:lineRule="auto"/>
              <w:ind w:firstLine="482" w:firstLineChars="200"/>
              <w:rPr>
                <w:rFonts w:ascii="Times New Roman" w:hAnsi="Times New Roman" w:eastAsia="宋体" w:cs="Times New Roman"/>
                <w:b/>
                <w:bCs/>
                <w:sz w:val="24"/>
                <w:lang w:val="zh-CN"/>
              </w:rPr>
            </w:pPr>
            <w:r>
              <w:rPr>
                <w:rFonts w:ascii="Times New Roman" w:hAnsi="Times New Roman" w:eastAsia="宋体" w:cs="Times New Roman"/>
                <w:b/>
                <w:bCs/>
                <w:sz w:val="24"/>
                <w:lang w:val="zh-CN"/>
              </w:rPr>
              <w:t>工艺流程简述：</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lang w:val="zh-CN"/>
              </w:rPr>
              <w:t>（</w:t>
            </w:r>
            <w:r>
              <w:rPr>
                <w:rFonts w:hint="eastAsia" w:ascii="Times New Roman" w:hAnsi="Times New Roman" w:eastAsia="宋体" w:cs="Times New Roman"/>
                <w:sz w:val="24"/>
              </w:rPr>
              <w:t>1</w:t>
            </w:r>
            <w:r>
              <w:rPr>
                <w:rFonts w:hint="eastAsia" w:ascii="Times New Roman" w:hAnsi="Times New Roman" w:eastAsia="宋体" w:cs="Times New Roman"/>
                <w:sz w:val="24"/>
                <w:lang w:val="zh-CN"/>
              </w:rPr>
              <w:t>）</w:t>
            </w:r>
            <w:r>
              <w:rPr>
                <w:rFonts w:ascii="Times New Roman" w:hAnsi="Times New Roman" w:eastAsia="宋体" w:cs="Times New Roman"/>
                <w:sz w:val="24"/>
                <w:lang w:val="zh-CN"/>
              </w:rPr>
              <w:t>场地平整</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lang w:val="zh-CN"/>
              </w:rPr>
              <w:t>填筑施工前根据现场情况按设计要求先对基底清理，采用机械和人工相结合的方法对场地进行清理和平整。</w:t>
            </w:r>
            <w:r>
              <w:rPr>
                <w:rFonts w:ascii="Times New Roman" w:hAnsi="Times New Roman" w:eastAsia="宋体" w:cs="Times New Roman"/>
                <w:sz w:val="24"/>
                <w:lang w:val="zh-CN"/>
              </w:rPr>
              <w:t>本项目挖方全部用于</w:t>
            </w:r>
            <w:r>
              <w:rPr>
                <w:rFonts w:hint="eastAsia" w:ascii="Times New Roman" w:hAnsi="Times New Roman" w:eastAsia="宋体" w:cs="Times New Roman"/>
                <w:sz w:val="24"/>
                <w:lang w:val="zh-CN"/>
              </w:rPr>
              <w:t>回填</w:t>
            </w:r>
            <w:r>
              <w:rPr>
                <w:rFonts w:ascii="Times New Roman" w:hAnsi="Times New Roman" w:eastAsia="宋体" w:cs="Times New Roman"/>
                <w:sz w:val="24"/>
                <w:lang w:val="zh-CN"/>
              </w:rPr>
              <w:t>及场地平整，</w:t>
            </w:r>
            <w:r>
              <w:rPr>
                <w:rFonts w:hint="eastAsia" w:ascii="Times New Roman" w:hAnsi="Times New Roman" w:eastAsia="宋体" w:cs="Times New Roman"/>
                <w:sz w:val="24"/>
                <w:lang w:val="en-US" w:eastAsia="zh-CN"/>
              </w:rPr>
              <w:t>绿化恢复，</w:t>
            </w:r>
            <w:r>
              <w:rPr>
                <w:rFonts w:ascii="Times New Roman" w:hAnsi="Times New Roman" w:eastAsia="宋体" w:cs="Times New Roman"/>
                <w:sz w:val="24"/>
                <w:lang w:val="zh-CN"/>
              </w:rPr>
              <w:t>无弃方外</w:t>
            </w:r>
            <w:r>
              <w:rPr>
                <w:rFonts w:hint="eastAsia" w:ascii="Times New Roman" w:hAnsi="Times New Roman" w:eastAsia="宋体" w:cs="Times New Roman"/>
                <w:sz w:val="24"/>
                <w:lang w:val="zh-CN"/>
              </w:rPr>
              <w:t>运</w:t>
            </w:r>
            <w:r>
              <w:rPr>
                <w:rFonts w:ascii="Times New Roman" w:hAnsi="Times New Roman" w:eastAsia="宋体" w:cs="Times New Roman"/>
                <w:sz w:val="24"/>
                <w:lang w:val="zh-CN"/>
              </w:rPr>
              <w:t>。场地平整过程中将产生设备设施噪声、扬尘等。</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rPr>
              <w:t>（2）</w:t>
            </w:r>
            <w:r>
              <w:rPr>
                <w:rFonts w:ascii="Times New Roman" w:hAnsi="Times New Roman" w:eastAsia="宋体" w:cs="Times New Roman"/>
                <w:sz w:val="24"/>
                <w:lang w:val="zh-CN"/>
              </w:rPr>
              <w:t>基础工程施工</w:t>
            </w:r>
          </w:p>
          <w:p>
            <w:pPr>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在基础开挖、地基处理（岩土工程）与基础施工时，由于挖土机、运土卡车等施工机械的运行，将产生一定的噪声；同时产生扬尘，不同条件下，扬尘对环境的影响不同；基础开挖会造成生态变化并引起一定程度的水土流失。</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rPr>
              <w:t>（3）</w:t>
            </w:r>
            <w:r>
              <w:rPr>
                <w:rFonts w:ascii="Times New Roman" w:hAnsi="Times New Roman" w:eastAsia="宋体" w:cs="Times New Roman"/>
                <w:sz w:val="24"/>
                <w:lang w:val="zh-CN"/>
              </w:rPr>
              <w:t>主体工程</w:t>
            </w:r>
            <w:r>
              <w:rPr>
                <w:rFonts w:hint="eastAsia" w:ascii="Times New Roman" w:hAnsi="Times New Roman" w:eastAsia="宋体" w:cs="Times New Roman"/>
                <w:sz w:val="24"/>
                <w:lang w:val="zh-CN"/>
              </w:rPr>
              <w:t>、附属工程</w:t>
            </w:r>
          </w:p>
          <w:p>
            <w:pPr>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挖掘机、装载汽车、钢筋切割机等运行时会产生噪声，同时产生扬尘。此外，还有一些原材料废弃料以及生产和生活污水产生。</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rPr>
              <w:t>（4）</w:t>
            </w:r>
            <w:r>
              <w:rPr>
                <w:rFonts w:ascii="Times New Roman" w:hAnsi="Times New Roman" w:eastAsia="宋体" w:cs="Times New Roman"/>
                <w:sz w:val="24"/>
                <w:lang w:val="zh-CN"/>
              </w:rPr>
              <w:t>安装工程</w:t>
            </w:r>
          </w:p>
          <w:p>
            <w:pPr>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安装设备设施</w:t>
            </w:r>
            <w:r>
              <w:rPr>
                <w:rFonts w:hint="eastAsia" w:ascii="Times New Roman" w:hAnsi="Times New Roman" w:eastAsia="宋体" w:cs="Times New Roman"/>
                <w:sz w:val="24"/>
                <w:lang w:val="en-US" w:eastAsia="zh-CN"/>
              </w:rPr>
              <w:t>等</w:t>
            </w:r>
            <w:r>
              <w:rPr>
                <w:rFonts w:ascii="Times New Roman" w:hAnsi="Times New Roman" w:eastAsia="宋体" w:cs="Times New Roman"/>
                <w:sz w:val="24"/>
                <w:lang w:val="zh-CN"/>
              </w:rPr>
              <w:t>。施工使用的钻机、电锤等产生噪声。</w:t>
            </w:r>
          </w:p>
          <w:p>
            <w:pPr>
              <w:spacing w:line="360" w:lineRule="auto"/>
              <w:ind w:firstLine="480" w:firstLineChars="200"/>
              <w:rPr>
                <w:rFonts w:ascii="Times New Roman" w:hAnsi="Times New Roman" w:eastAsia="宋体" w:cs="Times New Roman"/>
                <w:sz w:val="24"/>
                <w:lang w:val="zh-CN"/>
              </w:rPr>
            </w:pPr>
            <w:r>
              <w:rPr>
                <w:rFonts w:hint="eastAsia" w:ascii="Times New Roman" w:hAnsi="Times New Roman" w:eastAsia="宋体" w:cs="Times New Roman"/>
                <w:sz w:val="24"/>
              </w:rPr>
              <w:t>（5）</w:t>
            </w:r>
            <w:r>
              <w:rPr>
                <w:rFonts w:ascii="Times New Roman" w:hAnsi="Times New Roman" w:eastAsia="宋体" w:cs="Times New Roman"/>
                <w:sz w:val="24"/>
                <w:lang w:val="zh-CN"/>
              </w:rPr>
              <w:t>工程验收</w:t>
            </w:r>
          </w:p>
          <w:p>
            <w:pPr>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当施工完成验收合格后，方可投入使用。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lang w:val="zh-CN"/>
              </w:rPr>
              <w:t>项目在施工期以施工噪声、施工扬尘、废弃物料（建筑弃渣及其它废料）和废水为主要污染物。</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施工期产生主要污染工序：</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施工期污染因素主要为</w:t>
            </w:r>
            <w:r>
              <w:rPr>
                <w:rFonts w:hint="eastAsia" w:ascii="Times New Roman" w:hAnsi="Times New Roman" w:eastAsia="宋体" w:cs="Times New Roman"/>
                <w:sz w:val="24"/>
              </w:rPr>
              <w:t>项目构建筑物</w:t>
            </w:r>
            <w:r>
              <w:rPr>
                <w:rFonts w:ascii="Times New Roman" w:hAnsi="Times New Roman" w:eastAsia="宋体" w:cs="Times New Roman"/>
                <w:sz w:val="24"/>
              </w:rPr>
              <w:t>修建产生的建筑废渣、建筑噪声、扬尘、施工人员的生活废水</w:t>
            </w:r>
            <w:r>
              <w:rPr>
                <w:rFonts w:hint="eastAsia" w:ascii="Times New Roman" w:hAnsi="Times New Roman" w:eastAsia="宋体" w:cs="Times New Roman"/>
                <w:sz w:val="24"/>
              </w:rPr>
              <w:t>等</w:t>
            </w:r>
            <w:r>
              <w:rPr>
                <w:rFonts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1、废水：施工人员产生的生活废水，主要污染物为BOD</w:t>
            </w:r>
            <w:r>
              <w:rPr>
                <w:rFonts w:ascii="Times New Roman" w:hAnsi="Times New Roman" w:eastAsia="宋体" w:cs="Times New Roman"/>
                <w:sz w:val="24"/>
                <w:vertAlign w:val="subscript"/>
              </w:rPr>
              <w:t>5</w:t>
            </w:r>
            <w:r>
              <w:rPr>
                <w:rFonts w:ascii="Times New Roman" w:hAnsi="Times New Roman" w:eastAsia="宋体" w:cs="Times New Roman"/>
                <w:sz w:val="24"/>
              </w:rPr>
              <w:t>、COD、SS。运输车辆冲洗水、主要污染物为SS。</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2、废气：各类燃油动力机械施工作业时会排出各类燃油废气，排放的主要污染物为CO、NO</w:t>
            </w:r>
            <w:r>
              <w:rPr>
                <w:rFonts w:ascii="Times New Roman" w:hAnsi="Times New Roman" w:eastAsia="宋体" w:cs="Times New Roman"/>
                <w:sz w:val="24"/>
                <w:vertAlign w:val="subscript"/>
              </w:rPr>
              <w:t>X</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、烟尘。</w:t>
            </w:r>
            <w:r>
              <w:rPr>
                <w:rFonts w:hint="eastAsia" w:ascii="Times New Roman" w:hAnsi="Times New Roman" w:eastAsia="宋体" w:cs="Times New Roman"/>
                <w:sz w:val="24"/>
              </w:rPr>
              <w:t>建筑材料</w:t>
            </w:r>
            <w:r>
              <w:rPr>
                <w:rFonts w:ascii="Times New Roman" w:hAnsi="Times New Roman" w:eastAsia="宋体" w:cs="Times New Roman"/>
                <w:sz w:val="24"/>
              </w:rPr>
              <w:t>装卸、运输时产生的扬尘，排放的主要污染物为TSP。</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3、噪声：各类施工机械和运输车辆等施工作业时产生设备噪声。</w:t>
            </w:r>
          </w:p>
          <w:p>
            <w:pPr>
              <w:spacing w:line="360" w:lineRule="auto"/>
              <w:ind w:firstLine="480" w:firstLineChars="200"/>
              <w:rPr>
                <w:rFonts w:hint="eastAsia"/>
                <w:sz w:val="24"/>
              </w:rPr>
            </w:pPr>
            <w:r>
              <w:rPr>
                <w:rFonts w:ascii="Times New Roman" w:hAnsi="Times New Roman" w:eastAsia="宋体" w:cs="Times New Roman"/>
                <w:sz w:val="24"/>
              </w:rPr>
              <w:t>4、固废：基础工程</w:t>
            </w:r>
            <w:r>
              <w:rPr>
                <w:rFonts w:hint="eastAsia" w:ascii="Times New Roman" w:hAnsi="Times New Roman" w:eastAsia="宋体" w:cs="Times New Roman"/>
                <w:sz w:val="24"/>
              </w:rPr>
              <w:t>、道路</w:t>
            </w:r>
            <w:r>
              <w:rPr>
                <w:rFonts w:ascii="Times New Roman" w:hAnsi="Times New Roman" w:eastAsia="宋体" w:cs="Times New Roman"/>
                <w:sz w:val="24"/>
              </w:rPr>
              <w:t>施工时产生挖掘的土方和建筑垃圾</w:t>
            </w:r>
            <w:r>
              <w:rPr>
                <w:rFonts w:hint="eastAsia" w:ascii="Times New Roman" w:hAnsi="Times New Roman" w:eastAsia="宋体" w:cs="Times New Roman"/>
                <w:sz w:val="24"/>
              </w:rPr>
              <w:t>及施工人员生活垃圾</w:t>
            </w:r>
            <w:r>
              <w:rPr>
                <w:rFonts w:ascii="Times New Roman" w:hAnsi="Times New Roman" w:eastAsia="宋体" w:cs="Times New Roman"/>
                <w:sz w:val="24"/>
              </w:rPr>
              <w:t>等</w:t>
            </w:r>
            <w:r>
              <w:rPr>
                <w:rFonts w:hint="eastAsia" w:ascii="Times New Roman" w:hAnsi="Times New Roman" w:eastAsia="宋体" w:cs="Times New Roman"/>
                <w:sz w:val="24"/>
              </w:rPr>
              <w:t>。</w:t>
            </w:r>
          </w:p>
          <w:p>
            <w:pPr>
              <w:adjustRightInd w:val="0"/>
              <w:snapToGrid w:val="0"/>
              <w:spacing w:line="360" w:lineRule="auto"/>
              <w:ind w:firstLine="482" w:firstLineChars="200"/>
              <w:rPr>
                <w:rFonts w:hint="default" w:eastAsia="宋体"/>
                <w:b/>
                <w:bCs/>
                <w:sz w:val="24"/>
                <w:lang w:val="en-US" w:eastAsia="zh-CN"/>
              </w:rPr>
            </w:pPr>
            <w:r>
              <w:rPr>
                <w:rFonts w:hint="eastAsia"/>
                <w:b/>
                <w:bCs/>
                <w:sz w:val="24"/>
              </w:rPr>
              <w:t>2、</w:t>
            </w:r>
            <w:r>
              <w:rPr>
                <w:b/>
                <w:bCs/>
                <w:sz w:val="24"/>
              </w:rPr>
              <w:t>运营期</w:t>
            </w:r>
            <w:r>
              <w:rPr>
                <w:rFonts w:hint="eastAsia"/>
                <w:b/>
                <w:bCs/>
                <w:sz w:val="24"/>
                <w:lang w:val="en-US" w:eastAsia="zh-CN"/>
              </w:rPr>
              <w:t>工艺流程</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本项目运营期为填埋区填埋，各类建筑垃圾分类处置。</w:t>
            </w:r>
          </w:p>
          <w:p>
            <w:pPr>
              <w:snapToGrid w:val="0"/>
              <w:spacing w:line="360" w:lineRule="auto"/>
              <w:ind w:firstLine="482" w:firstLineChars="200"/>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①填埋区填埋工序</w:t>
            </w:r>
          </w:p>
          <w:p>
            <w:pPr>
              <w:snapToGrid w:val="0"/>
              <w:spacing w:line="360" w:lineRule="auto"/>
              <w:ind w:firstLine="480" w:firstLineChars="200"/>
              <w:jc w:val="center"/>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object>
                <v:shape id="_x0000_i1033" o:spt="75" type="#_x0000_t75" style="height:314.65pt;width:276.35pt;" o:ole="t" filled="f" o:preferrelative="t" stroked="f" coordsize="21600,21600">
                  <v:path/>
                  <v:fill on="f" focussize="0,0"/>
                  <v:stroke on="f"/>
                  <v:imagedata r:id="rId17" o:title=""/>
                  <o:lock v:ext="edit" aspectratio="t"/>
                  <w10:wrap type="none"/>
                  <w10:anchorlock/>
                </v:shape>
                <o:OLEObject Type="Embed" ProgID="" ShapeID="_x0000_i1033" DrawAspect="Content" ObjectID="_1468075727" r:id="rId16">
                  <o:LockedField>false</o:LockedField>
                </o:OLEObject>
              </w:object>
            </w:r>
          </w:p>
          <w:p>
            <w:pPr>
              <w:snapToGrid w:val="0"/>
              <w:spacing w:line="360" w:lineRule="auto"/>
              <w:jc w:val="center"/>
              <w:rPr>
                <w:rFonts w:hint="eastAsia" w:eastAsia="宋体"/>
                <w:sz w:val="24"/>
                <w:highlight w:val="none"/>
                <w:lang w:eastAsia="zh-CN"/>
              </w:rPr>
            </w:pPr>
            <w:r>
              <w:rPr>
                <w:b/>
                <w:szCs w:val="21"/>
                <w:highlight w:val="none"/>
              </w:rPr>
              <w:t>图</w:t>
            </w:r>
            <w:r>
              <w:rPr>
                <w:rFonts w:hint="eastAsia"/>
                <w:b/>
                <w:szCs w:val="21"/>
                <w:highlight w:val="none"/>
              </w:rPr>
              <w:t>2-</w:t>
            </w:r>
            <w:r>
              <w:rPr>
                <w:rFonts w:hint="eastAsia"/>
                <w:b/>
                <w:szCs w:val="21"/>
                <w:highlight w:val="none"/>
                <w:lang w:val="en-US" w:eastAsia="zh-CN"/>
              </w:rPr>
              <w:t>4</w:t>
            </w:r>
            <w:r>
              <w:rPr>
                <w:rFonts w:hint="eastAsia"/>
                <w:b/>
                <w:szCs w:val="21"/>
                <w:highlight w:val="none"/>
              </w:rPr>
              <w:t xml:space="preserve">  </w:t>
            </w:r>
            <w:r>
              <w:rPr>
                <w:rFonts w:hint="eastAsia"/>
                <w:b/>
                <w:szCs w:val="21"/>
                <w:highlight w:val="none"/>
                <w:lang w:val="en-US" w:eastAsia="zh-CN"/>
              </w:rPr>
              <w:t>填埋区填埋工序</w:t>
            </w:r>
            <w:r>
              <w:rPr>
                <w:rFonts w:hint="eastAsia"/>
                <w:b/>
                <w:szCs w:val="21"/>
                <w:highlight w:val="none"/>
              </w:rPr>
              <w:t>及产污环节示意</w:t>
            </w:r>
            <w:r>
              <w:rPr>
                <w:b/>
                <w:szCs w:val="21"/>
                <w:highlight w:val="none"/>
              </w:rPr>
              <w:t>图</w:t>
            </w:r>
          </w:p>
          <w:p>
            <w:pPr>
              <w:snapToGrid w:val="0"/>
              <w:spacing w:line="360" w:lineRule="auto"/>
              <w:ind w:firstLine="482" w:firstLineChars="200"/>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填埋工序简述：</w:t>
            </w:r>
          </w:p>
          <w:p>
            <w:pPr>
              <w:snapToGrid w:val="0"/>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运营期主要是进行建筑垃圾的填埋作业。建筑垃圾采用车辆运入填埋场，经地磅计量称重后，由专门的运输车辆转移并倾倒在填埋作业区，分选后可填埋的建筑垃圾由推土机摊铺压路机压实，压实度达0.93以上。建筑垃圾均每 3m为一层，堆满一层后需覆土0.3m，再堆第二层，如此循环进行，当填埋单元到达封场高程时按照规范进行终场封场。对已完成填埋的作业单元及时采用彩钢瓦或其它有效方式进行简易临时覆盖。</w:t>
            </w:r>
          </w:p>
          <w:p>
            <w:pPr>
              <w:snapToGrid w:val="0"/>
              <w:spacing w:line="360" w:lineRule="auto"/>
              <w:ind w:firstLine="480" w:firstLineChars="200"/>
              <w:rPr>
                <w:rFonts w:hint="eastAsia"/>
                <w:lang w:val="en-US" w:eastAsia="zh-CN"/>
              </w:rPr>
            </w:pPr>
            <w:r>
              <w:rPr>
                <w:rFonts w:hint="eastAsia" w:ascii="Times New Roman" w:hAnsi="Times New Roman" w:eastAsia="宋体" w:cs="Times New Roman"/>
                <w:sz w:val="24"/>
                <w:highlight w:val="none"/>
                <w:lang w:val="en-US" w:eastAsia="zh-CN"/>
              </w:rPr>
              <w:t>填埋场两侧设置截水沟、堆放平台内侧排水沟以及渣场内部排水盲沟，盲沟设计尺寸为1.0m×1.0m，填筑透水性强的天然砂砾，外包反滤土工布，雨水经排水系统作用进入沉砂池，雨水经沉淀处理后用于厂区道路洒水降尘。</w:t>
            </w:r>
          </w:p>
          <w:p>
            <w:pPr>
              <w:snapToGrid w:val="0"/>
              <w:spacing w:line="360" w:lineRule="auto"/>
              <w:ind w:firstLine="482" w:firstLineChars="20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b/>
                <w:bCs/>
                <w:sz w:val="24"/>
                <w:szCs w:val="22"/>
                <w:lang w:val="en-US" w:eastAsia="zh-CN"/>
              </w:rPr>
              <w:t>②建筑垃圾分类处置及去向</w:t>
            </w:r>
          </w:p>
          <w:p>
            <w:pPr>
              <w:snapToGrid w:val="0"/>
              <w:spacing w:line="360" w:lineRule="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object>
                <v:shape id="_x0000_i1034" o:spt="75" type="#_x0000_t75" style="height:286.3pt;width:393.15pt;" o:ole="t" filled="f" o:preferrelative="t" stroked="f" coordsize="21600,21600">
                  <v:path/>
                  <v:fill on="f" focussize="0,0"/>
                  <v:stroke on="f"/>
                  <v:imagedata r:id="rId19" o:title=""/>
                  <o:lock v:ext="edit" aspectratio="t"/>
                  <w10:wrap type="none"/>
                  <w10:anchorlock/>
                </v:shape>
                <o:OLEObject Type="Embed" ProgID="" ShapeID="_x0000_i1034" DrawAspect="Content" ObjectID="_1468075728" r:id="rId18">
                  <o:LockedField>false</o:LockedField>
                </o:OLEObject>
              </w:object>
            </w:r>
          </w:p>
          <w:p>
            <w:pPr>
              <w:snapToGrid w:val="0"/>
              <w:spacing w:line="360" w:lineRule="auto"/>
              <w:jc w:val="center"/>
              <w:rPr>
                <w:rFonts w:hint="eastAsia" w:eastAsia="宋体"/>
                <w:sz w:val="24"/>
                <w:highlight w:val="none"/>
                <w:lang w:eastAsia="zh-CN"/>
              </w:rPr>
            </w:pPr>
            <w:r>
              <w:rPr>
                <w:b/>
                <w:szCs w:val="21"/>
                <w:highlight w:val="none"/>
              </w:rPr>
              <w:t>图</w:t>
            </w:r>
            <w:r>
              <w:rPr>
                <w:rFonts w:hint="eastAsia"/>
                <w:b/>
                <w:szCs w:val="21"/>
                <w:highlight w:val="none"/>
              </w:rPr>
              <w:t>2-</w:t>
            </w:r>
            <w:r>
              <w:rPr>
                <w:rFonts w:hint="eastAsia"/>
                <w:b/>
                <w:szCs w:val="21"/>
                <w:highlight w:val="none"/>
                <w:lang w:val="en-US" w:eastAsia="zh-CN"/>
              </w:rPr>
              <w:t>5</w:t>
            </w:r>
            <w:r>
              <w:rPr>
                <w:rFonts w:hint="eastAsia"/>
                <w:b/>
                <w:szCs w:val="21"/>
                <w:highlight w:val="none"/>
              </w:rPr>
              <w:t xml:space="preserve">  </w:t>
            </w:r>
            <w:r>
              <w:rPr>
                <w:rFonts w:hint="eastAsia"/>
                <w:b/>
                <w:szCs w:val="21"/>
                <w:highlight w:val="none"/>
                <w:lang w:val="en-US" w:eastAsia="zh-CN"/>
              </w:rPr>
              <w:t>建筑垃圾分类处置</w:t>
            </w:r>
            <w:r>
              <w:rPr>
                <w:rFonts w:hint="eastAsia"/>
                <w:b/>
                <w:szCs w:val="21"/>
                <w:highlight w:val="none"/>
              </w:rPr>
              <w:t>及产污环节示意</w:t>
            </w:r>
            <w:r>
              <w:rPr>
                <w:b/>
                <w:szCs w:val="21"/>
                <w:highlight w:val="none"/>
              </w:rPr>
              <w:t>图</w:t>
            </w:r>
          </w:p>
          <w:p>
            <w:pPr>
              <w:snapToGrid w:val="0"/>
              <w:spacing w:line="360" w:lineRule="auto"/>
              <w:ind w:firstLine="482" w:firstLineChars="200"/>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建筑垃圾分类处置简述：</w:t>
            </w:r>
          </w:p>
          <w:p>
            <w:pPr>
              <w:snapToGrid w:val="0"/>
              <w:spacing w:line="360" w:lineRule="auto"/>
              <w:ind w:firstLine="480" w:firstLineChars="20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建筑垃圾由外来车辆运入厂区，堆放于建筑垃圾堆场，混凝土块单独装车运入，堆放于混凝土块堆场。混凝土块在破碎生产区，由履带式破碎筛分设备破碎，混凝土块破碎过程中，部分含有钢筋的由设备自带的磁选功能，吸附钢筋，与混凝土块分离，移出设备，装车外售；根据实际情况需求，履带式破碎筛分设备可在混凝土破碎前设置破碎成品规格，可破碎为细骨料（0~5mm）、粗骨料（5~10mm）、粗骨料（10~20mm）三种规格，破碎后的产品外售；建筑垃圾堆场由人工分拣出废木头、废纸板、废钢材，分类装车外售；分拣出装修白色垃圾装车，交由光大环保能源（乐山）有限公司处理；废砖头、装修垃圾在填埋区填埋处置。</w:t>
            </w:r>
          </w:p>
          <w:p>
            <w:pPr>
              <w:spacing w:line="360" w:lineRule="auto"/>
              <w:ind w:firstLine="480" w:firstLineChars="200"/>
              <w:rPr>
                <w:sz w:val="24"/>
              </w:rPr>
            </w:pPr>
            <w:r>
              <w:rPr>
                <w:sz w:val="24"/>
              </w:rPr>
              <w:t>物料平衡</w:t>
            </w:r>
            <w:r>
              <w:rPr>
                <w:rFonts w:hint="eastAsia"/>
                <w:sz w:val="24"/>
              </w:rPr>
              <w:t>表</w:t>
            </w:r>
            <w:r>
              <w:rPr>
                <w:sz w:val="24"/>
              </w:rPr>
              <w:t>见下</w:t>
            </w:r>
            <w:r>
              <w:rPr>
                <w:rFonts w:hint="eastAsia"/>
                <w:sz w:val="24"/>
              </w:rPr>
              <w:t>表</w:t>
            </w:r>
            <w:r>
              <w:rPr>
                <w:sz w:val="24"/>
              </w:rPr>
              <w:t>：</w:t>
            </w:r>
          </w:p>
          <w:p>
            <w:pPr>
              <w:spacing w:line="360" w:lineRule="auto"/>
              <w:ind w:firstLine="482" w:firstLineChars="200"/>
              <w:jc w:val="center"/>
              <w:rPr>
                <w:bCs/>
                <w:sz w:val="24"/>
              </w:rPr>
            </w:pPr>
            <w:r>
              <w:rPr>
                <w:b/>
                <w:bCs/>
                <w:szCs w:val="21"/>
              </w:rPr>
              <w:t>表2-</w:t>
            </w:r>
            <w:r>
              <w:rPr>
                <w:rFonts w:hint="eastAsia"/>
                <w:b/>
                <w:bCs/>
                <w:szCs w:val="21"/>
                <w:lang w:val="en-US" w:eastAsia="zh-CN"/>
              </w:rPr>
              <w:t>7</w:t>
            </w:r>
            <w:r>
              <w:rPr>
                <w:b/>
                <w:bCs/>
                <w:szCs w:val="21"/>
              </w:rPr>
              <w:t xml:space="preserve">  物料平衡表</w:t>
            </w:r>
          </w:p>
          <w:tbl>
            <w:tblPr>
              <w:tblStyle w:val="38"/>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2434"/>
              <w:gridCol w:w="2203"/>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498" w:type="pct"/>
                  <w:gridSpan w:val="2"/>
                  <w:noWrap w:val="0"/>
                  <w:vAlign w:val="center"/>
                </w:tcPr>
                <w:p>
                  <w:pPr>
                    <w:jc w:val="center"/>
                    <w:rPr>
                      <w:rFonts w:hint="eastAsia"/>
                      <w:b/>
                      <w:szCs w:val="21"/>
                    </w:rPr>
                  </w:pPr>
                  <w:r>
                    <w:rPr>
                      <w:rFonts w:hint="eastAsia"/>
                      <w:b/>
                      <w:szCs w:val="21"/>
                    </w:rPr>
                    <w:t>投入</w:t>
                  </w:r>
                </w:p>
              </w:tc>
              <w:tc>
                <w:tcPr>
                  <w:tcW w:w="2501" w:type="pct"/>
                  <w:gridSpan w:val="2"/>
                  <w:noWrap w:val="0"/>
                  <w:vAlign w:val="center"/>
                </w:tcPr>
                <w:p>
                  <w:pPr>
                    <w:jc w:val="center"/>
                    <w:rPr>
                      <w:rFonts w:hint="eastAsia"/>
                      <w:b/>
                      <w:szCs w:val="21"/>
                    </w:rPr>
                  </w:pPr>
                  <w:r>
                    <w:rPr>
                      <w:rFonts w:hint="eastAsia"/>
                      <w:b/>
                      <w:szCs w:val="21"/>
                    </w:rPr>
                    <w:t>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28" w:type="pct"/>
                  <w:noWrap w:val="0"/>
                  <w:vAlign w:val="center"/>
                </w:tcPr>
                <w:p>
                  <w:pPr>
                    <w:jc w:val="center"/>
                    <w:rPr>
                      <w:rFonts w:hint="eastAsia"/>
                      <w:b/>
                      <w:szCs w:val="21"/>
                    </w:rPr>
                  </w:pPr>
                  <w:r>
                    <w:rPr>
                      <w:rFonts w:hint="eastAsia"/>
                      <w:b/>
                      <w:szCs w:val="21"/>
                    </w:rPr>
                    <w:t>原料</w:t>
                  </w:r>
                </w:p>
              </w:tc>
              <w:tc>
                <w:tcPr>
                  <w:tcW w:w="1570" w:type="pct"/>
                  <w:noWrap w:val="0"/>
                  <w:vAlign w:val="center"/>
                </w:tcPr>
                <w:p>
                  <w:pPr>
                    <w:jc w:val="center"/>
                    <w:rPr>
                      <w:rFonts w:hint="eastAsia"/>
                      <w:b/>
                      <w:szCs w:val="21"/>
                    </w:rPr>
                  </w:pPr>
                  <w:r>
                    <w:rPr>
                      <w:rFonts w:hint="eastAsia"/>
                      <w:b/>
                      <w:szCs w:val="21"/>
                    </w:rPr>
                    <w:t>投入量（t/a）</w:t>
                  </w:r>
                </w:p>
              </w:tc>
              <w:tc>
                <w:tcPr>
                  <w:tcW w:w="1421" w:type="pct"/>
                  <w:noWrap w:val="0"/>
                  <w:vAlign w:val="center"/>
                </w:tcPr>
                <w:p>
                  <w:pPr>
                    <w:jc w:val="center"/>
                    <w:rPr>
                      <w:rFonts w:hint="eastAsia"/>
                      <w:b/>
                      <w:szCs w:val="21"/>
                    </w:rPr>
                  </w:pPr>
                  <w:r>
                    <w:rPr>
                      <w:rFonts w:hint="eastAsia"/>
                      <w:b/>
                      <w:szCs w:val="21"/>
                    </w:rPr>
                    <w:t>产品</w:t>
                  </w:r>
                </w:p>
              </w:tc>
              <w:tc>
                <w:tcPr>
                  <w:tcW w:w="1080" w:type="pct"/>
                  <w:noWrap w:val="0"/>
                  <w:vAlign w:val="center"/>
                </w:tcPr>
                <w:p>
                  <w:pPr>
                    <w:jc w:val="center"/>
                    <w:rPr>
                      <w:b/>
                      <w:szCs w:val="21"/>
                    </w:rPr>
                  </w:pPr>
                  <w:r>
                    <w:rPr>
                      <w:rFonts w:hint="eastAsia"/>
                      <w:b/>
                      <w:szCs w:val="21"/>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restart"/>
                  <w:noWrap w:val="0"/>
                  <w:vAlign w:val="center"/>
                </w:tcPr>
                <w:p>
                  <w:pPr>
                    <w:jc w:val="center"/>
                    <w:rPr>
                      <w:rFonts w:hint="eastAsia"/>
                      <w:bCs/>
                      <w:szCs w:val="21"/>
                      <w:lang w:val="en-US" w:eastAsia="zh-CN"/>
                    </w:rPr>
                  </w:pPr>
                  <w:r>
                    <w:rPr>
                      <w:rFonts w:hint="eastAsia"/>
                      <w:bCs/>
                      <w:szCs w:val="21"/>
                      <w:lang w:val="en-US" w:eastAsia="zh-CN"/>
                    </w:rPr>
                    <w:t>建筑垃圾</w:t>
                  </w:r>
                </w:p>
                <w:p>
                  <w:pPr>
                    <w:jc w:val="center"/>
                    <w:rPr>
                      <w:rFonts w:hint="default" w:eastAsia="宋体"/>
                      <w:bCs/>
                      <w:szCs w:val="21"/>
                      <w:lang w:val="en-US" w:eastAsia="zh-CN"/>
                    </w:rPr>
                  </w:pPr>
                  <w:r>
                    <w:rPr>
                      <w:rFonts w:hint="eastAsia"/>
                      <w:bCs/>
                      <w:szCs w:val="21"/>
                      <w:lang w:val="en-US" w:eastAsia="zh-CN"/>
                    </w:rPr>
                    <w:t>（混凝土块）</w:t>
                  </w:r>
                </w:p>
              </w:tc>
              <w:tc>
                <w:tcPr>
                  <w:tcW w:w="1570" w:type="pct"/>
                  <w:vMerge w:val="restart"/>
                  <w:noWrap w:val="0"/>
                  <w:vAlign w:val="center"/>
                </w:tcPr>
                <w:p>
                  <w:pPr>
                    <w:jc w:val="center"/>
                    <w:rPr>
                      <w:rFonts w:hint="eastAsia"/>
                      <w:bCs/>
                      <w:szCs w:val="21"/>
                      <w:lang w:val="en-US" w:eastAsia="zh-CN"/>
                    </w:rPr>
                  </w:pPr>
                  <w:r>
                    <w:rPr>
                      <w:rFonts w:hint="eastAsia"/>
                      <w:bCs/>
                      <w:szCs w:val="21"/>
                      <w:lang w:val="en-US" w:eastAsia="zh-CN"/>
                    </w:rPr>
                    <w:t>175003</w:t>
                  </w:r>
                </w:p>
                <w:p>
                  <w:pPr>
                    <w:jc w:val="center"/>
                    <w:rPr>
                      <w:rFonts w:hint="default" w:eastAsia="宋体"/>
                      <w:bCs/>
                      <w:szCs w:val="21"/>
                      <w:lang w:val="en-US" w:eastAsia="zh-CN"/>
                    </w:rPr>
                  </w:pPr>
                  <w:r>
                    <w:rPr>
                      <w:rFonts w:hint="eastAsia"/>
                      <w:bCs/>
                      <w:szCs w:val="21"/>
                      <w:lang w:val="en-US" w:eastAsia="zh-CN"/>
                    </w:rPr>
                    <w:t>（105000）</w:t>
                  </w:r>
                </w:p>
              </w:tc>
              <w:tc>
                <w:tcPr>
                  <w:tcW w:w="1421" w:type="pct"/>
                  <w:noWrap w:val="0"/>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细骨料（0~5mm）</w:t>
                  </w:r>
                </w:p>
              </w:tc>
              <w:tc>
                <w:tcPr>
                  <w:tcW w:w="1080" w:type="pct"/>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粗骨料（5~10mm）</w:t>
                  </w:r>
                </w:p>
              </w:tc>
              <w:tc>
                <w:tcPr>
                  <w:tcW w:w="1080" w:type="pct"/>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粗骨料（10~20mm）</w:t>
                  </w:r>
                </w:p>
              </w:tc>
              <w:tc>
                <w:tcPr>
                  <w:tcW w:w="1080" w:type="pct"/>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12994.2112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lang w:val="en-US" w:eastAsia="zh-CN"/>
                    </w:rPr>
                  </w:pPr>
                  <w:r>
                    <w:rPr>
                      <w:rFonts w:hint="eastAsia"/>
                      <w:bCs/>
                      <w:szCs w:val="21"/>
                      <w:lang w:val="en-US" w:eastAsia="zh-CN"/>
                    </w:rPr>
                    <w:t>废钢材（混凝土破碎）</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eastAsia"/>
                      <w:bCs/>
                      <w:szCs w:val="21"/>
                      <w:lang w:val="en-US" w:eastAsia="zh-CN"/>
                    </w:rPr>
                  </w:pPr>
                  <w:r>
                    <w:rPr>
                      <w:rFonts w:hint="eastAsia"/>
                      <w:bCs/>
                      <w:szCs w:val="21"/>
                      <w:lang w:val="en-US" w:eastAsia="zh-CN"/>
                    </w:rPr>
                    <w:t>废木头</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lang w:val="en-US" w:eastAsia="zh-CN"/>
                    </w:rPr>
                  </w:pPr>
                  <w:r>
                    <w:rPr>
                      <w:rFonts w:hint="eastAsia"/>
                      <w:bCs/>
                      <w:szCs w:val="21"/>
                      <w:lang w:val="en-US" w:eastAsia="zh-CN"/>
                    </w:rPr>
                    <w:t>废纸板</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lang w:val="en-US" w:eastAsia="zh-CN"/>
                    </w:rPr>
                  </w:pPr>
                  <w:r>
                    <w:rPr>
                      <w:rFonts w:hint="eastAsia"/>
                      <w:bCs/>
                      <w:szCs w:val="21"/>
                      <w:lang w:val="en-US" w:eastAsia="zh-CN"/>
                    </w:rPr>
                    <w:t>废钢材（分拣）</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lang w:val="en-US" w:eastAsia="zh-CN"/>
                    </w:rPr>
                  </w:pPr>
                  <w:r>
                    <w:rPr>
                      <w:rFonts w:hint="eastAsia"/>
                      <w:bCs/>
                      <w:szCs w:val="21"/>
                      <w:lang w:val="en-US" w:eastAsia="zh-CN"/>
                    </w:rPr>
                    <w:t>废砖头</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49999.825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lang w:val="en-US" w:eastAsia="zh-CN"/>
                    </w:rPr>
                  </w:pPr>
                  <w:r>
                    <w:rPr>
                      <w:rFonts w:hint="eastAsia"/>
                      <w:bCs/>
                      <w:szCs w:val="21"/>
                      <w:lang w:val="en-US" w:eastAsia="zh-CN"/>
                    </w:rPr>
                    <w:t>装修垃圾</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eastAsia"/>
                      <w:bCs/>
                      <w:szCs w:val="21"/>
                      <w:lang w:val="en-US" w:eastAsia="zh-CN"/>
                    </w:rPr>
                  </w:pPr>
                  <w:r>
                    <w:rPr>
                      <w:rFonts w:hint="eastAsia"/>
                      <w:bCs/>
                      <w:szCs w:val="21"/>
                      <w:lang w:val="en-US" w:eastAsia="zh-CN"/>
                    </w:rPr>
                    <w:t>白色装修垃圾</w:t>
                  </w:r>
                </w:p>
              </w:tc>
              <w:tc>
                <w:tcPr>
                  <w:tcW w:w="1080" w:type="pct"/>
                  <w:noWrap w:val="0"/>
                  <w:vAlign w:val="center"/>
                </w:tcPr>
                <w:p>
                  <w:pPr>
                    <w:jc w:val="center"/>
                    <w:rPr>
                      <w:rFonts w:hint="default" w:eastAsia="宋体"/>
                      <w:bCs/>
                      <w:szCs w:val="21"/>
                      <w:lang w:val="en-US" w:eastAsia="zh-CN"/>
                    </w:rPr>
                  </w:pPr>
                  <w:r>
                    <w:rPr>
                      <w:rFonts w:hint="eastAsia"/>
                      <w:bCs/>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bCs/>
                      <w:szCs w:val="21"/>
                      <w:highlight w:val="none"/>
                      <w:lang w:val="en-US" w:eastAsia="zh-CN"/>
                    </w:rPr>
                  </w:pPr>
                  <w:r>
                    <w:rPr>
                      <w:rFonts w:hint="eastAsia"/>
                      <w:bCs/>
                      <w:szCs w:val="21"/>
                      <w:highlight w:val="none"/>
                      <w:lang w:val="en-US" w:eastAsia="zh-CN"/>
                    </w:rPr>
                    <w:t>粉尘（填埋堆场）</w:t>
                  </w:r>
                </w:p>
              </w:tc>
              <w:tc>
                <w:tcPr>
                  <w:tcW w:w="1080" w:type="pct"/>
                  <w:noWrap w:val="0"/>
                  <w:vAlign w:val="center"/>
                </w:tcPr>
                <w:p>
                  <w:pPr>
                    <w:jc w:val="center"/>
                    <w:rPr>
                      <w:rFonts w:hint="default"/>
                      <w:bCs/>
                      <w:szCs w:val="21"/>
                      <w:highlight w:val="none"/>
                      <w:lang w:val="en-US" w:eastAsia="zh-CN"/>
                    </w:rPr>
                  </w:pPr>
                  <w:r>
                    <w:rPr>
                      <w:rFonts w:hint="eastAsia"/>
                      <w:bCs/>
                      <w:szCs w:val="21"/>
                      <w:highlight w:val="none"/>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noWrap w:val="0"/>
                  <w:vAlign w:val="center"/>
                </w:tcPr>
                <w:p>
                  <w:pPr>
                    <w:jc w:val="center"/>
                    <w:rPr>
                      <w:bCs/>
                      <w:szCs w:val="21"/>
                    </w:rPr>
                  </w:pPr>
                </w:p>
              </w:tc>
              <w:tc>
                <w:tcPr>
                  <w:tcW w:w="1570" w:type="pct"/>
                  <w:vMerge w:val="continue"/>
                  <w:noWrap w:val="0"/>
                  <w:vAlign w:val="center"/>
                </w:tcPr>
                <w:p>
                  <w:pPr>
                    <w:jc w:val="center"/>
                    <w:rPr>
                      <w:bCs/>
                      <w:szCs w:val="21"/>
                    </w:rPr>
                  </w:pPr>
                </w:p>
              </w:tc>
              <w:tc>
                <w:tcPr>
                  <w:tcW w:w="1421" w:type="pct"/>
                  <w:noWrap w:val="0"/>
                  <w:vAlign w:val="center"/>
                </w:tcPr>
                <w:p>
                  <w:pPr>
                    <w:jc w:val="center"/>
                    <w:rPr>
                      <w:rFonts w:hint="default" w:eastAsia="宋体"/>
                      <w:bCs/>
                      <w:szCs w:val="21"/>
                      <w:highlight w:val="none"/>
                      <w:lang w:val="en-US" w:eastAsia="zh-CN"/>
                    </w:rPr>
                  </w:pPr>
                  <w:r>
                    <w:rPr>
                      <w:rFonts w:hint="eastAsia"/>
                      <w:bCs/>
                      <w:szCs w:val="21"/>
                      <w:highlight w:val="none"/>
                      <w:lang w:val="en-US" w:eastAsia="zh-CN"/>
                    </w:rPr>
                    <w:t>粉尘（破碎）</w:t>
                  </w:r>
                </w:p>
              </w:tc>
              <w:tc>
                <w:tcPr>
                  <w:tcW w:w="1080" w:type="pct"/>
                  <w:noWrap w:val="0"/>
                  <w:vAlign w:val="center"/>
                </w:tcPr>
                <w:p>
                  <w:pPr>
                    <w:jc w:val="center"/>
                    <w:rPr>
                      <w:rFonts w:hint="default" w:eastAsia="宋体"/>
                      <w:bCs/>
                      <w:szCs w:val="21"/>
                      <w:highlight w:val="none"/>
                      <w:lang w:val="en-US" w:eastAsia="zh-CN"/>
                    </w:rPr>
                  </w:pPr>
                  <w:r>
                    <w:rPr>
                      <w:rFonts w:hint="eastAsia"/>
                      <w:bCs/>
                      <w:szCs w:val="21"/>
                      <w:highlight w:val="none"/>
                      <w:lang w:val="en-US" w:eastAsia="zh-CN"/>
                    </w:rPr>
                    <w:t>5.2888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8" w:type="pct"/>
                  <w:noWrap w:val="0"/>
                  <w:vAlign w:val="center"/>
                </w:tcPr>
                <w:p>
                  <w:pPr>
                    <w:jc w:val="center"/>
                    <w:rPr>
                      <w:rFonts w:hint="eastAsia"/>
                      <w:bCs/>
                      <w:szCs w:val="21"/>
                    </w:rPr>
                  </w:pPr>
                  <w:r>
                    <w:rPr>
                      <w:rFonts w:hint="eastAsia"/>
                      <w:bCs/>
                      <w:szCs w:val="21"/>
                    </w:rPr>
                    <w:t>合计</w:t>
                  </w:r>
                </w:p>
              </w:tc>
              <w:tc>
                <w:tcPr>
                  <w:tcW w:w="1570" w:type="pct"/>
                  <w:noWrap w:val="0"/>
                  <w:vAlign w:val="center"/>
                </w:tcPr>
                <w:p>
                  <w:pPr>
                    <w:jc w:val="center"/>
                    <w:rPr>
                      <w:rFonts w:hint="eastAsia"/>
                      <w:bCs/>
                      <w:szCs w:val="21"/>
                      <w:lang w:val="en-US" w:eastAsia="zh-CN"/>
                    </w:rPr>
                  </w:pPr>
                  <w:r>
                    <w:rPr>
                      <w:rFonts w:hint="eastAsia"/>
                      <w:bCs/>
                      <w:szCs w:val="21"/>
                      <w:lang w:val="en-US" w:eastAsia="zh-CN"/>
                    </w:rPr>
                    <w:t>175003</w:t>
                  </w:r>
                </w:p>
                <w:p>
                  <w:pPr>
                    <w:jc w:val="center"/>
                    <w:rPr>
                      <w:rFonts w:hint="default" w:eastAsia="宋体"/>
                      <w:bCs/>
                      <w:szCs w:val="21"/>
                      <w:lang w:val="en-US" w:eastAsia="zh-CN"/>
                    </w:rPr>
                  </w:pPr>
                  <w:r>
                    <w:rPr>
                      <w:rFonts w:hint="eastAsia"/>
                      <w:bCs/>
                      <w:szCs w:val="21"/>
                      <w:lang w:val="en-US" w:eastAsia="zh-CN"/>
                    </w:rPr>
                    <w:t>（105000）</w:t>
                  </w:r>
                </w:p>
              </w:tc>
              <w:tc>
                <w:tcPr>
                  <w:tcW w:w="1421" w:type="pct"/>
                  <w:noWrap w:val="0"/>
                  <w:vAlign w:val="center"/>
                </w:tcPr>
                <w:p>
                  <w:pPr>
                    <w:jc w:val="center"/>
                    <w:rPr>
                      <w:bCs/>
                      <w:szCs w:val="21"/>
                    </w:rPr>
                  </w:pPr>
                  <w:r>
                    <w:rPr>
                      <w:rFonts w:hint="eastAsia"/>
                      <w:bCs/>
                      <w:szCs w:val="21"/>
                    </w:rPr>
                    <w:t>/</w:t>
                  </w:r>
                </w:p>
              </w:tc>
              <w:tc>
                <w:tcPr>
                  <w:tcW w:w="1080" w:type="pct"/>
                  <w:noWrap w:val="0"/>
                  <w:vAlign w:val="center"/>
                </w:tcPr>
                <w:p>
                  <w:pPr>
                    <w:jc w:val="center"/>
                    <w:rPr>
                      <w:bCs/>
                      <w:szCs w:val="21"/>
                    </w:rPr>
                  </w:pPr>
                  <w:r>
                    <w:rPr>
                      <w:rFonts w:hint="eastAsia"/>
                      <w:bCs/>
                      <w:szCs w:val="21"/>
                      <w:lang w:val="en-US" w:eastAsia="zh-CN"/>
                    </w:rPr>
                    <w:t>175003（105000）</w:t>
                  </w:r>
                </w:p>
              </w:tc>
            </w:tr>
          </w:tbl>
          <w:p>
            <w:pPr>
              <w:pStyle w:val="37"/>
              <w:ind w:left="0" w:leftChars="0" w:firstLine="480"/>
              <w:jc w:val="left"/>
              <w:rPr>
                <w:sz w:val="24"/>
              </w:rPr>
            </w:pPr>
            <w:r>
              <w:rPr>
                <w:rFonts w:hint="eastAsia"/>
                <w:sz w:val="24"/>
              </w:rPr>
              <w:t>物料平衡见下图：</w:t>
            </w:r>
          </w:p>
          <w:p>
            <w:pPr>
              <w:snapToGrid w:val="0"/>
              <w:spacing w:line="360" w:lineRule="auto"/>
              <w:ind w:firstLine="1200" w:firstLineChars="500"/>
              <w:jc w:val="both"/>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object>
                <v:shape id="_x0000_i1035" o:spt="75" type="#_x0000_t75" style="height:365.7pt;width:263.9pt;" o:ole="t" filled="f" o:preferrelative="t" stroked="f" coordsize="21600,21600">
                  <v:path/>
                  <v:fill on="f" focussize="0,0"/>
                  <v:stroke on="f"/>
                  <v:imagedata r:id="rId21" o:title=""/>
                  <o:lock v:ext="edit" aspectratio="t"/>
                  <w10:wrap type="none"/>
                  <w10:anchorlock/>
                </v:shape>
                <o:OLEObject Type="Embed" ProgID="" ShapeID="_x0000_i1035" DrawAspect="Content" ObjectID="_1468075729" r:id="rId20">
                  <o:LockedField>false</o:LockedField>
                </o:OLEObject>
              </w:object>
            </w:r>
          </w:p>
          <w:p>
            <w:pPr>
              <w:snapToGrid w:val="0"/>
              <w:spacing w:line="360" w:lineRule="auto"/>
              <w:jc w:val="center"/>
              <w:rPr>
                <w:rFonts w:hint="eastAsia" w:ascii="Times New Roman" w:hAnsi="Times New Roman" w:eastAsia="宋体" w:cs="Times New Roman"/>
                <w:b/>
                <w:bCs/>
                <w:sz w:val="24"/>
              </w:rPr>
            </w:pPr>
            <w:r>
              <w:rPr>
                <w:b/>
                <w:szCs w:val="21"/>
                <w:highlight w:val="none"/>
              </w:rPr>
              <w:t>图</w:t>
            </w:r>
            <w:r>
              <w:rPr>
                <w:rFonts w:hint="eastAsia"/>
                <w:b/>
                <w:szCs w:val="21"/>
                <w:highlight w:val="none"/>
              </w:rPr>
              <w:t>2-</w:t>
            </w:r>
            <w:r>
              <w:rPr>
                <w:rFonts w:hint="eastAsia"/>
                <w:b/>
                <w:szCs w:val="21"/>
                <w:highlight w:val="none"/>
                <w:lang w:val="en-US" w:eastAsia="zh-CN"/>
              </w:rPr>
              <w:t>6</w:t>
            </w:r>
            <w:r>
              <w:rPr>
                <w:rFonts w:hint="eastAsia"/>
                <w:b/>
                <w:szCs w:val="21"/>
                <w:highlight w:val="none"/>
              </w:rPr>
              <w:t xml:space="preserve">  </w:t>
            </w:r>
            <w:r>
              <w:rPr>
                <w:rFonts w:hint="eastAsia"/>
                <w:b/>
                <w:szCs w:val="21"/>
                <w:highlight w:val="none"/>
                <w:lang w:val="en-US" w:eastAsia="zh-CN"/>
              </w:rPr>
              <w:t>物料平衡图</w:t>
            </w:r>
          </w:p>
          <w:p>
            <w:pPr>
              <w:autoSpaceDE w:val="0"/>
              <w:autoSpaceDN w:val="0"/>
              <w:adjustRightInd w:val="0"/>
              <w:snapToGrid w:val="0"/>
              <w:spacing w:line="360" w:lineRule="auto"/>
              <w:ind w:right="6" w:firstLine="482" w:firstLineChars="200"/>
              <w:rPr>
                <w:rFonts w:hint="eastAsia" w:ascii="Times New Roman" w:hAnsi="Times New Roman" w:eastAsia="宋体" w:cs="Times New Roman"/>
                <w:b/>
                <w:bCs/>
                <w:sz w:val="24"/>
              </w:rPr>
            </w:pPr>
            <w:r>
              <w:rPr>
                <w:rFonts w:hint="eastAsia" w:ascii="Times New Roman" w:hAnsi="Times New Roman" w:eastAsia="宋体" w:cs="Times New Roman"/>
                <w:b/>
                <w:bCs/>
                <w:sz w:val="24"/>
              </w:rPr>
              <w:t>本项目营运期主要污染工序如下：</w:t>
            </w:r>
          </w:p>
          <w:p>
            <w:pPr>
              <w:adjustRightInd w:val="0"/>
              <w:snapToGrid w:val="0"/>
              <w:spacing w:line="360" w:lineRule="auto"/>
              <w:ind w:firstLine="482" w:firstLineChars="200"/>
              <w:jc w:val="left"/>
              <w:rPr>
                <w:rFonts w:ascii="Times New Roman" w:hAnsi="Times New Roman" w:eastAsia="宋体" w:cs="Times New Roman"/>
                <w:sz w:val="24"/>
              </w:rPr>
            </w:pPr>
            <w:r>
              <w:rPr>
                <w:rFonts w:ascii="Times New Roman" w:hAnsi="Times New Roman" w:eastAsia="宋体" w:cs="Times New Roman"/>
                <w:b/>
                <w:sz w:val="24"/>
              </w:rPr>
              <w:t>废气：</w:t>
            </w:r>
            <w:r>
              <w:rPr>
                <w:rFonts w:ascii="Times New Roman" w:hAnsi="Times New Roman" w:eastAsia="宋体" w:cs="Times New Roman"/>
                <w:sz w:val="24"/>
              </w:rPr>
              <w:t>营运期废气主要来自</w:t>
            </w:r>
            <w:r>
              <w:rPr>
                <w:rFonts w:hint="eastAsia" w:ascii="Times New Roman" w:hAnsi="Times New Roman" w:eastAsia="宋体" w:cs="Times New Roman"/>
                <w:sz w:val="24"/>
                <w:lang w:val="en-US" w:eastAsia="zh-CN"/>
              </w:rPr>
              <w:t>破碎生产区</w:t>
            </w:r>
            <w:r>
              <w:rPr>
                <w:rFonts w:ascii="Times New Roman" w:hAnsi="Times New Roman" w:eastAsia="宋体" w:cs="Times New Roman"/>
                <w:sz w:val="24"/>
              </w:rPr>
              <w:t>产生</w:t>
            </w:r>
            <w:r>
              <w:rPr>
                <w:rFonts w:hint="eastAsia" w:ascii="Times New Roman" w:hAnsi="Times New Roman" w:eastAsia="宋体" w:cs="Times New Roman"/>
                <w:sz w:val="24"/>
              </w:rPr>
              <w:t>的</w:t>
            </w:r>
            <w:r>
              <w:rPr>
                <w:rFonts w:hint="eastAsia" w:ascii="Times New Roman" w:hAnsi="Times New Roman" w:eastAsia="宋体" w:cs="Times New Roman"/>
                <w:sz w:val="24"/>
                <w:lang w:val="en-US" w:eastAsia="zh-CN"/>
              </w:rPr>
              <w:t>粉尘</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混凝土块堆场及成品堆场粉尘、建筑垃圾堆场产生的粉尘</w:t>
            </w:r>
            <w:r>
              <w:rPr>
                <w:rFonts w:ascii="Times New Roman" w:hAnsi="Times New Roman" w:eastAsia="宋体" w:cs="Times New Roman"/>
                <w:sz w:val="24"/>
              </w:rPr>
              <w:t>。</w:t>
            </w:r>
          </w:p>
          <w:p>
            <w:pPr>
              <w:adjustRightInd w:val="0"/>
              <w:snapToGrid w:val="0"/>
              <w:spacing w:line="360" w:lineRule="auto"/>
              <w:ind w:firstLine="482" w:firstLineChars="200"/>
              <w:jc w:val="left"/>
              <w:rPr>
                <w:rFonts w:hint="eastAsia" w:ascii="Times New Roman" w:hAnsi="Times New Roman" w:eastAsia="宋体" w:cs="Times New Roman"/>
                <w:sz w:val="24"/>
                <w:lang w:eastAsia="zh-CN"/>
              </w:rPr>
            </w:pPr>
            <w:r>
              <w:rPr>
                <w:rFonts w:ascii="Times New Roman" w:hAnsi="Times New Roman" w:eastAsia="宋体" w:cs="Times New Roman"/>
                <w:b/>
                <w:sz w:val="24"/>
              </w:rPr>
              <w:t>废水：</w:t>
            </w:r>
            <w:r>
              <w:rPr>
                <w:rFonts w:ascii="Times New Roman" w:hAnsi="Times New Roman" w:eastAsia="宋体" w:cs="Times New Roman"/>
                <w:sz w:val="24"/>
              </w:rPr>
              <w:t>营运期的废水主要来自于员工日常的生活污水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破碎生产区喷淋废水、雨水、洗车废水</w:t>
            </w:r>
            <w:r>
              <w:rPr>
                <w:rFonts w:hint="eastAsia" w:ascii="Times New Roman" w:hAnsi="Times New Roman" w:eastAsia="宋体" w:cs="Times New Roman"/>
                <w:sz w:val="24"/>
                <w:lang w:eastAsia="zh-CN"/>
              </w:rPr>
              <w:t>。</w:t>
            </w:r>
          </w:p>
          <w:p>
            <w:pPr>
              <w:adjustRightInd w:val="0"/>
              <w:snapToGrid w:val="0"/>
              <w:spacing w:line="360" w:lineRule="auto"/>
              <w:ind w:firstLine="482" w:firstLineChars="200"/>
              <w:jc w:val="left"/>
              <w:rPr>
                <w:rFonts w:ascii="Times New Roman" w:hAnsi="Times New Roman" w:eastAsia="宋体" w:cs="Times New Roman"/>
                <w:sz w:val="24"/>
              </w:rPr>
            </w:pPr>
            <w:r>
              <w:rPr>
                <w:rFonts w:ascii="Times New Roman" w:hAnsi="Times New Roman" w:eastAsia="宋体" w:cs="Times New Roman"/>
                <w:b/>
                <w:sz w:val="24"/>
              </w:rPr>
              <w:t>固废：</w:t>
            </w:r>
            <w:r>
              <w:rPr>
                <w:rFonts w:ascii="Times New Roman" w:hAnsi="Times New Roman" w:eastAsia="宋体" w:cs="Times New Roman"/>
                <w:sz w:val="24"/>
              </w:rPr>
              <w:t>营运期固体废物主要来自于生活垃圾</w:t>
            </w:r>
            <w:r>
              <w:rPr>
                <w:rFonts w:hint="eastAsia" w:ascii="Times New Roman" w:hAnsi="Times New Roman" w:eastAsia="宋体" w:cs="Times New Roman"/>
                <w:sz w:val="24"/>
              </w:rPr>
              <w:t>、化粪池底泥</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沉淀池（碎石破碎）底泥、沉淀池（洗车槽）底泥、沉砂池底泥及</w:t>
            </w:r>
            <w:r>
              <w:rPr>
                <w:rFonts w:hint="eastAsia" w:ascii="Times New Roman" w:hAnsi="Times New Roman" w:eastAsia="宋体" w:cs="Times New Roman"/>
                <w:sz w:val="24"/>
              </w:rPr>
              <w:t>废机油</w:t>
            </w:r>
            <w:r>
              <w:rPr>
                <w:rFonts w:ascii="Times New Roman" w:hAnsi="Times New Roman" w:eastAsia="宋体" w:cs="Times New Roman"/>
                <w:sz w:val="24"/>
              </w:rPr>
              <w:t>。</w:t>
            </w:r>
          </w:p>
          <w:p>
            <w:pPr>
              <w:widowControl/>
              <w:snapToGrid w:val="0"/>
              <w:spacing w:before="60" w:after="160" w:line="259" w:lineRule="auto"/>
              <w:ind w:right="113" w:firstLine="482" w:firstLineChars="200"/>
              <w:rPr>
                <w:rFonts w:hint="default"/>
                <w:lang w:val="en-US" w:eastAsia="zh-CN"/>
              </w:rPr>
            </w:pPr>
            <w:r>
              <w:rPr>
                <w:rFonts w:ascii="Times New Roman" w:hAnsi="Times New Roman" w:eastAsia="宋体" w:cs="Times New Roman"/>
                <w:b/>
                <w:sz w:val="24"/>
              </w:rPr>
              <w:t>噪声：</w:t>
            </w:r>
            <w:r>
              <w:rPr>
                <w:rFonts w:ascii="Times New Roman" w:hAnsi="Times New Roman" w:eastAsia="宋体" w:cs="Times New Roman"/>
                <w:sz w:val="24"/>
              </w:rPr>
              <w:t>运营期噪声主要来自于生产的机械设备运转时产生的噪声。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23" w:type="dxa"/>
            <w:noWrap w:val="0"/>
            <w:vAlign w:val="center"/>
          </w:tcPr>
          <w:p>
            <w:pPr>
              <w:pStyle w:val="33"/>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bCs/>
                <w:kern w:val="2"/>
                <w:sz w:val="24"/>
                <w:szCs w:val="24"/>
              </w:rPr>
              <w:t>与项目有关的原有环境污染问题</w:t>
            </w:r>
          </w:p>
        </w:tc>
        <w:tc>
          <w:tcPr>
            <w:tcW w:w="8161" w:type="dxa"/>
            <w:noWrap w:val="0"/>
            <w:vAlign w:val="center"/>
          </w:tcPr>
          <w:p>
            <w:pPr>
              <w:adjustRightInd w:val="0"/>
              <w:snapToGrid w:val="0"/>
              <w:ind w:firstLine="480" w:firstLineChars="200"/>
              <w:jc w:val="center"/>
              <w:rPr>
                <w:rFonts w:hint="default" w:ascii="Times New Roman" w:hAnsi="Times New Roman" w:cs="Times New Roman"/>
                <w:bCs/>
                <w:sz w:val="24"/>
                <w:szCs w:val="24"/>
              </w:rPr>
            </w:pPr>
            <w:r>
              <w:rPr>
                <w:rFonts w:hint="default" w:ascii="Times New Roman" w:hAnsi="Times New Roman" w:cs="Times New Roman"/>
                <w:bCs/>
                <w:sz w:val="24"/>
                <w:szCs w:val="24"/>
              </w:rPr>
              <w:t>本项目为新建项目，填埋场现状为荒沟，不存在原有污染情况。</w:t>
            </w:r>
          </w:p>
        </w:tc>
      </w:tr>
    </w:tbl>
    <w:p>
      <w:pPr>
        <w:pStyle w:val="33"/>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33"/>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3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区域</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质量</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现状</w:t>
            </w:r>
          </w:p>
        </w:tc>
        <w:tc>
          <w:tcPr>
            <w:tcW w:w="8190" w:type="dxa"/>
            <w:noWrap w:val="0"/>
            <w:vAlign w:val="center"/>
          </w:tcPr>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 xml:space="preserve">1、项目所在区域达标判断 </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根据《环境影响评价技术导则——大气环境》（HJ2.2-2018），项目所在区域达标判定，优先采用国家或地方生态环境主管部门公开发布的评价基准年环境质量公告或环境质量报告书中的数据或结论。</w:t>
            </w:r>
          </w:p>
          <w:p>
            <w:pPr>
              <w:pStyle w:val="195"/>
              <w:adjustRightInd w:val="0"/>
              <w:snapToGrid w:val="0"/>
              <w:jc w:val="left"/>
              <w:rPr>
                <w:rFonts w:eastAsia="宋体" w:cs="Times New Roman"/>
                <w:color w:val="auto"/>
              </w:rPr>
            </w:pPr>
            <w:r>
              <w:rPr>
                <w:rFonts w:hint="eastAsia" w:eastAsia="宋体" w:cs="Times New Roman"/>
                <w:color w:val="auto"/>
                <w:szCs w:val="21"/>
              </w:rPr>
              <w:t>本项目位于</w:t>
            </w:r>
            <w:r>
              <w:rPr>
                <w:rFonts w:hint="eastAsia" w:eastAsia="宋体" w:cs="Times New Roman"/>
                <w:color w:val="auto"/>
                <w:szCs w:val="21"/>
                <w:lang w:val="en-US" w:eastAsia="zh-CN"/>
              </w:rPr>
              <w:t>四川省乐山市市中区全福街道办事处台子村2组</w:t>
            </w:r>
            <w:r>
              <w:rPr>
                <w:rFonts w:hint="eastAsia" w:eastAsia="宋体" w:cs="Times New Roman"/>
                <w:color w:val="auto"/>
                <w:szCs w:val="21"/>
              </w:rPr>
              <w:t>，</w:t>
            </w:r>
            <w:r>
              <w:rPr>
                <w:rFonts w:eastAsia="宋体" w:cs="Times New Roman"/>
                <w:color w:val="auto"/>
              </w:rPr>
              <w:t>项目大气环境现状调查引用《2020年乐山市环境质量公报》，</w:t>
            </w:r>
            <w:r>
              <w:rPr>
                <w:rFonts w:hint="eastAsia" w:eastAsia="宋体" w:cs="Times New Roman"/>
                <w:color w:val="auto"/>
              </w:rPr>
              <w:t>2</w:t>
            </w:r>
            <w:r>
              <w:rPr>
                <w:rFonts w:eastAsia="宋体" w:cs="Times New Roman"/>
                <w:color w:val="auto"/>
              </w:rPr>
              <w:t>020年乐山市11个县（区、市）环境空气中二氧化硫、二氧化氮、可吸入颗粒物和细颗粒物年均浓度分别为11μg/m</w:t>
            </w:r>
            <w:r>
              <w:rPr>
                <w:rFonts w:eastAsia="宋体" w:cs="Times New Roman"/>
                <w:color w:val="auto"/>
                <w:vertAlign w:val="superscript"/>
              </w:rPr>
              <w:t>3</w:t>
            </w:r>
            <w:r>
              <w:rPr>
                <w:rFonts w:eastAsia="宋体" w:cs="Times New Roman"/>
                <w:color w:val="auto"/>
              </w:rPr>
              <w:t>、23μg/m</w:t>
            </w:r>
            <w:r>
              <w:rPr>
                <w:rFonts w:eastAsia="宋体" w:cs="Times New Roman"/>
                <w:color w:val="auto"/>
                <w:vertAlign w:val="superscript"/>
              </w:rPr>
              <w:t>3</w:t>
            </w:r>
            <w:r>
              <w:rPr>
                <w:rFonts w:eastAsia="宋体" w:cs="Times New Roman"/>
                <w:color w:val="auto"/>
              </w:rPr>
              <w:t>、55μg/m</w:t>
            </w:r>
            <w:r>
              <w:rPr>
                <w:rFonts w:eastAsia="宋体" w:cs="Times New Roman"/>
                <w:color w:val="auto"/>
                <w:vertAlign w:val="superscript"/>
              </w:rPr>
              <w:t>3</w:t>
            </w:r>
            <w:r>
              <w:rPr>
                <w:rFonts w:eastAsia="宋体" w:cs="Times New Roman"/>
                <w:color w:val="auto"/>
              </w:rPr>
              <w:t>和34μg/m</w:t>
            </w:r>
            <w:r>
              <w:rPr>
                <w:rFonts w:eastAsia="宋体" w:cs="Times New Roman"/>
                <w:color w:val="auto"/>
                <w:vertAlign w:val="superscript"/>
              </w:rPr>
              <w:t>3</w:t>
            </w:r>
            <w:r>
              <w:rPr>
                <w:rFonts w:eastAsia="宋体" w:cs="Times New Roman"/>
                <w:color w:val="auto"/>
              </w:rPr>
              <w:t>，均达到国家环境空气质量二级标准，同比分别下降16.5％、4.1％、11．5％和12.2％；一氧化碳24小时平均第95百分位数浓度均值为1.1mg/m</w:t>
            </w:r>
            <w:r>
              <w:rPr>
                <w:rFonts w:eastAsia="宋体" w:cs="Times New Roman"/>
                <w:color w:val="auto"/>
                <w:vertAlign w:val="superscript"/>
              </w:rPr>
              <w:t>3</w:t>
            </w:r>
            <w:r>
              <w:rPr>
                <w:rFonts w:eastAsia="宋体" w:cs="Times New Roman"/>
                <w:color w:val="auto"/>
              </w:rPr>
              <w:t>，达到国家环境空气质量二级标准，同比下降19.9％；臭氧日最大8小时滑动平均浓度为126μg/m</w:t>
            </w:r>
            <w:r>
              <w:rPr>
                <w:rFonts w:eastAsia="宋体" w:cs="Times New Roman"/>
                <w:color w:val="auto"/>
                <w:vertAlign w:val="superscript"/>
              </w:rPr>
              <w:t>3</w:t>
            </w:r>
            <w:r>
              <w:rPr>
                <w:rFonts w:eastAsia="宋体" w:cs="Times New Roman"/>
                <w:color w:val="auto"/>
              </w:rPr>
              <w:t>，达到国家环境空气质量二级标准，同比上升3.8％。</w:t>
            </w:r>
          </w:p>
          <w:p>
            <w:pPr>
              <w:ind w:left="422" w:hanging="482" w:hangingChars="200"/>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表</w:t>
            </w:r>
            <w:r>
              <w:rPr>
                <w:rFonts w:hint="eastAsia" w:ascii="Times New Roman" w:hAnsi="Times New Roman" w:eastAsia="宋体" w:cs="Times New Roman"/>
                <w:b/>
                <w:color w:val="auto"/>
                <w:kern w:val="0"/>
                <w:szCs w:val="21"/>
              </w:rPr>
              <w:t>3</w:t>
            </w:r>
            <w:r>
              <w:rPr>
                <w:rFonts w:ascii="Times New Roman" w:hAnsi="Times New Roman" w:eastAsia="宋体" w:cs="Times New Roman"/>
                <w:b/>
                <w:color w:val="auto"/>
                <w:kern w:val="0"/>
                <w:szCs w:val="21"/>
              </w:rPr>
              <w:t>-</w:t>
            </w:r>
            <w:r>
              <w:rPr>
                <w:rFonts w:hint="eastAsia" w:ascii="Times New Roman" w:hAnsi="Times New Roman" w:eastAsia="宋体" w:cs="Times New Roman"/>
                <w:b/>
                <w:color w:val="auto"/>
                <w:kern w:val="0"/>
                <w:szCs w:val="21"/>
              </w:rPr>
              <w:t>1</w:t>
            </w:r>
            <w:r>
              <w:rPr>
                <w:rFonts w:ascii="Times New Roman" w:hAnsi="Times New Roman" w:eastAsia="宋体" w:cs="Times New Roman"/>
                <w:b/>
                <w:color w:val="auto"/>
                <w:kern w:val="0"/>
                <w:szCs w:val="21"/>
              </w:rPr>
              <w:t xml:space="preserve">  空气质量现状</w:t>
            </w:r>
          </w:p>
          <w:tbl>
            <w:tblPr>
              <w:tblStyle w:val="39"/>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2748"/>
              <w:gridCol w:w="1081"/>
              <w:gridCol w:w="1082"/>
              <w:gridCol w:w="767"/>
              <w:gridCol w:w="101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1724"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年评价指标</w:t>
                  </w:r>
                </w:p>
              </w:tc>
              <w:tc>
                <w:tcPr>
                  <w:tcW w:w="678"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现状浓度（ug/m³）</w:t>
                  </w:r>
                </w:p>
              </w:tc>
              <w:tc>
                <w:tcPr>
                  <w:tcW w:w="679"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标准值（ug/m³）</w:t>
                  </w:r>
                </w:p>
              </w:tc>
              <w:tc>
                <w:tcPr>
                  <w:tcW w:w="481"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占标率%</w:t>
                  </w:r>
                </w:p>
              </w:tc>
              <w:tc>
                <w:tcPr>
                  <w:tcW w:w="636" w:type="pct"/>
                  <w:noWrap w:val="0"/>
                  <w:vAlign w:val="center"/>
                </w:tcPr>
                <w:p>
                  <w:pPr>
                    <w:tabs>
                      <w:tab w:val="left" w:pos="72"/>
                    </w:tabs>
                    <w:jc w:val="center"/>
                    <w:textAlignment w:val="baseline"/>
                    <w:rPr>
                      <w:rFonts w:ascii="Times New Roman" w:hAnsi="Times New Roman" w:eastAsia="宋体" w:cs="Times New Roman"/>
                      <w:b/>
                      <w:kern w:val="0"/>
                      <w:szCs w:val="21"/>
                    </w:rPr>
                  </w:pPr>
                  <w:r>
                    <w:rPr>
                      <w:rFonts w:ascii="Times New Roman" w:hAnsi="Times New Roman" w:eastAsia="宋体" w:cs="Times New Roman"/>
                      <w:b/>
                      <w:kern w:val="0"/>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二氧化硫</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年平均质量浓度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11</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60</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18.34</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二氧化氮</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年平均质量浓度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23</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40</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57.50</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臭氧</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24h平均质量浓度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126</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160</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78.75</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一氧化碳</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日最大8h平均质量浓度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1100</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4000</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27.50</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PM</w:t>
                  </w:r>
                  <w:r>
                    <w:rPr>
                      <w:rFonts w:ascii="Times New Roman" w:hAnsi="Times New Roman" w:eastAsia="宋体" w:cs="Times New Roman"/>
                      <w:bCs/>
                      <w:kern w:val="0"/>
                      <w:szCs w:val="21"/>
                      <w:vertAlign w:val="subscript"/>
                    </w:rPr>
                    <w:t>2.5</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年平均质量浓度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34</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35</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97.14</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PM</w:t>
                  </w:r>
                  <w:r>
                    <w:rPr>
                      <w:rFonts w:ascii="Times New Roman" w:hAnsi="Times New Roman" w:eastAsia="宋体" w:cs="Times New Roman"/>
                      <w:bCs/>
                      <w:kern w:val="0"/>
                      <w:szCs w:val="21"/>
                      <w:vertAlign w:val="subscript"/>
                    </w:rPr>
                    <w:t>10</w:t>
                  </w:r>
                </w:p>
              </w:tc>
              <w:tc>
                <w:tcPr>
                  <w:tcW w:w="1724"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年平均质量浓度</w:t>
                  </w:r>
                </w:p>
              </w:tc>
              <w:tc>
                <w:tcPr>
                  <w:tcW w:w="1156" w:type="dxa"/>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55</w:t>
                  </w:r>
                </w:p>
              </w:tc>
              <w:tc>
                <w:tcPr>
                  <w:tcW w:w="679"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70</w:t>
                  </w:r>
                </w:p>
              </w:tc>
              <w:tc>
                <w:tcPr>
                  <w:tcW w:w="481"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78.57</w:t>
                  </w:r>
                </w:p>
              </w:tc>
              <w:tc>
                <w:tcPr>
                  <w:tcW w:w="636" w:type="pct"/>
                  <w:noWrap w:val="0"/>
                  <w:vAlign w:val="center"/>
                </w:tcPr>
                <w:p>
                  <w:pPr>
                    <w:tabs>
                      <w:tab w:val="left" w:pos="72"/>
                    </w:tabs>
                    <w:jc w:val="center"/>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t>达标</w:t>
                  </w:r>
                </w:p>
              </w:tc>
            </w:tr>
          </w:tbl>
          <w:p>
            <w:pPr>
              <w:widowControl/>
              <w:spacing w:line="360" w:lineRule="auto"/>
              <w:ind w:firstLine="480" w:firstLineChars="200"/>
              <w:rPr>
                <w:rFonts w:ascii="Times New Roman" w:hAnsi="Times New Roman" w:eastAsia="宋体" w:cs="Times New Roman"/>
                <w:kern w:val="0"/>
                <w:sz w:val="24"/>
                <w:lang w:bidi="ar"/>
              </w:rPr>
            </w:pPr>
            <w:r>
              <w:rPr>
                <w:rFonts w:ascii="Times New Roman" w:hAnsi="Times New Roman" w:eastAsia="宋体" w:cs="Times New Roman"/>
                <w:sz w:val="24"/>
              </w:rPr>
              <w:t>本项目所在区域为达标区，满足《环境空气质量标准》（GB3095-2012）及其修改单中二级标准的要求</w:t>
            </w:r>
            <w:r>
              <w:rPr>
                <w:rFonts w:ascii="Times New Roman" w:hAnsi="Times New Roman" w:eastAsia="宋体" w:cs="Times New Roman"/>
                <w:kern w:val="0"/>
                <w:sz w:val="24"/>
                <w:lang w:bidi="ar"/>
              </w:rPr>
              <w:t>。</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w:t>
            </w:r>
            <w:r>
              <w:rPr>
                <w:rFonts w:hint="eastAsia" w:ascii="Times New Roman" w:hAnsi="Times New Roman" w:eastAsia="宋体" w:cs="Times New Roman"/>
                <w:b/>
                <w:bCs/>
                <w:sz w:val="24"/>
              </w:rPr>
              <w:t>、</w:t>
            </w:r>
            <w:r>
              <w:rPr>
                <w:rFonts w:ascii="Times New Roman" w:hAnsi="Times New Roman" w:eastAsia="宋体" w:cs="Times New Roman"/>
                <w:b/>
                <w:bCs/>
                <w:sz w:val="24"/>
              </w:rPr>
              <w:t>特征污染物环境质量现状</w:t>
            </w:r>
          </w:p>
          <w:p>
            <w:pPr>
              <w:adjustRightInd w:val="0"/>
              <w:snapToGrid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rPr>
              <w:t>为了解项目所在地</w:t>
            </w:r>
            <w:r>
              <w:rPr>
                <w:rFonts w:ascii="Times New Roman" w:hAnsi="Times New Roman" w:eastAsia="宋体" w:cs="Times New Roman"/>
                <w:sz w:val="24"/>
                <w:highlight w:val="none"/>
              </w:rPr>
              <w:t>特征污染物环境质量，委托四川</w:t>
            </w:r>
            <w:r>
              <w:rPr>
                <w:rFonts w:hint="eastAsia" w:ascii="Times New Roman" w:hAnsi="Times New Roman" w:eastAsia="宋体" w:cs="Times New Roman"/>
                <w:sz w:val="24"/>
                <w:highlight w:val="none"/>
                <w:lang w:val="en-US" w:eastAsia="zh-CN"/>
              </w:rPr>
              <w:t>福德昌环保科技</w:t>
            </w:r>
            <w:r>
              <w:rPr>
                <w:rFonts w:hint="eastAsia" w:ascii="Times New Roman" w:hAnsi="Times New Roman" w:eastAsia="宋体" w:cs="Times New Roman"/>
                <w:sz w:val="24"/>
                <w:highlight w:val="none"/>
              </w:rPr>
              <w:t>有限公司于</w:t>
            </w:r>
            <w:r>
              <w:rPr>
                <w:rFonts w:ascii="Times New Roman" w:hAnsi="Times New Roman" w:eastAsia="宋体" w:cs="Times New Roman"/>
                <w:sz w:val="24"/>
                <w:highlight w:val="none"/>
              </w:rPr>
              <w:t>对项目所在地的环境空气（总悬浮颗粒物）进行了采样分析，其结果如下：</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（1）监测项目</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根据本项目特点，确定本项目特征因子为</w:t>
            </w:r>
            <w:r>
              <w:rPr>
                <w:rFonts w:ascii="Times New Roman" w:hAnsi="Times New Roman" w:eastAsia="宋体" w:cs="Times New Roman"/>
                <w:color w:val="auto"/>
                <w:sz w:val="24"/>
              </w:rPr>
              <w:t>总悬浮颗粒物</w:t>
            </w:r>
            <w:r>
              <w:rPr>
                <w:rFonts w:hint="eastAsia" w:ascii="Times New Roman" w:hAnsi="Times New Roman" w:eastAsia="宋体" w:cs="Times New Roman"/>
                <w:color w:val="auto"/>
                <w:sz w:val="24"/>
              </w:rPr>
              <w:t>，故对总悬浮颗粒物进行现状监测。</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（2）监测布点</w:t>
            </w:r>
          </w:p>
          <w:p>
            <w:pPr>
              <w:adjustRightInd w:val="0"/>
              <w:snapToGrid w:val="0"/>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项目所在地</w:t>
            </w:r>
            <w:r>
              <w:rPr>
                <w:rFonts w:hint="eastAsia" w:ascii="Times New Roman" w:hAnsi="Times New Roman" w:eastAsia="宋体" w:cs="Times New Roman"/>
                <w:color w:val="auto"/>
                <w:sz w:val="24"/>
                <w:lang w:val="en-US" w:eastAsia="zh-CN"/>
              </w:rPr>
              <w:t>下风向约110m居民处</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3）监测采样周期、时段和频次</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监测时间及频率：202</w:t>
            </w:r>
            <w:r>
              <w:rPr>
                <w:rFonts w:hint="eastAsia" w:ascii="Times New Roman" w:hAnsi="Times New Roman" w:eastAsia="宋体" w:cs="Times New Roman"/>
                <w:color w:val="auto"/>
                <w:sz w:val="24"/>
                <w:lang w:val="en-US" w:eastAsia="zh-CN"/>
              </w:rPr>
              <w:t>2</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02</w:t>
            </w:r>
            <w:r>
              <w:rPr>
                <w:rFonts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22</w:t>
            </w:r>
            <w:r>
              <w:rPr>
                <w:rFonts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02</w:t>
            </w:r>
            <w:r>
              <w:rPr>
                <w:rFonts w:ascii="Times New Roman" w:hAnsi="Times New Roman" w:eastAsia="宋体" w:cs="Times New Roman"/>
                <w:color w:val="auto"/>
                <w:sz w:val="24"/>
              </w:rPr>
              <w:t>月</w:t>
            </w: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4</w:t>
            </w:r>
            <w:r>
              <w:rPr>
                <w:rFonts w:ascii="Times New Roman" w:hAnsi="Times New Roman" w:eastAsia="宋体" w:cs="Times New Roman"/>
                <w:color w:val="auto"/>
                <w:sz w:val="24"/>
              </w:rPr>
              <w:t>日，总悬浮颗粒物</w:t>
            </w:r>
            <w:r>
              <w:rPr>
                <w:rFonts w:hint="eastAsia" w:ascii="Times New Roman" w:hAnsi="Times New Roman" w:eastAsia="宋体" w:cs="Times New Roman"/>
                <w:color w:val="auto"/>
                <w:sz w:val="24"/>
              </w:rPr>
              <w:t>每天1次，</w:t>
            </w:r>
            <w:r>
              <w:rPr>
                <w:rFonts w:ascii="Times New Roman" w:hAnsi="Times New Roman" w:eastAsia="宋体" w:cs="Times New Roman"/>
                <w:color w:val="auto"/>
                <w:sz w:val="24"/>
              </w:rPr>
              <w:t>采样3天。</w:t>
            </w:r>
          </w:p>
          <w:p>
            <w:pPr>
              <w:kinsoku w:val="0"/>
              <w:overflowPunct w:val="0"/>
              <w:autoSpaceDE w:val="0"/>
              <w:autoSpaceDN w:val="0"/>
              <w:adjustRightInd w:val="0"/>
              <w:snapToGrid w:val="0"/>
              <w:spacing w:line="360" w:lineRule="auto"/>
              <w:ind w:firstLine="360" w:firstLineChars="150"/>
              <w:rPr>
                <w:rFonts w:hint="eastAsia" w:ascii="Times New Roman" w:hAnsi="Times New Roman" w:eastAsia="宋体" w:cs="Times New Roman"/>
                <w:color w:val="auto"/>
                <w:kern w:val="0"/>
                <w:sz w:val="24"/>
                <w:szCs w:val="21"/>
              </w:rPr>
            </w:pPr>
            <w:r>
              <w:rPr>
                <w:rFonts w:hint="eastAsia" w:ascii="Times New Roman" w:hAnsi="Times New Roman" w:eastAsia="宋体" w:cs="Times New Roman"/>
                <w:color w:val="auto"/>
                <w:kern w:val="0"/>
                <w:sz w:val="24"/>
                <w:szCs w:val="21"/>
              </w:rPr>
              <w:t>（4）评价标准</w:t>
            </w:r>
          </w:p>
          <w:p>
            <w:pPr>
              <w:kinsoku w:val="0"/>
              <w:overflowPunct w:val="0"/>
              <w:autoSpaceDE w:val="0"/>
              <w:autoSpaceDN w:val="0"/>
              <w:adjustRightInd w:val="0"/>
              <w:snapToGrid w:val="0"/>
              <w:spacing w:line="360" w:lineRule="auto"/>
              <w:ind w:firstLine="360" w:firstLineChars="150"/>
              <w:rPr>
                <w:rFonts w:hint="eastAsia" w:ascii="Times New Roman" w:hAnsi="Times New Roman" w:eastAsia="宋体" w:cs="Times New Roman"/>
                <w:color w:val="auto"/>
                <w:kern w:val="0"/>
                <w:sz w:val="24"/>
                <w:szCs w:val="21"/>
              </w:rPr>
            </w:pPr>
            <w:r>
              <w:rPr>
                <w:rFonts w:hint="eastAsia" w:ascii="Times New Roman" w:hAnsi="Times New Roman" w:eastAsia="宋体" w:cs="Times New Roman"/>
                <w:color w:val="auto"/>
                <w:kern w:val="0"/>
                <w:sz w:val="24"/>
                <w:szCs w:val="20"/>
              </w:rPr>
              <w:t>总悬浮颗粒物执行</w:t>
            </w:r>
            <w:r>
              <w:rPr>
                <w:rFonts w:hint="eastAsia" w:ascii="Times New Roman" w:hAnsi="Times New Roman" w:eastAsia="宋体" w:cs="Times New Roman"/>
                <w:color w:val="auto"/>
                <w:kern w:val="0"/>
                <w:sz w:val="24"/>
                <w:szCs w:val="21"/>
              </w:rPr>
              <w:t>《环境空气质量标准》（GB3095-2012）中二级标准。</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（5）评价方法</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环境影响评价技术导则—大气环境》（HJ2.2-2018），环境空气质量现状评价通过计算取值时间最大浓度值占相应标准浓度限值的百分比和超标率，来分析其达标情况，当取值时间最大浓度值占相应标准浓度限值的百分比大于或等于100%时，表明环境空气质量超标。计算公式如下：</w:t>
            </w:r>
          </w:p>
          <w:p>
            <w:pPr>
              <w:adjustRightInd w:val="0"/>
              <w:snapToGrid w:val="0"/>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sz w:val="24"/>
              </w:rPr>
              <w:object>
                <v:shape id="_x0000_i1036" o:spt="75" type="#_x0000_t75" style="height:35.3pt;width:80.85pt;" o:ole="t" filled="f" o:preferrelative="t" stroked="f" coordsize="21600,21600">
                  <v:path/>
                  <v:fill on="f" focussize="0,0"/>
                  <v:stroke on="f"/>
                  <v:imagedata r:id="rId23" o:title=""/>
                  <o:lock v:ext="edit" aspectratio="t"/>
                  <w10:wrap type="none"/>
                  <w10:anchorlock/>
                </v:shape>
                <o:OLEObject Type="Embed" ProgID="Equation.3" ShapeID="_x0000_i1036" DrawAspect="Content" ObjectID="_1468075730" r:id="rId22">
                  <o:LockedField>false</o:LockedField>
                </o:OLEObject>
              </w:objec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式中：P</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——第i个污染物的监测最大浓度占相应标准浓度限值的百分比，%；</w:t>
            </w:r>
          </w:p>
          <w:p>
            <w:pPr>
              <w:adjustRightInd w:val="0"/>
              <w:snapToGrid w:val="0"/>
              <w:spacing w:line="360" w:lineRule="auto"/>
              <w:jc w:val="left"/>
              <w:rPr>
                <w:rFonts w:ascii="Times New Roman" w:hAnsi="Times New Roman" w:eastAsia="宋体" w:cs="Times New Roman"/>
                <w:color w:val="auto"/>
                <w:sz w:val="24"/>
              </w:rPr>
            </w:pPr>
            <w:r>
              <w:rPr>
                <w:rFonts w:ascii="Times New Roman" w:hAnsi="Times New Roman" w:eastAsia="宋体" w:cs="Times New Roman"/>
                <w:color w:val="auto"/>
                <w:sz w:val="24"/>
              </w:rPr>
              <w:t xml:space="preserve">          C</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——第i个污染物的监测浓度值，mg/m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pPr>
              <w:adjustRightInd w:val="0"/>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0i</w:t>
            </w:r>
            <w:r>
              <w:rPr>
                <w:rFonts w:ascii="Times New Roman" w:hAnsi="Times New Roman" w:eastAsia="宋体" w:cs="Times New Roman"/>
                <w:color w:val="auto"/>
                <w:sz w:val="24"/>
              </w:rPr>
              <w:t>——第i个污染物的环境空气质量标准，mg/m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pPr>
              <w:adjustRightInd w:val="0"/>
              <w:snapToGrid w:val="0"/>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color w:val="auto"/>
                <w:sz w:val="24"/>
              </w:rPr>
              <w:t>（6）监测结果</w:t>
            </w:r>
          </w:p>
          <w:p>
            <w:pPr>
              <w:ind w:left="422" w:hanging="482" w:hangingChars="200"/>
              <w:jc w:val="center"/>
              <w:rPr>
                <w:rFonts w:ascii="Times New Roman" w:hAnsi="Times New Roman" w:eastAsia="宋体" w:cs="Times New Roman"/>
                <w:color w:val="auto"/>
                <w:szCs w:val="21"/>
              </w:rPr>
            </w:pPr>
            <w:r>
              <w:rPr>
                <w:rFonts w:ascii="Times New Roman" w:hAnsi="Times New Roman" w:eastAsia="宋体" w:cs="Times New Roman"/>
                <w:b/>
                <w:color w:val="auto"/>
                <w:kern w:val="0"/>
                <w:szCs w:val="21"/>
              </w:rPr>
              <w:t>表</w:t>
            </w:r>
            <w:r>
              <w:rPr>
                <w:rFonts w:hint="eastAsia" w:ascii="Times New Roman" w:hAnsi="Times New Roman" w:eastAsia="宋体" w:cs="Times New Roman"/>
                <w:b/>
                <w:color w:val="auto"/>
                <w:kern w:val="0"/>
                <w:szCs w:val="21"/>
              </w:rPr>
              <w:t xml:space="preserve">3-2  </w:t>
            </w:r>
            <w:r>
              <w:rPr>
                <w:rFonts w:ascii="Times New Roman" w:hAnsi="Times New Roman" w:eastAsia="宋体" w:cs="Times New Roman"/>
                <w:b/>
                <w:color w:val="auto"/>
                <w:kern w:val="0"/>
                <w:szCs w:val="21"/>
              </w:rPr>
              <w:t>环境空气检测结果表</w:t>
            </w:r>
            <w:r>
              <w:rPr>
                <w:rFonts w:hint="eastAsia" w:ascii="Times New Roman" w:hAnsi="Times New Roman" w:eastAsia="宋体" w:cs="Times New Roman"/>
                <w:b/>
                <w:color w:val="auto"/>
                <w:kern w:val="0"/>
                <w:szCs w:val="21"/>
              </w:rPr>
              <w:t xml:space="preserve">    单位：</w:t>
            </w:r>
            <w:r>
              <w:rPr>
                <w:rFonts w:ascii="Times New Roman" w:hAnsi="Times New Roman" w:eastAsia="宋体" w:cs="Times New Roman"/>
                <w:b/>
                <w:color w:val="auto"/>
                <w:sz w:val="24"/>
                <w:szCs w:val="20"/>
              </w:rPr>
              <w:t>mg/m</w:t>
            </w:r>
            <w:r>
              <w:rPr>
                <w:rFonts w:ascii="Times New Roman" w:hAnsi="Times New Roman" w:eastAsia="宋体" w:cs="Times New Roman"/>
                <w:b/>
                <w:color w:val="auto"/>
                <w:sz w:val="24"/>
                <w:szCs w:val="20"/>
                <w:vertAlign w:val="superscript"/>
              </w:rPr>
              <w:t>3</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1261"/>
              <w:gridCol w:w="1643"/>
              <w:gridCol w:w="1536"/>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noWrap w:val="0"/>
                  <w:vAlign w:val="top"/>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采样时间</w:t>
                  </w:r>
                </w:p>
              </w:tc>
              <w:tc>
                <w:tcPr>
                  <w:tcW w:w="1261" w:type="dxa"/>
                  <w:noWrap w:val="0"/>
                  <w:vAlign w:val="top"/>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点位编号</w:t>
                  </w:r>
                </w:p>
              </w:tc>
              <w:tc>
                <w:tcPr>
                  <w:tcW w:w="1643" w:type="dxa"/>
                  <w:noWrap w:val="0"/>
                  <w:vAlign w:val="top"/>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点位名称</w:t>
                  </w:r>
                </w:p>
              </w:tc>
              <w:tc>
                <w:tcPr>
                  <w:tcW w:w="1536" w:type="dxa"/>
                  <w:noWrap w:val="0"/>
                  <w:vAlign w:val="top"/>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检测项目</w:t>
                  </w:r>
                </w:p>
              </w:tc>
              <w:tc>
                <w:tcPr>
                  <w:tcW w:w="1199" w:type="dxa"/>
                  <w:noWrap w:val="0"/>
                  <w:vAlign w:val="top"/>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33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2022.02.22</w:t>
                  </w:r>
                </w:p>
              </w:tc>
              <w:tc>
                <w:tcPr>
                  <w:tcW w:w="1261" w:type="dxa"/>
                  <w:vMerge w:val="restar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643" w:type="dxa"/>
                  <w:vMerge w:val="restart"/>
                  <w:noWrap w:val="0"/>
                  <w:vAlign w:val="center"/>
                </w:tcPr>
                <w:p>
                  <w:pPr>
                    <w:adjustRightInd w:val="0"/>
                    <w:snapToGrid w:val="0"/>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项目所在地</w:t>
                  </w:r>
                  <w:r>
                    <w:rPr>
                      <w:rFonts w:hint="eastAsia" w:ascii="Times New Roman" w:hAnsi="Times New Roman" w:eastAsia="宋体" w:cs="Times New Roman"/>
                      <w:color w:val="auto"/>
                      <w:szCs w:val="21"/>
                      <w:lang w:val="en-US" w:eastAsia="zh-CN"/>
                    </w:rPr>
                    <w:t>下风向约110m居民处</w:t>
                  </w:r>
                </w:p>
              </w:tc>
              <w:tc>
                <w:tcPr>
                  <w:tcW w:w="1536" w:type="dxa"/>
                  <w:noWrap w:val="0"/>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总悬浮颗粒物</w:t>
                  </w:r>
                </w:p>
              </w:tc>
              <w:tc>
                <w:tcPr>
                  <w:tcW w:w="119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335" w:type="dxa"/>
                  <w:noWrap w:val="0"/>
                  <w:vAlign w:val="center"/>
                </w:tcPr>
                <w:p>
                  <w:pPr>
                    <w:adjustRightInd w:val="0"/>
                    <w:snapToGrid w:val="0"/>
                    <w:jc w:val="center"/>
                    <w:rPr>
                      <w:rFonts w:hint="default" w:ascii="Times New Roman" w:hAnsi="Times New Roman" w:eastAsia="宋体" w:cs="Times New Roman"/>
                      <w:color w:val="auto"/>
                      <w:lang w:val="en-US"/>
                    </w:rPr>
                  </w:pPr>
                  <w:r>
                    <w:rPr>
                      <w:rFonts w:hint="eastAsia" w:ascii="Times New Roman" w:hAnsi="Times New Roman" w:eastAsia="宋体" w:cs="Times New Roman"/>
                      <w:color w:val="auto"/>
                      <w:szCs w:val="21"/>
                      <w:lang w:val="en-US" w:eastAsia="zh-CN"/>
                    </w:rPr>
                    <w:t>2022.02.23</w:t>
                  </w:r>
                </w:p>
              </w:tc>
              <w:tc>
                <w:tcPr>
                  <w:tcW w:w="1261" w:type="dxa"/>
                  <w:vMerge w:val="continue"/>
                  <w:noWrap w:val="0"/>
                  <w:vAlign w:val="center"/>
                </w:tcPr>
                <w:p>
                  <w:pPr>
                    <w:adjustRightInd w:val="0"/>
                    <w:snapToGrid w:val="0"/>
                    <w:jc w:val="center"/>
                    <w:rPr>
                      <w:rFonts w:ascii="Times New Roman" w:hAnsi="Times New Roman" w:eastAsia="宋体" w:cs="Times New Roman"/>
                      <w:color w:val="auto"/>
                    </w:rPr>
                  </w:pPr>
                </w:p>
              </w:tc>
              <w:tc>
                <w:tcPr>
                  <w:tcW w:w="1643" w:type="dxa"/>
                  <w:vMerge w:val="continue"/>
                  <w:noWrap w:val="0"/>
                  <w:vAlign w:val="center"/>
                </w:tcPr>
                <w:p>
                  <w:pPr>
                    <w:adjustRightInd w:val="0"/>
                    <w:snapToGrid w:val="0"/>
                    <w:jc w:val="center"/>
                    <w:rPr>
                      <w:rFonts w:ascii="Times New Roman" w:hAnsi="Times New Roman" w:eastAsia="宋体" w:cs="Times New Roman"/>
                      <w:color w:val="auto"/>
                    </w:rPr>
                  </w:pPr>
                </w:p>
              </w:tc>
              <w:tc>
                <w:tcPr>
                  <w:tcW w:w="1536" w:type="dxa"/>
                  <w:noWrap w:val="0"/>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总悬浮颗粒物</w:t>
                  </w:r>
                </w:p>
              </w:tc>
              <w:tc>
                <w:tcPr>
                  <w:tcW w:w="119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335" w:type="dxa"/>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2022.02.24</w:t>
                  </w:r>
                </w:p>
              </w:tc>
              <w:tc>
                <w:tcPr>
                  <w:tcW w:w="1261" w:type="dxa"/>
                  <w:vMerge w:val="continue"/>
                  <w:noWrap w:val="0"/>
                  <w:vAlign w:val="center"/>
                </w:tcPr>
                <w:p>
                  <w:pPr>
                    <w:adjustRightInd w:val="0"/>
                    <w:snapToGrid w:val="0"/>
                    <w:jc w:val="center"/>
                    <w:rPr>
                      <w:rFonts w:hint="eastAsia" w:ascii="Times New Roman" w:hAnsi="Times New Roman" w:eastAsia="宋体" w:cs="Times New Roman"/>
                      <w:color w:val="auto"/>
                      <w:szCs w:val="21"/>
                    </w:rPr>
                  </w:pPr>
                </w:p>
              </w:tc>
              <w:tc>
                <w:tcPr>
                  <w:tcW w:w="1643" w:type="dxa"/>
                  <w:vMerge w:val="continue"/>
                  <w:noWrap w:val="0"/>
                  <w:vAlign w:val="center"/>
                </w:tcPr>
                <w:p>
                  <w:pPr>
                    <w:adjustRightInd w:val="0"/>
                    <w:snapToGrid w:val="0"/>
                    <w:jc w:val="center"/>
                    <w:rPr>
                      <w:rFonts w:hint="eastAsia" w:ascii="Times New Roman" w:hAnsi="Times New Roman" w:eastAsia="宋体" w:cs="Times New Roman"/>
                      <w:color w:val="auto"/>
                      <w:szCs w:val="21"/>
                    </w:rPr>
                  </w:pPr>
                </w:p>
              </w:tc>
              <w:tc>
                <w:tcPr>
                  <w:tcW w:w="1536" w:type="dxa"/>
                  <w:noWrap w:val="0"/>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总悬浮颗粒物</w:t>
                  </w:r>
                </w:p>
              </w:tc>
              <w:tc>
                <w:tcPr>
                  <w:tcW w:w="119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87</w:t>
                  </w:r>
                </w:p>
              </w:tc>
            </w:tr>
          </w:tbl>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（7）环境空气质量评价结果</w:t>
            </w:r>
          </w:p>
          <w:p>
            <w:pPr>
              <w:adjustRightInd w:val="0"/>
              <w:snapToGrid w:val="0"/>
              <w:spacing w:line="360" w:lineRule="auto"/>
              <w:ind w:firstLine="480" w:firstLineChars="200"/>
              <w:rPr>
                <w:rFonts w:ascii="Times New Roman" w:hAnsi="Times New Roman" w:eastAsia="宋体" w:cs="Times New Roman"/>
                <w:b/>
                <w:bCs/>
                <w:color w:val="auto"/>
              </w:rPr>
            </w:pPr>
            <w:r>
              <w:rPr>
                <w:rFonts w:ascii="Times New Roman" w:hAnsi="Times New Roman" w:eastAsia="宋体" w:cs="Times New Roman"/>
                <w:color w:val="auto"/>
                <w:sz w:val="24"/>
              </w:rPr>
              <w:t>本项目所在区域其他污染物环境质量现状评价成果见下表。</w:t>
            </w:r>
          </w:p>
          <w:p>
            <w:pPr>
              <w:adjustRightInd w:val="0"/>
              <w:snapToGrid w:val="0"/>
              <w:spacing w:line="36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表3-</w:t>
            </w:r>
            <w:r>
              <w:rPr>
                <w:rFonts w:hint="eastAsia" w:ascii="Times New Roman" w:hAnsi="Times New Roman" w:eastAsia="宋体" w:cs="Times New Roman"/>
                <w:b/>
                <w:bCs/>
                <w:color w:val="auto"/>
              </w:rPr>
              <w:t>3</w:t>
            </w:r>
            <w:r>
              <w:rPr>
                <w:rFonts w:ascii="Times New Roman" w:hAnsi="Times New Roman" w:eastAsia="宋体" w:cs="Times New Roman"/>
                <w:b/>
                <w:bCs/>
                <w:color w:val="auto"/>
              </w:rPr>
              <w:t xml:space="preserve">  其他污染物环境质量现状监测结果表</w:t>
            </w:r>
          </w:p>
          <w:tbl>
            <w:tblPr>
              <w:tblStyle w:val="38"/>
              <w:tblW w:w="485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16"/>
              <w:gridCol w:w="892"/>
              <w:gridCol w:w="466"/>
              <w:gridCol w:w="641"/>
              <w:gridCol w:w="1540"/>
              <w:gridCol w:w="865"/>
              <w:gridCol w:w="975"/>
              <w:gridCol w:w="670"/>
              <w:gridCol w:w="67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78" w:hRule="atLeast"/>
                <w:jc w:val="center"/>
              </w:trPr>
              <w:tc>
                <w:tcPr>
                  <w:tcW w:w="656"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采样点</w:t>
                  </w:r>
                </w:p>
              </w:tc>
              <w:tc>
                <w:tcPr>
                  <w:tcW w:w="576"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w:t>
                  </w:r>
                </w:p>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w:t>
                  </w:r>
                </w:p>
              </w:tc>
              <w:tc>
                <w:tcPr>
                  <w:tcW w:w="301"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采样</w:t>
                  </w:r>
                </w:p>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天数</w:t>
                  </w:r>
                </w:p>
              </w:tc>
              <w:tc>
                <w:tcPr>
                  <w:tcW w:w="414"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样品数</w:t>
                  </w:r>
                </w:p>
              </w:tc>
              <w:tc>
                <w:tcPr>
                  <w:tcW w:w="994"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浓度范围</w:t>
                  </w:r>
                </w:p>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（ug/m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558"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标准值（ug/m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629" w:type="pct"/>
                  <w:noWrap w:val="0"/>
                  <w:vAlign w:val="center"/>
                </w:tcPr>
                <w:p>
                  <w:pPr>
                    <w:ind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最大浓度占标率%</w:t>
                  </w:r>
                </w:p>
              </w:tc>
              <w:tc>
                <w:tcPr>
                  <w:tcW w:w="432"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超标率</w:t>
                  </w:r>
                </w:p>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w:t>
                  </w:r>
                </w:p>
              </w:tc>
              <w:tc>
                <w:tcPr>
                  <w:tcW w:w="434" w:type="pct"/>
                  <w:noWrap w:val="0"/>
                  <w:vAlign w:val="center"/>
                </w:tcPr>
                <w:p>
                  <w:pPr>
                    <w:ind w:left="-120" w:leftChars="-50" w:right="-120" w:rightChars="-5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是否达标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3" w:hRule="atLeast"/>
                <w:jc w:val="center"/>
              </w:trPr>
              <w:tc>
                <w:tcPr>
                  <w:tcW w:w="656" w:type="pct"/>
                  <w:noWrap w:val="0"/>
                  <w:vAlign w:val="center"/>
                </w:tcPr>
                <w:p>
                  <w:pPr>
                    <w:ind w:left="-120" w:leftChars="-50" w:right="-120" w:rightChars="-50"/>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 xml:space="preserve"> 项目所在地下风向约122m居民处</w:t>
                  </w:r>
                </w:p>
              </w:tc>
              <w:tc>
                <w:tcPr>
                  <w:tcW w:w="576"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总悬浮颗粒物</w:t>
                  </w:r>
                </w:p>
              </w:tc>
              <w:tc>
                <w:tcPr>
                  <w:tcW w:w="301"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414" w:type="pct"/>
                  <w:noWrap w:val="0"/>
                  <w:vAlign w:val="center"/>
                </w:tcPr>
                <w:p>
                  <w:pPr>
                    <w:ind w:left="-120" w:leftChars="-50" w:right="-120" w:rightChars="-5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994" w:type="pct"/>
                  <w:noWrap w:val="0"/>
                  <w:vAlign w:val="center"/>
                </w:tcPr>
                <w:p>
                  <w:pPr>
                    <w:ind w:left="-120" w:leftChars="-50" w:right="-120"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83~93</w:t>
                  </w:r>
                </w:p>
              </w:tc>
              <w:tc>
                <w:tcPr>
                  <w:tcW w:w="558" w:type="pct"/>
                  <w:noWrap w:val="0"/>
                  <w:vAlign w:val="center"/>
                </w:tcPr>
                <w:p>
                  <w:pPr>
                    <w:ind w:left="-120" w:leftChars="-50" w:right="-120" w:rightChars="-5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300</w:t>
                  </w:r>
                </w:p>
              </w:tc>
              <w:tc>
                <w:tcPr>
                  <w:tcW w:w="629" w:type="pct"/>
                  <w:noWrap w:val="0"/>
                  <w:vAlign w:val="center"/>
                </w:tcPr>
                <w:p>
                  <w:pPr>
                    <w:ind w:right="-120"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w:t>
                  </w:r>
                </w:p>
              </w:tc>
              <w:tc>
                <w:tcPr>
                  <w:tcW w:w="432" w:type="pct"/>
                  <w:noWrap w:val="0"/>
                  <w:vAlign w:val="center"/>
                </w:tcPr>
                <w:p>
                  <w:pPr>
                    <w:ind w:left="-120" w:leftChars="-50" w:right="-120" w:rightChars="-5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w:t>
                  </w:r>
                </w:p>
              </w:tc>
              <w:tc>
                <w:tcPr>
                  <w:tcW w:w="434" w:type="pct"/>
                  <w:noWrap w:val="0"/>
                  <w:vAlign w:val="center"/>
                </w:tcPr>
                <w:p>
                  <w:pPr>
                    <w:ind w:left="-120" w:leftChars="-50" w:right="-120" w:rightChars="-5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bl>
          <w:p>
            <w:pPr>
              <w:adjustRightInd w:val="0"/>
              <w:snapToGrid w:val="0"/>
              <w:spacing w:line="360" w:lineRule="auto"/>
              <w:ind w:firstLine="480" w:firstLineChars="200"/>
              <w:rPr>
                <w:rFonts w:eastAsia="宋体" w:cs="Times New Roman"/>
                <w:color w:val="auto"/>
              </w:rPr>
            </w:pPr>
            <w:r>
              <w:rPr>
                <w:rFonts w:ascii="Times New Roman" w:hAnsi="宋体" w:eastAsia="宋体" w:cs="Times New Roman"/>
                <w:color w:val="auto"/>
                <w:sz w:val="24"/>
              </w:rPr>
              <w:t>评价结果表明，评价区</w:t>
            </w:r>
            <w:r>
              <w:rPr>
                <w:rFonts w:hint="eastAsia" w:ascii="Times New Roman" w:hAnsi="Times New Roman" w:eastAsia="宋体" w:cs="Times New Roman"/>
                <w:color w:val="auto"/>
                <w:sz w:val="24"/>
              </w:rPr>
              <w:t>总悬浮颗粒物现状值</w:t>
            </w:r>
            <w:r>
              <w:rPr>
                <w:rFonts w:ascii="Times New Roman" w:hAnsi="宋体" w:eastAsia="宋体" w:cs="Times New Roman"/>
                <w:color w:val="auto"/>
                <w:sz w:val="24"/>
              </w:rPr>
              <w:t>能满足《环境空气质量标准》（</w:t>
            </w:r>
            <w:r>
              <w:rPr>
                <w:rFonts w:ascii="Times New Roman" w:hAnsi="Times New Roman" w:eastAsia="宋体" w:cs="Times New Roman"/>
                <w:color w:val="auto"/>
                <w:sz w:val="24"/>
              </w:rPr>
              <w:t>GB3095-2012</w:t>
            </w:r>
            <w:r>
              <w:rPr>
                <w:rFonts w:ascii="Times New Roman" w:hAnsi="宋体" w:eastAsia="宋体" w:cs="Times New Roman"/>
                <w:color w:val="auto"/>
                <w:sz w:val="24"/>
              </w:rPr>
              <w:t>）二级标准要求</w:t>
            </w:r>
            <w:r>
              <w:rPr>
                <w:rFonts w:hint="eastAsia" w:ascii="Times New Roman" w:hAnsi="宋体" w:eastAsia="宋体" w:cs="Times New Roman"/>
                <w:color w:val="auto"/>
                <w:sz w:val="24"/>
              </w:rPr>
              <w:t>，项目所在地大气环境质量现状良好。</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二、地表水环境质量现状</w:t>
            </w:r>
          </w:p>
          <w:p>
            <w:pPr>
              <w:adjustRightInd w:val="0"/>
              <w:snapToGrid w:val="0"/>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（1）区域污染源调查</w:t>
            </w:r>
          </w:p>
          <w:p>
            <w:pPr>
              <w:pStyle w:val="195"/>
              <w:adjustRightInd w:val="0"/>
              <w:snapToGrid w:val="0"/>
              <w:jc w:val="left"/>
              <w:rPr>
                <w:rFonts w:eastAsia="宋体" w:cs="Times New Roman"/>
                <w:color w:val="auto"/>
              </w:rPr>
            </w:pPr>
            <w:r>
              <w:rPr>
                <w:rFonts w:ascii="Times New Roman" w:hAnsi="Times New Roman" w:eastAsia="宋体" w:cs="Times New Roman"/>
                <w:color w:val="auto"/>
                <w:sz w:val="24"/>
              </w:rPr>
              <w:t>本项目运营期无废水外</w:t>
            </w:r>
            <w:r>
              <w:rPr>
                <w:rFonts w:hint="eastAsia" w:ascii="Times New Roman" w:hAnsi="Times New Roman" w:eastAsia="宋体" w:cs="Times New Roman"/>
                <w:color w:val="auto"/>
                <w:sz w:val="24"/>
              </w:rPr>
              <w:t>排</w:t>
            </w:r>
            <w:r>
              <w:rPr>
                <w:rFonts w:ascii="Times New Roman" w:hAnsi="Times New Roman" w:eastAsia="宋体" w:cs="Times New Roman"/>
                <w:color w:val="auto"/>
                <w:sz w:val="24"/>
              </w:rPr>
              <w:t>。根据《环境影响评价技术导则  地表水环境》（HJ23-2018），评价等级为三级 B，可不开展区域污染源调查。</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 xml:space="preserve">（2）水环境质量现状调查 </w:t>
            </w:r>
          </w:p>
          <w:p>
            <w:pPr>
              <w:adjustRightInd w:val="0"/>
              <w:snapToGrid w:val="0"/>
              <w:spacing w:line="360" w:lineRule="auto"/>
              <w:ind w:firstLine="480" w:firstLineChars="200"/>
              <w:rPr>
                <w:rFonts w:hint="eastAsia" w:ascii="Times New Roman" w:hAnsi="Times New Roman" w:eastAsia="宋体" w:cs="Times New Roman"/>
                <w:sz w:val="24"/>
              </w:rPr>
            </w:pPr>
            <w:r>
              <w:rPr>
                <w:rFonts w:ascii="Times New Roman" w:hAnsi="Times New Roman" w:eastAsia="宋体" w:cs="Times New Roman"/>
                <w:sz w:val="24"/>
              </w:rPr>
              <w:t>本项目地表水评价等级为三级B，可不考虑评价时期。</w:t>
            </w:r>
            <w:r>
              <w:rPr>
                <w:rFonts w:hint="eastAsia" w:ascii="Times New Roman" w:hAnsi="Times New Roman" w:eastAsia="宋体" w:cs="Times New Roman"/>
                <w:sz w:val="24"/>
              </w:rPr>
              <w:t>根据《2020年乐山</w:t>
            </w:r>
            <w:r>
              <w:rPr>
                <w:rFonts w:ascii="Times New Roman" w:hAnsi="Times New Roman" w:eastAsia="宋体" w:cs="Times New Roman"/>
                <w:sz w:val="24"/>
              </w:rPr>
              <w:t>市环境质量公报》</w:t>
            </w:r>
            <w:r>
              <w:rPr>
                <w:rFonts w:hint="eastAsia" w:ascii="Times New Roman" w:hAnsi="Times New Roman" w:eastAsia="宋体" w:cs="Times New Roman"/>
                <w:sz w:val="24"/>
              </w:rPr>
              <w:t>：2020年水环境质量创“十三五”以来最好水平，岷江乐山段出境断面月波水质从“十二五”末Ⅴ类，于“十三五”末改善至Ⅱ类。全市4个国家考核断面李码头、姜公堰、马边河河口断面、出境断面月波水质均为Ⅱ类，水质优；2个省级考核断面龙溪河口水质为Ⅱ类，水质优，茫溪河茫溪大桥断面达到Ⅳ类水质目标考核要求。</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sz w:val="24"/>
              </w:rPr>
              <w:t>2020年，为了进一步完善地表水监测网络，乐山市设置了38个市控断面，主要集中在小支流。其中，岷江乐山段干流及其支流断面水质类别为Ⅱ～Ⅴ类；大渡河干流及其支流</w:t>
            </w:r>
            <w:r>
              <w:rPr>
                <w:rFonts w:hint="eastAsia" w:ascii="Times New Roman" w:hAnsi="Times New Roman" w:eastAsia="宋体" w:cs="Times New Roman"/>
                <w:color w:val="auto"/>
                <w:sz w:val="24"/>
              </w:rPr>
              <w:t>断面水质类别为Ⅱ～Ⅲ类；青衣江干流及支流断面水质类别为Ⅱ～Ⅲ类；马边河干流及其支流断面水质类别为Ⅱ～Ⅲ类；茫溪河干流及其支流断面水质类别为Ⅲ～劣Ⅴ类；龙溪河断面水质类别为Ⅱ类。</w:t>
            </w:r>
          </w:p>
          <w:p>
            <w:pPr>
              <w:pStyle w:val="195"/>
              <w:adjustRightInd w:val="0"/>
              <w:snapToGrid w:val="0"/>
              <w:jc w:val="both"/>
              <w:rPr>
                <w:rFonts w:eastAsia="宋体" w:cs="Times New Roman"/>
                <w:color w:val="auto"/>
              </w:rPr>
            </w:pPr>
            <w:r>
              <w:rPr>
                <w:rFonts w:ascii="Times New Roman" w:hAnsi="Times New Roman" w:eastAsia="宋体" w:cs="Times New Roman"/>
                <w:color w:val="auto"/>
                <w:sz w:val="24"/>
              </w:rPr>
              <w:t>本项目位于</w:t>
            </w:r>
            <w:r>
              <w:rPr>
                <w:rFonts w:hint="eastAsia" w:ascii="Times New Roman" w:hAnsi="Times New Roman" w:eastAsia="宋体" w:cs="Times New Roman"/>
                <w:color w:val="auto"/>
                <w:sz w:val="24"/>
                <w:lang w:val="en-US" w:eastAsia="zh-CN"/>
              </w:rPr>
              <w:t>四川省乐山市市中区全福街道办事处台子村2组</w:t>
            </w:r>
            <w:r>
              <w:rPr>
                <w:rFonts w:hint="eastAsia" w:ascii="Times New Roman" w:hAnsi="Times New Roman" w:eastAsia="宋体" w:cs="Times New Roman"/>
                <w:color w:val="auto"/>
                <w:kern w:val="0"/>
                <w:sz w:val="24"/>
                <w:szCs w:val="21"/>
              </w:rPr>
              <w:t>，项目</w:t>
            </w:r>
            <w:r>
              <w:rPr>
                <w:rFonts w:hint="eastAsia" w:eastAsia="宋体" w:cs="Times New Roman"/>
                <w:color w:val="auto"/>
                <w:kern w:val="0"/>
                <w:sz w:val="24"/>
                <w:szCs w:val="21"/>
                <w:lang w:val="en-US" w:eastAsia="zh-CN"/>
              </w:rPr>
              <w:t>红线东南侧约167</w:t>
            </w:r>
            <w:r>
              <w:rPr>
                <w:rFonts w:hint="eastAsia" w:ascii="Times New Roman" w:hAnsi="Times New Roman" w:eastAsia="宋体" w:cs="Times New Roman"/>
                <w:color w:val="auto"/>
                <w:kern w:val="0"/>
                <w:sz w:val="24"/>
                <w:szCs w:val="21"/>
              </w:rPr>
              <w:t>m处为</w:t>
            </w:r>
            <w:r>
              <w:rPr>
                <w:rFonts w:hint="eastAsia" w:eastAsia="宋体" w:cs="Times New Roman"/>
                <w:color w:val="auto"/>
                <w:kern w:val="0"/>
                <w:sz w:val="24"/>
                <w:szCs w:val="21"/>
                <w:lang w:val="en-US" w:eastAsia="zh-CN"/>
              </w:rPr>
              <w:t>泥溪河</w:t>
            </w:r>
            <w:r>
              <w:rPr>
                <w:rFonts w:hint="eastAsia" w:ascii="Times New Roman" w:hAnsi="Times New Roman" w:eastAsia="宋体" w:cs="Times New Roman"/>
                <w:color w:val="auto"/>
                <w:kern w:val="0"/>
                <w:sz w:val="24"/>
                <w:szCs w:val="21"/>
              </w:rPr>
              <w:t>，最终汇入</w:t>
            </w:r>
            <w:r>
              <w:rPr>
                <w:rFonts w:hint="eastAsia" w:eastAsia="宋体" w:cs="Times New Roman"/>
                <w:color w:val="auto"/>
                <w:kern w:val="0"/>
                <w:sz w:val="24"/>
                <w:szCs w:val="21"/>
                <w:lang w:val="en-US" w:eastAsia="zh-CN"/>
              </w:rPr>
              <w:t>岷江</w:t>
            </w:r>
            <w:r>
              <w:rPr>
                <w:rFonts w:hint="eastAsia" w:ascii="Times New Roman" w:hAnsi="Times New Roman" w:eastAsia="宋体" w:cs="Times New Roman"/>
                <w:color w:val="auto"/>
                <w:kern w:val="0"/>
                <w:sz w:val="24"/>
                <w:szCs w:val="21"/>
              </w:rPr>
              <w:t>；</w:t>
            </w:r>
            <w:r>
              <w:rPr>
                <w:rFonts w:hint="eastAsia" w:eastAsia="宋体" w:cs="Times New Roman"/>
                <w:color w:val="auto"/>
                <w:kern w:val="0"/>
                <w:sz w:val="24"/>
                <w:szCs w:val="21"/>
                <w:lang w:val="en-US" w:eastAsia="zh-CN"/>
              </w:rPr>
              <w:t>项目红线西南侧约886m处为岷江；</w:t>
            </w:r>
            <w:r>
              <w:rPr>
                <w:rFonts w:hint="eastAsia" w:ascii="Times New Roman" w:hAnsi="Times New Roman" w:eastAsia="宋体" w:cs="Times New Roman"/>
                <w:color w:val="auto"/>
                <w:kern w:val="0"/>
                <w:sz w:val="24"/>
                <w:szCs w:val="21"/>
              </w:rPr>
              <w:t>根据《2020年乐山市环境质量公报》，区域</w:t>
            </w:r>
            <w:r>
              <w:rPr>
                <w:rFonts w:hint="eastAsia" w:eastAsia="宋体" w:cs="Times New Roman"/>
                <w:color w:val="auto"/>
                <w:kern w:val="0"/>
                <w:sz w:val="24"/>
                <w:szCs w:val="21"/>
                <w:lang w:val="en-US" w:eastAsia="zh-CN"/>
              </w:rPr>
              <w:t>岷江</w:t>
            </w:r>
            <w:r>
              <w:rPr>
                <w:rFonts w:hint="eastAsia" w:ascii="Times New Roman" w:hAnsi="Times New Roman" w:eastAsia="宋体" w:cs="Times New Roman"/>
                <w:color w:val="auto"/>
                <w:kern w:val="0"/>
                <w:sz w:val="24"/>
                <w:szCs w:val="21"/>
              </w:rPr>
              <w:t>河段水环境质量现状</w:t>
            </w:r>
            <w:r>
              <w:rPr>
                <w:rFonts w:hint="eastAsia" w:eastAsia="宋体" w:cs="Times New Roman"/>
                <w:color w:val="auto"/>
                <w:kern w:val="0"/>
                <w:sz w:val="24"/>
                <w:szCs w:val="21"/>
                <w:lang w:val="en-US" w:eastAsia="zh-CN"/>
              </w:rPr>
              <w:t>良好</w:t>
            </w:r>
            <w:r>
              <w:rPr>
                <w:rFonts w:hint="eastAsia" w:ascii="Times New Roman" w:hAnsi="Times New Roman" w:eastAsia="宋体" w:cs="Times New Roman"/>
                <w:color w:val="auto"/>
                <w:kern w:val="0"/>
                <w:sz w:val="24"/>
                <w:szCs w:val="21"/>
              </w:rPr>
              <w:t>。</w:t>
            </w:r>
          </w:p>
          <w:p>
            <w:pPr>
              <w:pStyle w:val="195"/>
              <w:adjustRightInd w:val="0"/>
              <w:snapToGrid w:val="0"/>
              <w:jc w:val="left"/>
              <w:rPr>
                <w:rFonts w:eastAsia="宋体" w:cs="Times New Roman"/>
                <w:color w:val="auto"/>
              </w:rPr>
            </w:pPr>
            <w:r>
              <w:rPr>
                <w:rFonts w:hint="eastAsia"/>
                <w:b/>
                <w:bCs/>
                <w:color w:val="auto"/>
                <w:kern w:val="0"/>
                <w:sz w:val="24"/>
                <w:szCs w:val="21"/>
              </w:rPr>
              <w:t>三、声环境质量现状</w:t>
            </w:r>
          </w:p>
          <w:p>
            <w:pPr>
              <w:pStyle w:val="195"/>
              <w:adjustRightInd w:val="0"/>
              <w:snapToGrid w:val="0"/>
              <w:jc w:val="left"/>
              <w:rPr>
                <w:rFonts w:hint="eastAsia" w:eastAsia="宋体" w:cs="Times New Roman"/>
                <w:color w:val="auto"/>
                <w:lang w:val="en-US" w:eastAsia="zh-CN"/>
              </w:rPr>
            </w:pPr>
            <w:r>
              <w:rPr>
                <w:rFonts w:ascii="Times New Roman" w:hAnsi="Times New Roman" w:eastAsia="宋体" w:cs="Times New Roman"/>
                <w:color w:val="auto"/>
                <w:sz w:val="24"/>
              </w:rPr>
              <w:t>本项目位于</w:t>
            </w:r>
            <w:r>
              <w:rPr>
                <w:rFonts w:hint="eastAsia" w:ascii="Times New Roman" w:hAnsi="Times New Roman" w:eastAsia="宋体" w:cs="Times New Roman"/>
                <w:color w:val="auto"/>
                <w:sz w:val="24"/>
                <w:lang w:val="en-US" w:eastAsia="zh-CN"/>
              </w:rPr>
              <w:t>四川省乐山市市中区全福街道办事处台子村2组</w:t>
            </w:r>
            <w:r>
              <w:rPr>
                <w:rFonts w:hint="eastAsia" w:ascii="Times New Roman" w:hAnsi="Times New Roman" w:eastAsia="宋体" w:cs="Times New Roman"/>
                <w:color w:val="auto"/>
                <w:kern w:val="0"/>
                <w:sz w:val="24"/>
                <w:szCs w:val="21"/>
              </w:rPr>
              <w:t>，</w:t>
            </w:r>
            <w:r>
              <w:rPr>
                <w:rFonts w:hint="eastAsia" w:cs="Times New Roman"/>
                <w:color w:val="auto"/>
                <w:sz w:val="24"/>
                <w:szCs w:val="24"/>
                <w:lang w:val="en-US" w:eastAsia="zh-CN"/>
              </w:rPr>
              <w:t>红线</w:t>
            </w:r>
            <w:r>
              <w:rPr>
                <w:rFonts w:hint="eastAsia" w:ascii="Times New Roman" w:hAnsi="Times New Roman" w:eastAsia="宋体" w:cs="Times New Roman"/>
                <w:color w:val="auto"/>
                <w:sz w:val="24"/>
                <w:szCs w:val="24"/>
                <w:lang w:val="en-US" w:eastAsia="zh-CN"/>
              </w:rPr>
              <w:t>边界周边50m范围内无居民敏感点，根据《建设项目环境影响报告表》内容、格式及编制技术指南常见问题解答：厂界外周边 50 米范围内无声环境保护目标的建设项目，</w:t>
            </w:r>
            <w:r>
              <w:rPr>
                <w:rFonts w:hint="eastAsia" w:cs="Times New Roman"/>
                <w:color w:val="auto"/>
                <w:sz w:val="24"/>
                <w:szCs w:val="24"/>
                <w:lang w:val="en-US" w:eastAsia="zh-CN"/>
              </w:rPr>
              <w:t>可</w:t>
            </w:r>
            <w:r>
              <w:rPr>
                <w:rFonts w:hint="eastAsia" w:ascii="Times New Roman" w:hAnsi="Times New Roman" w:eastAsia="宋体" w:cs="Times New Roman"/>
                <w:color w:val="auto"/>
                <w:sz w:val="24"/>
                <w:szCs w:val="24"/>
                <w:lang w:val="en-US" w:eastAsia="zh-CN"/>
              </w:rPr>
              <w:t>不再要求提供声环境质量现状监测数据。因此可不开展声环境质量现状监测。项目</w:t>
            </w:r>
            <w:r>
              <w:rPr>
                <w:rFonts w:hint="eastAsia" w:cs="Times New Roman"/>
                <w:color w:val="auto"/>
                <w:sz w:val="24"/>
                <w:szCs w:val="24"/>
                <w:lang w:val="en-US" w:eastAsia="zh-CN"/>
              </w:rPr>
              <w:t>四周</w:t>
            </w:r>
            <w:r>
              <w:rPr>
                <w:rFonts w:hint="eastAsia" w:ascii="Times New Roman" w:hAnsi="Times New Roman" w:eastAsia="宋体" w:cs="Times New Roman"/>
                <w:color w:val="auto"/>
                <w:sz w:val="24"/>
                <w:szCs w:val="24"/>
                <w:lang w:val="en-US" w:eastAsia="zh-CN"/>
              </w:rPr>
              <w:t>环境为茂盛树林，环境质量良好，</w:t>
            </w:r>
            <w:r>
              <w:rPr>
                <w:rFonts w:eastAsia="F4"/>
                <w:color w:val="auto"/>
                <w:kern w:val="0"/>
                <w:sz w:val="24"/>
                <w:lang w:bidi="ar"/>
              </w:rPr>
              <w:t>项目所在地噪声现状值能</w:t>
            </w:r>
            <w:r>
              <w:rPr>
                <w:rFonts w:hint="eastAsia" w:eastAsia="宋体"/>
                <w:color w:val="auto"/>
                <w:kern w:val="0"/>
                <w:sz w:val="24"/>
                <w:lang w:val="en-US" w:eastAsia="zh-CN" w:bidi="ar"/>
              </w:rPr>
              <w:t>满足</w:t>
            </w:r>
            <w:r>
              <w:rPr>
                <w:rFonts w:eastAsia="F4"/>
                <w:color w:val="auto"/>
                <w:kern w:val="0"/>
                <w:sz w:val="24"/>
                <w:lang w:bidi="ar"/>
              </w:rPr>
              <w:t>《声环境质量标准》（</w:t>
            </w:r>
            <w:r>
              <w:rPr>
                <w:color w:val="auto"/>
                <w:kern w:val="0"/>
                <w:sz w:val="24"/>
                <w:lang w:bidi="ar"/>
              </w:rPr>
              <w:t>GB3096-2008</w:t>
            </w:r>
            <w:r>
              <w:rPr>
                <w:rFonts w:eastAsia="F4"/>
                <w:color w:val="auto"/>
                <w:kern w:val="0"/>
                <w:sz w:val="24"/>
                <w:lang w:bidi="ar"/>
              </w:rPr>
              <w:t>）</w:t>
            </w:r>
            <w:r>
              <w:rPr>
                <w:rFonts w:hint="eastAsia" w:eastAsia="宋体"/>
                <w:color w:val="auto"/>
                <w:kern w:val="0"/>
                <w:sz w:val="24"/>
                <w:lang w:val="en-US" w:eastAsia="zh-CN" w:bidi="ar"/>
              </w:rPr>
              <w:t>2</w:t>
            </w:r>
            <w:r>
              <w:rPr>
                <w:rFonts w:eastAsia="F4"/>
                <w:color w:val="auto"/>
                <w:kern w:val="0"/>
                <w:sz w:val="24"/>
                <w:lang w:bidi="ar"/>
              </w:rPr>
              <w:t>类标准（昼间</w:t>
            </w:r>
            <w:r>
              <w:rPr>
                <w:rFonts w:hint="eastAsia"/>
                <w:color w:val="auto"/>
                <w:kern w:val="0"/>
                <w:sz w:val="24"/>
                <w:lang w:val="en-US" w:eastAsia="zh-CN" w:bidi="ar"/>
              </w:rPr>
              <w:t>60</w:t>
            </w:r>
            <w:r>
              <w:rPr>
                <w:color w:val="auto"/>
                <w:kern w:val="0"/>
                <w:sz w:val="24"/>
                <w:lang w:bidi="ar"/>
              </w:rPr>
              <w:t>dB(A)</w:t>
            </w:r>
            <w:r>
              <w:rPr>
                <w:rFonts w:eastAsia="F4"/>
                <w:color w:val="auto"/>
                <w:kern w:val="0"/>
                <w:sz w:val="24"/>
                <w:lang w:bidi="ar"/>
              </w:rPr>
              <w:t>，夜间</w:t>
            </w:r>
            <w:r>
              <w:rPr>
                <w:rFonts w:hint="eastAsia"/>
                <w:color w:val="auto"/>
                <w:kern w:val="0"/>
                <w:sz w:val="24"/>
                <w:lang w:val="en-US" w:eastAsia="zh-CN" w:bidi="ar"/>
              </w:rPr>
              <w:t>50</w:t>
            </w:r>
            <w:r>
              <w:rPr>
                <w:color w:val="auto"/>
                <w:kern w:val="0"/>
                <w:sz w:val="24"/>
                <w:lang w:bidi="ar"/>
              </w:rPr>
              <w:t>dB(A)</w:t>
            </w:r>
            <w:r>
              <w:rPr>
                <w:rFonts w:eastAsia="F4"/>
                <w:color w:val="auto"/>
                <w:kern w:val="0"/>
                <w:sz w:val="24"/>
                <w:lang w:bidi="ar"/>
              </w:rPr>
              <w:t>）</w:t>
            </w:r>
            <w:r>
              <w:rPr>
                <w:rFonts w:hint="eastAsia" w:eastAsia="宋体"/>
                <w:color w:val="auto"/>
                <w:kern w:val="0"/>
                <w:sz w:val="24"/>
                <w:lang w:eastAsia="zh-CN" w:bidi="ar"/>
              </w:rPr>
              <w:t>。</w:t>
            </w:r>
          </w:p>
          <w:p>
            <w:pPr>
              <w:adjustRightInd w:val="0"/>
              <w:snapToGrid w:val="0"/>
              <w:spacing w:line="360" w:lineRule="auto"/>
              <w:ind w:firstLine="482" w:firstLineChars="200"/>
              <w:rPr>
                <w:rFonts w:hint="eastAsia" w:ascii="Times New Roman" w:hAnsi="Times New Roman" w:eastAsia="宋体" w:cs="Times New Roman"/>
                <w:b/>
                <w:sz w:val="24"/>
                <w:szCs w:val="20"/>
              </w:rPr>
            </w:pPr>
            <w:r>
              <w:rPr>
                <w:rFonts w:hint="eastAsia" w:ascii="Times New Roman" w:hAnsi="Times New Roman" w:eastAsia="宋体" w:cs="Times New Roman"/>
                <w:b/>
                <w:sz w:val="24"/>
                <w:szCs w:val="20"/>
              </w:rPr>
              <w:t>四、生态环境质量现状</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zCs w:val="20"/>
                <w:u w:val="none" w:color="FF0000"/>
                <w:lang w:val="zh-CN"/>
              </w:rPr>
              <w:t>本项目</w:t>
            </w:r>
            <w:r>
              <w:rPr>
                <w:rFonts w:hint="eastAsia" w:ascii="Times New Roman" w:hAnsi="Times New Roman" w:eastAsia="宋体" w:cs="Times New Roman"/>
                <w:sz w:val="24"/>
                <w:szCs w:val="20"/>
                <w:u w:val="none" w:color="FF0000"/>
                <w:lang w:val="en-US" w:eastAsia="zh-CN"/>
              </w:rPr>
              <w:t>临时</w:t>
            </w:r>
            <w:r>
              <w:rPr>
                <w:rFonts w:hint="eastAsia" w:ascii="Times New Roman" w:hAnsi="Times New Roman" w:eastAsia="宋体" w:cs="Times New Roman"/>
                <w:sz w:val="24"/>
                <w:szCs w:val="20"/>
                <w:u w:val="none" w:color="FF0000"/>
                <w:lang w:val="zh-CN"/>
              </w:rPr>
              <w:t>占地为</w:t>
            </w:r>
            <w:r>
              <w:rPr>
                <w:rFonts w:hint="eastAsia" w:ascii="Times New Roman" w:hAnsi="Times New Roman" w:eastAsia="宋体" w:cs="Times New Roman"/>
                <w:sz w:val="24"/>
                <w:szCs w:val="20"/>
                <w:u w:val="none" w:color="FF0000"/>
                <w:lang w:val="en-US" w:eastAsia="zh-CN"/>
              </w:rPr>
              <w:t>林地、耕地、农用地、坑塘水面，不占用基本农田</w:t>
            </w:r>
            <w:r>
              <w:rPr>
                <w:rFonts w:hint="eastAsia" w:ascii="Times New Roman" w:hAnsi="Times New Roman" w:eastAsia="宋体" w:cs="Times New Roman"/>
                <w:sz w:val="24"/>
                <w:szCs w:val="20"/>
                <w:u w:val="none" w:color="FF0000"/>
              </w:rPr>
              <w:t>。项目周边生态环境主要为</w:t>
            </w:r>
            <w:r>
              <w:rPr>
                <w:rFonts w:hint="eastAsia" w:ascii="Times New Roman" w:hAnsi="Times New Roman" w:eastAsia="宋体" w:cs="Times New Roman"/>
                <w:sz w:val="24"/>
                <w:szCs w:val="20"/>
                <w:u w:val="none" w:color="FF0000"/>
                <w:lang w:val="en-US" w:eastAsia="zh-CN"/>
              </w:rPr>
              <w:t>树林</w:t>
            </w:r>
            <w:r>
              <w:rPr>
                <w:rFonts w:hint="eastAsia" w:ascii="Times New Roman" w:hAnsi="Times New Roman" w:eastAsia="宋体" w:cs="Times New Roman"/>
                <w:sz w:val="24"/>
                <w:szCs w:val="20"/>
                <w:u w:val="none" w:color="FF0000"/>
              </w:rPr>
              <w:t>生态系统和农田生态系统，不涉及自然保护区、风景名胜区、森林公园等生态敏感区，未发现珍稀濒危野生动植物，无古树名木，</w:t>
            </w:r>
            <w:r>
              <w:rPr>
                <w:rFonts w:ascii="Times New Roman" w:hAnsi="Times New Roman" w:eastAsia="宋体" w:cs="Times New Roman"/>
                <w:sz w:val="24"/>
                <w:szCs w:val="20"/>
                <w:u w:val="none" w:color="FF0000"/>
              </w:rPr>
              <w:t>不存在重大环境制约因素</w:t>
            </w:r>
            <w:r>
              <w:rPr>
                <w:rFonts w:hint="eastAsia" w:ascii="Times New Roman" w:hAnsi="Times New Roman" w:eastAsia="宋体" w:cs="Times New Roman"/>
                <w:sz w:val="24"/>
                <w:szCs w:val="20"/>
                <w:u w:val="none" w:color="FF0000"/>
              </w:rPr>
              <w:t>。</w:t>
            </w:r>
          </w:p>
          <w:p>
            <w:pPr>
              <w:adjustRightInd w:val="0"/>
              <w:snapToGrid w:val="0"/>
              <w:spacing w:line="360" w:lineRule="auto"/>
              <w:ind w:firstLine="482" w:firstLineChars="200"/>
              <w:rPr>
                <w:b/>
                <w:bCs/>
                <w:sz w:val="24"/>
              </w:rPr>
            </w:pPr>
            <w:r>
              <w:rPr>
                <w:rFonts w:hint="eastAsia"/>
                <w:b/>
                <w:bCs/>
                <w:sz w:val="24"/>
              </w:rPr>
              <w:t>五</w:t>
            </w:r>
            <w:r>
              <w:rPr>
                <w:b/>
                <w:bCs/>
                <w:sz w:val="24"/>
              </w:rPr>
              <w:t>、地下水环境现状</w:t>
            </w:r>
          </w:p>
          <w:p>
            <w:pPr>
              <w:pStyle w:val="195"/>
              <w:adjustRightInd w:val="0"/>
              <w:snapToGrid w:val="0"/>
              <w:jc w:val="left"/>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本项目为建筑垃圾填埋场，根据《建设项目环境影响报告表编制技术指南》（污染影响类）地下水环境质量现状监测要求、《一般工业固体废物贮存和填埋污染控制标准》（GB 18599-2020）中地下水监测要求、《建筑垃圾处理技术标准》(CJJ/T 134-2019)中地下水监测要求，综合考虑，本项目在红线南侧</w:t>
            </w:r>
            <w:r>
              <w:rPr>
                <w:rFonts w:hint="eastAsia" w:ascii="Times New Roman" w:hAnsi="Times New Roman" w:eastAsia="宋体" w:cs="Times New Roman"/>
                <w:color w:val="auto"/>
                <w:lang w:val="en-US" w:eastAsia="zh-CN"/>
              </w:rPr>
              <w:t>约103m居民水井处布设一个地下水现状监测点。</w:t>
            </w:r>
          </w:p>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监测点位布设</w:t>
            </w:r>
          </w:p>
          <w:p>
            <w:pPr>
              <w:pStyle w:val="195"/>
              <w:adjustRightInd w:val="0"/>
              <w:snapToGrid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本次地下水设</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个监测点位，监测点位、监测项目及监测频次具体如下：</w:t>
            </w:r>
          </w:p>
          <w:p>
            <w:pPr>
              <w:adjustRightInd w:val="0"/>
              <w:snapToGrid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 xml:space="preserve">  地下水监测点位布设</w:t>
            </w:r>
            <w:r>
              <w:rPr>
                <w:rFonts w:hint="eastAsia" w:ascii="Times New Roman" w:hAnsi="Times New Roman" w:eastAsia="宋体" w:cs="Times New Roman"/>
                <w:b/>
                <w:bCs/>
                <w:color w:val="auto"/>
                <w:lang w:val="en-US" w:eastAsia="zh-CN"/>
              </w:rPr>
              <w:t>示意</w:t>
            </w:r>
            <w:r>
              <w:rPr>
                <w:rFonts w:hint="default" w:ascii="Times New Roman" w:hAnsi="Times New Roman" w:eastAsia="宋体" w:cs="Times New Roman"/>
                <w:b/>
                <w:bCs/>
                <w:color w:val="auto"/>
                <w:lang w:val="en-US" w:eastAsia="zh-CN"/>
              </w:rPr>
              <w:t>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91"/>
              <w:gridCol w:w="2832"/>
              <w:gridCol w:w="1236"/>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点位编号</w:t>
                  </w:r>
                </w:p>
              </w:tc>
              <w:tc>
                <w:tcPr>
                  <w:tcW w:w="873"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监测点位</w:t>
                  </w:r>
                </w:p>
              </w:tc>
              <w:tc>
                <w:tcPr>
                  <w:tcW w:w="1778"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监测项目</w:t>
                  </w:r>
                </w:p>
              </w:tc>
              <w:tc>
                <w:tcPr>
                  <w:tcW w:w="776"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监测频次</w:t>
                  </w:r>
                </w:p>
              </w:tc>
              <w:tc>
                <w:tcPr>
                  <w:tcW w:w="1032"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1</w:t>
                  </w:r>
                  <w:r>
                    <w:rPr>
                      <w:rFonts w:hint="default" w:ascii="Times New Roman" w:hAnsi="Times New Roman" w:eastAsia="宋体" w:cs="Times New Roman"/>
                      <w:b w:val="0"/>
                      <w:bCs/>
                      <w:color w:val="auto"/>
                      <w:sz w:val="21"/>
                      <w:szCs w:val="21"/>
                      <w:lang w:val="en-US" w:eastAsia="zh-CN"/>
                    </w:rPr>
                    <w:t>#</w:t>
                  </w:r>
                </w:p>
              </w:tc>
              <w:tc>
                <w:tcPr>
                  <w:tcW w:w="873"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w:t>
                  </w:r>
                  <w:r>
                    <w:rPr>
                      <w:rFonts w:hint="default" w:ascii="Times New Roman" w:hAnsi="Times New Roman" w:cs="Times New Roman"/>
                      <w:b w:val="0"/>
                      <w:bCs/>
                      <w:color w:val="auto"/>
                      <w:sz w:val="21"/>
                      <w:szCs w:val="21"/>
                      <w:lang w:val="en-US" w:eastAsia="zh-CN"/>
                    </w:rPr>
                    <w:t>红线南侧约</w:t>
                  </w:r>
                  <w:r>
                    <w:rPr>
                      <w:rFonts w:hint="eastAsia" w:ascii="Times New Roman" w:hAnsi="Times New Roman" w:cs="Times New Roman"/>
                      <w:b w:val="0"/>
                      <w:bCs/>
                      <w:color w:val="auto"/>
                      <w:sz w:val="21"/>
                      <w:szCs w:val="21"/>
                      <w:lang w:val="en-US" w:eastAsia="zh-CN"/>
                    </w:rPr>
                    <w:t>56</w:t>
                  </w:r>
                  <w:r>
                    <w:rPr>
                      <w:rFonts w:hint="default" w:ascii="Times New Roman" w:hAnsi="Times New Roman" w:cs="Times New Roman"/>
                      <w:b w:val="0"/>
                      <w:bCs/>
                      <w:color w:val="auto"/>
                      <w:sz w:val="21"/>
                      <w:szCs w:val="21"/>
                      <w:lang w:val="en-US" w:eastAsia="zh-CN"/>
                    </w:rPr>
                    <w:t>m居民水井</w:t>
                  </w:r>
                  <w:r>
                    <w:rPr>
                      <w:rFonts w:hint="default" w:ascii="Times New Roman" w:hAnsi="Times New Roman" w:eastAsia="宋体" w:cs="Times New Roman"/>
                      <w:b w:val="0"/>
                      <w:bCs/>
                      <w:color w:val="auto"/>
                      <w:sz w:val="21"/>
                      <w:szCs w:val="21"/>
                      <w:lang w:val="en-US" w:eastAsia="zh-CN"/>
                    </w:rPr>
                    <w:t>处</w:t>
                  </w:r>
                </w:p>
              </w:tc>
              <w:tc>
                <w:tcPr>
                  <w:tcW w:w="1778"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浑浊度、pH、溶解性总固体、氯化物、硝酸盐（以 N 计）、亚硝酸盐（以 N 计）</w:t>
                  </w:r>
                </w:p>
              </w:tc>
              <w:tc>
                <w:tcPr>
                  <w:tcW w:w="776"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监测1次</w:t>
                  </w:r>
                </w:p>
              </w:tc>
              <w:tc>
                <w:tcPr>
                  <w:tcW w:w="1032" w:type="pct"/>
                  <w:noWrap w:val="0"/>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《地下水质量标准》（GB/T 14848-2017）III类标准</w:t>
                  </w:r>
                </w:p>
              </w:tc>
            </w:tr>
          </w:tbl>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（2）监测结果</w:t>
            </w:r>
          </w:p>
          <w:p>
            <w:pPr>
              <w:adjustRightInd w:val="0"/>
              <w:snapToGrid w:val="0"/>
              <w:spacing w:line="360" w:lineRule="auto"/>
              <w:jc w:val="center"/>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val="en-US" w:eastAsia="zh-CN"/>
              </w:rPr>
              <w:t xml:space="preserve">  地下水监测</w:t>
            </w:r>
            <w:r>
              <w:rPr>
                <w:rFonts w:hint="eastAsia" w:ascii="Times New Roman" w:hAnsi="Times New Roman" w:eastAsia="宋体" w:cs="Times New Roman"/>
                <w:b/>
                <w:bCs/>
                <w:color w:val="auto"/>
                <w:lang w:val="en-US" w:eastAsia="zh-CN"/>
              </w:rPr>
              <w:t>结果</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993"/>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6" w:type="dxa"/>
                  <w:gridSpan w:val="2"/>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检测点位</w:t>
                  </w:r>
                </w:p>
              </w:tc>
              <w:tc>
                <w:tcPr>
                  <w:tcW w:w="3988" w:type="dxa"/>
                  <w:gridSpan w:val="2"/>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1#：项目红线南侧约103m居民水井处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检测项目</w:t>
                  </w:r>
                </w:p>
              </w:tc>
              <w:tc>
                <w:tcPr>
                  <w:tcW w:w="1993" w:type="dxa"/>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采样时间2022年</w:t>
                  </w:r>
                </w:p>
              </w:tc>
              <w:tc>
                <w:tcPr>
                  <w:tcW w:w="1994" w:type="dxa"/>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检测结果</w:t>
                  </w:r>
                  <w:r>
                    <w:rPr>
                      <w:rFonts w:hint="eastAsia" w:ascii="Times New Roman" w:hAnsi="Times New Roman" w:eastAsia="宋体" w:cs="Times New Roman"/>
                      <w:b/>
                      <w:bCs/>
                      <w:color w:val="auto"/>
                      <w:lang w:val="en-US" w:eastAsia="zh-CN"/>
                    </w:rPr>
                    <w:t>（mg/L）</w:t>
                  </w:r>
                </w:p>
              </w:tc>
              <w:tc>
                <w:tcPr>
                  <w:tcW w:w="1994" w:type="dxa"/>
                  <w:noWrap w:val="0"/>
                  <w:vAlign w:val="top"/>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pH（无量纲）</w:t>
                  </w:r>
                </w:p>
              </w:tc>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6.5</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溶解性总固体</w:t>
                  </w:r>
                </w:p>
              </w:tc>
              <w:tc>
                <w:tcPr>
                  <w:tcW w:w="1993" w:type="dxa"/>
                  <w:noWrap w:val="0"/>
                  <w:vAlign w:val="top"/>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464</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氯化物</w:t>
                  </w:r>
                </w:p>
              </w:tc>
              <w:tc>
                <w:tcPr>
                  <w:tcW w:w="1993" w:type="dxa"/>
                  <w:noWrap w:val="0"/>
                  <w:vAlign w:val="top"/>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15.1</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硝酸盐（以N计）</w:t>
                  </w:r>
                </w:p>
              </w:tc>
              <w:tc>
                <w:tcPr>
                  <w:tcW w:w="1993" w:type="dxa"/>
                  <w:noWrap w:val="0"/>
                  <w:vAlign w:val="top"/>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2.56</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亚硝酸盐（以N计）</w:t>
                  </w:r>
                </w:p>
              </w:tc>
              <w:tc>
                <w:tcPr>
                  <w:tcW w:w="1993" w:type="dxa"/>
                  <w:noWrap w:val="0"/>
                  <w:vAlign w:val="top"/>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＜0.016</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浊度</w:t>
                  </w:r>
                </w:p>
              </w:tc>
              <w:tc>
                <w:tcPr>
                  <w:tcW w:w="1993" w:type="dxa"/>
                  <w:noWrap w:val="0"/>
                  <w:vAlign w:val="top"/>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02月24日</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w:t>
                  </w:r>
                </w:p>
              </w:tc>
              <w:tc>
                <w:tcPr>
                  <w:tcW w:w="1994" w:type="dxa"/>
                  <w:noWrap w:val="0"/>
                  <w:vAlign w:val="top"/>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w:t>
                  </w:r>
                </w:p>
              </w:tc>
            </w:tr>
          </w:tbl>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（3）评价标准</w:t>
            </w:r>
          </w:p>
          <w:p>
            <w:pPr>
              <w:pStyle w:val="195"/>
              <w:adjustRightInd w:val="0"/>
              <w:snapToGrid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地下水环境质量现状及影响评价采用执行《地下水环境质量标准》（GB/T14848-2017）Ⅲ类标准。</w:t>
            </w:r>
          </w:p>
          <w:p>
            <w:pPr>
              <w:adjustRightInd w:val="0"/>
              <w:snapToGrid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 xml:space="preserve">  地下水Ⅲ类水域环境质量标准  单位：mg/L，pH除外</w:t>
            </w:r>
          </w:p>
          <w:tbl>
            <w:tblPr>
              <w:tblStyle w:val="38"/>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53"/>
              <w:gridCol w:w="4155"/>
              <w:gridCol w:w="26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724" w:type="pct"/>
                  <w:tcBorders>
                    <w:tl2br w:val="nil"/>
                    <w:tr2bl w:val="nil"/>
                  </w:tcBorders>
                  <w:noWrap w:val="0"/>
                  <w:vAlign w:val="center"/>
                </w:tcPr>
                <w:p>
                  <w:pPr>
                    <w:keepNext w:val="0"/>
                    <w:keepLines w:val="0"/>
                    <w:pageBreakBefore w:val="0"/>
                    <w:widowControl w:val="0"/>
                    <w:suppressAutoHyphen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kern w:val="28"/>
                      <w:sz w:val="21"/>
                      <w:szCs w:val="21"/>
                      <w:lang w:val="en-US" w:eastAsia="zh-CN" w:bidi="ar-SA"/>
                    </w:rPr>
                  </w:pPr>
                  <w:r>
                    <w:rPr>
                      <w:rFonts w:hint="default" w:ascii="Times New Roman" w:hAnsi="Times New Roman" w:eastAsia="宋体" w:cs="Times New Roman"/>
                      <w:b/>
                      <w:bCs w:val="0"/>
                      <w:kern w:val="28"/>
                      <w:sz w:val="21"/>
                      <w:szCs w:val="21"/>
                      <w:lang w:val="en-US" w:eastAsia="zh-CN" w:bidi="ar-SA"/>
                    </w:rPr>
                    <w:t>序号</w:t>
                  </w:r>
                </w:p>
              </w:tc>
              <w:tc>
                <w:tcPr>
                  <w:tcW w:w="2609" w:type="pct"/>
                  <w:tcBorders>
                    <w:tl2br w:val="nil"/>
                    <w:tr2bl w:val="nil"/>
                  </w:tcBorders>
                  <w:noWrap w:val="0"/>
                  <w:vAlign w:val="center"/>
                </w:tcPr>
                <w:p>
                  <w:pPr>
                    <w:keepNext w:val="0"/>
                    <w:keepLines w:val="0"/>
                    <w:pageBreakBefore w:val="0"/>
                    <w:widowControl w:val="0"/>
                    <w:suppressAutoHyphen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kern w:val="28"/>
                      <w:sz w:val="21"/>
                      <w:szCs w:val="21"/>
                      <w:lang w:val="en-US" w:eastAsia="zh-CN" w:bidi="ar-SA"/>
                    </w:rPr>
                  </w:pPr>
                  <w:r>
                    <w:rPr>
                      <w:rFonts w:hint="default" w:ascii="Times New Roman" w:hAnsi="Times New Roman" w:eastAsia="宋体" w:cs="Times New Roman"/>
                      <w:b/>
                      <w:bCs w:val="0"/>
                      <w:kern w:val="28"/>
                      <w:sz w:val="21"/>
                      <w:szCs w:val="21"/>
                      <w:lang w:val="en-US" w:eastAsia="zh-CN" w:bidi="ar-SA"/>
                    </w:rPr>
                    <w:t>项目</w:t>
                  </w:r>
                </w:p>
              </w:tc>
              <w:tc>
                <w:tcPr>
                  <w:tcW w:w="1666" w:type="pct"/>
                  <w:tcBorders>
                    <w:tl2br w:val="nil"/>
                    <w:tr2bl w:val="nil"/>
                  </w:tcBorders>
                  <w:noWrap w:val="0"/>
                  <w:vAlign w:val="center"/>
                </w:tcPr>
                <w:p>
                  <w:pPr>
                    <w:keepNext w:val="0"/>
                    <w:keepLines w:val="0"/>
                    <w:pageBreakBefore w:val="0"/>
                    <w:widowControl w:val="0"/>
                    <w:suppressAutoHyphen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kern w:val="28"/>
                      <w:sz w:val="21"/>
                      <w:szCs w:val="21"/>
                      <w:lang w:val="en-US" w:eastAsia="zh-CN" w:bidi="ar-SA"/>
                    </w:rPr>
                  </w:pPr>
                  <w:r>
                    <w:rPr>
                      <w:rFonts w:hint="default" w:ascii="Times New Roman" w:hAnsi="Times New Roman" w:eastAsia="宋体" w:cs="Times New Roman"/>
                      <w:b/>
                      <w:bCs w:val="0"/>
                      <w:kern w:val="28"/>
                      <w:sz w:val="21"/>
                      <w:szCs w:val="21"/>
                      <w:lang w:val="en-US" w:eastAsia="zh-CN" w:bidi="ar-SA"/>
                    </w:rPr>
                    <w:t>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1</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pH（无量纲）</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6.5~8.5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2</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硝酸盐</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3</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亚硝酸盐</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4</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溶解性总固体</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5</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氯化物</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6</w:t>
                  </w:r>
                </w:p>
              </w:tc>
              <w:tc>
                <w:tcPr>
                  <w:tcW w:w="2609"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浑浊度/NTU</w:t>
                  </w:r>
                  <w:r>
                    <w:rPr>
                      <w:rFonts w:hint="eastAsia" w:ascii="Times New Roman" w:hAnsi="Times New Roman" w:eastAsia="宋体" w:cs="Times New Roman"/>
                      <w:b w:val="0"/>
                      <w:bCs/>
                      <w:kern w:val="0"/>
                      <w:sz w:val="21"/>
                      <w:szCs w:val="21"/>
                      <w:vertAlign w:val="superscript"/>
                      <w:lang w:val="en-US" w:eastAsia="zh-CN" w:bidi="ar-SA"/>
                    </w:rPr>
                    <w:t>a</w:t>
                  </w:r>
                </w:p>
              </w:tc>
              <w:tc>
                <w:tcPr>
                  <w:tcW w:w="1666" w:type="pct"/>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left"/>
                    <w:textAlignment w:val="auto"/>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bidi="ar-SA"/>
                    </w:rPr>
                    <w:t>a NT为散射浊度单位</w:t>
                  </w:r>
                </w:p>
              </w:tc>
            </w:tr>
          </w:tbl>
          <w:p>
            <w:pPr>
              <w:pStyle w:val="195"/>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（4）评价结果</w:t>
            </w:r>
          </w:p>
          <w:p>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outlineLvl w:val="9"/>
              <w:rPr>
                <w:rFonts w:hint="default" w:ascii="Times New Roman" w:hAnsi="Times New Roman" w:eastAsia="黑体" w:cs="Times New Roman"/>
                <w:b w:val="0"/>
                <w:color w:val="auto"/>
                <w:kern w:val="2"/>
                <w:sz w:val="24"/>
                <w:szCs w:val="24"/>
                <w:lang w:val="en-US" w:eastAsia="zh-CN" w:bidi="ar-SA"/>
              </w:rPr>
            </w:pPr>
            <w:r>
              <w:rPr>
                <w:rFonts w:hint="eastAsia" w:ascii="Times New Roman" w:hAnsi="Times New Roman" w:eastAsia="宋体" w:cs="Times New Roman"/>
                <w:b/>
                <w:bCs/>
                <w:color w:val="auto"/>
                <w:kern w:val="2"/>
                <w:sz w:val="21"/>
                <w:szCs w:val="24"/>
                <w:lang w:val="en-US" w:eastAsia="zh-CN" w:bidi="ar-SA"/>
              </w:rPr>
              <w:t>表3</w:t>
            </w:r>
            <w:r>
              <w:rPr>
                <w:rFonts w:hint="default" w:ascii="Times New Roman" w:hAnsi="Times New Roman" w:eastAsia="宋体" w:cs="Times New Roman"/>
                <w:b/>
                <w:bCs/>
                <w:color w:val="auto"/>
                <w:kern w:val="2"/>
                <w:sz w:val="21"/>
                <w:szCs w:val="24"/>
                <w:lang w:val="en-US" w:eastAsia="zh-CN" w:bidi="ar-SA"/>
              </w:rPr>
              <w:t>-</w:t>
            </w:r>
            <w:r>
              <w:rPr>
                <w:rFonts w:hint="eastAsia" w:ascii="Times New Roman" w:hAnsi="Times New Roman" w:eastAsia="宋体" w:cs="Times New Roman"/>
                <w:b/>
                <w:bCs/>
                <w:color w:val="auto"/>
                <w:kern w:val="2"/>
                <w:sz w:val="21"/>
                <w:szCs w:val="24"/>
                <w:lang w:val="en-US" w:eastAsia="zh-CN" w:bidi="ar-SA"/>
              </w:rPr>
              <w:t>7</w:t>
            </w:r>
            <w:r>
              <w:rPr>
                <w:rFonts w:hint="default" w:ascii="Times New Roman" w:hAnsi="Times New Roman" w:eastAsia="宋体" w:cs="Times New Roman"/>
                <w:b/>
                <w:bCs/>
                <w:color w:val="auto"/>
                <w:kern w:val="2"/>
                <w:sz w:val="21"/>
                <w:szCs w:val="24"/>
                <w:lang w:val="en-US" w:eastAsia="zh-CN" w:bidi="ar-SA"/>
              </w:rPr>
              <w:t xml:space="preserve">  地下水监测结果统计与评价结果</w:t>
            </w:r>
          </w:p>
          <w:tbl>
            <w:tblPr>
              <w:tblStyle w:val="39"/>
              <w:tblW w:w="499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49"/>
              <w:gridCol w:w="1552"/>
              <w:gridCol w:w="2593"/>
              <w:gridCol w:w="22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9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监测项目</w:t>
                  </w:r>
                </w:p>
              </w:tc>
              <w:tc>
                <w:tcPr>
                  <w:tcW w:w="9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标准指数</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最大超标率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9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9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pH（无量纲）</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sz w:val="21"/>
                      <w:szCs w:val="21"/>
                    </w:rPr>
                    <w:t>6.5~8.5</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51"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ar-SA"/>
                    </w:rPr>
                    <w:t>硝酸盐</w:t>
                  </w:r>
                </w:p>
              </w:tc>
              <w:tc>
                <w:tcPr>
                  <w:tcW w:w="1554"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20.0</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0.128</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51"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ar-SA"/>
                    </w:rPr>
                    <w:t>亚硝酸盐</w:t>
                  </w:r>
                </w:p>
              </w:tc>
              <w:tc>
                <w:tcPr>
                  <w:tcW w:w="1554"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1.00</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0.016</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51"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ar-SA"/>
                    </w:rPr>
                    <w:t>溶解性总固体</w:t>
                  </w:r>
                </w:p>
              </w:tc>
              <w:tc>
                <w:tcPr>
                  <w:tcW w:w="1554"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1000</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0.464</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51"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ar-SA"/>
                    </w:rPr>
                    <w:t>氯化物</w:t>
                  </w:r>
                </w:p>
              </w:tc>
              <w:tc>
                <w:tcPr>
                  <w:tcW w:w="1554" w:type="dxa"/>
                  <w:tcBorders>
                    <w:tl2br w:val="nil"/>
                    <w:tr2bl w:val="nil"/>
                  </w:tcBorders>
                  <w:noWrap w:val="0"/>
                  <w:vAlign w:val="center"/>
                </w:tcPr>
                <w:p>
                  <w:pPr>
                    <w:keepNext w:val="0"/>
                    <w:keepLines w:val="0"/>
                    <w:pageBreakBefore w:val="0"/>
                    <w:widowControl/>
                    <w:kinsoku w:val="0"/>
                    <w:wordWrap/>
                    <w:overflowPunct w:val="0"/>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250</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0.0604</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浊度</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kern w:val="0"/>
                      <w:sz w:val="21"/>
                      <w:szCs w:val="21"/>
                      <w:lang w:val="en-US" w:eastAsia="zh-CN" w:bidi="ar-SA"/>
                    </w:rPr>
                    <w:t>≤</w:t>
                  </w:r>
                  <w:r>
                    <w:rPr>
                      <w:rFonts w:hint="eastAsia" w:ascii="Times New Roman" w:hAnsi="Times New Roman" w:eastAsia="宋体" w:cs="Times New Roman"/>
                      <w:b w:val="0"/>
                      <w:bCs/>
                      <w:kern w:val="0"/>
                      <w:sz w:val="21"/>
                      <w:szCs w:val="21"/>
                      <w:lang w:val="en-US" w:eastAsia="zh-CN" w:bidi="ar-SA"/>
                    </w:rPr>
                    <w:t>3</w:t>
                  </w:r>
                </w:p>
              </w:tc>
              <w:tc>
                <w:tcPr>
                  <w:tcW w:w="1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0.33</w:t>
                  </w:r>
                </w:p>
              </w:tc>
              <w:tc>
                <w:tcPr>
                  <w:tcW w:w="1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pPr>
              <w:pStyle w:val="195"/>
              <w:adjustRightInd w:val="0"/>
              <w:snapToGrid w:val="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由上述监测结果可知，各项监测因子均能满足《地下水质量标准》（GB/T 14848-2017）中的III类标准要求。因此，本项目区域地下水环境质量良好。</w:t>
            </w:r>
          </w:p>
          <w:p>
            <w:pPr>
              <w:adjustRightInd w:val="0"/>
              <w:snapToGrid w:val="0"/>
              <w:spacing w:line="360" w:lineRule="auto"/>
              <w:ind w:firstLine="482" w:firstLineChars="200"/>
              <w:rPr>
                <w:b/>
                <w:bCs/>
                <w:sz w:val="24"/>
              </w:rPr>
            </w:pPr>
            <w:r>
              <w:rPr>
                <w:rFonts w:hint="eastAsia"/>
                <w:b/>
                <w:bCs/>
                <w:sz w:val="24"/>
                <w:lang w:val="en-US" w:eastAsia="zh-CN"/>
              </w:rPr>
              <w:t>六</w:t>
            </w:r>
            <w:r>
              <w:rPr>
                <w:b/>
                <w:bCs/>
                <w:sz w:val="24"/>
              </w:rPr>
              <w:t>、</w:t>
            </w:r>
            <w:r>
              <w:rPr>
                <w:rFonts w:hint="eastAsia"/>
                <w:b/>
                <w:bCs/>
                <w:sz w:val="24"/>
                <w:lang w:val="en-US" w:eastAsia="zh-CN"/>
              </w:rPr>
              <w:t>土壤</w:t>
            </w:r>
            <w:r>
              <w:rPr>
                <w:b/>
                <w:bCs/>
                <w:sz w:val="24"/>
              </w:rPr>
              <w:t>环境现状</w:t>
            </w:r>
          </w:p>
          <w:p>
            <w:pPr>
              <w:pStyle w:val="195"/>
              <w:adjustRightInd w:val="0"/>
              <w:snapToGrid w:val="0"/>
              <w:jc w:val="left"/>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本项目为建筑垃圾填埋场，根据《建设项目环境影响报告表编制技术指南》（污染影响类）土壤环境质量现状监测要求、《一般工业固体废物贮存和填埋污染控制标准》（GB 18599-2020）中土壤监测要求、《建筑垃圾处理技术标准》(CJJ/T 134-2019)中土壤监测要求，综合考虑，本项目红线东南侧约75</w:t>
            </w:r>
            <w:r>
              <w:rPr>
                <w:rFonts w:hint="eastAsia" w:ascii="Times New Roman" w:hAnsi="Times New Roman" w:eastAsia="宋体" w:cs="Times New Roman"/>
                <w:color w:val="auto"/>
                <w:lang w:val="en-US" w:eastAsia="zh-CN"/>
              </w:rPr>
              <w:t>m处布设一个土壤现状监测点。</w:t>
            </w:r>
          </w:p>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监测点位布设</w:t>
            </w:r>
          </w:p>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本次土壤设1个监测点位，</w:t>
            </w:r>
            <w:r>
              <w:rPr>
                <w:rFonts w:hint="default" w:ascii="Times New Roman" w:hAnsi="Times New Roman" w:eastAsia="宋体" w:cs="Times New Roman"/>
                <w:color w:val="auto"/>
                <w:lang w:val="en-US" w:eastAsia="zh-CN"/>
              </w:rPr>
              <w:t>监测点位、监测项目及监测频次具体如下：</w:t>
            </w:r>
          </w:p>
          <w:p>
            <w:pPr>
              <w:adjustRightInd w:val="0"/>
              <w:snapToGrid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土壤</w:t>
            </w:r>
            <w:r>
              <w:rPr>
                <w:rFonts w:hint="default" w:ascii="Times New Roman" w:hAnsi="Times New Roman" w:eastAsia="宋体" w:cs="Times New Roman"/>
                <w:b/>
                <w:bCs/>
                <w:color w:val="auto"/>
                <w:lang w:val="en-US" w:eastAsia="zh-CN"/>
              </w:rPr>
              <w:t>监测点位布设</w:t>
            </w:r>
            <w:r>
              <w:rPr>
                <w:rFonts w:hint="eastAsia" w:ascii="Times New Roman" w:hAnsi="Times New Roman" w:eastAsia="宋体" w:cs="Times New Roman"/>
                <w:b/>
                <w:bCs/>
                <w:color w:val="auto"/>
                <w:lang w:val="en-US" w:eastAsia="zh-CN"/>
              </w:rPr>
              <w:t>示意</w:t>
            </w:r>
            <w:r>
              <w:rPr>
                <w:rFonts w:hint="default" w:ascii="Times New Roman" w:hAnsi="Times New Roman" w:eastAsia="宋体" w:cs="Times New Roman"/>
                <w:b/>
                <w:bCs/>
                <w:color w:val="auto"/>
                <w:lang w:val="en-US" w:eastAsia="zh-CN"/>
              </w:rPr>
              <w:t>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15"/>
              <w:gridCol w:w="2054"/>
              <w:gridCol w:w="954"/>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点位编号</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监测点位</w:t>
                  </w:r>
                </w:p>
              </w:tc>
              <w:tc>
                <w:tcPr>
                  <w:tcW w:w="12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监测项目</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监测频次</w:t>
                  </w:r>
                </w:p>
              </w:tc>
              <w:tc>
                <w:tcPr>
                  <w:tcW w:w="1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1</w:t>
                  </w:r>
                  <w:r>
                    <w:rPr>
                      <w:rFonts w:hint="default" w:ascii="Times New Roman" w:hAnsi="Times New Roman" w:eastAsia="宋体" w:cs="Times New Roman"/>
                      <w:color w:val="auto"/>
                      <w:sz w:val="21"/>
                      <w:szCs w:val="21"/>
                      <w:vertAlign w:val="baseline"/>
                      <w:lang w:val="en-US"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项目红线</w:t>
                  </w:r>
                  <w:r>
                    <w:rPr>
                      <w:rFonts w:hint="default" w:ascii="Times New Roman" w:hAnsi="Times New Roman" w:eastAsia="宋体" w:cs="Times New Roman"/>
                      <w:color w:val="auto"/>
                      <w:sz w:val="21"/>
                      <w:szCs w:val="21"/>
                      <w:vertAlign w:val="baseline"/>
                      <w:lang w:val="en-US" w:eastAsia="zh-CN"/>
                    </w:rPr>
                    <w:t>东南侧约</w:t>
                  </w:r>
                  <w:r>
                    <w:rPr>
                      <w:rFonts w:hint="eastAsia" w:ascii="Times New Roman" w:hAnsi="Times New Roman" w:eastAsia="宋体" w:cs="Times New Roman"/>
                      <w:color w:val="auto"/>
                      <w:sz w:val="21"/>
                      <w:szCs w:val="21"/>
                      <w:vertAlign w:val="baseline"/>
                      <w:lang w:val="en-US" w:eastAsia="zh-CN"/>
                    </w:rPr>
                    <w:t>75</w:t>
                  </w:r>
                  <w:r>
                    <w:rPr>
                      <w:rFonts w:hint="default" w:ascii="Times New Roman" w:hAnsi="Times New Roman" w:eastAsia="宋体" w:cs="Times New Roman"/>
                      <w:color w:val="auto"/>
                      <w:sz w:val="21"/>
                      <w:szCs w:val="21"/>
                      <w:vertAlign w:val="baseline"/>
                      <w:lang w:val="en-US" w:eastAsia="zh-CN"/>
                    </w:rPr>
                    <w:t>m处表层样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12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pH、砷、镉、铬、铜、铅、汞、锌、镍</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监测1次</w:t>
                  </w:r>
                </w:p>
              </w:tc>
              <w:tc>
                <w:tcPr>
                  <w:tcW w:w="1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《土壤环境质量 农用地土壤污染风险管控标准》（试行）（GB</w:t>
                  </w:r>
                  <w:r>
                    <w:rPr>
                      <w:rFonts w:hint="default" w:ascii="Times New Roman" w:hAnsi="Times New Roman" w:eastAsia="宋体" w:cs="Times New Roman"/>
                      <w:color w:val="auto"/>
                      <w:sz w:val="21"/>
                      <w:szCs w:val="21"/>
                      <w:vertAlign w:val="baseline"/>
                      <w:lang w:val="en-US" w:eastAsia="zh-CN"/>
                    </w:rPr>
                    <w:t>15618</w:t>
                  </w:r>
                  <w:r>
                    <w:rPr>
                      <w:rFonts w:hint="default" w:ascii="Times New Roman" w:hAnsi="Times New Roman" w:eastAsia="宋体" w:cs="Times New Roman"/>
                      <w:color w:val="auto"/>
                      <w:sz w:val="21"/>
                      <w:szCs w:val="21"/>
                      <w:vertAlign w:val="baseline"/>
                      <w:lang w:eastAsia="zh-CN"/>
                    </w:rPr>
                    <w:t>-2018）中表1</w:t>
                  </w:r>
                  <w:r>
                    <w:rPr>
                      <w:rFonts w:hint="default"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eastAsia="zh-CN"/>
                    </w:rPr>
                    <w:t>农用地土壤污染风险筛选值（基本项目）（其他）</w:t>
                  </w:r>
                </w:p>
              </w:tc>
            </w:tr>
          </w:tbl>
          <w:p>
            <w:pPr>
              <w:pStyle w:val="195"/>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（2）评价标准</w:t>
            </w:r>
          </w:p>
          <w:p>
            <w:pPr>
              <w:pStyle w:val="195"/>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土壤环境质量执行《土壤环境质量 农用地土壤污染风险管控标准》（试行）（GB15618-2018）中 表 1 农用地土壤污染风险筛选值（基本项目）（其他）限值要求</w:t>
            </w:r>
          </w:p>
          <w:p>
            <w:pPr>
              <w:pStyle w:val="195"/>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（3）监测及评价结果</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ascii="Times New Roman" w:hAnsi="Times New Roman" w:eastAsia="宋体" w:cs="Times New Roman"/>
                <w:b/>
                <w:bCs/>
                <w:color w:val="auto"/>
                <w:lang w:val="en-US" w:eastAsia="zh-CN"/>
              </w:rPr>
              <w:t>9</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土壤</w:t>
            </w:r>
            <w:r>
              <w:rPr>
                <w:rFonts w:hint="default" w:ascii="Times New Roman" w:hAnsi="Times New Roman" w:eastAsia="宋体" w:cs="Times New Roman"/>
                <w:b/>
                <w:bCs/>
                <w:color w:val="auto"/>
                <w:lang w:val="en-US" w:eastAsia="zh-CN"/>
              </w:rPr>
              <w:t>监测</w:t>
            </w:r>
            <w:r>
              <w:rPr>
                <w:rFonts w:hint="eastAsia" w:ascii="Times New Roman" w:hAnsi="Times New Roman" w:eastAsia="宋体" w:cs="Times New Roman"/>
                <w:b/>
                <w:bCs/>
                <w:color w:val="auto"/>
                <w:lang w:val="en-US" w:eastAsia="zh-CN"/>
              </w:rPr>
              <w:t>及评价结果</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891"/>
              <w:gridCol w:w="1118"/>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采样时间</w:t>
                  </w:r>
                </w:p>
              </w:tc>
              <w:tc>
                <w:tcPr>
                  <w:tcW w:w="400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2022年02月23日</w:t>
                  </w:r>
                </w:p>
              </w:tc>
              <w:tc>
                <w:tcPr>
                  <w:tcW w:w="20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检测项目</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检测结果（mg/kg）</w:t>
                  </w:r>
                </w:p>
              </w:tc>
              <w:tc>
                <w:tcPr>
                  <w:tcW w:w="11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w:t>
                  </w:r>
                </w:p>
              </w:tc>
              <w:tc>
                <w:tcPr>
                  <w:tcW w:w="2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vertAlign w:val="baseline"/>
                      <w:lang w:val="en-US" w:eastAsia="zh-CN"/>
                    </w:rPr>
                  </w:pP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1#：项目东南侧124m处</w:t>
                  </w:r>
                </w:p>
              </w:tc>
              <w:tc>
                <w:tcPr>
                  <w:tcW w:w="11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2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7.7</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汞</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0.048</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砷</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4.75</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铅</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49.4</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镉</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0.37</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镍</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锌</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87</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铬</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83</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铜</w:t>
                  </w:r>
                </w:p>
              </w:tc>
              <w:tc>
                <w:tcPr>
                  <w:tcW w:w="2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0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r>
          </w:tbl>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由上表可知，各监测因子现状数值符合《土壤环境质量 农用地土壤污染风险管控标准》（试行）（GB15618-2018）中 表 1 农用地土壤污染风险筛选值（基本项目）（其他）限值要求，项目所在地土壤环境质量现状良好。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3"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目标</w:t>
            </w:r>
          </w:p>
        </w:tc>
        <w:tc>
          <w:tcPr>
            <w:tcW w:w="8190" w:type="dxa"/>
            <w:noWrap w:val="0"/>
            <w:vAlign w:val="top"/>
          </w:tcPr>
          <w:p>
            <w:pPr>
              <w:pStyle w:val="195"/>
              <w:adjustRightInd w:val="0"/>
              <w:snapToGrid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1、项目外环境关系</w:t>
            </w:r>
          </w:p>
          <w:p>
            <w:pPr>
              <w:pStyle w:val="195"/>
              <w:adjustRightInd w:val="0"/>
              <w:snapToGrid w:val="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四川省乐山市市中区全福街道办事处台子村2组，周边500m范围内无医院、学校等敏感点。填埋区红线50m范围内无居民居住。填埋区红线东北侧152m~500m约有30户居民；填埋区红线东侧约110m~500m约有45户居民；填埋区红线东南侧约75m~500m约有10户居民；填埋区南侧约56m~500m约有16户居民；填埋区西南侧约122m~500m约有10户居民，约334m处为乐山孝老宛老年公寓（约1000人）；填埋区红线约西侧约156m~500m约有20户居民；填埋区红线北侧约492m处为中国石油加油站。</w:t>
            </w:r>
          </w:p>
          <w:p>
            <w:pPr>
              <w:pStyle w:val="195"/>
              <w:adjustRightInd w:val="0"/>
              <w:snapToGri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0"/>
                <w:sz w:val="24"/>
                <w:szCs w:val="21"/>
              </w:rPr>
              <w:t>项目</w:t>
            </w:r>
            <w:r>
              <w:rPr>
                <w:rFonts w:hint="eastAsia" w:ascii="Times New Roman" w:hAnsi="Times New Roman" w:eastAsia="宋体" w:cs="Times New Roman"/>
                <w:color w:val="auto"/>
                <w:kern w:val="0"/>
                <w:sz w:val="24"/>
                <w:szCs w:val="21"/>
                <w:lang w:val="en-US" w:eastAsia="zh-CN"/>
              </w:rPr>
              <w:t>填埋区</w:t>
            </w:r>
            <w:r>
              <w:rPr>
                <w:rFonts w:hint="eastAsia" w:eastAsia="宋体" w:cs="Times New Roman"/>
                <w:color w:val="auto"/>
                <w:kern w:val="0"/>
                <w:sz w:val="24"/>
                <w:szCs w:val="21"/>
                <w:lang w:val="en-US" w:eastAsia="zh-CN"/>
              </w:rPr>
              <w:t>红线东南侧约124</w:t>
            </w:r>
            <w:r>
              <w:rPr>
                <w:rFonts w:hint="eastAsia" w:ascii="Times New Roman" w:hAnsi="Times New Roman" w:eastAsia="宋体" w:cs="Times New Roman"/>
                <w:color w:val="auto"/>
                <w:kern w:val="0"/>
                <w:sz w:val="24"/>
                <w:szCs w:val="21"/>
              </w:rPr>
              <w:t>m处为</w:t>
            </w:r>
            <w:r>
              <w:rPr>
                <w:rFonts w:hint="eastAsia" w:eastAsia="宋体" w:cs="Times New Roman"/>
                <w:color w:val="auto"/>
                <w:kern w:val="0"/>
                <w:sz w:val="24"/>
                <w:szCs w:val="21"/>
                <w:lang w:val="en-US" w:eastAsia="zh-CN"/>
              </w:rPr>
              <w:t>泥溪河</w:t>
            </w:r>
            <w:r>
              <w:rPr>
                <w:rFonts w:hint="eastAsia" w:ascii="Times New Roman" w:hAnsi="Times New Roman" w:eastAsia="宋体" w:cs="Times New Roman"/>
                <w:color w:val="auto"/>
                <w:kern w:val="0"/>
                <w:sz w:val="24"/>
                <w:szCs w:val="21"/>
              </w:rPr>
              <w:t>，最终汇入</w:t>
            </w:r>
            <w:r>
              <w:rPr>
                <w:rFonts w:hint="eastAsia" w:eastAsia="宋体" w:cs="Times New Roman"/>
                <w:color w:val="auto"/>
                <w:kern w:val="0"/>
                <w:sz w:val="24"/>
                <w:szCs w:val="21"/>
                <w:lang w:val="en-US" w:eastAsia="zh-CN"/>
              </w:rPr>
              <w:t>岷江</w:t>
            </w:r>
            <w:r>
              <w:rPr>
                <w:rFonts w:hint="eastAsia" w:ascii="Times New Roman" w:hAnsi="Times New Roman" w:eastAsia="宋体" w:cs="Times New Roman"/>
                <w:color w:val="auto"/>
                <w:kern w:val="0"/>
                <w:sz w:val="24"/>
                <w:szCs w:val="21"/>
              </w:rPr>
              <w:t>；</w:t>
            </w:r>
            <w:r>
              <w:rPr>
                <w:rFonts w:hint="eastAsia" w:eastAsia="宋体" w:cs="Times New Roman"/>
                <w:color w:val="auto"/>
                <w:kern w:val="0"/>
                <w:sz w:val="24"/>
                <w:szCs w:val="21"/>
                <w:lang w:val="en-US" w:eastAsia="zh-CN"/>
              </w:rPr>
              <w:t>项目填埋区红线西南侧约886m处为岷江；场内运输道路与护佛路北段相接，隔路相望中国石油加油站。项目运输、车辆加油均较方便。</w:t>
            </w:r>
          </w:p>
          <w:p>
            <w:pPr>
              <w:pStyle w:val="195"/>
              <w:adjustRightInd w:val="0"/>
              <w:snapToGrid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项目评价范围内无自然保护区、风景名胜区、文物古迹、生态敏感区。</w:t>
            </w:r>
          </w:p>
          <w:p>
            <w:pPr>
              <w:pStyle w:val="195"/>
              <w:adjustRightInd w:val="0"/>
              <w:snapToGrid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lang w:val="en-US" w:eastAsia="zh-CN"/>
              </w:rPr>
              <w:t>根据本项目性质、污染物排放特征以及所在地区的外环境现状特征，确定本项目</w:t>
            </w:r>
            <w:r>
              <w:rPr>
                <w:rFonts w:hint="default" w:ascii="Times New Roman" w:hAnsi="Times New Roman" w:eastAsia="宋体" w:cs="Times New Roman"/>
                <w:color w:val="auto"/>
                <w:highlight w:val="none"/>
                <w:lang w:val="en-US" w:eastAsia="zh-CN"/>
              </w:rPr>
              <w:t>主要环境保护目标与等级见下表：</w:t>
            </w:r>
          </w:p>
          <w:p>
            <w:pPr>
              <w:pStyle w:val="14"/>
              <w:adjustRightInd w:val="0"/>
              <w:spacing w:before="0" w:after="0" w:line="360" w:lineRule="auto"/>
              <w:ind w:firstLine="422" w:firstLineChars="200"/>
              <w:jc w:val="center"/>
              <w:rPr>
                <w:rFonts w:ascii="Times New Roman" w:hAnsi="Times New Roman" w:eastAsia="宋体" w:cs="Times New Roman"/>
                <w:highlight w:val="none"/>
              </w:rPr>
            </w:pPr>
            <w:r>
              <w:rPr>
                <w:rFonts w:ascii="Times New Roman" w:hAnsi="Times New Roman" w:eastAsia="宋体" w:cs="Times New Roman"/>
                <w:b/>
                <w:sz w:val="21"/>
                <w:szCs w:val="21"/>
                <w:highlight w:val="none"/>
              </w:rPr>
              <w:t>表3-</w:t>
            </w:r>
            <w:r>
              <w:rPr>
                <w:rFonts w:hint="eastAsia" w:ascii="Times New Roman" w:hAnsi="Times New Roman" w:eastAsia="宋体" w:cs="Times New Roman"/>
                <w:b/>
                <w:sz w:val="21"/>
                <w:szCs w:val="21"/>
                <w:highlight w:val="none"/>
                <w:lang w:val="en-US" w:eastAsia="zh-CN"/>
              </w:rPr>
              <w:t>10</w:t>
            </w:r>
            <w:r>
              <w:rPr>
                <w:rFonts w:hint="eastAsia" w:ascii="Times New Roman" w:hAnsi="Times New Roman" w:eastAsia="宋体" w:cs="Times New Roman"/>
                <w:b/>
                <w:sz w:val="21"/>
                <w:szCs w:val="21"/>
                <w:highlight w:val="none"/>
              </w:rPr>
              <w:t xml:space="preserve"> </w:t>
            </w:r>
            <w:r>
              <w:rPr>
                <w:rFonts w:ascii="Times New Roman" w:hAnsi="Times New Roman" w:eastAsia="宋体" w:cs="Times New Roman"/>
                <w:b/>
                <w:sz w:val="21"/>
                <w:szCs w:val="21"/>
                <w:highlight w:val="none"/>
              </w:rPr>
              <w:t xml:space="preserve"> 项目主要环境保护目标一览表</w:t>
            </w:r>
          </w:p>
          <w:tbl>
            <w:tblPr>
              <w:tblStyle w:val="38"/>
              <w:tblW w:w="79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1"/>
              <w:gridCol w:w="531"/>
              <w:gridCol w:w="901"/>
              <w:gridCol w:w="777"/>
              <w:gridCol w:w="491"/>
              <w:gridCol w:w="939"/>
              <w:gridCol w:w="1256"/>
              <w:gridCol w:w="1056"/>
              <w:gridCol w:w="12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741"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环境要素</w:t>
                  </w:r>
                </w:p>
              </w:tc>
              <w:tc>
                <w:tcPr>
                  <w:tcW w:w="531"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678" w:type="dxa"/>
                  <w:gridSpan w:val="2"/>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坐标</w:t>
                  </w:r>
                </w:p>
              </w:tc>
              <w:tc>
                <w:tcPr>
                  <w:tcW w:w="491"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保护对象</w:t>
                  </w:r>
                </w:p>
              </w:tc>
              <w:tc>
                <w:tcPr>
                  <w:tcW w:w="939"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保护内容</w:t>
                  </w:r>
                </w:p>
              </w:tc>
              <w:tc>
                <w:tcPr>
                  <w:tcW w:w="1256"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环境功能区划</w:t>
                  </w:r>
                </w:p>
              </w:tc>
              <w:tc>
                <w:tcPr>
                  <w:tcW w:w="1056"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相对厂址方位</w:t>
                  </w:r>
                </w:p>
              </w:tc>
              <w:tc>
                <w:tcPr>
                  <w:tcW w:w="1287"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63" w:hRule="atLeast"/>
                <w:jc w:val="center"/>
              </w:trPr>
              <w:tc>
                <w:tcPr>
                  <w:tcW w:w="741"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531"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901"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X</w:t>
                  </w:r>
                </w:p>
              </w:tc>
              <w:tc>
                <w:tcPr>
                  <w:tcW w:w="777"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Y</w:t>
                  </w:r>
                </w:p>
              </w:tc>
              <w:tc>
                <w:tcPr>
                  <w:tcW w:w="491"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939"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1256"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1056"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1287" w:type="dxa"/>
                  <w:vMerge w:val="continue"/>
                  <w:noWrap w:val="0"/>
                  <w:vAlign w:val="center"/>
                </w:tcPr>
                <w:p>
                  <w:pPr>
                    <w:pStyle w:val="46"/>
                    <w:ind w:firstLine="0" w:firstLineChars="0"/>
                    <w:jc w:val="center"/>
                    <w:rPr>
                      <w:rFonts w:ascii="Times New Roman" w:hAnsi="Times New Roman" w:eastAsia="宋体" w:cs="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41" w:type="dxa"/>
                  <w:vMerge w:val="restart"/>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大气环境</w:t>
                  </w:r>
                </w:p>
              </w:tc>
              <w:tc>
                <w:tcPr>
                  <w:tcW w:w="531" w:type="dxa"/>
                  <w:vMerge w:val="restart"/>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01"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103.779977</w:t>
                  </w:r>
                </w:p>
              </w:tc>
              <w:tc>
                <w:tcPr>
                  <w:tcW w:w="777"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29.597404</w:t>
                  </w:r>
                </w:p>
              </w:tc>
              <w:tc>
                <w:tcPr>
                  <w:tcW w:w="49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39"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150</w:t>
                  </w:r>
                  <w:r>
                    <w:rPr>
                      <w:rFonts w:hint="eastAsia" w:ascii="Times New Roman" w:hAnsi="Times New Roman" w:eastAsia="宋体" w:cs="Times New Roman"/>
                      <w:szCs w:val="21"/>
                    </w:rPr>
                    <w:t>人</w:t>
                  </w:r>
                </w:p>
              </w:tc>
              <w:tc>
                <w:tcPr>
                  <w:tcW w:w="1256" w:type="dxa"/>
                  <w:vMerge w:val="restart"/>
                  <w:noWrap w:val="0"/>
                  <w:vAlign w:val="center"/>
                </w:tcPr>
                <w:p>
                  <w:pPr>
                    <w:pStyle w:val="46"/>
                    <w:ind w:firstLine="0" w:firstLineChars="0"/>
                    <w:jc w:val="center"/>
                    <w:rPr>
                      <w:rFonts w:ascii="Times New Roman" w:hAnsi="Times New Roman" w:eastAsia="宋体"/>
                      <w:kern w:val="2"/>
                      <w:szCs w:val="21"/>
                    </w:rPr>
                  </w:pPr>
                  <w:r>
                    <w:rPr>
                      <w:rFonts w:ascii="Times New Roman" w:hAnsi="Times New Roman" w:eastAsia="宋体"/>
                      <w:szCs w:val="21"/>
                      <w:lang w:bidi="ar"/>
                    </w:rPr>
                    <w:t>《环境空气质量标准》（GB3095-2012）</w:t>
                  </w:r>
                  <w:r>
                    <w:rPr>
                      <w:rFonts w:hint="eastAsia" w:ascii="Times New Roman" w:hAnsi="Times New Roman" w:eastAsia="宋体"/>
                      <w:szCs w:val="21"/>
                      <w:lang w:bidi="ar"/>
                    </w:rPr>
                    <w:t>二</w:t>
                  </w:r>
                  <w:r>
                    <w:rPr>
                      <w:rFonts w:ascii="Times New Roman" w:hAnsi="Times New Roman" w:eastAsia="宋体"/>
                      <w:szCs w:val="21"/>
                      <w:lang w:bidi="ar"/>
                    </w:rPr>
                    <w:t>级标准</w:t>
                  </w:r>
                </w:p>
              </w:tc>
              <w:tc>
                <w:tcPr>
                  <w:tcW w:w="1056"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东</w:t>
                  </w:r>
                  <w:r>
                    <w:rPr>
                      <w:rFonts w:hint="eastAsia" w:ascii="Times New Roman" w:hAnsi="Times New Roman" w:eastAsia="宋体" w:cs="Times New Roman"/>
                      <w:szCs w:val="21"/>
                    </w:rPr>
                    <w:t>北侧</w:t>
                  </w:r>
                </w:p>
              </w:tc>
              <w:tc>
                <w:tcPr>
                  <w:tcW w:w="1287" w:type="dxa"/>
                  <w:noWrap w:val="0"/>
                  <w:vAlign w:val="center"/>
                </w:tcPr>
                <w:p>
                  <w:pPr>
                    <w:pStyle w:val="46"/>
                    <w:ind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ascii="Times New Roman" w:hAnsi="Times New Roman" w:eastAsia="宋体" w:cs="Times New Roman"/>
                      <w:szCs w:val="21"/>
                    </w:rPr>
                    <w:t>2m~500m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41" w:type="dxa"/>
                  <w:vMerge w:val="continue"/>
                  <w:noWrap w:val="0"/>
                  <w:vAlign w:val="center"/>
                </w:tcPr>
                <w:p>
                  <w:pPr>
                    <w:jc w:val="center"/>
                    <w:rPr>
                      <w:rFonts w:ascii="Times New Roman" w:hAnsi="Times New Roman" w:eastAsia="宋体" w:cs="Times New Roman"/>
                    </w:rPr>
                  </w:pPr>
                </w:p>
              </w:tc>
              <w:tc>
                <w:tcPr>
                  <w:tcW w:w="531" w:type="dxa"/>
                  <w:vMerge w:val="continue"/>
                  <w:noWrap w:val="0"/>
                  <w:vAlign w:val="center"/>
                </w:tcPr>
                <w:p>
                  <w:pPr>
                    <w:jc w:val="center"/>
                    <w:rPr>
                      <w:rFonts w:ascii="Times New Roman" w:hAnsi="Times New Roman" w:eastAsia="宋体" w:cs="Times New Roman"/>
                    </w:rPr>
                  </w:pP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103.780589</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29.594008</w:t>
                  </w:r>
                </w:p>
              </w:tc>
              <w:tc>
                <w:tcPr>
                  <w:tcW w:w="49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3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45</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135</w:t>
                  </w:r>
                  <w:r>
                    <w:rPr>
                      <w:rFonts w:hint="eastAsia" w:ascii="Times New Roman" w:hAnsi="Times New Roman" w:eastAsia="宋体" w:cs="Times New Roman"/>
                      <w:szCs w:val="21"/>
                    </w:rPr>
                    <w:t>人</w:t>
                  </w:r>
                </w:p>
              </w:tc>
              <w:tc>
                <w:tcPr>
                  <w:tcW w:w="1256" w:type="dxa"/>
                  <w:vMerge w:val="continue"/>
                  <w:noWrap w:val="0"/>
                  <w:vAlign w:val="center"/>
                </w:tcPr>
                <w:p>
                  <w:pPr>
                    <w:jc w:val="center"/>
                    <w:rPr>
                      <w:rFonts w:hint="eastAsia" w:ascii="Times New Roman" w:hAnsi="Times New Roman" w:eastAsia="宋体" w:cs="Times New Roman"/>
                      <w:szCs w:val="21"/>
                    </w:rPr>
                  </w:pPr>
                </w:p>
              </w:tc>
              <w:tc>
                <w:tcPr>
                  <w:tcW w:w="1056"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东</w:t>
                  </w:r>
                  <w:r>
                    <w:rPr>
                      <w:rFonts w:hint="eastAsia" w:ascii="Times New Roman" w:hAnsi="Times New Roman" w:eastAsia="宋体" w:cs="Times New Roman"/>
                      <w:szCs w:val="21"/>
                    </w:rPr>
                    <w:t>侧</w:t>
                  </w:r>
                </w:p>
              </w:tc>
              <w:tc>
                <w:tcPr>
                  <w:tcW w:w="12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41" w:type="dxa"/>
                  <w:vMerge w:val="continue"/>
                  <w:noWrap w:val="0"/>
                  <w:vAlign w:val="center"/>
                </w:tcPr>
                <w:p>
                  <w:pPr>
                    <w:jc w:val="center"/>
                    <w:rPr>
                      <w:rFonts w:hint="eastAsia" w:ascii="Times New Roman" w:hAnsi="Times New Roman" w:eastAsia="宋体" w:cs="Times New Roman"/>
                      <w:szCs w:val="21"/>
                    </w:rPr>
                  </w:pPr>
                </w:p>
              </w:tc>
              <w:tc>
                <w:tcPr>
                  <w:tcW w:w="531" w:type="dxa"/>
                  <w:vMerge w:val="continue"/>
                  <w:noWrap w:val="0"/>
                  <w:vAlign w:val="center"/>
                </w:tcPr>
                <w:p>
                  <w:pPr>
                    <w:jc w:val="center"/>
                    <w:rPr>
                      <w:rFonts w:hint="eastAsia" w:ascii="Times New Roman" w:hAnsi="Times New Roman" w:eastAsia="宋体" w:cs="Times New Roman"/>
                      <w:szCs w:val="21"/>
                    </w:rPr>
                  </w:pP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103.780127</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29.592838</w:t>
                  </w:r>
                </w:p>
              </w:tc>
              <w:tc>
                <w:tcPr>
                  <w:tcW w:w="49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3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人</w:t>
                  </w:r>
                </w:p>
              </w:tc>
              <w:tc>
                <w:tcPr>
                  <w:tcW w:w="1256" w:type="dxa"/>
                  <w:vMerge w:val="continue"/>
                  <w:noWrap w:val="0"/>
                  <w:vAlign w:val="center"/>
                </w:tcPr>
                <w:p>
                  <w:pPr>
                    <w:jc w:val="center"/>
                    <w:rPr>
                      <w:rFonts w:hint="eastAsia" w:ascii="Times New Roman" w:hAnsi="Times New Roman" w:eastAsia="宋体" w:cs="Times New Roman"/>
                      <w:szCs w:val="21"/>
                    </w:rPr>
                  </w:pPr>
                </w:p>
              </w:tc>
              <w:tc>
                <w:tcPr>
                  <w:tcW w:w="1056"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w:t>
                  </w:r>
                  <w:r>
                    <w:rPr>
                      <w:rFonts w:hint="eastAsia" w:ascii="Times New Roman" w:hAnsi="Times New Roman" w:eastAsia="宋体" w:cs="Times New Roman"/>
                      <w:szCs w:val="21"/>
                      <w:lang w:val="en-US" w:eastAsia="zh-CN"/>
                    </w:rPr>
                    <w:t>南</w:t>
                  </w:r>
                  <w:r>
                    <w:rPr>
                      <w:rFonts w:hint="eastAsia" w:ascii="Times New Roman" w:hAnsi="Times New Roman" w:eastAsia="宋体" w:cs="Times New Roman"/>
                      <w:szCs w:val="21"/>
                    </w:rPr>
                    <w:t>侧</w:t>
                  </w:r>
                </w:p>
              </w:tc>
              <w:tc>
                <w:tcPr>
                  <w:tcW w:w="12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75</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41" w:type="dxa"/>
                  <w:vMerge w:val="continue"/>
                  <w:noWrap w:val="0"/>
                  <w:vAlign w:val="center"/>
                </w:tcPr>
                <w:p>
                  <w:pPr>
                    <w:jc w:val="center"/>
                    <w:rPr>
                      <w:rFonts w:hint="eastAsia" w:ascii="Times New Roman" w:hAnsi="Times New Roman" w:eastAsia="宋体" w:cs="Times New Roman"/>
                      <w:szCs w:val="21"/>
                    </w:rPr>
                  </w:pPr>
                </w:p>
              </w:tc>
              <w:tc>
                <w:tcPr>
                  <w:tcW w:w="531" w:type="dxa"/>
                  <w:vMerge w:val="continue"/>
                  <w:noWrap w:val="0"/>
                  <w:vAlign w:val="center"/>
                </w:tcPr>
                <w:p>
                  <w:pPr>
                    <w:jc w:val="center"/>
                    <w:rPr>
                      <w:rFonts w:hint="eastAsia" w:ascii="Times New Roman" w:hAnsi="Times New Roman" w:eastAsia="宋体" w:cs="Times New Roman"/>
                      <w:szCs w:val="21"/>
                    </w:rPr>
                  </w:pP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103.778051</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29.591685</w:t>
                  </w:r>
                </w:p>
              </w:tc>
              <w:tc>
                <w:tcPr>
                  <w:tcW w:w="49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3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16</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48</w:t>
                  </w:r>
                  <w:r>
                    <w:rPr>
                      <w:rFonts w:hint="eastAsia" w:ascii="Times New Roman" w:hAnsi="Times New Roman" w:eastAsia="宋体" w:cs="Times New Roman"/>
                      <w:szCs w:val="21"/>
                    </w:rPr>
                    <w:t>人</w:t>
                  </w:r>
                </w:p>
              </w:tc>
              <w:tc>
                <w:tcPr>
                  <w:tcW w:w="1256" w:type="dxa"/>
                  <w:vMerge w:val="continue"/>
                  <w:noWrap w:val="0"/>
                  <w:vAlign w:val="center"/>
                </w:tcPr>
                <w:p>
                  <w:pPr>
                    <w:jc w:val="center"/>
                    <w:rPr>
                      <w:rFonts w:hint="eastAsia" w:ascii="Times New Roman" w:hAnsi="Times New Roman" w:eastAsia="宋体" w:cs="Times New Roman"/>
                      <w:szCs w:val="21"/>
                    </w:rPr>
                  </w:pPr>
                </w:p>
              </w:tc>
              <w:tc>
                <w:tcPr>
                  <w:tcW w:w="1056"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南侧</w:t>
                  </w:r>
                </w:p>
              </w:tc>
              <w:tc>
                <w:tcPr>
                  <w:tcW w:w="12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56</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41" w:type="dxa"/>
                  <w:vMerge w:val="continue"/>
                  <w:noWrap w:val="0"/>
                  <w:vAlign w:val="center"/>
                </w:tcPr>
                <w:p>
                  <w:pPr>
                    <w:jc w:val="center"/>
                    <w:rPr>
                      <w:rFonts w:hint="eastAsia" w:ascii="Times New Roman" w:hAnsi="Times New Roman" w:eastAsia="宋体" w:cs="Times New Roman"/>
                      <w:szCs w:val="21"/>
                    </w:rPr>
                  </w:pPr>
                </w:p>
              </w:tc>
              <w:tc>
                <w:tcPr>
                  <w:tcW w:w="531" w:type="dxa"/>
                  <w:vMerge w:val="continue"/>
                  <w:noWrap w:val="0"/>
                  <w:vAlign w:val="center"/>
                </w:tcPr>
                <w:p>
                  <w:pPr>
                    <w:jc w:val="center"/>
                    <w:rPr>
                      <w:rFonts w:hint="eastAsia" w:ascii="Times New Roman" w:hAnsi="Times New Roman" w:eastAsia="宋体" w:cs="Times New Roman"/>
                      <w:szCs w:val="21"/>
                    </w:rPr>
                  </w:pP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103.777198</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29.591470</w:t>
                  </w:r>
                </w:p>
              </w:tc>
              <w:tc>
                <w:tcPr>
                  <w:tcW w:w="49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93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10户，30人</w:t>
                  </w:r>
                </w:p>
              </w:tc>
              <w:tc>
                <w:tcPr>
                  <w:tcW w:w="1256" w:type="dxa"/>
                  <w:vMerge w:val="continue"/>
                  <w:noWrap w:val="0"/>
                  <w:vAlign w:val="center"/>
                </w:tcPr>
                <w:p>
                  <w:pPr>
                    <w:jc w:val="center"/>
                    <w:rPr>
                      <w:rFonts w:hint="eastAsia" w:ascii="Times New Roman" w:hAnsi="Times New Roman" w:eastAsia="宋体" w:cs="Times New Roman"/>
                      <w:szCs w:val="21"/>
                    </w:rPr>
                  </w:pPr>
                </w:p>
              </w:tc>
              <w:tc>
                <w:tcPr>
                  <w:tcW w:w="1056"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西南侧</w:t>
                  </w:r>
                </w:p>
              </w:tc>
              <w:tc>
                <w:tcPr>
                  <w:tcW w:w="1287"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12</w:t>
                  </w:r>
                  <w:r>
                    <w:rPr>
                      <w:rFonts w:hint="eastAsia" w:ascii="Times New Roman" w:hAnsi="Times New Roman" w:eastAsia="宋体" w:cs="Times New Roman"/>
                      <w:szCs w:val="21"/>
                    </w:rPr>
                    <w:t>2m~500m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741"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531" w:type="dxa"/>
                  <w:vMerge w:val="continue"/>
                  <w:noWrap w:val="0"/>
                  <w:vAlign w:val="center"/>
                </w:tcPr>
                <w:p>
                  <w:pPr>
                    <w:pStyle w:val="46"/>
                    <w:ind w:firstLine="0" w:firstLineChars="0"/>
                    <w:jc w:val="center"/>
                    <w:rPr>
                      <w:rFonts w:hint="eastAsia" w:ascii="Times New Roman" w:hAnsi="Times New Roman" w:eastAsia="宋体" w:cs="Times New Roman"/>
                      <w:szCs w:val="21"/>
                      <w:lang w:val="en-US" w:eastAsia="zh-CN"/>
                    </w:rPr>
                  </w:pP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103.776243</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29.595043</w:t>
                  </w:r>
                </w:p>
              </w:tc>
              <w:tc>
                <w:tcPr>
                  <w:tcW w:w="491" w:type="dxa"/>
                  <w:noWrap w:val="0"/>
                  <w:vAlign w:val="center"/>
                </w:tcPr>
                <w:p>
                  <w:pPr>
                    <w:pStyle w:val="46"/>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居民</w:t>
                  </w:r>
                </w:p>
              </w:tc>
              <w:tc>
                <w:tcPr>
                  <w:tcW w:w="939" w:type="dxa"/>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20户，60人</w:t>
                  </w:r>
                </w:p>
              </w:tc>
              <w:tc>
                <w:tcPr>
                  <w:tcW w:w="1256" w:type="dxa"/>
                  <w:vMerge w:val="continue"/>
                  <w:noWrap w:val="0"/>
                  <w:vAlign w:val="center"/>
                </w:tcPr>
                <w:p>
                  <w:pPr>
                    <w:pStyle w:val="46"/>
                    <w:ind w:firstLine="0" w:firstLineChars="0"/>
                    <w:jc w:val="center"/>
                    <w:rPr>
                      <w:rFonts w:ascii="Times New Roman" w:hAnsi="Times New Roman" w:eastAsia="宋体"/>
                      <w:kern w:val="2"/>
                      <w:szCs w:val="21"/>
                    </w:rPr>
                  </w:pPr>
                </w:p>
              </w:tc>
              <w:tc>
                <w:tcPr>
                  <w:tcW w:w="1056"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西侧</w:t>
                  </w:r>
                </w:p>
              </w:tc>
              <w:tc>
                <w:tcPr>
                  <w:tcW w:w="1287" w:type="dxa"/>
                  <w:noWrap w:val="0"/>
                  <w:vAlign w:val="center"/>
                </w:tcPr>
                <w:p>
                  <w:pPr>
                    <w:pStyle w:val="46"/>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156</w:t>
                  </w:r>
                  <w:r>
                    <w:rPr>
                      <w:rFonts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741"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53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乐山孝老宛老年公寓</w:t>
                  </w:r>
                </w:p>
              </w:tc>
              <w:tc>
                <w:tcPr>
                  <w:tcW w:w="901"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103.774570</w:t>
                  </w:r>
                </w:p>
              </w:tc>
              <w:tc>
                <w:tcPr>
                  <w:tcW w:w="77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29.590768</w:t>
                  </w:r>
                </w:p>
              </w:tc>
              <w:tc>
                <w:tcPr>
                  <w:tcW w:w="491"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工作人员及老人</w:t>
                  </w:r>
                </w:p>
              </w:tc>
              <w:tc>
                <w:tcPr>
                  <w:tcW w:w="93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1000人</w:t>
                  </w:r>
                </w:p>
              </w:tc>
              <w:tc>
                <w:tcPr>
                  <w:tcW w:w="1256" w:type="dxa"/>
                  <w:vMerge w:val="continue"/>
                  <w:noWrap w:val="0"/>
                  <w:vAlign w:val="center"/>
                </w:tcPr>
                <w:p>
                  <w:pPr>
                    <w:pStyle w:val="46"/>
                    <w:ind w:firstLine="0" w:firstLineChars="0"/>
                    <w:jc w:val="center"/>
                    <w:rPr>
                      <w:rFonts w:ascii="Times New Roman" w:hAnsi="Times New Roman" w:eastAsia="宋体"/>
                      <w:kern w:val="2"/>
                      <w:szCs w:val="21"/>
                    </w:rPr>
                  </w:pPr>
                </w:p>
              </w:tc>
              <w:tc>
                <w:tcPr>
                  <w:tcW w:w="1056"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西南侧</w:t>
                  </w:r>
                </w:p>
              </w:tc>
              <w:tc>
                <w:tcPr>
                  <w:tcW w:w="1287"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334m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741"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53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color w:val="auto"/>
                      <w:lang w:val="en-US" w:eastAsia="zh-CN"/>
                    </w:rPr>
                    <w:t>中国石油加油站</w:t>
                  </w:r>
                </w:p>
              </w:tc>
              <w:tc>
                <w:tcPr>
                  <w:tcW w:w="90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103.778990</w:t>
                  </w:r>
                </w:p>
              </w:tc>
              <w:tc>
                <w:tcPr>
                  <w:tcW w:w="777"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29.600772</w:t>
                  </w:r>
                </w:p>
              </w:tc>
              <w:tc>
                <w:tcPr>
                  <w:tcW w:w="491"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939"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256" w:type="dxa"/>
                  <w:vMerge w:val="continue"/>
                  <w:noWrap w:val="0"/>
                  <w:vAlign w:val="center"/>
                </w:tcPr>
                <w:p>
                  <w:pPr>
                    <w:pStyle w:val="46"/>
                    <w:ind w:firstLine="0" w:firstLineChars="0"/>
                    <w:jc w:val="center"/>
                    <w:rPr>
                      <w:rFonts w:ascii="Times New Roman" w:hAnsi="Times New Roman" w:eastAsia="宋体"/>
                      <w:kern w:val="2"/>
                      <w:szCs w:val="21"/>
                    </w:rPr>
                  </w:pPr>
                </w:p>
              </w:tc>
              <w:tc>
                <w:tcPr>
                  <w:tcW w:w="1056"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北侧</w:t>
                  </w:r>
                </w:p>
              </w:tc>
              <w:tc>
                <w:tcPr>
                  <w:tcW w:w="1287"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492m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74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地表水</w:t>
                  </w:r>
                </w:p>
              </w:tc>
              <w:tc>
                <w:tcPr>
                  <w:tcW w:w="53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泥溪</w:t>
                  </w:r>
                  <w:r>
                    <w:rPr>
                      <w:rFonts w:hint="eastAsia" w:ascii="Times New Roman" w:hAnsi="Times New Roman" w:eastAsia="宋体" w:cs="Times New Roman"/>
                      <w:szCs w:val="21"/>
                    </w:rPr>
                    <w:t>河</w:t>
                  </w:r>
                </w:p>
              </w:tc>
              <w:tc>
                <w:tcPr>
                  <w:tcW w:w="901" w:type="dxa"/>
                  <w:noWrap w:val="0"/>
                  <w:vAlign w:val="center"/>
                </w:tcPr>
                <w:p>
                  <w:pPr>
                    <w:pStyle w:val="46"/>
                    <w:ind w:firstLine="0" w:firstLineChars="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103.779752</w:t>
                  </w:r>
                </w:p>
              </w:tc>
              <w:tc>
                <w:tcPr>
                  <w:tcW w:w="777" w:type="dxa"/>
                  <w:noWrap w:val="0"/>
                  <w:vAlign w:val="center"/>
                </w:tcPr>
                <w:p>
                  <w:pPr>
                    <w:pStyle w:val="46"/>
                    <w:ind w:firstLine="0" w:firstLineChars="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29.591744</w:t>
                  </w:r>
                </w:p>
              </w:tc>
              <w:tc>
                <w:tcPr>
                  <w:tcW w:w="491"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地表水</w:t>
                  </w:r>
                </w:p>
              </w:tc>
              <w:tc>
                <w:tcPr>
                  <w:tcW w:w="939"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行洪、灌溉</w:t>
                  </w:r>
                </w:p>
              </w:tc>
              <w:tc>
                <w:tcPr>
                  <w:tcW w:w="1256"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kern w:val="2"/>
                      <w:szCs w:val="21"/>
                    </w:rPr>
                    <w:t>《地表水环境质量标准》（GB3838-2002）Ⅲ类</w:t>
                  </w:r>
                </w:p>
              </w:tc>
              <w:tc>
                <w:tcPr>
                  <w:tcW w:w="1056" w:type="dxa"/>
                  <w:noWrap w:val="0"/>
                  <w:vAlign w:val="center"/>
                </w:tcPr>
                <w:p>
                  <w:pPr>
                    <w:pStyle w:val="46"/>
                    <w:ind w:firstLine="0" w:firstLineChars="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东南侧</w:t>
                  </w:r>
                </w:p>
              </w:tc>
              <w:tc>
                <w:tcPr>
                  <w:tcW w:w="1287"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24m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41" w:type="dxa"/>
                  <w:noWrap w:val="0"/>
                  <w:vAlign w:val="center"/>
                </w:tcPr>
                <w:p>
                  <w:pPr>
                    <w:adjustRightInd w:val="0"/>
                    <w:snapToGrid w:val="0"/>
                    <w:jc w:val="center"/>
                    <w:rPr>
                      <w:rFonts w:hint="eastAsia" w:ascii="Times New Roman" w:hAnsi="Times New Roman" w:eastAsia="宋体" w:cs="Times New Roman"/>
                      <w:szCs w:val="21"/>
                    </w:rPr>
                  </w:pPr>
                  <w:r>
                    <w:rPr>
                      <w:rFonts w:ascii="Times New Roman" w:hAnsi="Times New Roman" w:eastAsia="宋体" w:cs="Times New Roman"/>
                      <w:szCs w:val="21"/>
                    </w:rPr>
                    <w:t>地下水</w:t>
                  </w:r>
                </w:p>
              </w:tc>
              <w:tc>
                <w:tcPr>
                  <w:tcW w:w="7238"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《地下水质量标准》（GB/T-14848-2017）III类标准，不因本项目建设而发生变化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41" w:type="dxa"/>
                  <w:noWrap w:val="0"/>
                  <w:vAlign w:val="center"/>
                </w:tcPr>
                <w:p>
                  <w:pPr>
                    <w:adjustRightInd w:val="0"/>
                    <w:snapToGrid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土壤</w:t>
                  </w:r>
                </w:p>
              </w:tc>
              <w:tc>
                <w:tcPr>
                  <w:tcW w:w="7238"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《土壤环境质量 农用地土壤污染风险管控标准（试行）》中表 1 农用地土壤污染风险筛选值（基本项目）（其他）要求，</w:t>
                  </w:r>
                  <w:r>
                    <w:rPr>
                      <w:rFonts w:hint="default" w:ascii="Times New Roman" w:hAnsi="Times New Roman" w:eastAsia="宋体" w:cs="Times New Roman"/>
                      <w:sz w:val="21"/>
                      <w:szCs w:val="21"/>
                      <w:highlight w:val="none"/>
                      <w:lang w:val="en-US" w:eastAsia="zh-CN"/>
                    </w:rPr>
                    <w:t>不因本项目建设而发生变化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41" w:type="dxa"/>
                  <w:noWrap w:val="0"/>
                  <w:vAlign w:val="center"/>
                </w:tcPr>
                <w:p>
                  <w:pPr>
                    <w:pStyle w:val="196"/>
                    <w:widowControl w:val="0"/>
                    <w:adjustRightInd w:val="0"/>
                    <w:snapToGrid w:val="0"/>
                    <w:spacing w:before="0" w:beforeAutospacing="0" w:after="0" w:afterAutospacing="0"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w:t>
                  </w:r>
                </w:p>
              </w:tc>
              <w:tc>
                <w:tcPr>
                  <w:tcW w:w="7238"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本项目</w:t>
                  </w:r>
                  <w:r>
                    <w:rPr>
                      <w:rFonts w:hint="default" w:ascii="Times New Roman" w:hAnsi="Times New Roman" w:eastAsia="宋体" w:cs="Times New Roman"/>
                      <w:sz w:val="21"/>
                      <w:szCs w:val="21"/>
                      <w:lang w:val="en-US" w:eastAsia="zh-CN"/>
                    </w:rPr>
                    <w:t>临时</w:t>
                  </w:r>
                  <w:r>
                    <w:rPr>
                      <w:rFonts w:hint="default" w:ascii="Times New Roman" w:hAnsi="Times New Roman" w:eastAsia="宋体" w:cs="Times New Roman"/>
                      <w:sz w:val="21"/>
                      <w:szCs w:val="21"/>
                      <w:lang w:val="zh-CN" w:eastAsia="zh-CN"/>
                    </w:rPr>
                    <w:t>占地为</w:t>
                  </w:r>
                  <w:r>
                    <w:rPr>
                      <w:rFonts w:hint="default" w:ascii="Times New Roman" w:hAnsi="Times New Roman" w:eastAsia="宋体" w:cs="Times New Roman"/>
                      <w:sz w:val="21"/>
                      <w:szCs w:val="21"/>
                      <w:lang w:val="en-US" w:eastAsia="zh-CN"/>
                    </w:rPr>
                    <w:t>林地、耕地、农用地、坑塘水面，不占用基本农田。填埋工程完成后，复垦、绿化恢复</w:t>
                  </w:r>
                </w:p>
              </w:tc>
            </w:tr>
          </w:tbl>
          <w:p>
            <w:pPr>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准</w:t>
            </w:r>
          </w:p>
        </w:tc>
        <w:tc>
          <w:tcPr>
            <w:tcW w:w="8190" w:type="dxa"/>
            <w:noWrap w:val="0"/>
            <w:vAlign w:val="center"/>
          </w:tcPr>
          <w:p>
            <w:pPr>
              <w:spacing w:line="360" w:lineRule="auto"/>
              <w:ind w:firstLine="480" w:firstLineChars="200"/>
              <w:rPr>
                <w:rFonts w:ascii="Times New Roman" w:hAnsi="Times New Roman" w:eastAsia="F4" w:cs="Times New Roman"/>
                <w:kern w:val="0"/>
                <w:sz w:val="24"/>
                <w:lang w:bidi="ar"/>
              </w:rPr>
            </w:pPr>
            <w:r>
              <w:rPr>
                <w:rFonts w:ascii="Times New Roman" w:hAnsi="Times New Roman" w:eastAsia="宋体" w:cs="Times New Roman"/>
                <w:sz w:val="24"/>
              </w:rPr>
              <w:t>1、废水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rPr>
              <w:t>施工期：废水为施工人员生活污水，</w:t>
            </w:r>
            <w:r>
              <w:rPr>
                <w:rFonts w:hint="eastAsia" w:ascii="Times New Roman" w:hAnsi="Times New Roman" w:eastAsia="宋体" w:cs="Times New Roman"/>
                <w:sz w:val="24"/>
                <w:lang w:val="en-US" w:eastAsia="zh-CN"/>
              </w:rPr>
              <w:t>依托已建生活区化粪池预处理后</w:t>
            </w:r>
            <w:r>
              <w:rPr>
                <w:rFonts w:hint="eastAsia" w:ascii="Times New Roman" w:hAnsi="Times New Roman" w:eastAsia="宋体" w:cs="Times New Roman"/>
                <w:sz w:val="24"/>
              </w:rPr>
              <w:t>用于周边</w:t>
            </w:r>
            <w:r>
              <w:rPr>
                <w:rFonts w:hint="eastAsia" w:ascii="Times New Roman" w:hAnsi="Times New Roman" w:eastAsia="宋体" w:cs="Times New Roman"/>
                <w:sz w:val="24"/>
                <w:lang w:val="en-US" w:eastAsia="zh-CN"/>
              </w:rPr>
              <w:t>土</w:t>
            </w:r>
            <w:r>
              <w:rPr>
                <w:rFonts w:hint="eastAsia" w:ascii="Times New Roman" w:hAnsi="Times New Roman" w:eastAsia="宋体" w:cs="Times New Roman"/>
                <w:sz w:val="24"/>
                <w:szCs w:val="24"/>
                <w:lang w:val="en-US" w:eastAsia="zh-CN"/>
              </w:rPr>
              <w:t>地</w:t>
            </w:r>
            <w:r>
              <w:rPr>
                <w:rFonts w:hint="eastAsia" w:ascii="Times New Roman" w:hAnsi="Times New Roman" w:eastAsia="宋体" w:cs="Times New Roman"/>
                <w:sz w:val="24"/>
                <w:szCs w:val="24"/>
              </w:rPr>
              <w:t>施肥，不外排。</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运营期：</w:t>
            </w:r>
            <w:r>
              <w:rPr>
                <w:sz w:val="24"/>
                <w:szCs w:val="24"/>
              </w:rPr>
              <w:t>雨污分流，</w:t>
            </w:r>
            <w:r>
              <w:rPr>
                <w:rFonts w:hint="eastAsia" w:ascii="Times New Roman" w:eastAsia="宋体"/>
                <w:sz w:val="24"/>
                <w:szCs w:val="24"/>
                <w:lang w:val="en-US" w:eastAsia="zh-CN"/>
              </w:rPr>
              <w:t>生活区雨水经场区雨水沟导入护佛路道路雨水沟，</w:t>
            </w:r>
            <w:r>
              <w:rPr>
                <w:rFonts w:hint="eastAsia" w:ascii="Times New Roman" w:hAnsi="Times New Roman" w:eastAsia="宋体" w:cs="Times New Roman"/>
                <w:b w:val="0"/>
                <w:bCs w:val="0"/>
                <w:sz w:val="24"/>
                <w:szCs w:val="24"/>
                <w:highlight w:val="none"/>
                <w:vertAlign w:val="baseline"/>
                <w:lang w:val="en-US" w:eastAsia="zh-CN"/>
              </w:rPr>
              <w:t>填埋场两侧设置截水沟、堆放平台内侧排水沟以及渣场内部排水盲沟，雨水经排水系统作用进入沉砂池，雨水经沉淀处理后用于厂区洒水降尘</w:t>
            </w:r>
            <w:r>
              <w:rPr>
                <w:rFonts w:hint="eastAsia"/>
                <w:sz w:val="24"/>
                <w:szCs w:val="24"/>
              </w:rPr>
              <w:t>；</w:t>
            </w:r>
            <w:r>
              <w:rPr>
                <w:rFonts w:hint="eastAsia"/>
                <w:sz w:val="24"/>
                <w:szCs w:val="24"/>
                <w:lang w:val="en-US" w:eastAsia="zh-CN"/>
              </w:rPr>
              <w:t>喷雾管网用水、堆场扬尘用水、道路降尘用水全部蒸发；喷淋废水经沉淀池+絮凝剂处置后回用；洗车废水经沉淀池处置后回用；</w:t>
            </w:r>
            <w:r>
              <w:rPr>
                <w:rFonts w:hint="eastAsia"/>
                <w:sz w:val="24"/>
                <w:szCs w:val="24"/>
              </w:rPr>
              <w:t>餐饮</w:t>
            </w:r>
            <w:r>
              <w:rPr>
                <w:sz w:val="24"/>
                <w:szCs w:val="24"/>
              </w:rPr>
              <w:t>废水经隔油池</w:t>
            </w:r>
            <w:r>
              <w:rPr>
                <w:rFonts w:hint="eastAsia" w:eastAsia="宋体"/>
                <w:sz w:val="24"/>
                <w:szCs w:val="24"/>
                <w:lang w:eastAsia="zh-CN"/>
              </w:rPr>
              <w:t>（</w:t>
            </w:r>
            <w:r>
              <w:rPr>
                <w:rFonts w:hint="eastAsia" w:ascii="Times New Roman" w:eastAsia="宋体"/>
                <w:sz w:val="24"/>
                <w:szCs w:val="24"/>
                <w:lang w:val="en-US" w:eastAsia="zh-CN"/>
              </w:rPr>
              <w:t>1个，5m</w:t>
            </w:r>
            <w:r>
              <w:rPr>
                <w:rFonts w:hint="eastAsia" w:ascii="Times New Roman" w:eastAsia="宋体"/>
                <w:sz w:val="24"/>
                <w:szCs w:val="24"/>
                <w:vertAlign w:val="superscript"/>
                <w:lang w:val="en-US" w:eastAsia="zh-CN"/>
              </w:rPr>
              <w:t>3</w:t>
            </w:r>
            <w:r>
              <w:rPr>
                <w:rFonts w:hint="eastAsia" w:eastAsia="宋体"/>
                <w:sz w:val="24"/>
                <w:szCs w:val="24"/>
                <w:lang w:eastAsia="zh-CN"/>
              </w:rPr>
              <w:t>）</w:t>
            </w:r>
            <w:r>
              <w:rPr>
                <w:sz w:val="24"/>
                <w:szCs w:val="24"/>
              </w:rPr>
              <w:t>处理后与</w:t>
            </w:r>
            <w:r>
              <w:rPr>
                <w:rFonts w:hint="eastAsia"/>
                <w:sz w:val="24"/>
                <w:szCs w:val="24"/>
              </w:rPr>
              <w:t>生活污水</w:t>
            </w:r>
            <w:r>
              <w:rPr>
                <w:sz w:val="24"/>
                <w:szCs w:val="24"/>
              </w:rPr>
              <w:t>一并进入</w:t>
            </w:r>
            <w:r>
              <w:rPr>
                <w:rFonts w:hint="eastAsia" w:ascii="Times New Roman" w:eastAsia="宋体"/>
                <w:sz w:val="24"/>
                <w:szCs w:val="24"/>
                <w:lang w:val="en-US" w:eastAsia="zh-CN"/>
              </w:rPr>
              <w:t>化粪池</w:t>
            </w:r>
            <w:r>
              <w:rPr>
                <w:rFonts w:hint="eastAsia"/>
                <w:sz w:val="24"/>
                <w:szCs w:val="24"/>
              </w:rPr>
              <w:t>（1个，</w:t>
            </w:r>
            <w:r>
              <w:rPr>
                <w:rFonts w:hint="eastAsia" w:ascii="Times New Roman" w:eastAsia="宋体"/>
                <w:sz w:val="24"/>
                <w:szCs w:val="24"/>
                <w:lang w:val="en-US" w:eastAsia="zh-CN"/>
              </w:rPr>
              <w:t>1</w:t>
            </w:r>
            <w:r>
              <w:rPr>
                <w:rFonts w:hint="eastAsia"/>
                <w:sz w:val="24"/>
                <w:szCs w:val="24"/>
              </w:rPr>
              <w:t>0m</w:t>
            </w:r>
            <w:r>
              <w:rPr>
                <w:rFonts w:hint="eastAsia"/>
                <w:sz w:val="24"/>
                <w:szCs w:val="24"/>
                <w:vertAlign w:val="superscript"/>
              </w:rPr>
              <w:t>3</w:t>
            </w:r>
            <w:r>
              <w:rPr>
                <w:rFonts w:hint="eastAsia"/>
                <w:sz w:val="24"/>
                <w:szCs w:val="24"/>
              </w:rPr>
              <w:t>）</w:t>
            </w:r>
            <w:r>
              <w:rPr>
                <w:sz w:val="24"/>
                <w:szCs w:val="24"/>
              </w:rPr>
              <w:t>处理后用于</w:t>
            </w:r>
            <w:r>
              <w:rPr>
                <w:rFonts w:hint="eastAsia"/>
                <w:sz w:val="24"/>
                <w:szCs w:val="24"/>
              </w:rPr>
              <w:t>周边</w:t>
            </w:r>
            <w:r>
              <w:rPr>
                <w:rFonts w:hint="eastAsia" w:ascii="Times New Roman" w:eastAsia="宋体"/>
                <w:sz w:val="24"/>
                <w:szCs w:val="24"/>
                <w:lang w:val="en-US" w:eastAsia="zh-CN"/>
              </w:rPr>
              <w:t>土地施肥。</w:t>
            </w:r>
          </w:p>
          <w:p>
            <w:pPr>
              <w:spacing w:line="360" w:lineRule="auto"/>
              <w:ind w:firstLine="480" w:firstLineChars="200"/>
              <w:rPr>
                <w:rFonts w:ascii="Times New Roman" w:hAnsi="Times New Roman" w:eastAsia="F4" w:cs="Times New Roman"/>
                <w:kern w:val="0"/>
                <w:sz w:val="24"/>
                <w:lang w:bidi="ar"/>
              </w:rPr>
            </w:pPr>
            <w:r>
              <w:rPr>
                <w:rFonts w:hint="eastAsia" w:ascii="Times New Roman" w:hAnsi="Times New Roman" w:eastAsia="宋体" w:cs="Times New Roman"/>
                <w:sz w:val="24"/>
              </w:rPr>
              <w:t>2、废气</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施工期：主要为施工、建设产生的扬尘，项目施工期扬尘排放执行《四川省施工场地扬尘排放标准》（DB51/2682-2020）中限值要求。</w:t>
            </w:r>
          </w:p>
          <w:p>
            <w:pPr>
              <w:spacing w:line="500" w:lineRule="exact"/>
              <w:ind w:firstLine="482" w:firstLineChars="200"/>
              <w:jc w:val="center"/>
              <w:rPr>
                <w:rFonts w:ascii="Times New Roman" w:hAnsi="Times New Roman" w:eastAsia="宋体" w:cs="Times New Roman"/>
                <w:b/>
                <w:color w:val="auto"/>
                <w:kern w:val="0"/>
                <w:szCs w:val="21"/>
                <w:highlight w:val="none"/>
              </w:rPr>
            </w:pPr>
            <w:r>
              <w:rPr>
                <w:rFonts w:hint="eastAsia" w:ascii="Times New Roman" w:hAnsi="Times New Roman" w:eastAsia="宋体" w:cs="Times New Roman"/>
                <w:b/>
                <w:color w:val="auto"/>
                <w:kern w:val="0"/>
                <w:szCs w:val="21"/>
                <w:highlight w:val="none"/>
              </w:rPr>
              <w:t>表3-</w:t>
            </w:r>
            <w:r>
              <w:rPr>
                <w:rFonts w:hint="eastAsia" w:ascii="Times New Roman" w:hAnsi="Times New Roman" w:eastAsia="宋体" w:cs="Times New Roman"/>
                <w:b/>
                <w:color w:val="auto"/>
                <w:kern w:val="0"/>
                <w:szCs w:val="21"/>
                <w:highlight w:val="none"/>
                <w:lang w:val="en-US" w:eastAsia="zh-CN"/>
              </w:rPr>
              <w:t>11</w:t>
            </w:r>
            <w:r>
              <w:rPr>
                <w:rFonts w:hint="eastAsia" w:ascii="Times New Roman" w:hAnsi="Times New Roman" w:eastAsia="宋体" w:cs="Times New Roman"/>
                <w:b/>
                <w:color w:val="auto"/>
                <w:kern w:val="0"/>
                <w:szCs w:val="21"/>
                <w:highlight w:val="none"/>
              </w:rPr>
              <w:t xml:space="preserve">  《四川省施工场地扬尘排放标准》（DB51/2682-2020）排放限值</w:t>
            </w:r>
          </w:p>
          <w:tbl>
            <w:tblPr>
              <w:tblStyle w:val="39"/>
              <w:tblW w:w="486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9"/>
              <w:gridCol w:w="953"/>
              <w:gridCol w:w="1944"/>
              <w:gridCol w:w="2168"/>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08" w:type="pct"/>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监测项目</w:t>
                  </w:r>
                </w:p>
              </w:tc>
              <w:tc>
                <w:tcPr>
                  <w:tcW w:w="614" w:type="pct"/>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区域</w:t>
                  </w:r>
                </w:p>
              </w:tc>
              <w:tc>
                <w:tcPr>
                  <w:tcW w:w="1253" w:type="pct"/>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施工阶段</w:t>
                  </w:r>
                </w:p>
              </w:tc>
              <w:tc>
                <w:tcPr>
                  <w:tcW w:w="1397" w:type="pct"/>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监测点排放限值（ug/m</w:t>
                  </w:r>
                  <w:r>
                    <w:rPr>
                      <w:rFonts w:ascii="Times New Roman" w:hAnsi="Times New Roman" w:eastAsia="宋体" w:cs="Times New Roman"/>
                      <w:szCs w:val="21"/>
                      <w:highlight w:val="none"/>
                      <w:vertAlign w:val="superscript"/>
                    </w:rPr>
                    <w:t>3</w:t>
                  </w:r>
                  <w:r>
                    <w:rPr>
                      <w:rFonts w:ascii="Times New Roman" w:hAnsi="Times New Roman" w:eastAsia="宋体" w:cs="Times New Roman"/>
                      <w:szCs w:val="21"/>
                      <w:highlight w:val="none"/>
                    </w:rPr>
                    <w:t>）</w:t>
                  </w:r>
                </w:p>
              </w:tc>
              <w:tc>
                <w:tcPr>
                  <w:tcW w:w="825" w:type="pct"/>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08" w:type="pct"/>
                  <w:vMerge w:val="restar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总悬浮颗粒物（TSP）</w:t>
                  </w:r>
                </w:p>
              </w:tc>
              <w:tc>
                <w:tcPr>
                  <w:tcW w:w="614" w:type="pct"/>
                  <w:vMerge w:val="restart"/>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乐山市</w:t>
                  </w:r>
                </w:p>
              </w:tc>
              <w:tc>
                <w:tcPr>
                  <w:tcW w:w="1253"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拆除工程/土方开挖/土方回填阶段</w:t>
                  </w:r>
                </w:p>
              </w:tc>
              <w:tc>
                <w:tcPr>
                  <w:tcW w:w="1397"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600</w:t>
                  </w:r>
                </w:p>
              </w:tc>
              <w:tc>
                <w:tcPr>
                  <w:tcW w:w="825" w:type="pct"/>
                  <w:vMerge w:val="restar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自监测起持续15分钟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908" w:type="pct"/>
                  <w:vMerge w:val="continue"/>
                  <w:noWrap w:val="0"/>
                  <w:vAlign w:val="center"/>
                </w:tcPr>
                <w:p>
                  <w:pPr>
                    <w:jc w:val="center"/>
                    <w:rPr>
                      <w:rFonts w:ascii="Times New Roman" w:hAnsi="Times New Roman" w:eastAsia="宋体" w:cs="Times New Roman"/>
                      <w:szCs w:val="21"/>
                    </w:rPr>
                  </w:pPr>
                </w:p>
              </w:tc>
              <w:tc>
                <w:tcPr>
                  <w:tcW w:w="614" w:type="pct"/>
                  <w:vMerge w:val="continue"/>
                  <w:noWrap w:val="0"/>
                  <w:vAlign w:val="center"/>
                </w:tcPr>
                <w:p>
                  <w:pPr>
                    <w:jc w:val="center"/>
                    <w:rPr>
                      <w:rFonts w:ascii="Times New Roman" w:hAnsi="Times New Roman" w:eastAsia="宋体" w:cs="Times New Roman"/>
                      <w:szCs w:val="21"/>
                    </w:rPr>
                  </w:pPr>
                </w:p>
              </w:tc>
              <w:tc>
                <w:tcPr>
                  <w:tcW w:w="1253"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其他工程</w:t>
                  </w:r>
                </w:p>
              </w:tc>
              <w:tc>
                <w:tcPr>
                  <w:tcW w:w="1397"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50</w:t>
                  </w:r>
                </w:p>
              </w:tc>
              <w:tc>
                <w:tcPr>
                  <w:tcW w:w="825" w:type="pct"/>
                  <w:vMerge w:val="continue"/>
                  <w:noWrap w:val="0"/>
                  <w:vAlign w:val="center"/>
                </w:tcPr>
                <w:p>
                  <w:pPr>
                    <w:jc w:val="center"/>
                    <w:rPr>
                      <w:rFonts w:ascii="Times New Roman" w:hAnsi="Times New Roman" w:eastAsia="宋体" w:cs="Times New Roman"/>
                      <w:szCs w:val="21"/>
                    </w:rPr>
                  </w:pPr>
                </w:p>
              </w:tc>
            </w:tr>
          </w:tbl>
          <w:p>
            <w:pPr>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lang w:val="en-US" w:eastAsia="zh-CN"/>
              </w:rPr>
              <w:t>运营期：</w:t>
            </w:r>
            <w:r>
              <w:rPr>
                <w:rFonts w:hint="eastAsia"/>
                <w:sz w:val="24"/>
                <w:lang w:val="en-US" w:eastAsia="zh-CN"/>
              </w:rPr>
              <w:t>无组织粉尘执行</w:t>
            </w:r>
            <w:r>
              <w:rPr>
                <w:rFonts w:hint="eastAsia"/>
                <w:sz w:val="24"/>
              </w:rPr>
              <w:t>《大气污染物综合排放标准》（GB16297-1996）中表2 新污染源</w:t>
            </w:r>
            <w:r>
              <w:rPr>
                <w:rFonts w:hint="eastAsia"/>
                <w:sz w:val="24"/>
                <w:lang w:val="en-US" w:eastAsia="zh-CN"/>
              </w:rPr>
              <w:t>无</w:t>
            </w:r>
            <w:r>
              <w:rPr>
                <w:rFonts w:hint="eastAsia"/>
                <w:sz w:val="24"/>
              </w:rPr>
              <w:t>组织排放限值标</w:t>
            </w:r>
            <w:r>
              <w:rPr>
                <w:rFonts w:hint="eastAsia"/>
                <w:sz w:val="24"/>
                <w:highlight w:val="none"/>
              </w:rPr>
              <w:t>准</w:t>
            </w:r>
            <w:r>
              <w:rPr>
                <w:rFonts w:hint="eastAsia"/>
                <w:sz w:val="24"/>
                <w:highlight w:val="none"/>
                <w:lang w:eastAsia="zh-CN"/>
              </w:rPr>
              <w:t>。</w:t>
            </w:r>
          </w:p>
          <w:p>
            <w:pPr>
              <w:spacing w:line="360" w:lineRule="auto"/>
              <w:jc w:val="center"/>
              <w:rPr>
                <w:b/>
                <w:bCs/>
                <w:szCs w:val="21"/>
                <w:highlight w:val="none"/>
              </w:rPr>
            </w:pPr>
            <w:r>
              <w:rPr>
                <w:rFonts w:hint="eastAsia"/>
                <w:b/>
                <w:bCs/>
                <w:szCs w:val="21"/>
                <w:highlight w:val="none"/>
              </w:rPr>
              <w:t>表3-</w:t>
            </w:r>
            <w:r>
              <w:rPr>
                <w:rFonts w:hint="eastAsia"/>
                <w:b/>
                <w:bCs/>
                <w:szCs w:val="21"/>
                <w:highlight w:val="none"/>
                <w:lang w:val="en-US" w:eastAsia="zh-CN"/>
              </w:rPr>
              <w:t>12</w:t>
            </w:r>
            <w:r>
              <w:rPr>
                <w:rFonts w:hint="eastAsia"/>
                <w:b/>
                <w:bCs/>
                <w:szCs w:val="21"/>
                <w:highlight w:val="none"/>
              </w:rPr>
              <w:t xml:space="preserve">  大气污染物综合排放标准</w:t>
            </w:r>
          </w:p>
          <w:tbl>
            <w:tblPr>
              <w:tblStyle w:val="38"/>
              <w:tblW w:w="491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1126"/>
              <w:gridCol w:w="1751"/>
              <w:gridCol w:w="3132"/>
              <w:gridCol w:w="180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64" w:hRule="atLeast"/>
                <w:jc w:val="center"/>
              </w:trPr>
              <w:tc>
                <w:tcPr>
                  <w:tcW w:w="720" w:type="pct"/>
                  <w:tcBorders>
                    <w:tl2br w:val="nil"/>
                    <w:tr2bl w:val="nil"/>
                  </w:tcBorders>
                  <w:noWrap w:val="0"/>
                  <w:vAlign w:val="center"/>
                </w:tcPr>
                <w:p>
                  <w:pPr>
                    <w:spacing w:line="360" w:lineRule="auto"/>
                    <w:ind w:right="41" w:rightChars="17"/>
                    <w:jc w:val="center"/>
                    <w:rPr>
                      <w:b/>
                      <w:bCs/>
                      <w:spacing w:val="6"/>
                      <w:szCs w:val="21"/>
                    </w:rPr>
                  </w:pPr>
                  <w:r>
                    <w:rPr>
                      <w:rFonts w:hint="eastAsia"/>
                      <w:b/>
                      <w:bCs/>
                      <w:spacing w:val="6"/>
                      <w:szCs w:val="21"/>
                    </w:rPr>
                    <w:t>污染物</w:t>
                  </w:r>
                </w:p>
              </w:tc>
              <w:tc>
                <w:tcPr>
                  <w:tcW w:w="1120" w:type="pct"/>
                  <w:tcBorders>
                    <w:tl2br w:val="nil"/>
                    <w:tr2bl w:val="nil"/>
                  </w:tcBorders>
                  <w:noWrap w:val="0"/>
                  <w:vAlign w:val="center"/>
                </w:tcPr>
                <w:p>
                  <w:pPr>
                    <w:spacing w:line="360" w:lineRule="auto"/>
                    <w:ind w:right="41" w:rightChars="17"/>
                    <w:jc w:val="center"/>
                    <w:rPr>
                      <w:b/>
                      <w:bCs/>
                      <w:spacing w:val="6"/>
                      <w:szCs w:val="21"/>
                    </w:rPr>
                  </w:pPr>
                  <w:r>
                    <w:rPr>
                      <w:rFonts w:hint="eastAsia"/>
                      <w:b/>
                      <w:bCs/>
                      <w:spacing w:val="6"/>
                      <w:szCs w:val="21"/>
                    </w:rPr>
                    <w:t>浓度限值</w:t>
                  </w:r>
                </w:p>
              </w:tc>
              <w:tc>
                <w:tcPr>
                  <w:tcW w:w="2003" w:type="pct"/>
                  <w:tcBorders>
                    <w:tl2br w:val="nil"/>
                    <w:tr2bl w:val="nil"/>
                  </w:tcBorders>
                  <w:noWrap w:val="0"/>
                  <w:vAlign w:val="center"/>
                </w:tcPr>
                <w:p>
                  <w:pPr>
                    <w:spacing w:line="360" w:lineRule="auto"/>
                    <w:ind w:right="41" w:rightChars="17"/>
                    <w:jc w:val="center"/>
                    <w:rPr>
                      <w:b/>
                      <w:bCs/>
                      <w:spacing w:val="6"/>
                      <w:szCs w:val="21"/>
                    </w:rPr>
                  </w:pPr>
                  <w:r>
                    <w:rPr>
                      <w:rFonts w:hint="eastAsia"/>
                      <w:b/>
                      <w:bCs/>
                      <w:spacing w:val="6"/>
                      <w:szCs w:val="21"/>
                    </w:rPr>
                    <w:t>执行标准</w:t>
                  </w:r>
                </w:p>
              </w:tc>
              <w:tc>
                <w:tcPr>
                  <w:tcW w:w="1155" w:type="pct"/>
                  <w:tcBorders>
                    <w:tl2br w:val="nil"/>
                    <w:tr2bl w:val="nil"/>
                  </w:tcBorders>
                  <w:noWrap w:val="0"/>
                  <w:vAlign w:val="center"/>
                </w:tcPr>
                <w:p>
                  <w:pPr>
                    <w:spacing w:line="360" w:lineRule="auto"/>
                    <w:ind w:right="41" w:rightChars="17"/>
                    <w:jc w:val="center"/>
                    <w:rPr>
                      <w:b/>
                      <w:bCs/>
                      <w:spacing w:val="6"/>
                      <w:szCs w:val="21"/>
                    </w:rPr>
                  </w:pPr>
                  <w:r>
                    <w:rPr>
                      <w:rFonts w:hint="eastAsia"/>
                      <w:b/>
                      <w:bCs/>
                      <w:spacing w:val="6"/>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6" w:hRule="atLeast"/>
                <w:jc w:val="center"/>
              </w:trPr>
              <w:tc>
                <w:tcPr>
                  <w:tcW w:w="720" w:type="pct"/>
                  <w:tcBorders>
                    <w:tl2br w:val="nil"/>
                    <w:tr2bl w:val="nil"/>
                  </w:tcBorders>
                  <w:noWrap w:val="0"/>
                  <w:vAlign w:val="center"/>
                </w:tcPr>
                <w:p>
                  <w:pPr>
                    <w:spacing w:line="360" w:lineRule="auto"/>
                    <w:ind w:right="41" w:rightChars="17"/>
                    <w:jc w:val="center"/>
                    <w:rPr>
                      <w:spacing w:val="6"/>
                      <w:szCs w:val="21"/>
                    </w:rPr>
                  </w:pPr>
                  <w:r>
                    <w:rPr>
                      <w:rFonts w:hint="eastAsia"/>
                      <w:spacing w:val="6"/>
                      <w:szCs w:val="21"/>
                    </w:rPr>
                    <w:t>颗粒物</w:t>
                  </w:r>
                </w:p>
              </w:tc>
              <w:tc>
                <w:tcPr>
                  <w:tcW w:w="1120" w:type="pct"/>
                  <w:tcBorders>
                    <w:tl2br w:val="nil"/>
                    <w:tr2bl w:val="nil"/>
                  </w:tcBorders>
                  <w:noWrap w:val="0"/>
                  <w:vAlign w:val="center"/>
                </w:tcPr>
                <w:p>
                  <w:pPr>
                    <w:spacing w:line="360" w:lineRule="auto"/>
                    <w:ind w:right="41" w:rightChars="17"/>
                    <w:jc w:val="center"/>
                    <w:rPr>
                      <w:spacing w:val="6"/>
                      <w:szCs w:val="21"/>
                    </w:rPr>
                  </w:pPr>
                  <w:r>
                    <w:rPr>
                      <w:rFonts w:hint="eastAsia"/>
                      <w:spacing w:val="6"/>
                      <w:szCs w:val="21"/>
                    </w:rPr>
                    <w:t>1.0mg/m</w:t>
                  </w:r>
                  <w:r>
                    <w:rPr>
                      <w:rFonts w:hint="eastAsia"/>
                      <w:spacing w:val="6"/>
                      <w:szCs w:val="21"/>
                      <w:vertAlign w:val="superscript"/>
                    </w:rPr>
                    <w:t>3</w:t>
                  </w:r>
                </w:p>
              </w:tc>
              <w:tc>
                <w:tcPr>
                  <w:tcW w:w="2003" w:type="pct"/>
                  <w:tcBorders>
                    <w:tl2br w:val="nil"/>
                    <w:tr2bl w:val="nil"/>
                  </w:tcBorders>
                  <w:noWrap w:val="0"/>
                  <w:vAlign w:val="center"/>
                </w:tcPr>
                <w:p>
                  <w:pPr>
                    <w:spacing w:line="360" w:lineRule="auto"/>
                    <w:ind w:right="41" w:rightChars="17"/>
                    <w:jc w:val="center"/>
                    <w:rPr>
                      <w:spacing w:val="6"/>
                      <w:szCs w:val="21"/>
                    </w:rPr>
                  </w:pPr>
                  <w:r>
                    <w:rPr>
                      <w:spacing w:val="6"/>
                      <w:szCs w:val="21"/>
                    </w:rPr>
                    <w:t>《大气污染物综合排放标</w:t>
                  </w:r>
                  <w:r>
                    <w:rPr>
                      <w:rFonts w:hint="eastAsia"/>
                      <w:spacing w:val="6"/>
                      <w:szCs w:val="21"/>
                    </w:rPr>
                    <w:t>准</w:t>
                  </w:r>
                  <w:r>
                    <w:rPr>
                      <w:spacing w:val="6"/>
                      <w:szCs w:val="21"/>
                    </w:rPr>
                    <w:t>》（GB16297-1996）中</w:t>
                  </w:r>
                  <w:r>
                    <w:rPr>
                      <w:rFonts w:hint="eastAsia"/>
                      <w:spacing w:val="6"/>
                      <w:szCs w:val="21"/>
                    </w:rPr>
                    <w:t>表2</w:t>
                  </w:r>
                </w:p>
              </w:tc>
              <w:tc>
                <w:tcPr>
                  <w:tcW w:w="1155" w:type="pct"/>
                  <w:tcBorders>
                    <w:tl2br w:val="nil"/>
                    <w:tr2bl w:val="nil"/>
                  </w:tcBorders>
                  <w:noWrap w:val="0"/>
                  <w:vAlign w:val="center"/>
                </w:tcPr>
                <w:p>
                  <w:pPr>
                    <w:spacing w:line="360" w:lineRule="auto"/>
                    <w:ind w:right="41" w:rightChars="17"/>
                    <w:jc w:val="center"/>
                    <w:rPr>
                      <w:spacing w:val="6"/>
                      <w:szCs w:val="21"/>
                    </w:rPr>
                  </w:pPr>
                  <w:r>
                    <w:rPr>
                      <w:rFonts w:hint="eastAsia"/>
                      <w:spacing w:val="6"/>
                      <w:szCs w:val="21"/>
                    </w:rPr>
                    <w:t>无组织排放监控浓度限值</w:t>
                  </w:r>
                </w:p>
              </w:tc>
            </w:tr>
          </w:tbl>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3、噪声</w:t>
            </w:r>
          </w:p>
          <w:p>
            <w:pPr>
              <w:spacing w:line="500" w:lineRule="exact"/>
              <w:ind w:firstLine="480" w:firstLineChars="200"/>
              <w:rPr>
                <w:rFonts w:ascii="Times New Roman" w:hAnsi="Times New Roman" w:eastAsia="宋体" w:cs="Times New Roman"/>
                <w:kern w:val="0"/>
                <w:sz w:val="24"/>
                <w:lang w:bidi="ar"/>
              </w:rPr>
            </w:pPr>
            <w:r>
              <w:rPr>
                <w:rFonts w:ascii="Times New Roman" w:hAnsi="Times New Roman" w:eastAsia="宋体" w:cs="Times New Roman"/>
                <w:sz w:val="24"/>
              </w:rPr>
              <w:t>施工期噪声执行《建筑施工场界环境噪声排放标准》（GB12523-2011）</w:t>
            </w:r>
            <w:r>
              <w:rPr>
                <w:rFonts w:hint="eastAsia" w:ascii="Times New Roman" w:hAnsi="Times New Roman" w:eastAsia="宋体" w:cs="Times New Roman"/>
                <w:sz w:val="24"/>
              </w:rPr>
              <w:t>；</w:t>
            </w:r>
            <w:r>
              <w:rPr>
                <w:rFonts w:ascii="Times New Roman" w:hAnsi="Times New Roman" w:eastAsia="宋体" w:cs="Times New Roman"/>
                <w:sz w:val="24"/>
              </w:rPr>
              <w:t>营运期执行国家《工业企业厂界环境噪声排放标准》GB12348-2008中</w:t>
            </w:r>
            <w:r>
              <w:rPr>
                <w:rFonts w:hint="eastAsia" w:ascii="Times New Roman" w:hAnsi="Times New Roman" w:eastAsia="宋体" w:cs="Times New Roman"/>
                <w:sz w:val="24"/>
              </w:rPr>
              <w:t>2</w:t>
            </w:r>
            <w:r>
              <w:rPr>
                <w:rFonts w:ascii="Times New Roman" w:hAnsi="Times New Roman" w:eastAsia="宋体" w:cs="Times New Roman"/>
                <w:sz w:val="24"/>
              </w:rPr>
              <w:t>类标准</w:t>
            </w:r>
            <w:r>
              <w:rPr>
                <w:rFonts w:hint="eastAsia" w:ascii="Times New Roman" w:hAnsi="Times New Roman" w:eastAsia="宋体" w:cs="Times New Roman"/>
                <w:sz w:val="24"/>
              </w:rPr>
              <w:t>。</w:t>
            </w:r>
          </w:p>
          <w:p>
            <w:pPr>
              <w:widowControl/>
              <w:adjustRightInd w:val="0"/>
              <w:snapToGrid w:val="0"/>
              <w:spacing w:before="0" w:after="0" w:line="360" w:lineRule="auto"/>
              <w:ind w:right="113" w:firstLine="422" w:firstLineChars="200"/>
              <w:jc w:val="center"/>
              <w:rPr>
                <w:rFonts w:ascii="Times New Roman" w:hAnsi="Times New Roman" w:eastAsia="宋体" w:cs="Times New Roman"/>
                <w:b/>
                <w:kern w:val="0"/>
                <w:sz w:val="21"/>
                <w:szCs w:val="21"/>
                <w:lang w:val="en-US" w:eastAsia="zh-CN" w:bidi="ar-SA"/>
              </w:rPr>
            </w:pPr>
            <w:r>
              <w:rPr>
                <w:rFonts w:ascii="Times New Roman" w:hAnsi="Times New Roman" w:eastAsia="宋体" w:cs="Times New Roman"/>
                <w:b/>
                <w:kern w:val="0"/>
                <w:sz w:val="21"/>
                <w:szCs w:val="21"/>
                <w:lang w:val="en-US" w:eastAsia="zh-CN" w:bidi="ar-SA"/>
              </w:rPr>
              <w:t>表</w:t>
            </w:r>
            <w:r>
              <w:rPr>
                <w:rFonts w:hint="eastAsia" w:ascii="Times New Roman" w:hAnsi="Times New Roman" w:eastAsia="宋体" w:cs="Times New Roman"/>
                <w:b/>
                <w:kern w:val="0"/>
                <w:sz w:val="21"/>
                <w:szCs w:val="21"/>
                <w:lang w:val="en-US" w:eastAsia="zh-CN" w:bidi="ar-SA"/>
              </w:rPr>
              <w:t>3-13</w:t>
            </w:r>
            <w:r>
              <w:rPr>
                <w:rFonts w:ascii="Times New Roman" w:hAnsi="Times New Roman" w:eastAsia="宋体" w:cs="Times New Roman"/>
                <w:b/>
                <w:kern w:val="0"/>
                <w:sz w:val="21"/>
                <w:szCs w:val="21"/>
                <w:lang w:val="en-US" w:eastAsia="zh-CN" w:bidi="ar-SA"/>
              </w:rPr>
              <w:t xml:space="preserve">  厂界噪声排放标准限值表    等效声级Leq:dB（A）</w:t>
            </w:r>
          </w:p>
          <w:tbl>
            <w:tblPr>
              <w:tblStyle w:val="38"/>
              <w:tblW w:w="486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50"/>
              <w:gridCol w:w="2800"/>
              <w:gridCol w:w="23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78" w:hRule="atLeast"/>
                <w:jc w:val="center"/>
              </w:trPr>
              <w:tc>
                <w:tcPr>
                  <w:tcW w:w="1645"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lang w:val="en-US" w:eastAsia="zh-CN" w:bidi="ar-SA"/>
                    </w:rPr>
                    <w:t>别   类</w:t>
                  </w:r>
                </w:p>
              </w:tc>
              <w:tc>
                <w:tcPr>
                  <w:tcW w:w="1806"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lang w:val="en-US" w:eastAsia="zh-CN" w:bidi="ar-SA"/>
                    </w:rPr>
                    <w:t>昼  间</w:t>
                  </w:r>
                </w:p>
              </w:tc>
              <w:tc>
                <w:tcPr>
                  <w:tcW w:w="1547"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lang w:val="en-US" w:eastAsia="zh-CN" w:bidi="ar-SA"/>
                    </w:rPr>
                    <w:t>夜  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82" w:hRule="atLeast"/>
                <w:jc w:val="center"/>
              </w:trPr>
              <w:tc>
                <w:tcPr>
                  <w:tcW w:w="1645"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2</w:t>
                  </w:r>
                  <w:r>
                    <w:rPr>
                      <w:rFonts w:ascii="Times New Roman" w:hAnsi="Times New Roman" w:eastAsia="宋体" w:cs="Times New Roman"/>
                      <w:bCs/>
                      <w:kern w:val="0"/>
                      <w:sz w:val="21"/>
                      <w:szCs w:val="21"/>
                      <w:lang w:val="en-US" w:eastAsia="zh-CN" w:bidi="ar-SA"/>
                    </w:rPr>
                    <w:t>类</w:t>
                  </w:r>
                </w:p>
              </w:tc>
              <w:tc>
                <w:tcPr>
                  <w:tcW w:w="1806"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60</w:t>
                  </w:r>
                </w:p>
              </w:tc>
              <w:tc>
                <w:tcPr>
                  <w:tcW w:w="1547" w:type="pct"/>
                  <w:noWrap w:val="0"/>
                  <w:vAlign w:val="center"/>
                </w:tcPr>
                <w:p>
                  <w:pPr>
                    <w:widowControl/>
                    <w:adjustRightInd w:val="0"/>
                    <w:snapToGrid w:val="0"/>
                    <w:spacing w:before="0" w:after="0" w:line="240" w:lineRule="auto"/>
                    <w:ind w:right="113"/>
                    <w:jc w:val="center"/>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50</w:t>
                  </w:r>
                </w:p>
              </w:tc>
            </w:tr>
          </w:tbl>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4、固废</w:t>
            </w:r>
          </w:p>
          <w:p>
            <w:pPr>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一般固废：一般固废贮存、处置执行《一般工业固体废物贮存和填埋污染控制标准》（GB18599-2020）标准。</w:t>
            </w:r>
          </w:p>
          <w:p>
            <w:pPr>
              <w:spacing w:line="500" w:lineRule="exact"/>
              <w:ind w:firstLine="480" w:firstLineChars="200"/>
              <w:rPr>
                <w:rFonts w:hint="default" w:ascii="Times New Roman" w:hAnsi="Times New Roman" w:cs="Times New Roman"/>
                <w:kern w:val="0"/>
                <w:sz w:val="24"/>
                <w:szCs w:val="24"/>
              </w:rPr>
            </w:pPr>
            <w:r>
              <w:rPr>
                <w:rFonts w:hint="eastAsia" w:ascii="Times New Roman" w:hAnsi="Times New Roman" w:eastAsia="宋体" w:cs="Times New Roman"/>
                <w:sz w:val="24"/>
              </w:rPr>
              <w:t>危险废物：执行《危险废物贮存污染控制标准》（GB18597-2001）及其修改清单标准。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总量</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控制</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指标</w:t>
            </w:r>
          </w:p>
        </w:tc>
        <w:tc>
          <w:tcPr>
            <w:tcW w:w="8190" w:type="dxa"/>
            <w:noWrap w:val="0"/>
            <w:vAlign w:val="center"/>
          </w:tcPr>
          <w:p>
            <w:pPr>
              <w:spacing w:line="500" w:lineRule="exact"/>
              <w:ind w:firstLine="480" w:firstLineChars="200"/>
              <w:rPr>
                <w:rFonts w:hint="eastAsia" w:ascii="Times New Roman" w:hAnsi="Times New Roman" w:eastAsia="宋体" w:cs="Times New Roman"/>
                <w:sz w:val="24"/>
                <w:lang w:val="en-GB"/>
              </w:rPr>
            </w:pPr>
            <w:r>
              <w:rPr>
                <w:lang w:val="en-GB"/>
              </w:rPr>
              <w:t>本</w:t>
            </w:r>
            <w:r>
              <w:rPr>
                <w:rFonts w:hint="eastAsia"/>
                <w:sz w:val="24"/>
                <w:lang w:val="en-GB"/>
              </w:rPr>
              <w:t>项目</w:t>
            </w:r>
            <w:r>
              <w:rPr>
                <w:sz w:val="24"/>
              </w:rPr>
              <w:t>不涉及国控大气污染总量控制指标SO</w:t>
            </w:r>
            <w:r>
              <w:rPr>
                <w:sz w:val="24"/>
                <w:vertAlign w:val="subscript"/>
              </w:rPr>
              <w:t>2</w:t>
            </w:r>
            <w:r>
              <w:rPr>
                <w:sz w:val="24"/>
              </w:rPr>
              <w:t>、NO</w:t>
            </w:r>
            <w:r>
              <w:rPr>
                <w:sz w:val="24"/>
                <w:vertAlign w:val="subscript"/>
              </w:rPr>
              <w:t>x</w:t>
            </w:r>
            <w:r>
              <w:rPr>
                <w:sz w:val="24"/>
              </w:rPr>
              <w:t>的排放</w:t>
            </w:r>
            <w:r>
              <w:rPr>
                <w:rFonts w:hint="eastAsia"/>
                <w:sz w:val="24"/>
              </w:rPr>
              <w:t>，</w:t>
            </w:r>
            <w:r>
              <w:rPr>
                <w:rFonts w:hint="eastAsia"/>
                <w:sz w:val="24"/>
                <w:lang w:val="en-US" w:eastAsia="zh-CN"/>
              </w:rPr>
              <w:t>生活区雨水经场区雨水沟导入护佛路道路雨水沟，填埋场两侧设置截水沟、堆放平台内侧排水沟以及渣场内部排水盲沟，雨水经排水系统作用进入沉砂池，雨水经沉淀处理后用于厂区洒水降尘</w:t>
            </w:r>
            <w:r>
              <w:rPr>
                <w:rFonts w:hint="eastAsia"/>
                <w:sz w:val="24"/>
              </w:rPr>
              <w:t>；</w:t>
            </w:r>
            <w:r>
              <w:rPr>
                <w:rFonts w:hint="eastAsia"/>
                <w:sz w:val="24"/>
                <w:lang w:val="en-US" w:eastAsia="zh-CN"/>
              </w:rPr>
              <w:t>喷雾管网用水、堆场扬尘用水、道路降尘用水全部蒸发；喷淋废水经沉淀池+絮凝剂处置后回用；洗车废水经沉淀池处置后回用</w:t>
            </w:r>
            <w:r>
              <w:rPr>
                <w:rFonts w:hint="eastAsia"/>
                <w:sz w:val="24"/>
                <w:lang w:val="en-GB"/>
              </w:rPr>
              <w:t>；</w:t>
            </w:r>
            <w:r>
              <w:rPr>
                <w:rFonts w:hint="eastAsia" w:ascii="Times New Roman" w:hAnsi="Times New Roman" w:eastAsia="宋体" w:cs="Times New Roman"/>
                <w:sz w:val="24"/>
                <w:lang w:val="en-GB"/>
              </w:rPr>
              <w:t>生活污水经</w:t>
            </w:r>
            <w:r>
              <w:rPr>
                <w:rFonts w:hint="eastAsia" w:ascii="Times New Roman" w:hAnsi="Times New Roman" w:eastAsia="宋体" w:cs="Times New Roman"/>
                <w:sz w:val="24"/>
                <w:lang w:val="en-US" w:eastAsia="zh-CN"/>
              </w:rPr>
              <w:t>化粪池预</w:t>
            </w:r>
            <w:r>
              <w:rPr>
                <w:rFonts w:hint="eastAsia" w:ascii="Times New Roman" w:hAnsi="Times New Roman" w:eastAsia="宋体" w:cs="Times New Roman"/>
                <w:sz w:val="24"/>
                <w:lang w:val="en-GB"/>
              </w:rPr>
              <w:t>处理后用于</w:t>
            </w:r>
            <w:r>
              <w:rPr>
                <w:rFonts w:hint="eastAsia" w:ascii="Times New Roman" w:hAnsi="Times New Roman" w:eastAsia="宋体" w:cs="Times New Roman"/>
                <w:sz w:val="24"/>
                <w:lang w:val="en-US" w:eastAsia="zh-CN"/>
              </w:rPr>
              <w:t>周边土地发施肥</w:t>
            </w:r>
            <w:r>
              <w:rPr>
                <w:rFonts w:hint="eastAsia" w:ascii="Times New Roman" w:hAnsi="Times New Roman" w:eastAsia="宋体" w:cs="Times New Roman"/>
                <w:sz w:val="24"/>
                <w:lang w:val="en-GB"/>
              </w:rPr>
              <w:t>。</w:t>
            </w:r>
          </w:p>
          <w:p>
            <w:pPr>
              <w:spacing w:line="500" w:lineRule="exact"/>
              <w:ind w:firstLine="480" w:firstLineChars="200"/>
              <w:rPr>
                <w:rFonts w:hint="default" w:ascii="Times New Roman" w:hAnsi="Times New Roman" w:cs="Times New Roman"/>
                <w:kern w:val="0"/>
                <w:sz w:val="24"/>
                <w:szCs w:val="24"/>
              </w:rPr>
            </w:pPr>
            <w:r>
              <w:rPr>
                <w:rFonts w:hint="eastAsia" w:ascii="Times New Roman" w:hAnsi="Times New Roman" w:eastAsia="宋体" w:cs="Times New Roman"/>
                <w:sz w:val="24"/>
                <w:lang w:val="en-GB"/>
              </w:rPr>
              <w:t>根据项目情况，故建议本项目不设置总量控制指标。</w:t>
            </w:r>
          </w:p>
        </w:tc>
      </w:tr>
    </w:tbl>
    <w:p>
      <w:pPr>
        <w:pStyle w:val="33"/>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86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3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施工</w:t>
            </w:r>
          </w:p>
          <w:p>
            <w:pPr>
              <w:pStyle w:val="3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期环</w:t>
            </w:r>
          </w:p>
          <w:p>
            <w:pPr>
              <w:pStyle w:val="3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境保</w:t>
            </w:r>
          </w:p>
          <w:p>
            <w:pPr>
              <w:pStyle w:val="3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护措</w:t>
            </w:r>
          </w:p>
          <w:p>
            <w:pPr>
              <w:pStyle w:val="33"/>
              <w:adjustRightInd w:val="0"/>
              <w:snapToGrid w:val="0"/>
              <w:spacing w:before="0" w:beforeAutospacing="0" w:after="0" w:afterAutospacing="0"/>
              <w:jc w:val="center"/>
              <w:rPr>
                <w:rFonts w:hint="default" w:ascii="Times New Roman" w:hAnsi="Times New Roman" w:cs="Times New Roman"/>
                <w:bCs/>
                <w:kern w:val="2"/>
                <w:sz w:val="24"/>
                <w:szCs w:val="24"/>
              </w:rPr>
            </w:pPr>
            <w:r>
              <w:rPr>
                <w:rFonts w:hint="default" w:ascii="Times New Roman" w:hAnsi="Times New Roman" w:cs="Times New Roman"/>
                <w:kern w:val="2"/>
                <w:sz w:val="24"/>
                <w:szCs w:val="24"/>
              </w:rPr>
              <w:t>施</w:t>
            </w:r>
          </w:p>
        </w:tc>
        <w:tc>
          <w:tcPr>
            <w:tcW w:w="8162" w:type="dxa"/>
            <w:noWrap w:val="0"/>
            <w:vAlign w:val="center"/>
          </w:tcPr>
          <w:p>
            <w:pPr>
              <w:adjustRightInd w:val="0"/>
              <w:snapToGrid w:val="0"/>
              <w:spacing w:line="360" w:lineRule="auto"/>
              <w:rPr>
                <w:b/>
                <w:sz w:val="24"/>
              </w:rPr>
            </w:pPr>
            <w:r>
              <w:rPr>
                <w:rFonts w:hint="eastAsia"/>
                <w:b/>
                <w:bCs/>
                <w:sz w:val="24"/>
              </w:rPr>
              <w:t>施工</w:t>
            </w:r>
            <w:r>
              <w:rPr>
                <w:b/>
                <w:bCs/>
                <w:sz w:val="24"/>
              </w:rPr>
              <w:t>期污染物产生、治理及排放情况分析：</w:t>
            </w:r>
          </w:p>
          <w:p>
            <w:pPr>
              <w:adjustRightInd w:val="0"/>
              <w:snapToGrid w:val="0"/>
              <w:spacing w:line="360" w:lineRule="auto"/>
              <w:ind w:firstLine="482" w:firstLineChars="200"/>
              <w:rPr>
                <w:b/>
                <w:sz w:val="24"/>
              </w:rPr>
            </w:pPr>
            <w:r>
              <w:rPr>
                <w:b/>
                <w:sz w:val="24"/>
              </w:rPr>
              <w:t>1、废水</w:t>
            </w:r>
          </w:p>
          <w:p>
            <w:pPr>
              <w:adjustRightInd w:val="0"/>
              <w:snapToGrid w:val="0"/>
              <w:spacing w:line="360" w:lineRule="auto"/>
              <w:ind w:firstLine="480"/>
              <w:rPr>
                <w:b/>
                <w:bCs/>
                <w:sz w:val="24"/>
              </w:rPr>
            </w:pPr>
            <w:r>
              <w:rPr>
                <w:b/>
                <w:bCs/>
                <w:sz w:val="24"/>
              </w:rPr>
              <w:t>（1）施工废水</w:t>
            </w:r>
          </w:p>
          <w:p>
            <w:pPr>
              <w:adjustRightInd w:val="0"/>
              <w:snapToGrid w:val="0"/>
              <w:spacing w:line="360" w:lineRule="auto"/>
              <w:ind w:firstLine="482"/>
              <w:rPr>
                <w:sz w:val="24"/>
              </w:rPr>
            </w:pPr>
            <w:r>
              <w:rPr>
                <w:rFonts w:hint="eastAsia"/>
                <w:sz w:val="24"/>
              </w:rPr>
              <w:t>施工期</w:t>
            </w:r>
            <w:r>
              <w:rPr>
                <w:sz w:val="24"/>
              </w:rPr>
              <w:t>项目使用</w:t>
            </w:r>
            <w:r>
              <w:rPr>
                <w:rFonts w:hint="eastAsia"/>
                <w:sz w:val="24"/>
                <w:lang w:val="en-US" w:eastAsia="zh-CN"/>
              </w:rPr>
              <w:t>少量</w:t>
            </w:r>
            <w:r>
              <w:rPr>
                <w:sz w:val="24"/>
              </w:rPr>
              <w:t>商品混凝土，不在施工现场搅拌混凝土。施工现场不设机械维修点，不涉及机械冲洗废水。施工废水主要产生于建筑物砼浇筑与养护过程中、车辆轮胎冲洗过程和施工现场在开挖过程中会产生少量的泥浆水。预计废水产生约为</w:t>
            </w:r>
            <w:r>
              <w:rPr>
                <w:rFonts w:hint="eastAsia"/>
                <w:sz w:val="24"/>
              </w:rPr>
              <w:t>3</w:t>
            </w:r>
            <w:r>
              <w:rPr>
                <w:sz w:val="24"/>
              </w:rPr>
              <w:t>m</w:t>
            </w:r>
            <w:r>
              <w:rPr>
                <w:sz w:val="24"/>
                <w:vertAlign w:val="superscript"/>
              </w:rPr>
              <w:t>3</w:t>
            </w:r>
            <w:r>
              <w:rPr>
                <w:sz w:val="24"/>
              </w:rPr>
              <w:t>/d。施工废水污染物以SS为主，污染物产生浓度约为1000mg/L，</w:t>
            </w:r>
            <w:r>
              <w:rPr>
                <w:rFonts w:hint="eastAsia"/>
                <w:sz w:val="24"/>
              </w:rPr>
              <w:t>3</w:t>
            </w:r>
            <w:r>
              <w:rPr>
                <w:sz w:val="24"/>
              </w:rPr>
              <w:t>kg/d。新建一个</w:t>
            </w:r>
            <w:r>
              <w:rPr>
                <w:rFonts w:hint="eastAsia"/>
                <w:sz w:val="24"/>
              </w:rPr>
              <w:t>5</w:t>
            </w:r>
            <w:r>
              <w:rPr>
                <w:sz w:val="24"/>
              </w:rPr>
              <w:t>m</w:t>
            </w:r>
            <w:r>
              <w:rPr>
                <w:sz w:val="24"/>
                <w:vertAlign w:val="superscript"/>
              </w:rPr>
              <w:t>3</w:t>
            </w:r>
            <w:r>
              <w:rPr>
                <w:sz w:val="24"/>
              </w:rPr>
              <w:t>沉淀池，对施工期废水沉淀循环使用，不外排。</w:t>
            </w:r>
          </w:p>
          <w:p>
            <w:pPr>
              <w:adjustRightInd w:val="0"/>
              <w:snapToGrid w:val="0"/>
              <w:spacing w:line="360" w:lineRule="auto"/>
              <w:ind w:firstLine="482"/>
              <w:rPr>
                <w:b/>
                <w:bCs/>
                <w:sz w:val="24"/>
              </w:rPr>
            </w:pPr>
            <w:r>
              <w:rPr>
                <w:b/>
                <w:bCs/>
                <w:sz w:val="24"/>
              </w:rPr>
              <w:t>（2）生活废水</w:t>
            </w:r>
          </w:p>
          <w:p>
            <w:pPr>
              <w:adjustRightInd w:val="0"/>
              <w:snapToGrid w:val="0"/>
              <w:spacing w:line="360" w:lineRule="auto"/>
              <w:ind w:firstLine="482"/>
              <w:rPr>
                <w:sz w:val="24"/>
              </w:rPr>
            </w:pPr>
            <w:r>
              <w:rPr>
                <w:sz w:val="24"/>
              </w:rPr>
              <w:t>施工期施工人员</w:t>
            </w:r>
            <w:r>
              <w:rPr>
                <w:rFonts w:hint="eastAsia"/>
                <w:sz w:val="24"/>
                <w:lang w:val="en-US" w:eastAsia="zh-CN"/>
              </w:rPr>
              <w:t>1</w:t>
            </w:r>
            <w:r>
              <w:rPr>
                <w:sz w:val="24"/>
              </w:rPr>
              <w:t>0人，按每人每天产生生活污水0.05m</w:t>
            </w:r>
            <w:r>
              <w:rPr>
                <w:sz w:val="24"/>
                <w:vertAlign w:val="superscript"/>
              </w:rPr>
              <w:t>3</w:t>
            </w:r>
            <w:r>
              <w:rPr>
                <w:sz w:val="24"/>
              </w:rPr>
              <w:t>计，则生活污水产生量为</w:t>
            </w:r>
            <w:r>
              <w:rPr>
                <w:rFonts w:hint="eastAsia"/>
                <w:sz w:val="24"/>
                <w:lang w:val="en-US" w:eastAsia="zh-CN"/>
              </w:rPr>
              <w:t>0.5</w:t>
            </w:r>
            <w:r>
              <w:rPr>
                <w:sz w:val="24"/>
              </w:rPr>
              <w:t>m</w:t>
            </w:r>
            <w:r>
              <w:rPr>
                <w:sz w:val="24"/>
                <w:vertAlign w:val="superscript"/>
              </w:rPr>
              <w:t>3</w:t>
            </w:r>
            <w:r>
              <w:rPr>
                <w:sz w:val="24"/>
              </w:rPr>
              <w:t>/d，以产污系数0.8计算，污水产生量约为0.</w:t>
            </w:r>
            <w:r>
              <w:rPr>
                <w:rFonts w:hint="eastAsia"/>
                <w:sz w:val="24"/>
                <w:lang w:val="en-US" w:eastAsia="zh-CN"/>
              </w:rPr>
              <w:t>4</w:t>
            </w:r>
            <w:r>
              <w:rPr>
                <w:sz w:val="24"/>
              </w:rPr>
              <w:t>m</w:t>
            </w:r>
            <w:r>
              <w:rPr>
                <w:sz w:val="24"/>
                <w:vertAlign w:val="superscript"/>
              </w:rPr>
              <w:t>3</w:t>
            </w:r>
            <w:r>
              <w:rPr>
                <w:sz w:val="24"/>
              </w:rPr>
              <w:t>/d。</w:t>
            </w:r>
            <w:r>
              <w:rPr>
                <w:rFonts w:hint="eastAsia"/>
                <w:sz w:val="24"/>
                <w:lang w:val="en-US" w:eastAsia="zh-CN"/>
              </w:rPr>
              <w:t>依托已建生活区化粪池预处理，处理后的废水用于周边土地施肥</w:t>
            </w:r>
            <w:r>
              <w:rPr>
                <w:sz w:val="24"/>
              </w:rPr>
              <w:t>。</w:t>
            </w:r>
          </w:p>
          <w:p>
            <w:pPr>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综上所述，在采取上述处理措施后，项目产生的生活污水不会对周围地表水环境产生影响。</w:t>
            </w:r>
          </w:p>
          <w:p>
            <w:p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2、废气</w:t>
            </w:r>
          </w:p>
          <w:p>
            <w:pPr>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本项目施工期产生的废气为施工扬尘、汽车尾气、施工机械废气。</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（1）施工扬尘治理措施</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建设单位应要求工程施工单位制定施工期环境管理计划，加强管理，按进度、有计划地进行文明施工，必须严格按国务院印发的《打赢蓝天保卫战三年行动计划的通知》（国发〔2018〕22号）、四川省人民政府办公厅发布的《关于加强灰霾污染防治的通知》等进行扬尘防治。</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rPr>
              <w:t>A.</w:t>
            </w:r>
            <w:r>
              <w:rPr>
                <w:rFonts w:hint="eastAsia" w:ascii="Times New Roman" w:hAnsi="Times New Roman" w:eastAsia="宋体" w:cs="Times New Roman"/>
                <w:sz w:val="24"/>
                <w:lang w:val="en-GB"/>
              </w:rPr>
              <w:t>工程建设单位应按照《中华人民共和国环境影响评价法》和《建设项目环境保护管理条例》的相关规定，向当地环境保护行政主管部门提供施工扬尘防治实施方案，并提请排污申报。工程建设单位根据施工工序编制施工期内扬尘污染防治任务书，实施扬尘防治全过程管理，责任到每个施工工序。</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B.施工单位应根据《建设工程施工现场管理规定》的规定设置现场平面布置图、工程概况牌、安全生产牌、消防保卫牌、文明施工牌、环境保护牌、管理人员名单及监督电话牌等。</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C.根据《打赢蓝天保卫战三年行动计划的通知》（国发[2018]22号），施工工地要做到工地周边围挡、物料堆放覆盖、土方开挖湿法作业、路面硬化、出入车辆清洗、渣土车辆密闭运输“六个百分之百”。</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D</w:t>
            </w:r>
            <w:r>
              <w:rPr>
                <w:rFonts w:hint="eastAsia" w:ascii="Times New Roman" w:hAnsi="Times New Roman" w:eastAsia="宋体" w:cs="Times New Roman"/>
                <w:sz w:val="24"/>
                <w:lang w:val="en-GB"/>
              </w:rPr>
              <w:t>.要求施工单位文明施工，定期对地面及施工道路洒水，每天定时洒水达到有效防尘。</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E</w:t>
            </w:r>
            <w:r>
              <w:rPr>
                <w:rFonts w:hint="eastAsia" w:ascii="Times New Roman" w:hAnsi="Times New Roman" w:eastAsia="宋体" w:cs="Times New Roman"/>
                <w:sz w:val="24"/>
                <w:lang w:val="en-GB"/>
              </w:rPr>
              <w:t>.施工运送弃土车辆，车厢应严密清洁，尽量减少渣土运输时洒落在地面上，并对撒落在路面的渣土及时清除，清理时做到先洒水后清扫，避免产生扬尘对周边居民正常生活造成影响。</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F</w:t>
            </w:r>
            <w:r>
              <w:rPr>
                <w:rFonts w:hint="eastAsia" w:ascii="Times New Roman" w:hAnsi="Times New Roman" w:eastAsia="宋体" w:cs="Times New Roman"/>
                <w:sz w:val="24"/>
                <w:lang w:val="en-GB"/>
              </w:rPr>
              <w:t>.由于道路和扬尘量与车辆的行驶速度有关，速度越快，扬尘量越大，因此，在施工场地对施工车辆必须实施限速行驶。</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G</w:t>
            </w:r>
            <w:r>
              <w:rPr>
                <w:rFonts w:hint="eastAsia" w:ascii="Times New Roman" w:hAnsi="Times New Roman" w:eastAsia="宋体" w:cs="Times New Roman"/>
                <w:sz w:val="24"/>
                <w:lang w:val="en-GB"/>
              </w:rPr>
              <w:t>.在施工场地出口放置防尘垫，设置车辆冲洗系统设施，对运输车辆现场设置洗车场，用水清洗车体和轮胎。</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H</w:t>
            </w:r>
            <w:r>
              <w:rPr>
                <w:rFonts w:hint="eastAsia" w:ascii="Times New Roman" w:hAnsi="Times New Roman" w:eastAsia="宋体" w:cs="Times New Roman"/>
                <w:sz w:val="24"/>
                <w:lang w:val="en-GB"/>
              </w:rPr>
              <w:t>.建材堆放地点要相对集中，应堆放在项目施工场地上设置的材料堆放间处，减少建材的露天堆放时间，对建材使用毡布覆盖。</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I</w:t>
            </w:r>
            <w:r>
              <w:rPr>
                <w:rFonts w:hint="eastAsia" w:ascii="Times New Roman" w:hAnsi="Times New Roman" w:eastAsia="宋体" w:cs="Times New Roman"/>
                <w:sz w:val="24"/>
                <w:lang w:val="en-GB"/>
              </w:rPr>
              <w:t>.自卸车、垃圾运输车、拉土车等运输车辆不允许超载，选择对周围环境影响较小的运输路线，定时对运输路线进行清扫，运输车辆出场时必须封闭，避免在运输过程中的抛洒现象；</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J</w:t>
            </w:r>
            <w:r>
              <w:rPr>
                <w:rFonts w:hint="eastAsia" w:ascii="Times New Roman" w:hAnsi="Times New Roman" w:eastAsia="宋体" w:cs="Times New Roman"/>
                <w:sz w:val="24"/>
                <w:lang w:val="en-GB"/>
              </w:rPr>
              <w:t>.禁止在大风天进行渣土堆放作业，土石方堆场采用塑料篷布遮盖，覆盖率需达100%；</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K</w:t>
            </w:r>
            <w:r>
              <w:rPr>
                <w:rFonts w:hint="eastAsia" w:ascii="Times New Roman" w:hAnsi="Times New Roman" w:eastAsia="宋体" w:cs="Times New Roman"/>
                <w:sz w:val="24"/>
                <w:lang w:val="en-GB"/>
              </w:rPr>
              <w:t>.运输车等运输车辆不允许超载，选择对周围环境影响较小的运输路线，定时对运输路线进行清扫，运输车辆出场时必须封闭，避免在运输过程中的抛洒现象。</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L</w:t>
            </w:r>
            <w:r>
              <w:rPr>
                <w:rFonts w:hint="eastAsia" w:ascii="Times New Roman" w:hAnsi="Times New Roman" w:eastAsia="宋体" w:cs="Times New Roman"/>
                <w:sz w:val="24"/>
                <w:lang w:val="en-GB"/>
              </w:rPr>
              <w:t>.各区的施工管理由专人负责，并设定专门负责人定期对该区的施工扬尘污染防治措施以及环保管理进行检查和核实，严格按扬尘污染管理的有关规定和规范进行治理，尽量减少扬尘对环境的影响程度。</w:t>
            </w:r>
          </w:p>
          <w:p>
            <w:pPr>
              <w:adjustRightInd w:val="0"/>
              <w:snapToGrid w:val="0"/>
              <w:spacing w:line="360" w:lineRule="auto"/>
              <w:ind w:firstLine="480"/>
              <w:rPr>
                <w:rFonts w:ascii="Times New Roman" w:hAnsi="Times New Roman" w:eastAsia="宋体" w:cs="Times New Roman"/>
                <w:b/>
                <w:bCs/>
                <w:sz w:val="24"/>
              </w:rPr>
            </w:pPr>
            <w:r>
              <w:rPr>
                <w:rFonts w:ascii="Times New Roman" w:hAnsi="Times New Roman" w:eastAsia="宋体" w:cs="Times New Roman"/>
                <w:b/>
                <w:bCs/>
                <w:sz w:val="24"/>
              </w:rPr>
              <w:t>（2）汽车尾气、施工机械废气治理措施</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施工期间，使用机动车运送原材料、设备和建筑机械设备的运转，均会排放一定量的CO、NOx以及未完全燃烧的THC等，其特点是排放量小，且属间断性无组织排放，由于其这一特点，加之施工场地开阔，扩散条件良好，因此对其不加处理也可达到相应的排放标准。</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本环评要求建设方对运输车辆加强保养，选取优质燃料，禁止运输车辆超载行驶；并做好施工现场的交通组织，避免因施工造成的交通阻塞，减少运输车辆怠速产生的废气排放，进一步降低其对外界环境的影响。</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在采取以上大气污染物防治措施后，加上项目所在场地扩散条件较好，因此本项目施工阶段产生的废气</w:t>
            </w:r>
            <w:r>
              <w:rPr>
                <w:rFonts w:hint="eastAsia" w:ascii="Times New Roman" w:hAnsi="Times New Roman" w:eastAsia="宋体" w:cs="Times New Roman"/>
                <w:sz w:val="24"/>
              </w:rPr>
              <w:t>对周边环境影响较小</w:t>
            </w:r>
            <w:r>
              <w:rPr>
                <w:rFonts w:ascii="Times New Roman" w:hAnsi="Times New Roman" w:eastAsia="宋体" w:cs="Times New Roman"/>
                <w:sz w:val="24"/>
              </w:rPr>
              <w:t>。</w:t>
            </w:r>
          </w:p>
          <w:p>
            <w:pPr>
              <w:adjustRightInd w:val="0"/>
              <w:snapToGrid w:val="0"/>
              <w:spacing w:line="360" w:lineRule="auto"/>
              <w:ind w:firstLine="482" w:firstLineChars="200"/>
              <w:rPr>
                <w:rFonts w:hint="eastAsia" w:eastAsia="宋体"/>
                <w:b/>
                <w:sz w:val="24"/>
                <w:lang w:val="en-US" w:eastAsia="zh-CN"/>
              </w:rPr>
            </w:pPr>
            <w:r>
              <w:rPr>
                <w:rFonts w:hint="eastAsia"/>
                <w:b/>
                <w:sz w:val="24"/>
                <w:lang w:val="en-US" w:eastAsia="zh-CN"/>
              </w:rPr>
              <w:t>3</w:t>
            </w:r>
            <w:r>
              <w:rPr>
                <w:b/>
                <w:sz w:val="24"/>
              </w:rPr>
              <w:t>、</w:t>
            </w:r>
            <w:r>
              <w:rPr>
                <w:rFonts w:hint="eastAsia"/>
                <w:b/>
                <w:sz w:val="24"/>
                <w:lang w:val="en-US" w:eastAsia="zh-CN"/>
              </w:rPr>
              <w:t>噪声</w:t>
            </w:r>
          </w:p>
          <w:p>
            <w:pPr>
              <w:adjustRightInd w:val="0"/>
              <w:snapToGrid w:val="0"/>
              <w:spacing w:line="360" w:lineRule="auto"/>
              <w:ind w:firstLine="482"/>
              <w:rPr>
                <w:rFonts w:ascii="Times New Roman" w:hAnsi="Times New Roman" w:eastAsia="宋体" w:cs="Times New Roman"/>
                <w:sz w:val="24"/>
              </w:rPr>
            </w:pPr>
            <w:r>
              <w:rPr>
                <w:rFonts w:hint="eastAsia" w:ascii="Times New Roman" w:hAnsi="Times New Roman" w:eastAsia="宋体" w:cs="Times New Roman"/>
                <w:sz w:val="24"/>
              </w:rPr>
              <w:t>施工期的噪声主要可分为施工噪声和交通运输噪声两类。</w:t>
            </w:r>
          </w:p>
          <w:p>
            <w:pPr>
              <w:adjustRightInd w:val="0"/>
              <w:snapToGrid w:val="0"/>
              <w:spacing w:line="360" w:lineRule="auto"/>
              <w:ind w:firstLine="482"/>
              <w:rPr>
                <w:rFonts w:ascii="Times New Roman" w:hAnsi="Times New Roman" w:eastAsia="宋体" w:cs="Times New Roman"/>
                <w:sz w:val="24"/>
              </w:rPr>
            </w:pPr>
            <w:r>
              <w:rPr>
                <w:rFonts w:hint="eastAsia" w:ascii="Times New Roman" w:hAnsi="Times New Roman" w:eastAsia="宋体" w:cs="Times New Roman"/>
                <w:sz w:val="24"/>
              </w:rPr>
              <w:t>在施工过程中，由于各种施工机械设备的运转和各类车辆的运行，不可避免地产生噪声污染。类比同类建筑垃圾填埋场建设项目，主要施工机械的噪声状况列于</w:t>
            </w:r>
            <w:r>
              <w:rPr>
                <w:rFonts w:hint="eastAsia" w:ascii="Times New Roman" w:hAnsi="Times New Roman" w:eastAsia="宋体" w:cs="Times New Roman"/>
                <w:sz w:val="24"/>
                <w:lang w:val="en-US" w:eastAsia="zh-CN"/>
              </w:rPr>
              <w:t>下</w:t>
            </w:r>
            <w:r>
              <w:rPr>
                <w:rFonts w:hint="eastAsia" w:ascii="Times New Roman" w:hAnsi="Times New Roman" w:eastAsia="宋体" w:cs="Times New Roman"/>
                <w:sz w:val="24"/>
              </w:rPr>
              <w:t>表。</w:t>
            </w:r>
          </w:p>
          <w:p>
            <w:pPr>
              <w:adjustRightInd w:val="0"/>
              <w:snapToGrid w:val="0"/>
              <w:spacing w:line="360" w:lineRule="auto"/>
              <w:ind w:firstLine="482"/>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施工期主要设备一览表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8"/>
              <w:gridCol w:w="2649"/>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序号</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设备名称</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声源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装载机</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2</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挖掘机</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推土机</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4</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运输车辆</w:t>
                  </w:r>
                </w:p>
              </w:tc>
              <w:tc>
                <w:tcPr>
                  <w:tcW w:w="2649" w:type="dxa"/>
                  <w:noWrap w:val="0"/>
                  <w:vAlign w:val="top"/>
                </w:tcPr>
                <w:p>
                  <w:pPr>
                    <w:widowControl/>
                    <w:adjustRightInd w:val="0"/>
                    <w:snapToGrid w:val="0"/>
                    <w:spacing w:before="0" w:after="0" w:line="240" w:lineRule="auto"/>
                    <w:ind w:right="113"/>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80</w:t>
                  </w:r>
                </w:p>
              </w:tc>
            </w:tr>
          </w:tbl>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根据《建筑施工场界环境噪声排放标准》（GB12523-2011）的规定，施工场界昼间的噪声限值为70dB（A），夜间的噪声限值为55dB（A）。建设项目50m范围内无声环境保护目标，为进一步减轻施工期噪声的影响，环评要求项目在施工的过程中应当严格执行环评提出的措施，以减小对附近声环境的影响，主要包括以下方面：</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GB"/>
              </w:rPr>
              <w:t>①尽量采用低噪声机械设备，项目施工所用的施工机械设备应事先对其进行常规工作状态下的噪声测量，超过国家标准的机械设备禁止其入场施工，施工过程中应经常对设备进行维修保养，避免由于机械设备性能差而产生严重噪声污染的情况发生；</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②</w:t>
            </w:r>
            <w:r>
              <w:rPr>
                <w:rFonts w:hint="eastAsia" w:ascii="Times New Roman" w:hAnsi="Times New Roman" w:eastAsia="宋体" w:cs="Times New Roman"/>
                <w:sz w:val="24"/>
                <w:lang w:val="en-GB"/>
              </w:rPr>
              <w:t>应合理安排施工物料的运输时间，在途径沿线的居民敏感点路段时，减速慢行、禁止鸣笛。加强施工期施工人员的环保宣传教育，从根本上培养施工人员环保理念，从而杜绝野蛮施工，粗放施工；施工总平面布置时，尽可能将高噪声源安排在远离项目周围较远的声环境敏感点处；</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③</w:t>
            </w:r>
            <w:r>
              <w:rPr>
                <w:rFonts w:hint="eastAsia" w:ascii="Times New Roman" w:hAnsi="Times New Roman" w:eastAsia="宋体" w:cs="Times New Roman"/>
                <w:sz w:val="24"/>
                <w:lang w:val="en-GB"/>
              </w:rPr>
              <w:t>施工期应协调好施工车辆通行的时间，施工方与交管部门应加强沟通、协调工作，避免交通堵塞，夜间运输要采取减速缓行、禁止鸣笛等措施；</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④</w:t>
            </w:r>
            <w:r>
              <w:rPr>
                <w:rFonts w:hint="eastAsia" w:ascii="Times New Roman" w:hAnsi="Times New Roman" w:eastAsia="宋体" w:cs="Times New Roman"/>
                <w:sz w:val="24"/>
                <w:lang w:val="en-GB"/>
              </w:rPr>
              <w:t>在设备选型时尽量采用低噪声设备，并采取有效的隔声减振措施。</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⑤</w:t>
            </w:r>
            <w:r>
              <w:rPr>
                <w:rFonts w:hint="eastAsia" w:ascii="Times New Roman" w:hAnsi="Times New Roman" w:eastAsia="宋体" w:cs="Times New Roman"/>
                <w:sz w:val="24"/>
                <w:lang w:val="en-GB"/>
              </w:rPr>
              <w:t>合理设计施工总平面图。为了尽可能的减轻项目施工对周边产生噪声污染，项目施工过程中应尽可能将产生高噪声的作业点置于施工场地中部区域，以有效利用施工场地的距离衰减作用减少对项目周边影响。</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综上所述，施工期噪声经过治理后，可使施工期间的场界噪声满足《建筑施工场界环境噪声排放标准》（GB12523-2011）标准的要求，实现达标排放。</w:t>
            </w:r>
          </w:p>
          <w:p>
            <w:pPr>
              <w:adjustRightInd w:val="0"/>
              <w:snapToGrid w:val="0"/>
              <w:spacing w:line="360" w:lineRule="auto"/>
              <w:ind w:firstLine="482" w:firstLineChars="200"/>
              <w:rPr>
                <w:rFonts w:hint="eastAsia" w:eastAsia="宋体"/>
                <w:b/>
                <w:sz w:val="24"/>
                <w:lang w:val="en-US" w:eastAsia="zh-CN"/>
              </w:rPr>
            </w:pPr>
            <w:r>
              <w:rPr>
                <w:rFonts w:hint="eastAsia"/>
                <w:b/>
                <w:sz w:val="24"/>
                <w:lang w:val="en-US" w:eastAsia="zh-CN"/>
              </w:rPr>
              <w:t>4</w:t>
            </w:r>
            <w:r>
              <w:rPr>
                <w:b/>
                <w:sz w:val="24"/>
              </w:rPr>
              <w:t>、</w:t>
            </w:r>
            <w:r>
              <w:rPr>
                <w:rFonts w:hint="eastAsia"/>
                <w:b/>
                <w:sz w:val="24"/>
                <w:lang w:val="en-US" w:eastAsia="zh-CN"/>
              </w:rPr>
              <w:t>固废</w:t>
            </w:r>
          </w:p>
          <w:p>
            <w:pPr>
              <w:adjustRightInd w:val="0"/>
              <w:snapToGrid w:val="0"/>
              <w:spacing w:line="360" w:lineRule="auto"/>
              <w:ind w:firstLine="482"/>
              <w:rPr>
                <w:rFonts w:ascii="Times New Roman" w:hAnsi="Times New Roman" w:eastAsia="宋体" w:cs="Times New Roman"/>
                <w:sz w:val="24"/>
              </w:rPr>
            </w:pPr>
            <w:r>
              <w:rPr>
                <w:rFonts w:hint="eastAsia" w:ascii="Times New Roman" w:hAnsi="Times New Roman" w:eastAsia="宋体" w:cs="Times New Roman"/>
                <w:sz w:val="24"/>
              </w:rPr>
              <w:t>本项目施工期间排放的固体废物主要为填埋场土方开挖</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表层土剥离物、弃土</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建筑垃圾</w:t>
            </w:r>
            <w:r>
              <w:rPr>
                <w:rFonts w:hint="eastAsia" w:ascii="Times New Roman" w:hAnsi="Times New Roman" w:eastAsia="宋体" w:cs="Times New Roman"/>
                <w:sz w:val="24"/>
              </w:rPr>
              <w:t>以及施工人员生活垃圾等。</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①废弃土方</w:t>
            </w:r>
          </w:p>
          <w:p>
            <w:pPr>
              <w:widowControl/>
              <w:adjustRightInd w:val="0"/>
              <w:snapToGrid w:val="0"/>
              <w:spacing w:line="360" w:lineRule="auto"/>
              <w:ind w:firstLine="480" w:firstLineChars="200"/>
              <w:jc w:val="left"/>
              <w:rPr>
                <w:rFonts w:hint="default" w:ascii="Times New Roman" w:hAnsi="Times New Roman" w:eastAsia="宋体" w:cs="Times New Roman"/>
                <w:b w:val="0"/>
                <w:bCs w:val="0"/>
                <w:kern w:val="0"/>
                <w:sz w:val="24"/>
                <w:highlight w:val="none"/>
                <w:lang w:val="en-US" w:eastAsia="zh-CN" w:bidi="ar"/>
              </w:rPr>
            </w:pPr>
            <w:r>
              <w:rPr>
                <w:rFonts w:hint="eastAsia" w:ascii="Times New Roman" w:hAnsi="Times New Roman" w:eastAsia="宋体" w:cs="Times New Roman"/>
                <w:b w:val="0"/>
                <w:bCs w:val="0"/>
                <w:kern w:val="0"/>
                <w:sz w:val="24"/>
                <w:highlight w:val="none"/>
                <w:lang w:val="en-US" w:eastAsia="zh-CN" w:bidi="ar"/>
              </w:rPr>
              <w:t>项目建设运行期累计开挖土石方2.93万m</w:t>
            </w:r>
            <w:r>
              <w:rPr>
                <w:rFonts w:hint="eastAsia" w:ascii="Times New Roman" w:hAnsi="Times New Roman" w:eastAsia="宋体" w:cs="Times New Roman"/>
                <w:b w:val="0"/>
                <w:bCs w:val="0"/>
                <w:kern w:val="0"/>
                <w:sz w:val="24"/>
                <w:highlight w:val="none"/>
                <w:vertAlign w:val="superscript"/>
                <w:lang w:val="en-US" w:eastAsia="zh-CN" w:bidi="ar"/>
              </w:rPr>
              <w:t>3</w:t>
            </w:r>
            <w:r>
              <w:rPr>
                <w:rFonts w:hint="eastAsia" w:ascii="Times New Roman" w:hAnsi="Times New Roman" w:eastAsia="宋体" w:cs="Times New Roman"/>
                <w:b w:val="0"/>
                <w:bCs w:val="0"/>
                <w:kern w:val="0"/>
                <w:sz w:val="24"/>
                <w:highlight w:val="none"/>
                <w:lang w:val="en-US" w:eastAsia="zh-CN" w:bidi="ar"/>
              </w:rPr>
              <w:t>（含表土剥离1.40万m</w:t>
            </w:r>
            <w:r>
              <w:rPr>
                <w:rFonts w:hint="eastAsia" w:ascii="Times New Roman" w:hAnsi="Times New Roman" w:eastAsia="宋体" w:cs="Times New Roman"/>
                <w:b w:val="0"/>
                <w:bCs w:val="0"/>
                <w:kern w:val="0"/>
                <w:sz w:val="24"/>
                <w:highlight w:val="none"/>
                <w:vertAlign w:val="superscript"/>
                <w:lang w:val="en-US" w:eastAsia="zh-CN" w:bidi="ar"/>
              </w:rPr>
              <w:t>3</w:t>
            </w:r>
            <w:r>
              <w:rPr>
                <w:rFonts w:hint="eastAsia" w:ascii="Times New Roman" w:hAnsi="Times New Roman" w:eastAsia="宋体" w:cs="Times New Roman"/>
                <w:b w:val="0"/>
                <w:bCs w:val="0"/>
                <w:kern w:val="0"/>
                <w:sz w:val="24"/>
                <w:highlight w:val="none"/>
                <w:lang w:val="en-US" w:eastAsia="zh-CN" w:bidi="ar"/>
              </w:rPr>
              <w:t>），回填土石方2.93万m</w:t>
            </w:r>
            <w:r>
              <w:rPr>
                <w:rFonts w:hint="eastAsia" w:ascii="Times New Roman" w:hAnsi="Times New Roman" w:eastAsia="宋体" w:cs="Times New Roman"/>
                <w:b w:val="0"/>
                <w:bCs w:val="0"/>
                <w:kern w:val="0"/>
                <w:sz w:val="24"/>
                <w:highlight w:val="none"/>
                <w:vertAlign w:val="superscript"/>
                <w:lang w:val="en-US" w:eastAsia="zh-CN" w:bidi="ar"/>
              </w:rPr>
              <w:t>3</w:t>
            </w:r>
            <w:r>
              <w:rPr>
                <w:rFonts w:hint="eastAsia" w:ascii="Times New Roman" w:hAnsi="Times New Roman" w:eastAsia="宋体" w:cs="Times New Roman"/>
                <w:b w:val="0"/>
                <w:bCs w:val="0"/>
                <w:kern w:val="0"/>
                <w:sz w:val="24"/>
                <w:highlight w:val="none"/>
                <w:lang w:val="en-US" w:eastAsia="zh-CN" w:bidi="ar"/>
              </w:rPr>
              <w:t>（含表土回覆1.40万m</w:t>
            </w:r>
            <w:r>
              <w:rPr>
                <w:rFonts w:hint="eastAsia" w:ascii="Times New Roman" w:hAnsi="Times New Roman" w:eastAsia="宋体" w:cs="Times New Roman"/>
                <w:b w:val="0"/>
                <w:bCs w:val="0"/>
                <w:kern w:val="0"/>
                <w:sz w:val="24"/>
                <w:highlight w:val="none"/>
                <w:vertAlign w:val="superscript"/>
                <w:lang w:val="en-US" w:eastAsia="zh-CN" w:bidi="ar"/>
              </w:rPr>
              <w:t>3</w:t>
            </w:r>
            <w:r>
              <w:rPr>
                <w:rFonts w:hint="eastAsia" w:ascii="Times New Roman" w:hAnsi="Times New Roman" w:eastAsia="宋体" w:cs="Times New Roman"/>
                <w:b w:val="0"/>
                <w:bCs w:val="0"/>
                <w:kern w:val="0"/>
                <w:sz w:val="24"/>
                <w:highlight w:val="none"/>
                <w:lang w:val="en-US" w:eastAsia="zh-CN" w:bidi="ar"/>
              </w:rPr>
              <w:t>），无借方、余方。开挖的土石方区内相互调用，</w:t>
            </w:r>
            <w:r>
              <w:rPr>
                <w:rFonts w:hint="eastAsia" w:ascii="Times New Roman" w:hAnsi="Times New Roman" w:eastAsia="宋体" w:cs="Times New Roman"/>
                <w:color w:val="auto"/>
                <w:sz w:val="24"/>
              </w:rPr>
              <w:t>表土用于后期场地绿化恢复</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b w:val="0"/>
                <w:bCs w:val="0"/>
                <w:kern w:val="0"/>
                <w:sz w:val="24"/>
                <w:highlight w:val="none"/>
                <w:lang w:val="en-US" w:eastAsia="zh-CN" w:bidi="ar"/>
              </w:rPr>
              <w:t>不产生弃方。</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表土堆放：对剥离的表土用5-10t自卸汽车搬运到场内分层分开堆放，并有防止储存期间的流失措施（分别设置土质边沟、沉沙池和土袋挡土墙，同时增加无纺布覆盖表土防护），防止岩石混入使土质恶化，尽可能做到恢复后保持原有的土壤结构，以利种植。</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表土的处置要求：堆存的表土应进行覆盖，并在表土堆积地周围用编织土袋拦挡，防止雨水冲刷，后期用于土地复垦、绿化恢复。采取改措施后将大大的减少表土的裸露及被雨水的冲刷，在强降雨条件下所产生的面源流失量也较小，对周围水环境的影响也很小。</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②生活垃圾</w:t>
            </w:r>
          </w:p>
          <w:p>
            <w:pPr>
              <w:adjustRightInd w:val="0"/>
              <w:snapToGrid w:val="0"/>
              <w:spacing w:line="360" w:lineRule="auto"/>
              <w:ind w:firstLine="482"/>
              <w:rPr>
                <w:rFonts w:ascii="Times New Roman" w:hAnsi="Times New Roman" w:eastAsia="宋体" w:cs="Times New Roman"/>
                <w:sz w:val="24"/>
                <w:lang w:val="en-GB"/>
              </w:rPr>
            </w:pPr>
            <w:r>
              <w:rPr>
                <w:rFonts w:hint="eastAsia" w:ascii="Times New Roman" w:hAnsi="Times New Roman" w:eastAsia="宋体" w:cs="Times New Roman"/>
                <w:sz w:val="24"/>
                <w:lang w:val="en-US" w:eastAsia="zh-CN"/>
              </w:rPr>
              <w:t>施工人数为10人，</w:t>
            </w:r>
            <w:r>
              <w:rPr>
                <w:rFonts w:hint="eastAsia" w:ascii="Times New Roman" w:hAnsi="Times New Roman" w:eastAsia="宋体" w:cs="Times New Roman"/>
                <w:sz w:val="24"/>
                <w:lang w:val="en-GB"/>
              </w:rPr>
              <w:t>生活垃圾产生量按照0.5kg/人·d计，施工期生活垃圾为10kg/d。</w:t>
            </w:r>
            <w:r>
              <w:rPr>
                <w:rFonts w:ascii="Times New Roman" w:hAnsi="Times New Roman" w:eastAsia="宋体" w:cs="Times New Roman"/>
                <w:sz w:val="24"/>
              </w:rPr>
              <w:t>在施工场地内设置垃圾桶集中收集，定期运至附近的垃圾站，由环卫部门统一处理。</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③建筑垃圾</w:t>
            </w:r>
          </w:p>
          <w:p>
            <w:pPr>
              <w:adjustRightInd w:val="0"/>
              <w:snapToGrid w:val="0"/>
              <w:spacing w:line="360" w:lineRule="auto"/>
              <w:ind w:firstLine="482"/>
              <w:rPr>
                <w:sz w:val="24"/>
                <w:lang w:val="en-GB"/>
              </w:rPr>
            </w:pPr>
            <w:r>
              <w:rPr>
                <w:rFonts w:hint="eastAsia"/>
                <w:color w:val="auto"/>
                <w:sz w:val="24"/>
                <w:lang w:val="en-GB"/>
              </w:rPr>
              <w:t>施工期间建筑垃圾产生量约</w:t>
            </w:r>
            <w:r>
              <w:rPr>
                <w:rFonts w:hint="eastAsia"/>
                <w:color w:val="auto"/>
                <w:sz w:val="24"/>
                <w:lang w:val="en-US" w:eastAsia="zh-CN"/>
              </w:rPr>
              <w:t>10</w:t>
            </w:r>
            <w:r>
              <w:rPr>
                <w:rFonts w:hint="eastAsia"/>
                <w:color w:val="auto"/>
                <w:sz w:val="24"/>
                <w:lang w:val="en-GB"/>
              </w:rPr>
              <w:t>t。评价要求：通过分</w:t>
            </w:r>
            <w:r>
              <w:rPr>
                <w:rFonts w:hint="eastAsia"/>
                <w:sz w:val="24"/>
                <w:lang w:val="en-GB"/>
              </w:rPr>
              <w:t>类集中堆存，对钢筋、钢板、木材等下角料可分类回收，交废物收购站处理；不能回收的建筑垃圾，如混凝土废料、含砖、石、砂的杂土等集中堆放（树立标示牌），并进行防雨、防漏处理，</w:t>
            </w:r>
            <w:r>
              <w:rPr>
                <w:rFonts w:hint="eastAsia"/>
                <w:sz w:val="24"/>
                <w:lang w:val="en-US" w:eastAsia="zh-CN"/>
              </w:rPr>
              <w:t>待运营期时，与外来建筑垃圾一起处理</w:t>
            </w:r>
            <w:r>
              <w:rPr>
                <w:rFonts w:hint="eastAsia"/>
                <w:sz w:val="24"/>
                <w:lang w:val="en-GB"/>
              </w:rPr>
              <w:t>。</w:t>
            </w:r>
          </w:p>
          <w:p>
            <w:pPr>
              <w:adjustRightInd w:val="0"/>
              <w:snapToGrid w:val="0"/>
              <w:spacing w:line="360" w:lineRule="auto"/>
              <w:ind w:firstLine="482" w:firstLineChars="200"/>
              <w:rPr>
                <w:rFonts w:hint="default" w:eastAsia="宋体"/>
                <w:b/>
                <w:sz w:val="24"/>
                <w:lang w:val="en-US" w:eastAsia="zh-CN"/>
              </w:rPr>
            </w:pPr>
            <w:r>
              <w:rPr>
                <w:rFonts w:hint="eastAsia"/>
                <w:b/>
                <w:sz w:val="24"/>
                <w:lang w:val="en-US" w:eastAsia="zh-CN"/>
              </w:rPr>
              <w:t>5</w:t>
            </w:r>
            <w:r>
              <w:rPr>
                <w:b/>
                <w:sz w:val="24"/>
              </w:rPr>
              <w:t>、</w:t>
            </w:r>
            <w:r>
              <w:rPr>
                <w:rFonts w:hint="eastAsia"/>
                <w:b/>
                <w:sz w:val="24"/>
                <w:lang w:val="en-US" w:eastAsia="zh-CN"/>
              </w:rPr>
              <w:t>生态影响</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填埋场场地平整、开挖、基底平整处理，周围山体边坡削整以及截排水沟和道路铺设等辅助工程建设需大面积改造现有自然生态环境、压占破坏土地植被，导致水土流失的增加，使局部生态环境受到影响，同时也使区域的景观在一定时间内受到影响。工程占地也将使占地范围内的植被遭到破坏，导致局部生态环境功能有所削弱。建设单位需在施工中采取有效措施保护地表土层，在施工完成和填埋封场后，用原土或腐植土覆盖、并种植花、草、植树绿化，恢复和保护施工区域的土壤植被。</w:t>
            </w:r>
          </w:p>
          <w:p>
            <w:pPr>
              <w:adjustRightInd w:val="0"/>
              <w:snapToGrid w:val="0"/>
              <w:rPr>
                <w:rFonts w:hint="default" w:ascii="Times New Roman" w:hAnsi="Times New Roman" w:cs="Times New Roman"/>
                <w:bCs/>
                <w:spacing w:val="-1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运营</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期环</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境影</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响和</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保护</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措施</w:t>
            </w:r>
          </w:p>
        </w:tc>
        <w:tc>
          <w:tcPr>
            <w:tcW w:w="8162" w:type="dxa"/>
            <w:noWrap w:val="0"/>
            <w:vAlign w:val="top"/>
          </w:tcPr>
          <w:p>
            <w:pPr>
              <w:adjustRightInd w:val="0"/>
              <w:snapToGrid w:val="0"/>
              <w:spacing w:line="360" w:lineRule="auto"/>
              <w:rPr>
                <w:rFonts w:hint="default" w:ascii="Times New Roman" w:hAnsi="Times New Roman" w:eastAsia="宋体" w:cs="Times New Roman"/>
                <w:sz w:val="24"/>
                <w:lang w:val="en-US" w:eastAsia="zh-CN"/>
              </w:rPr>
            </w:pPr>
            <w:r>
              <w:rPr>
                <w:rFonts w:hint="eastAsia"/>
                <w:b/>
                <w:bCs/>
                <w:sz w:val="24"/>
                <w:lang w:val="en-US" w:eastAsia="zh-CN"/>
              </w:rPr>
              <w:t>运营</w:t>
            </w:r>
            <w:r>
              <w:rPr>
                <w:b/>
                <w:bCs/>
                <w:sz w:val="24"/>
              </w:rPr>
              <w:t>期污染物产生、治理及排放情况分析：</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1、废气</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本项目处置对象为建筑垃圾，</w:t>
            </w:r>
            <w:r>
              <w:rPr>
                <w:rFonts w:hint="eastAsia" w:ascii="Times New Roman" w:hAnsi="Times New Roman" w:eastAsia="宋体" w:cs="Times New Roman"/>
                <w:sz w:val="24"/>
                <w:lang w:val="en-US" w:eastAsia="zh-CN"/>
              </w:rPr>
              <w:t>会对混凝土块进行破碎利用，故</w:t>
            </w:r>
            <w:r>
              <w:rPr>
                <w:rFonts w:hint="default" w:ascii="Times New Roman" w:hAnsi="Times New Roman" w:eastAsia="宋体" w:cs="Times New Roman"/>
                <w:sz w:val="24"/>
                <w:lang w:val="en-US" w:eastAsia="zh-CN"/>
              </w:rPr>
              <w:t>运营期的大气污染源主要为填埋场运输车辆扬尘、填埋场堆料扬尘、</w:t>
            </w:r>
            <w:r>
              <w:rPr>
                <w:rFonts w:hint="eastAsia" w:ascii="Times New Roman" w:hAnsi="Times New Roman" w:eastAsia="宋体" w:cs="Times New Roman"/>
                <w:sz w:val="24"/>
                <w:lang w:val="en-US" w:eastAsia="zh-CN"/>
              </w:rPr>
              <w:t>混凝土块堆场粉尘、混凝土块破碎粉尘、成品骨料堆场扬尘、</w:t>
            </w:r>
            <w:r>
              <w:rPr>
                <w:rFonts w:hint="default" w:ascii="Times New Roman" w:hAnsi="Times New Roman" w:eastAsia="宋体" w:cs="Times New Roman"/>
                <w:sz w:val="24"/>
                <w:lang w:val="en-US" w:eastAsia="zh-CN"/>
              </w:rPr>
              <w:t>道路扬尘</w:t>
            </w:r>
            <w:r>
              <w:rPr>
                <w:rFonts w:hint="eastAsia" w:ascii="Times New Roman" w:hAnsi="Times New Roman" w:eastAsia="宋体" w:cs="Times New Roman"/>
                <w:sz w:val="24"/>
                <w:lang w:val="en-US" w:eastAsia="zh-CN"/>
              </w:rPr>
              <w:t>、汽车尾气</w:t>
            </w:r>
            <w:r>
              <w:rPr>
                <w:rFonts w:hint="default" w:ascii="Times New Roman" w:hAnsi="Times New Roman" w:eastAsia="宋体" w:cs="Times New Roman"/>
                <w:sz w:val="24"/>
                <w:lang w:val="en-US" w:eastAsia="zh-CN"/>
              </w:rPr>
              <w:t>以及食堂油烟等。</w:t>
            </w:r>
          </w:p>
          <w:p>
            <w:pPr>
              <w:adjustRightInd w:val="0"/>
              <w:snapToGrid w:val="0"/>
              <w:spacing w:line="360" w:lineRule="auto"/>
              <w:ind w:firstLine="480"/>
              <w:rPr>
                <w:b/>
                <w:bCs/>
                <w:sz w:val="24"/>
              </w:rPr>
            </w:pPr>
            <w:r>
              <w:rPr>
                <w:rFonts w:hint="eastAsia"/>
                <w:b/>
                <w:bCs/>
                <w:sz w:val="24"/>
              </w:rPr>
              <w:t>①</w:t>
            </w:r>
            <w:r>
              <w:rPr>
                <w:rFonts w:hint="eastAsia"/>
                <w:b/>
                <w:bCs/>
                <w:sz w:val="24"/>
                <w:lang w:val="en-US" w:eastAsia="zh-CN"/>
              </w:rPr>
              <w:t>运输车辆扬尘</w:t>
            </w:r>
          </w:p>
          <w:p>
            <w:pPr>
              <w:adjustRightInd w:val="0"/>
              <w:snapToGrid w:val="0"/>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lang w:val="en-US" w:eastAsia="zh-CN"/>
              </w:rPr>
              <w:t>本项目运输车辆空车约5t，重车最大重量约为55t，平均发空车、载重各30次。</w:t>
            </w:r>
            <w:r>
              <w:rPr>
                <w:rFonts w:hint="eastAsia" w:ascii="Times New Roman" w:hAnsi="Times New Roman" w:eastAsia="宋体" w:cs="Times New Roman"/>
                <w:sz w:val="24"/>
              </w:rPr>
              <w:t>运输车辆产生的动力扬尘与地面的清洁程度和车辆行驶速度有关，在完全干燥情况下，可按下列经验公式计算：</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bCs/>
                <w:sz w:val="24"/>
              </w:rPr>
              <w:t>Q=0.123</w:t>
            </w:r>
            <w:r>
              <w:rPr>
                <w:rFonts w:hint="eastAsia" w:ascii="Times New Roman" w:hAnsi="Times New Roman" w:eastAsia="宋体" w:cs="Times New Roman"/>
                <w:bCs/>
                <w:sz w:val="24"/>
              </w:rPr>
              <w:t>（</w:t>
            </w:r>
            <w:r>
              <w:rPr>
                <w:rFonts w:ascii="Times New Roman" w:hAnsi="Times New Roman" w:eastAsia="宋体" w:cs="Times New Roman"/>
                <w:bCs/>
                <w:sz w:val="24"/>
              </w:rPr>
              <w:t>V/5</w:t>
            </w:r>
            <w:r>
              <w:rPr>
                <w:rFonts w:hint="eastAsia" w:ascii="Times New Roman" w:hAnsi="Times New Roman" w:eastAsia="宋体" w:cs="Times New Roman"/>
                <w:bCs/>
                <w:sz w:val="24"/>
              </w:rPr>
              <w:t>）（</w:t>
            </w:r>
            <w:r>
              <w:rPr>
                <w:rFonts w:ascii="Times New Roman" w:hAnsi="Times New Roman" w:eastAsia="宋体" w:cs="Times New Roman"/>
                <w:bCs/>
                <w:sz w:val="24"/>
              </w:rPr>
              <w:t>W/6.8</w:t>
            </w:r>
            <w:r>
              <w:rPr>
                <w:rFonts w:hint="eastAsia" w:ascii="Times New Roman" w:hAnsi="Times New Roman" w:eastAsia="宋体" w:cs="Times New Roman"/>
                <w:bCs/>
                <w:sz w:val="24"/>
              </w:rPr>
              <w:t>）</w:t>
            </w:r>
            <w:r>
              <w:rPr>
                <w:rFonts w:ascii="Times New Roman" w:hAnsi="Times New Roman" w:eastAsia="宋体" w:cs="Times New Roman"/>
                <w:bCs/>
                <w:sz w:val="24"/>
                <w:vertAlign w:val="superscript"/>
              </w:rPr>
              <w:t>0.85</w:t>
            </w:r>
            <w:r>
              <w:rPr>
                <w:rFonts w:hint="eastAsia" w:ascii="Times New Roman" w:hAnsi="Times New Roman" w:eastAsia="宋体" w:cs="Times New Roman"/>
                <w:bCs/>
                <w:sz w:val="24"/>
              </w:rPr>
              <w:t>（</w:t>
            </w:r>
            <w:r>
              <w:rPr>
                <w:rFonts w:hint="eastAsia" w:ascii="Times New Roman" w:hAnsi="Times New Roman" w:eastAsia="宋体" w:cs="Times New Roman"/>
                <w:sz w:val="24"/>
              </w:rPr>
              <w:t>P/0.5）0.75</w:t>
            </w:r>
          </w:p>
          <w:p>
            <w:pPr>
              <w:adjustRightInd w:val="0"/>
              <w:snapToGrid w:val="0"/>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式中，Q-汽车行驶时的扬尘，kg/km·辆；</w:t>
            </w:r>
          </w:p>
          <w:p>
            <w:pPr>
              <w:adjustRightInd w:val="0"/>
              <w:snapToGrid w:val="0"/>
              <w:spacing w:line="360" w:lineRule="auto"/>
              <w:ind w:firstLine="1200" w:firstLineChars="500"/>
              <w:rPr>
                <w:rFonts w:ascii="Times New Roman" w:hAnsi="Times New Roman" w:eastAsia="宋体" w:cs="Times New Roman"/>
                <w:bCs/>
                <w:sz w:val="24"/>
              </w:rPr>
            </w:pPr>
            <w:r>
              <w:rPr>
                <w:rFonts w:ascii="Times New Roman" w:hAnsi="Times New Roman" w:eastAsia="宋体" w:cs="Times New Roman"/>
                <w:bCs/>
                <w:sz w:val="24"/>
              </w:rPr>
              <w:t>V-汽车行驶速度，km/h，取20km/h；</w:t>
            </w:r>
          </w:p>
          <w:p>
            <w:pPr>
              <w:adjustRightInd w:val="0"/>
              <w:snapToGrid w:val="0"/>
              <w:spacing w:line="360" w:lineRule="auto"/>
              <w:ind w:firstLine="1200" w:firstLineChars="500"/>
              <w:rPr>
                <w:rFonts w:ascii="Times New Roman" w:hAnsi="Times New Roman" w:eastAsia="宋体" w:cs="Times New Roman"/>
                <w:bCs/>
                <w:sz w:val="24"/>
              </w:rPr>
            </w:pPr>
            <w:r>
              <w:rPr>
                <w:rFonts w:ascii="Times New Roman" w:hAnsi="Times New Roman" w:eastAsia="宋体" w:cs="Times New Roman"/>
                <w:bCs/>
                <w:sz w:val="24"/>
              </w:rPr>
              <w:t>W-汽车载重量，t，取</w:t>
            </w:r>
            <w:r>
              <w:rPr>
                <w:rFonts w:hint="eastAsia" w:ascii="Times New Roman" w:hAnsi="Times New Roman" w:eastAsia="宋体" w:cs="Times New Roman"/>
                <w:bCs/>
                <w:sz w:val="24"/>
              </w:rPr>
              <w:t>55</w:t>
            </w:r>
            <w:r>
              <w:rPr>
                <w:rFonts w:ascii="Times New Roman" w:hAnsi="Times New Roman" w:eastAsia="宋体" w:cs="Times New Roman"/>
                <w:bCs/>
                <w:sz w:val="24"/>
              </w:rPr>
              <w:t>t计；</w:t>
            </w:r>
          </w:p>
          <w:p>
            <w:pPr>
              <w:adjustRightInd w:val="0"/>
              <w:snapToGrid w:val="0"/>
              <w:spacing w:line="360" w:lineRule="auto"/>
              <w:ind w:firstLine="1200" w:firstLineChars="500"/>
              <w:rPr>
                <w:rFonts w:ascii="Times New Roman" w:hAnsi="Times New Roman" w:eastAsia="宋体" w:cs="Times New Roman"/>
                <w:sz w:val="24"/>
              </w:rPr>
            </w:pPr>
            <w:r>
              <w:rPr>
                <w:rFonts w:ascii="Times New Roman" w:hAnsi="Times New Roman" w:eastAsia="宋体" w:cs="Times New Roman"/>
                <w:bCs/>
                <w:sz w:val="24"/>
              </w:rPr>
              <w:t>P-道路表面积尘量，kg/m</w:t>
            </w:r>
            <w:r>
              <w:rPr>
                <w:rFonts w:ascii="Times New Roman" w:hAnsi="Times New Roman" w:eastAsia="宋体" w:cs="Times New Roman"/>
                <w:bCs/>
                <w:sz w:val="24"/>
                <w:vertAlign w:val="superscript"/>
              </w:rPr>
              <w:t>2</w:t>
            </w:r>
            <w:r>
              <w:rPr>
                <w:rFonts w:ascii="Times New Roman" w:hAnsi="Times New Roman" w:eastAsia="宋体" w:cs="Times New Roman"/>
                <w:bCs/>
                <w:sz w:val="24"/>
              </w:rPr>
              <w:t>，取0.1kg/m</w:t>
            </w:r>
            <w:r>
              <w:rPr>
                <w:rFonts w:ascii="Times New Roman" w:hAnsi="Times New Roman" w:eastAsia="宋体" w:cs="Times New Roman"/>
                <w:bCs/>
                <w:sz w:val="24"/>
                <w:vertAlign w:val="superscript"/>
              </w:rPr>
              <w:t>2</w:t>
            </w:r>
            <w:r>
              <w:rPr>
                <w:rFonts w:ascii="Times New Roman" w:hAnsi="Times New Roman" w:eastAsia="宋体" w:cs="Times New Roman"/>
                <w:bCs/>
                <w:sz w:val="24"/>
              </w:rPr>
              <w:t>。</w:t>
            </w:r>
          </w:p>
          <w:p>
            <w:pPr>
              <w:adjustRightInd w:val="0"/>
              <w:snapToGrid w:val="0"/>
              <w:spacing w:line="360" w:lineRule="auto"/>
              <w:ind w:firstLine="480" w:firstLineChars="200"/>
              <w:rPr>
                <w:rFonts w:ascii="Times New Roman" w:hAnsi="Times New Roman" w:eastAsia="宋体" w:cs="Times New Roman"/>
                <w:bCs/>
                <w:sz w:val="24"/>
              </w:rPr>
            </w:pPr>
            <w:r>
              <w:rPr>
                <w:bCs/>
                <w:sz w:val="24"/>
              </w:rPr>
              <w:t>项目车辆在厂区内行驶距离</w:t>
            </w:r>
            <w:r>
              <w:rPr>
                <w:rFonts w:hint="eastAsia"/>
                <w:bCs/>
                <w:sz w:val="24"/>
                <w:lang w:val="en-US" w:eastAsia="zh-CN"/>
              </w:rPr>
              <w:t>约640</w:t>
            </w:r>
            <w:r>
              <w:rPr>
                <w:bCs/>
                <w:sz w:val="24"/>
              </w:rPr>
              <w:t>m</w:t>
            </w:r>
            <w:r>
              <w:rPr>
                <w:rFonts w:hint="eastAsia"/>
                <w:bCs/>
                <w:sz w:val="24"/>
                <w:lang w:eastAsia="zh-CN"/>
              </w:rPr>
              <w:t>，</w:t>
            </w:r>
            <w:r>
              <w:rPr>
                <w:rFonts w:ascii="Times New Roman" w:hAnsi="Times New Roman" w:eastAsia="宋体" w:cs="Times New Roman"/>
                <w:sz w:val="24"/>
              </w:rPr>
              <w:t>经上述计算，</w:t>
            </w:r>
            <w:r>
              <w:rPr>
                <w:rFonts w:ascii="Times New Roman" w:hAnsi="Times New Roman" w:eastAsia="宋体" w:cs="Times New Roman"/>
                <w:bCs/>
                <w:sz w:val="24"/>
              </w:rPr>
              <w:t>运输车辆行驶时</w:t>
            </w:r>
            <w:r>
              <w:rPr>
                <w:rFonts w:hint="eastAsia" w:ascii="Times New Roman" w:hAnsi="Times New Roman" w:eastAsia="宋体" w:cs="Times New Roman"/>
                <w:bCs/>
                <w:sz w:val="24"/>
              </w:rPr>
              <w:t>空车的</w:t>
            </w:r>
            <w:r>
              <w:rPr>
                <w:rFonts w:ascii="Times New Roman" w:hAnsi="Times New Roman" w:eastAsia="宋体" w:cs="Times New Roman"/>
                <w:bCs/>
                <w:sz w:val="24"/>
              </w:rPr>
              <w:t>扬尘产生量为</w:t>
            </w:r>
            <w:r>
              <w:rPr>
                <w:rFonts w:hint="eastAsia" w:ascii="Times New Roman" w:hAnsi="Times New Roman" w:eastAsia="宋体" w:cs="Times New Roman"/>
                <w:bCs/>
                <w:sz w:val="24"/>
              </w:rPr>
              <w:t>0.057</w:t>
            </w:r>
            <w:r>
              <w:rPr>
                <w:rFonts w:ascii="Times New Roman" w:hAnsi="Times New Roman" w:eastAsia="宋体" w:cs="Times New Roman"/>
                <w:bCs/>
                <w:sz w:val="24"/>
              </w:rPr>
              <w:t>kg/km·辆，</w:t>
            </w:r>
            <w:r>
              <w:rPr>
                <w:rFonts w:hint="eastAsia" w:ascii="Times New Roman" w:hAnsi="Times New Roman" w:eastAsia="宋体" w:cs="Times New Roman"/>
                <w:bCs/>
                <w:sz w:val="24"/>
              </w:rPr>
              <w:t>重车的</w:t>
            </w:r>
            <w:r>
              <w:rPr>
                <w:rFonts w:ascii="Times New Roman" w:hAnsi="Times New Roman" w:eastAsia="宋体" w:cs="Times New Roman"/>
                <w:bCs/>
                <w:sz w:val="24"/>
              </w:rPr>
              <w:t>扬尘产生量为0.</w:t>
            </w:r>
            <w:r>
              <w:rPr>
                <w:rFonts w:hint="eastAsia" w:ascii="Times New Roman" w:hAnsi="Times New Roman" w:eastAsia="宋体" w:cs="Times New Roman"/>
                <w:bCs/>
                <w:sz w:val="24"/>
              </w:rPr>
              <w:t>437</w:t>
            </w:r>
            <w:r>
              <w:rPr>
                <w:rFonts w:ascii="Times New Roman" w:hAnsi="Times New Roman" w:eastAsia="宋体" w:cs="Times New Roman"/>
                <w:bCs/>
                <w:sz w:val="24"/>
              </w:rPr>
              <w:t>kg/km·辆，</w:t>
            </w:r>
            <w:r>
              <w:rPr>
                <w:rFonts w:hint="eastAsia" w:ascii="Times New Roman" w:hAnsi="Times New Roman" w:eastAsia="宋体" w:cs="Times New Roman"/>
                <w:bCs/>
                <w:sz w:val="24"/>
              </w:rPr>
              <w:t>则</w:t>
            </w:r>
            <w:r>
              <w:rPr>
                <w:rFonts w:ascii="Times New Roman" w:hAnsi="Times New Roman" w:eastAsia="宋体" w:cs="Times New Roman"/>
                <w:bCs/>
                <w:sz w:val="24"/>
              </w:rPr>
              <w:t>运输车扬尘产生量为</w:t>
            </w:r>
            <w:r>
              <w:rPr>
                <w:rFonts w:hint="eastAsia" w:ascii="Times New Roman" w:hAnsi="Times New Roman" w:eastAsia="宋体" w:cs="Times New Roman"/>
                <w:bCs/>
                <w:sz w:val="24"/>
                <w:lang w:val="en-US" w:eastAsia="zh-CN"/>
              </w:rPr>
              <w:t>2.964</w:t>
            </w:r>
            <w:r>
              <w:rPr>
                <w:rFonts w:ascii="Times New Roman" w:hAnsi="Times New Roman" w:eastAsia="宋体" w:cs="Times New Roman"/>
                <w:bCs/>
                <w:sz w:val="24"/>
              </w:rPr>
              <w:t>kg/d</w:t>
            </w:r>
            <w:r>
              <w:rPr>
                <w:rFonts w:hint="eastAsia" w:ascii="Times New Roman" w:hAnsi="Times New Roman" w:eastAsia="宋体" w:cs="Times New Roman"/>
                <w:bCs/>
                <w:sz w:val="24"/>
              </w:rPr>
              <w:t>（</w:t>
            </w:r>
            <w:r>
              <w:rPr>
                <w:rFonts w:hint="eastAsia" w:ascii="Times New Roman" w:hAnsi="Times New Roman" w:eastAsia="宋体" w:cs="Times New Roman"/>
                <w:bCs/>
                <w:sz w:val="24"/>
                <w:lang w:val="en-US" w:eastAsia="zh-CN"/>
              </w:rPr>
              <w:t>0.296</w:t>
            </w:r>
            <w:r>
              <w:rPr>
                <w:rFonts w:hint="eastAsia" w:ascii="Times New Roman" w:hAnsi="Times New Roman" w:eastAsia="宋体" w:cs="Times New Roman"/>
                <w:bCs/>
                <w:sz w:val="24"/>
              </w:rPr>
              <w:t>kg/h）</w:t>
            </w:r>
            <w:r>
              <w:rPr>
                <w:rFonts w:ascii="Times New Roman" w:hAnsi="Times New Roman" w:eastAsia="宋体" w:cs="Times New Roman"/>
                <w:bCs/>
                <w:sz w:val="24"/>
              </w:rPr>
              <w:t>，</w:t>
            </w:r>
            <w:r>
              <w:rPr>
                <w:rFonts w:hint="eastAsia" w:ascii="Times New Roman" w:hAnsi="Times New Roman" w:eastAsia="宋体" w:cs="Times New Roman"/>
                <w:bCs/>
                <w:sz w:val="24"/>
                <w:lang w:val="en-US" w:eastAsia="zh-CN"/>
              </w:rPr>
              <w:t>1.08</w:t>
            </w:r>
            <w:r>
              <w:rPr>
                <w:rFonts w:ascii="Times New Roman" w:hAnsi="Times New Roman" w:eastAsia="宋体" w:cs="Times New Roman"/>
                <w:bCs/>
                <w:sz w:val="24"/>
              </w:rPr>
              <w:t>t/a。</w:t>
            </w:r>
          </w:p>
          <w:p>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治理措施：为保证运输车辆扬尘不会对周围环境造成影响，建设单位采取以下治理措施：</w:t>
            </w:r>
          </w:p>
          <w:p>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1）对项目区道路地面进行硬化，每天进行</w:t>
            </w:r>
            <w:r>
              <w:rPr>
                <w:rFonts w:hint="eastAsia" w:ascii="Times New Roman" w:hAnsi="Times New Roman" w:eastAsia="宋体" w:cs="Times New Roman"/>
                <w:bCs/>
                <w:sz w:val="24"/>
                <w:lang w:val="en-US" w:eastAsia="zh-CN"/>
              </w:rPr>
              <w:t>至少</w:t>
            </w:r>
            <w:r>
              <w:rPr>
                <w:rFonts w:ascii="Times New Roman" w:hAnsi="Times New Roman" w:eastAsia="宋体" w:cs="Times New Roman"/>
                <w:bCs/>
                <w:sz w:val="24"/>
              </w:rPr>
              <w:t>3次洒水降尘，还应定期维护厂区道路地面；</w:t>
            </w:r>
          </w:p>
          <w:p>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2）厂区设置</w:t>
            </w:r>
            <w:r>
              <w:rPr>
                <w:rFonts w:hint="eastAsia" w:ascii="Times New Roman" w:hAnsi="Times New Roman" w:eastAsia="宋体" w:cs="Times New Roman"/>
                <w:bCs/>
                <w:sz w:val="24"/>
                <w:lang w:val="en-US" w:eastAsia="zh-CN"/>
              </w:rPr>
              <w:t>洗车槽</w:t>
            </w:r>
            <w:r>
              <w:rPr>
                <w:rFonts w:ascii="Times New Roman" w:hAnsi="Times New Roman" w:eastAsia="宋体" w:cs="Times New Roman"/>
                <w:bCs/>
                <w:sz w:val="24"/>
              </w:rPr>
              <w:t>，清洗车轮泥土；</w:t>
            </w:r>
          </w:p>
          <w:p>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3）车辆运输过程，选用密闭车辆或车辆加盖防尘帆布，不得超重、超载，沿途运输途径敏感目标时应减速行驶，低速通过。类比同类项目分析，为减少车辆运输起尘，对厂区道路堆场进行硬化处理，对汽车和行使路面进行洒水降尘抑尘效率能达到90%以上，起到很好的降尘效果。</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bCs/>
                <w:sz w:val="24"/>
              </w:rPr>
              <w:t>采取以</w:t>
            </w:r>
            <w:r>
              <w:rPr>
                <w:rFonts w:ascii="Times New Roman" w:hAnsi="Times New Roman" w:eastAsia="宋体" w:cs="Times New Roman"/>
                <w:sz w:val="24"/>
              </w:rPr>
              <w:t>上治理措施后，抑尘效率可达90%以上，同时减少运输过程中对沿途环境产生的扬尘污染，车辆运输过程最终的无组织扬尘排放量为</w:t>
            </w:r>
            <w:r>
              <w:rPr>
                <w:rFonts w:hint="eastAsia" w:ascii="Times New Roman" w:hAnsi="Times New Roman" w:eastAsia="宋体" w:cs="Times New Roman"/>
                <w:sz w:val="24"/>
                <w:lang w:val="en-US" w:eastAsia="zh-CN"/>
              </w:rPr>
              <w:t>0.108</w:t>
            </w:r>
            <w:r>
              <w:rPr>
                <w:rFonts w:ascii="Times New Roman" w:hAnsi="Times New Roman" w:eastAsia="宋体" w:cs="Times New Roman"/>
                <w:sz w:val="24"/>
              </w:rPr>
              <w:t>t/a</w:t>
            </w:r>
            <w:r>
              <w:rPr>
                <w:rFonts w:hint="eastAsia" w:ascii="Times New Roman" w:hAnsi="Times New Roman" w:eastAsia="宋体" w:cs="Times New Roman"/>
                <w:sz w:val="24"/>
              </w:rPr>
              <w:t>，治理措施经济技术可行</w:t>
            </w:r>
            <w:r>
              <w:rPr>
                <w:rFonts w:ascii="Times New Roman" w:hAnsi="Times New Roman" w:eastAsia="宋体" w:cs="Times New Roman"/>
                <w:sz w:val="24"/>
              </w:rPr>
              <w:t>。项目运输时间按</w:t>
            </w:r>
            <w:r>
              <w:rPr>
                <w:rFonts w:hint="eastAsia" w:ascii="Times New Roman" w:hAnsi="Times New Roman" w:eastAsia="宋体" w:cs="Times New Roman"/>
                <w:sz w:val="24"/>
                <w:lang w:val="en-US" w:eastAsia="zh-CN"/>
              </w:rPr>
              <w:t>10</w:t>
            </w:r>
            <w:r>
              <w:rPr>
                <w:rFonts w:ascii="Times New Roman" w:hAnsi="Times New Roman" w:eastAsia="宋体" w:cs="Times New Roman"/>
                <w:sz w:val="24"/>
              </w:rPr>
              <w:t>h/d计算，年工作天数共</w:t>
            </w:r>
            <w:r>
              <w:rPr>
                <w:rFonts w:hint="eastAsia" w:ascii="Times New Roman" w:hAnsi="Times New Roman" w:eastAsia="宋体" w:cs="Times New Roman"/>
                <w:sz w:val="24"/>
              </w:rPr>
              <w:t>3</w:t>
            </w:r>
            <w:r>
              <w:rPr>
                <w:rFonts w:hint="eastAsia" w:ascii="Times New Roman" w:hAnsi="Times New Roman" w:eastAsia="宋体" w:cs="Times New Roman"/>
                <w:sz w:val="24"/>
                <w:lang w:val="en-US" w:eastAsia="zh-CN"/>
              </w:rPr>
              <w:t>65</w:t>
            </w:r>
            <w:r>
              <w:rPr>
                <w:rFonts w:ascii="Times New Roman" w:hAnsi="Times New Roman" w:eastAsia="宋体" w:cs="Times New Roman"/>
                <w:sz w:val="24"/>
              </w:rPr>
              <w:t>d，则本项目运输过程中产生的粉尘源强0.0</w:t>
            </w:r>
            <w:r>
              <w:rPr>
                <w:rFonts w:hint="eastAsia" w:ascii="Times New Roman" w:hAnsi="Times New Roman" w:eastAsia="宋体" w:cs="Times New Roman"/>
                <w:sz w:val="24"/>
              </w:rPr>
              <w:t>3</w:t>
            </w:r>
            <w:r>
              <w:rPr>
                <w:rFonts w:ascii="Times New Roman" w:hAnsi="Times New Roman" w:eastAsia="宋体" w:cs="Times New Roman"/>
                <w:sz w:val="24"/>
              </w:rPr>
              <w:t>kg/h。</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cs="Times New Roman"/>
                <w:b/>
                <w:bCs/>
                <w:sz w:val="24"/>
                <w:lang w:val="en-US" w:eastAsia="zh-CN"/>
              </w:rPr>
              <w:t>②</w:t>
            </w:r>
            <w:r>
              <w:rPr>
                <w:rFonts w:hint="default" w:ascii="Times New Roman" w:hAnsi="Times New Roman" w:eastAsia="宋体" w:cs="Times New Roman"/>
                <w:b/>
                <w:bCs/>
                <w:sz w:val="24"/>
                <w:lang w:val="en-US" w:eastAsia="zh-CN"/>
              </w:rPr>
              <w:t>填埋场堆料扬尘</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建筑垃圾露天堆放，在摊平及堆存过程会产生风力扬尘，扬尘产生量与垃圾湿度和气候有关，呈无组织形式排放。本次建筑垃圾堆起尘量按照西安冶金建筑学院起尘量推荐公式计算</w:t>
            </w:r>
            <w:r>
              <w:rPr>
                <w:rFonts w:hint="eastAsia" w:ascii="Times New Roman" w:hAnsi="Times New Roman" w:eastAsia="宋体" w:cs="Times New Roman"/>
                <w:sz w:val="24"/>
                <w:lang w:val="en-US" w:eastAsia="zh-CN"/>
              </w:rPr>
              <w:t>：</w:t>
            </w:r>
          </w:p>
          <w:p>
            <w:pPr>
              <w:adjustRightInd w:val="0"/>
              <w:snapToGrid w:val="0"/>
              <w:spacing w:line="360" w:lineRule="auto"/>
              <w:ind w:firstLine="480" w:firstLineChars="200"/>
              <w:jc w:val="center"/>
              <w:rPr>
                <w:sz w:val="24"/>
              </w:rPr>
            </w:pPr>
            <w:r>
              <w:rPr>
                <w:position w:val="-14"/>
                <w:sz w:val="24"/>
              </w:rPr>
              <w:object>
                <v:shape id="_x0000_i1037" o:spt="75" type="#_x0000_t75" style="height:20pt;width:127pt;" o:ole="t" filled="f" o:preferrelative="t" stroked="f" coordsize="21600,21600">
                  <v:path/>
                  <v:fill on="f" focussize="0,0"/>
                  <v:stroke on="f" joinstyle="miter"/>
                  <v:imagedata r:id="rId25" o:title=""/>
                  <o:lock v:ext="edit" aspectratio="t"/>
                  <w10:wrap type="none"/>
                  <w10:anchorlock/>
                </v:shape>
                <o:OLEObject Type="Embed" ProgID="Equation.KSEE3" ShapeID="_x0000_i1037" DrawAspect="Content" ObjectID="_1468075731" r:id="rId24">
                  <o:LockedField>false</o:LockedField>
                </o:OLEObject>
              </w:object>
            </w:r>
          </w:p>
          <w:p>
            <w:pPr>
              <w:adjustRightInd w:val="0"/>
              <w:snapToGrid w:val="0"/>
              <w:spacing w:line="360" w:lineRule="auto"/>
              <w:ind w:firstLine="480" w:firstLineChars="200"/>
              <w:rPr>
                <w:bCs/>
                <w:sz w:val="24"/>
              </w:rPr>
            </w:pPr>
            <w:r>
              <w:rPr>
                <w:bCs/>
                <w:sz w:val="24"/>
              </w:rPr>
              <w:t>式中：</w:t>
            </w:r>
            <w:r>
              <w:rPr>
                <w:bCs/>
                <w:i/>
                <w:sz w:val="24"/>
              </w:rPr>
              <w:t>Q</w:t>
            </w:r>
            <w:r>
              <w:rPr>
                <w:bCs/>
                <w:i/>
                <w:sz w:val="24"/>
                <w:vertAlign w:val="subscript"/>
              </w:rPr>
              <w:t>p</w:t>
            </w:r>
            <w:r>
              <w:rPr>
                <w:bCs/>
                <w:sz w:val="24"/>
              </w:rPr>
              <w:t>—起尘量。mg/s；</w:t>
            </w:r>
          </w:p>
          <w:p>
            <w:pPr>
              <w:adjustRightInd w:val="0"/>
              <w:snapToGrid w:val="0"/>
              <w:spacing w:line="360" w:lineRule="auto"/>
              <w:ind w:firstLine="1200" w:firstLineChars="500"/>
              <w:rPr>
                <w:bCs/>
                <w:sz w:val="24"/>
              </w:rPr>
            </w:pPr>
            <w:r>
              <w:rPr>
                <w:bCs/>
                <w:i/>
                <w:sz w:val="24"/>
              </w:rPr>
              <w:t>A</w:t>
            </w:r>
            <w:r>
              <w:rPr>
                <w:bCs/>
                <w:i/>
                <w:sz w:val="24"/>
                <w:vertAlign w:val="subscript"/>
              </w:rPr>
              <w:t>p</w:t>
            </w:r>
            <w:r>
              <w:rPr>
                <w:bCs/>
                <w:sz w:val="24"/>
              </w:rPr>
              <w:t>—灰场的起尘面积。m</w:t>
            </w:r>
            <w:r>
              <w:rPr>
                <w:bCs/>
                <w:sz w:val="24"/>
                <w:vertAlign w:val="superscript"/>
              </w:rPr>
              <w:t>2</w:t>
            </w:r>
            <w:r>
              <w:rPr>
                <w:bCs/>
                <w:sz w:val="24"/>
              </w:rPr>
              <w:t>；</w:t>
            </w:r>
          </w:p>
          <w:p>
            <w:pPr>
              <w:adjustRightInd w:val="0"/>
              <w:snapToGrid w:val="0"/>
              <w:spacing w:line="360" w:lineRule="auto"/>
              <w:ind w:firstLine="1200" w:firstLineChars="500"/>
              <w:rPr>
                <w:sz w:val="24"/>
              </w:rPr>
            </w:pPr>
            <w:r>
              <w:rPr>
                <w:bCs/>
                <w:i/>
                <w:sz w:val="24"/>
              </w:rPr>
              <w:t>U</w:t>
            </w:r>
            <w:r>
              <w:rPr>
                <w:bCs/>
                <w:sz w:val="24"/>
              </w:rPr>
              <w:t>—灰场平均风速，m/s。</w:t>
            </w:r>
          </w:p>
          <w:p>
            <w:pPr>
              <w:adjustRightInd w:val="0"/>
              <w:snapToGrid w:val="0"/>
              <w:spacing w:line="360" w:lineRule="auto"/>
              <w:ind w:firstLine="482"/>
              <w:rPr>
                <w:rFonts w:ascii="Times New Roman" w:hAnsi="Times New Roman" w:eastAsia="宋体" w:cs="Times New Roman"/>
                <w:sz w:val="24"/>
              </w:rPr>
            </w:pPr>
            <w:r>
              <w:rPr>
                <w:rFonts w:hint="eastAsia" w:ascii="Times New Roman" w:hAnsi="Times New Roman" w:eastAsia="宋体" w:cs="Times New Roman"/>
                <w:sz w:val="24"/>
                <w:lang w:val="en-US" w:eastAsia="zh-CN"/>
              </w:rPr>
              <w:t>建筑垃圾堆场约5000m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w:t>
            </w:r>
            <w:r>
              <w:rPr>
                <w:rFonts w:hint="eastAsia"/>
                <w:sz w:val="24"/>
              </w:rPr>
              <w:t>区域风速约1.</w:t>
            </w:r>
            <w:r>
              <w:rPr>
                <w:rFonts w:hint="eastAsia"/>
                <w:sz w:val="24"/>
                <w:lang w:val="en-US" w:eastAsia="zh-CN"/>
              </w:rPr>
              <w:t>2</w:t>
            </w:r>
            <w:r>
              <w:rPr>
                <w:rFonts w:hint="eastAsia"/>
                <w:sz w:val="24"/>
              </w:rPr>
              <w:t>m/s</w:t>
            </w:r>
            <w:r>
              <w:rPr>
                <w:rFonts w:hint="eastAsia"/>
                <w:sz w:val="24"/>
                <w:lang w:eastAsia="zh-CN"/>
              </w:rPr>
              <w:t>，</w:t>
            </w:r>
            <w:r>
              <w:rPr>
                <w:rFonts w:hint="eastAsia" w:ascii="Times New Roman" w:hAnsi="Times New Roman" w:eastAsia="宋体" w:cs="Times New Roman"/>
                <w:sz w:val="24"/>
              </w:rPr>
              <w:t>扬尘高度</w:t>
            </w:r>
            <w:r>
              <w:rPr>
                <w:rFonts w:hint="eastAsia" w:ascii="Times New Roman" w:hAnsi="Times New Roman" w:eastAsia="宋体" w:cs="Times New Roman"/>
                <w:sz w:val="24"/>
                <w:lang w:val="en-US" w:eastAsia="zh-CN"/>
              </w:rPr>
              <w:t>约</w:t>
            </w:r>
            <w:r>
              <w:rPr>
                <w:rFonts w:hint="eastAsia" w:ascii="Times New Roman" w:hAnsi="Times New Roman" w:eastAsia="宋体" w:cs="Times New Roman"/>
                <w:sz w:val="24"/>
              </w:rPr>
              <w:t>为10m，计算得到，该堆场起尘量为：</w:t>
            </w:r>
            <w:r>
              <w:rPr>
                <w:rFonts w:ascii="Times New Roman" w:hAnsi="Times New Roman" w:eastAsia="宋体" w:cs="Times New Roman"/>
                <w:sz w:val="24"/>
              </w:rPr>
              <w:t>Qp=4.23×10</w:t>
            </w:r>
            <w:r>
              <w:rPr>
                <w:rFonts w:ascii="Times New Roman" w:hAnsi="Times New Roman" w:eastAsia="宋体" w:cs="Times New Roman"/>
                <w:sz w:val="24"/>
                <w:vertAlign w:val="superscript"/>
              </w:rPr>
              <w:t>-4</w:t>
            </w:r>
            <w:r>
              <w:rPr>
                <w:rFonts w:ascii="Times New Roman" w:hAnsi="Times New Roman" w:eastAsia="宋体" w:cs="Times New Roman"/>
                <w:sz w:val="24"/>
              </w:rPr>
              <w:t>×1.</w:t>
            </w:r>
            <w:r>
              <w:rPr>
                <w:rFonts w:hint="eastAsia" w:ascii="Times New Roman" w:hAnsi="Times New Roman" w:eastAsia="宋体" w:cs="Times New Roman"/>
                <w:sz w:val="24"/>
                <w:lang w:val="en-US" w:eastAsia="zh-CN"/>
              </w:rPr>
              <w:t>2</w:t>
            </w:r>
            <w:r>
              <w:rPr>
                <w:rFonts w:ascii="Times New Roman" w:hAnsi="Times New Roman" w:eastAsia="宋体" w:cs="Times New Roman"/>
                <w:sz w:val="24"/>
                <w:vertAlign w:val="superscript"/>
              </w:rPr>
              <w:t>4.9</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5000</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5.16</w:t>
            </w:r>
            <w:r>
              <w:rPr>
                <w:rFonts w:ascii="Times New Roman" w:hAnsi="Times New Roman" w:eastAsia="宋体" w:cs="Times New Roman"/>
                <w:bCs/>
                <w:sz w:val="24"/>
              </w:rPr>
              <w:t>mg/s</w:t>
            </w:r>
            <w:r>
              <w:rPr>
                <w:rFonts w:hint="eastAsia" w:ascii="Times New Roman" w:hAnsi="Times New Roman" w:eastAsia="宋体" w:cs="Times New Roman"/>
                <w:bCs/>
                <w:sz w:val="24"/>
              </w:rPr>
              <w:t>，0.</w:t>
            </w:r>
            <w:r>
              <w:rPr>
                <w:rFonts w:hint="eastAsia" w:ascii="Times New Roman" w:hAnsi="Times New Roman" w:eastAsia="宋体" w:cs="Times New Roman"/>
                <w:bCs/>
                <w:sz w:val="24"/>
                <w:lang w:val="en-US" w:eastAsia="zh-CN"/>
              </w:rPr>
              <w:t>02</w:t>
            </w:r>
            <w:r>
              <w:rPr>
                <w:rFonts w:hint="eastAsia" w:ascii="Times New Roman" w:hAnsi="Times New Roman" w:eastAsia="宋体" w:cs="Times New Roman"/>
                <w:bCs/>
                <w:sz w:val="24"/>
              </w:rPr>
              <w:t>kg/h，</w:t>
            </w:r>
            <w:r>
              <w:rPr>
                <w:rFonts w:hint="eastAsia" w:ascii="Times New Roman" w:hAnsi="Times New Roman" w:eastAsia="宋体" w:cs="Times New Roman"/>
                <w:bCs/>
                <w:sz w:val="24"/>
                <w:lang w:val="en-US" w:eastAsia="zh-CN"/>
              </w:rPr>
              <w:t>0.175</w:t>
            </w:r>
            <w:r>
              <w:rPr>
                <w:rFonts w:hint="eastAsia" w:ascii="Times New Roman" w:hAnsi="Times New Roman" w:eastAsia="宋体" w:cs="Times New Roman"/>
                <w:bCs/>
                <w:sz w:val="24"/>
              </w:rPr>
              <w:t>t/</w:t>
            </w:r>
            <w:r>
              <w:rPr>
                <w:rFonts w:hint="eastAsia" w:ascii="Times New Roman" w:hAnsi="Times New Roman" w:eastAsia="宋体" w:cs="Times New Roman"/>
                <w:sz w:val="24"/>
              </w:rPr>
              <w:t>a。</w:t>
            </w:r>
            <w:r>
              <w:rPr>
                <w:rFonts w:ascii="Times New Roman" w:hAnsi="Times New Roman" w:eastAsia="宋体" w:cs="Times New Roman"/>
                <w:sz w:val="24"/>
              </w:rPr>
              <w:t>产生的该部分粉尘以无组织形式排放。</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③混凝土块堆场粉尘</w:t>
            </w:r>
          </w:p>
          <w:p>
            <w:pPr>
              <w:adjustRightInd w:val="0"/>
              <w:snapToGrid w:val="0"/>
              <w:spacing w:line="360" w:lineRule="auto"/>
              <w:ind w:firstLine="480" w:firstLineChars="200"/>
              <w:rPr>
                <w:sz w:val="24"/>
              </w:rPr>
            </w:pPr>
            <w:r>
              <w:rPr>
                <w:bCs/>
                <w:sz w:val="24"/>
              </w:rPr>
              <w:t>参照西安冶金建筑学院的起尘量推荐公式：</w:t>
            </w:r>
          </w:p>
          <w:p>
            <w:pPr>
              <w:adjustRightInd w:val="0"/>
              <w:snapToGrid w:val="0"/>
              <w:spacing w:line="360" w:lineRule="auto"/>
              <w:ind w:firstLine="480" w:firstLineChars="200"/>
              <w:jc w:val="center"/>
              <w:rPr>
                <w:sz w:val="24"/>
              </w:rPr>
            </w:pPr>
            <w:r>
              <w:rPr>
                <w:position w:val="-14"/>
                <w:sz w:val="24"/>
              </w:rPr>
              <w:object>
                <v:shape id="_x0000_i1038" o:spt="75" type="#_x0000_t75" style="height:20pt;width:127pt;" o:ole="t" filled="f" o:preferrelative="t" stroked="f" coordsize="21600,21600">
                  <v:path/>
                  <v:fill on="f" focussize="0,0"/>
                  <v:stroke on="f" joinstyle="miter"/>
                  <v:imagedata r:id="rId25" o:title=""/>
                  <o:lock v:ext="edit" aspectratio="t"/>
                  <w10:wrap type="none"/>
                  <w10:anchorlock/>
                </v:shape>
                <o:OLEObject Type="Embed" ProgID="Equation.KSEE3" ShapeID="_x0000_i1038" DrawAspect="Content" ObjectID="_1468075732" r:id="rId26">
                  <o:LockedField>false</o:LockedField>
                </o:OLEObject>
              </w:object>
            </w:r>
          </w:p>
          <w:p>
            <w:pPr>
              <w:adjustRightInd w:val="0"/>
              <w:snapToGrid w:val="0"/>
              <w:spacing w:line="360" w:lineRule="auto"/>
              <w:ind w:firstLine="480" w:firstLineChars="200"/>
              <w:rPr>
                <w:bCs/>
                <w:sz w:val="24"/>
              </w:rPr>
            </w:pPr>
            <w:r>
              <w:rPr>
                <w:bCs/>
                <w:sz w:val="24"/>
              </w:rPr>
              <w:t>式中：</w:t>
            </w:r>
            <w:r>
              <w:rPr>
                <w:bCs/>
                <w:i/>
                <w:sz w:val="24"/>
              </w:rPr>
              <w:t>Q</w:t>
            </w:r>
            <w:r>
              <w:rPr>
                <w:bCs/>
                <w:i/>
                <w:sz w:val="24"/>
                <w:vertAlign w:val="subscript"/>
              </w:rPr>
              <w:t>p</w:t>
            </w:r>
            <w:r>
              <w:rPr>
                <w:bCs/>
                <w:sz w:val="24"/>
              </w:rPr>
              <w:t>—起尘量。mg/s；</w:t>
            </w:r>
          </w:p>
          <w:p>
            <w:pPr>
              <w:adjustRightInd w:val="0"/>
              <w:snapToGrid w:val="0"/>
              <w:spacing w:line="360" w:lineRule="auto"/>
              <w:ind w:firstLine="1200" w:firstLineChars="500"/>
              <w:rPr>
                <w:bCs/>
                <w:sz w:val="24"/>
              </w:rPr>
            </w:pPr>
            <w:r>
              <w:rPr>
                <w:bCs/>
                <w:i/>
                <w:sz w:val="24"/>
              </w:rPr>
              <w:t>A</w:t>
            </w:r>
            <w:r>
              <w:rPr>
                <w:bCs/>
                <w:i/>
                <w:sz w:val="24"/>
                <w:vertAlign w:val="subscript"/>
              </w:rPr>
              <w:t>p</w:t>
            </w:r>
            <w:r>
              <w:rPr>
                <w:bCs/>
                <w:sz w:val="24"/>
              </w:rPr>
              <w:t>—灰场的起尘面积。m</w:t>
            </w:r>
            <w:r>
              <w:rPr>
                <w:bCs/>
                <w:sz w:val="24"/>
                <w:vertAlign w:val="superscript"/>
              </w:rPr>
              <w:t>2</w:t>
            </w:r>
            <w:r>
              <w:rPr>
                <w:bCs/>
                <w:sz w:val="24"/>
              </w:rPr>
              <w:t>；</w:t>
            </w:r>
          </w:p>
          <w:p>
            <w:pPr>
              <w:adjustRightInd w:val="0"/>
              <w:snapToGrid w:val="0"/>
              <w:spacing w:line="360" w:lineRule="auto"/>
              <w:ind w:firstLine="1200" w:firstLineChars="500"/>
              <w:rPr>
                <w:sz w:val="24"/>
              </w:rPr>
            </w:pPr>
            <w:r>
              <w:rPr>
                <w:bCs/>
                <w:i/>
                <w:sz w:val="24"/>
              </w:rPr>
              <w:t>U</w:t>
            </w:r>
            <w:r>
              <w:rPr>
                <w:bCs/>
                <w:sz w:val="24"/>
              </w:rPr>
              <w:t>—灰场平均风速，m/s。</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建筑垃圾堆场约900m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w:t>
            </w:r>
            <w:r>
              <w:rPr>
                <w:rFonts w:hint="eastAsia"/>
                <w:sz w:val="24"/>
              </w:rPr>
              <w:t>区域风速约1.</w:t>
            </w:r>
            <w:r>
              <w:rPr>
                <w:rFonts w:hint="eastAsia"/>
                <w:sz w:val="24"/>
                <w:lang w:val="en-US" w:eastAsia="zh-CN"/>
              </w:rPr>
              <w:t>2</w:t>
            </w:r>
            <w:r>
              <w:rPr>
                <w:rFonts w:hint="eastAsia"/>
                <w:sz w:val="24"/>
              </w:rPr>
              <w:t>m/s</w:t>
            </w:r>
            <w:r>
              <w:rPr>
                <w:rFonts w:hint="eastAsia"/>
                <w:sz w:val="24"/>
                <w:lang w:eastAsia="zh-CN"/>
              </w:rPr>
              <w:t>，</w:t>
            </w:r>
            <w:r>
              <w:rPr>
                <w:rFonts w:hint="eastAsia" w:ascii="Times New Roman" w:hAnsi="Times New Roman" w:eastAsia="宋体" w:cs="Times New Roman"/>
                <w:sz w:val="24"/>
              </w:rPr>
              <w:t>扬尘高度</w:t>
            </w:r>
            <w:r>
              <w:rPr>
                <w:rFonts w:hint="eastAsia" w:ascii="Times New Roman" w:hAnsi="Times New Roman" w:eastAsia="宋体" w:cs="Times New Roman"/>
                <w:sz w:val="24"/>
                <w:lang w:val="en-US" w:eastAsia="zh-CN"/>
              </w:rPr>
              <w:t>约</w:t>
            </w:r>
            <w:r>
              <w:rPr>
                <w:rFonts w:hint="eastAsia" w:ascii="Times New Roman" w:hAnsi="Times New Roman" w:eastAsia="宋体" w:cs="Times New Roman"/>
                <w:sz w:val="24"/>
              </w:rPr>
              <w:t>为10m，计算得到，该堆场起尘量为：</w:t>
            </w:r>
            <w:r>
              <w:rPr>
                <w:rFonts w:ascii="Times New Roman" w:hAnsi="Times New Roman" w:eastAsia="宋体" w:cs="Times New Roman"/>
                <w:sz w:val="24"/>
              </w:rPr>
              <w:t>Qp=4.23×10</w:t>
            </w:r>
            <w:r>
              <w:rPr>
                <w:rFonts w:ascii="Times New Roman" w:hAnsi="Times New Roman" w:eastAsia="宋体" w:cs="Times New Roman"/>
                <w:sz w:val="24"/>
                <w:vertAlign w:val="superscript"/>
              </w:rPr>
              <w:t>-4</w:t>
            </w:r>
            <w:r>
              <w:rPr>
                <w:rFonts w:ascii="Times New Roman" w:hAnsi="Times New Roman" w:eastAsia="宋体" w:cs="Times New Roman"/>
                <w:sz w:val="24"/>
              </w:rPr>
              <w:t>×1.</w:t>
            </w:r>
            <w:r>
              <w:rPr>
                <w:rFonts w:hint="eastAsia" w:ascii="Times New Roman" w:hAnsi="Times New Roman" w:eastAsia="宋体" w:cs="Times New Roman"/>
                <w:sz w:val="24"/>
                <w:lang w:val="en-US" w:eastAsia="zh-CN"/>
              </w:rPr>
              <w:t>2</w:t>
            </w:r>
            <w:r>
              <w:rPr>
                <w:rFonts w:ascii="Times New Roman" w:hAnsi="Times New Roman" w:eastAsia="宋体" w:cs="Times New Roman"/>
                <w:sz w:val="24"/>
                <w:vertAlign w:val="superscript"/>
              </w:rPr>
              <w:t>4.9</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900</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0.93</w:t>
            </w:r>
            <w:r>
              <w:rPr>
                <w:rFonts w:ascii="Times New Roman" w:hAnsi="Times New Roman" w:eastAsia="宋体" w:cs="Times New Roman"/>
                <w:bCs/>
                <w:sz w:val="24"/>
              </w:rPr>
              <w:t>mg/s</w:t>
            </w:r>
            <w:r>
              <w:rPr>
                <w:rFonts w:hint="eastAsia" w:ascii="Times New Roman" w:hAnsi="Times New Roman" w:eastAsia="宋体" w:cs="Times New Roman"/>
                <w:bCs/>
                <w:sz w:val="24"/>
              </w:rPr>
              <w:t>，0.</w:t>
            </w:r>
            <w:r>
              <w:rPr>
                <w:rFonts w:hint="eastAsia" w:ascii="Times New Roman" w:hAnsi="Times New Roman" w:eastAsia="宋体" w:cs="Times New Roman"/>
                <w:bCs/>
                <w:sz w:val="24"/>
                <w:lang w:val="en-US" w:eastAsia="zh-CN"/>
              </w:rPr>
              <w:t>0034</w:t>
            </w:r>
            <w:r>
              <w:rPr>
                <w:rFonts w:hint="eastAsia" w:ascii="Times New Roman" w:hAnsi="Times New Roman" w:eastAsia="宋体" w:cs="Times New Roman"/>
                <w:bCs/>
                <w:sz w:val="24"/>
              </w:rPr>
              <w:t>kg/h，</w:t>
            </w:r>
            <w:r>
              <w:rPr>
                <w:rFonts w:hint="eastAsia" w:ascii="Times New Roman" w:hAnsi="Times New Roman" w:eastAsia="宋体" w:cs="Times New Roman"/>
                <w:bCs/>
                <w:sz w:val="24"/>
                <w:lang w:val="en-US" w:eastAsia="zh-CN"/>
              </w:rPr>
              <w:t>0.03</w:t>
            </w:r>
            <w:r>
              <w:rPr>
                <w:rFonts w:hint="eastAsia" w:ascii="Times New Roman" w:hAnsi="Times New Roman" w:eastAsia="宋体" w:cs="Times New Roman"/>
                <w:bCs/>
                <w:sz w:val="24"/>
              </w:rPr>
              <w:t>t/</w:t>
            </w:r>
            <w:r>
              <w:rPr>
                <w:rFonts w:hint="eastAsia" w:ascii="Times New Roman" w:hAnsi="Times New Roman" w:eastAsia="宋体" w:cs="Times New Roman"/>
                <w:sz w:val="24"/>
              </w:rPr>
              <w:t>a。</w:t>
            </w:r>
          </w:p>
          <w:p>
            <w:pPr>
              <w:adjustRightInd w:val="0"/>
              <w:snapToGrid w:val="0"/>
              <w:spacing w:line="360" w:lineRule="auto"/>
              <w:ind w:firstLine="482"/>
              <w:rPr>
                <w:rFonts w:hint="eastAsia" w:ascii="Times New Roman" w:hAnsi="Times New Roman" w:eastAsia="宋体" w:cs="Times New Roman"/>
                <w:b/>
                <w:bCs/>
                <w:sz w:val="24"/>
                <w:lang w:val="en-US" w:eastAsia="zh-CN"/>
              </w:rPr>
            </w:pPr>
            <w:r>
              <w:rPr>
                <w:rFonts w:hint="eastAsia" w:ascii="Times New Roman" w:hAnsi="Times New Roman" w:eastAsia="宋体" w:cs="Times New Roman"/>
                <w:sz w:val="24"/>
                <w:lang w:val="en-US" w:eastAsia="zh-CN"/>
              </w:rPr>
              <w:t>为减少破碎阶段粉尘，同时减少风力扬尘，定时对该堆场进行洒水降尘，</w:t>
            </w:r>
            <w:r>
              <w:rPr>
                <w:rFonts w:hint="eastAsia"/>
                <w:sz w:val="24"/>
              </w:rPr>
              <w:t>降尘率为</w:t>
            </w:r>
            <w:r>
              <w:rPr>
                <w:rFonts w:hint="eastAsia"/>
                <w:sz w:val="24"/>
                <w:lang w:val="en-US" w:eastAsia="zh-CN"/>
              </w:rPr>
              <w:t>60</w:t>
            </w:r>
            <w:r>
              <w:rPr>
                <w:rFonts w:hint="eastAsia"/>
                <w:sz w:val="24"/>
              </w:rPr>
              <w:t>%以上</w:t>
            </w:r>
            <w:r>
              <w:rPr>
                <w:rFonts w:hint="eastAsia"/>
                <w:sz w:val="24"/>
                <w:lang w:eastAsia="zh-CN"/>
              </w:rPr>
              <w:t>，因此粉尘无组织排放量为</w:t>
            </w:r>
            <w:r>
              <w:rPr>
                <w:rFonts w:hint="eastAsia"/>
                <w:sz w:val="24"/>
                <w:lang w:val="en-US" w:eastAsia="zh-CN"/>
              </w:rPr>
              <w:t>0.0123t/a，0.0014kg/h。</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④混凝土块破碎粉尘</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粉尘产生点主要为履带式破碎筛分设备对混凝土块进行破碎阶段，</w:t>
            </w:r>
            <w:r>
              <w:rPr>
                <w:rFonts w:hint="eastAsia"/>
                <w:sz w:val="24"/>
              </w:rPr>
              <w:t>参考《逸散性工业粉尘控制技术》，破碎加工过程粉尘产生量为0.05kg/t，本项目碎石破碎量约为</w:t>
            </w:r>
            <w:r>
              <w:rPr>
                <w:rFonts w:hint="eastAsia"/>
                <w:sz w:val="24"/>
                <w:lang w:val="en-US" w:eastAsia="zh-CN"/>
              </w:rPr>
              <w:t>10.5</w:t>
            </w:r>
            <w:r>
              <w:rPr>
                <w:rFonts w:hint="eastAsia"/>
                <w:sz w:val="24"/>
              </w:rPr>
              <w:t>万吨，则生产线粉尘生产量为</w:t>
            </w:r>
            <w:r>
              <w:rPr>
                <w:rFonts w:hint="eastAsia"/>
                <w:sz w:val="24"/>
                <w:lang w:val="en-US" w:eastAsia="zh-CN"/>
              </w:rPr>
              <w:t>5.25</w:t>
            </w:r>
            <w:r>
              <w:rPr>
                <w:rFonts w:hint="eastAsia"/>
                <w:sz w:val="24"/>
              </w:rPr>
              <w:t>t/a，</w:t>
            </w:r>
            <w:r>
              <w:rPr>
                <w:rFonts w:hint="eastAsia"/>
                <w:sz w:val="24"/>
                <w:lang w:val="en-US" w:eastAsia="zh-CN"/>
              </w:rPr>
              <w:t>1.44</w:t>
            </w:r>
            <w:r>
              <w:rPr>
                <w:rFonts w:hint="eastAsia"/>
                <w:sz w:val="24"/>
              </w:rPr>
              <w:t>kg/h。</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sz w:val="24"/>
              </w:rPr>
              <w:t>针对这部分粉尘，</w:t>
            </w:r>
            <w:r>
              <w:rPr>
                <w:rFonts w:hint="eastAsia" w:ascii="Times New Roman" w:hAnsi="Times New Roman" w:eastAsia="宋体" w:cs="Times New Roman"/>
                <w:sz w:val="24"/>
                <w:lang w:val="en-US" w:eastAsia="zh-CN"/>
              </w:rPr>
              <w:t>履带式破碎筛分设备在三面围挡+顶部遮棚厂房内进行破碎作业，</w:t>
            </w:r>
            <w:r>
              <w:rPr>
                <w:rFonts w:hint="eastAsia"/>
                <w:sz w:val="24"/>
                <w:lang w:val="en-US" w:eastAsia="zh-CN"/>
              </w:rPr>
              <w:t>生产区厂界四周及破碎设备上方设置喷雾口，达到喷雾降尘、湿法作业方式</w:t>
            </w:r>
            <w:r>
              <w:rPr>
                <w:rFonts w:hint="eastAsia" w:ascii="Times New Roman" w:hAnsi="Times New Roman" w:eastAsia="宋体" w:cs="Times New Roman"/>
                <w:sz w:val="24"/>
                <w:lang w:val="en-US" w:eastAsia="zh-CN"/>
              </w:rPr>
              <w:t>。</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综合考虑，</w:t>
            </w:r>
            <w:r>
              <w:rPr>
                <w:rFonts w:hint="eastAsia"/>
                <w:sz w:val="24"/>
              </w:rPr>
              <w:t>降尘率为</w:t>
            </w:r>
            <w:r>
              <w:rPr>
                <w:rFonts w:hint="eastAsia"/>
                <w:sz w:val="24"/>
                <w:lang w:val="en-US" w:eastAsia="zh-CN"/>
              </w:rPr>
              <w:t>85</w:t>
            </w:r>
            <w:r>
              <w:rPr>
                <w:rFonts w:hint="eastAsia"/>
                <w:sz w:val="24"/>
              </w:rPr>
              <w:t>%以上</w:t>
            </w:r>
            <w:r>
              <w:rPr>
                <w:rFonts w:hint="eastAsia"/>
                <w:sz w:val="24"/>
                <w:lang w:eastAsia="zh-CN"/>
              </w:rPr>
              <w:t>，因此粉尘无组织排放量为</w:t>
            </w:r>
            <w:r>
              <w:rPr>
                <w:rFonts w:hint="eastAsia"/>
                <w:sz w:val="24"/>
                <w:lang w:val="en-US" w:eastAsia="zh-CN"/>
              </w:rPr>
              <w:t>0.788t/a，0.22kg/h。</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⑤成品骨料堆场扬尘</w:t>
            </w:r>
          </w:p>
          <w:p>
            <w:pPr>
              <w:adjustRightInd w:val="0"/>
              <w:snapToGrid w:val="0"/>
              <w:spacing w:line="360" w:lineRule="auto"/>
              <w:ind w:firstLine="480" w:firstLineChars="200"/>
              <w:rPr>
                <w:sz w:val="24"/>
              </w:rPr>
            </w:pPr>
            <w:r>
              <w:rPr>
                <w:bCs/>
                <w:sz w:val="24"/>
              </w:rPr>
              <w:t>参照西安冶金建筑学院的起尘量推荐公式：</w:t>
            </w:r>
          </w:p>
          <w:p>
            <w:pPr>
              <w:adjustRightInd w:val="0"/>
              <w:snapToGrid w:val="0"/>
              <w:spacing w:line="360" w:lineRule="auto"/>
              <w:ind w:firstLine="480" w:firstLineChars="200"/>
              <w:jc w:val="center"/>
              <w:rPr>
                <w:sz w:val="24"/>
              </w:rPr>
            </w:pPr>
            <w:r>
              <w:rPr>
                <w:position w:val="-14"/>
                <w:sz w:val="24"/>
              </w:rPr>
              <w:object>
                <v:shape id="_x0000_i1039" o:spt="75" type="#_x0000_t75" style="height:20pt;width:127pt;" o:ole="t" filled="f" o:preferrelative="t" stroked="f" coordsize="21600,21600">
                  <v:path/>
                  <v:fill on="f" focussize="0,0"/>
                  <v:stroke on="f" joinstyle="miter"/>
                  <v:imagedata r:id="rId25" o:title=""/>
                  <o:lock v:ext="edit" aspectratio="t"/>
                  <w10:wrap type="none"/>
                  <w10:anchorlock/>
                </v:shape>
                <o:OLEObject Type="Embed" ProgID="Equation.KSEE3" ShapeID="_x0000_i1039" DrawAspect="Content" ObjectID="_1468075733" r:id="rId27">
                  <o:LockedField>false</o:LockedField>
                </o:OLEObject>
              </w:object>
            </w:r>
          </w:p>
          <w:p>
            <w:pPr>
              <w:adjustRightInd w:val="0"/>
              <w:snapToGrid w:val="0"/>
              <w:spacing w:line="360" w:lineRule="auto"/>
              <w:ind w:firstLine="480" w:firstLineChars="200"/>
              <w:rPr>
                <w:bCs/>
                <w:sz w:val="24"/>
              </w:rPr>
            </w:pPr>
            <w:r>
              <w:rPr>
                <w:bCs/>
                <w:sz w:val="24"/>
              </w:rPr>
              <w:t>式中：</w:t>
            </w:r>
            <w:r>
              <w:rPr>
                <w:bCs/>
                <w:i/>
                <w:sz w:val="24"/>
              </w:rPr>
              <w:t>Q</w:t>
            </w:r>
            <w:r>
              <w:rPr>
                <w:bCs/>
                <w:i/>
                <w:sz w:val="24"/>
                <w:vertAlign w:val="subscript"/>
              </w:rPr>
              <w:t>p</w:t>
            </w:r>
            <w:r>
              <w:rPr>
                <w:bCs/>
                <w:sz w:val="24"/>
              </w:rPr>
              <w:t>—起尘量。mg/s；</w:t>
            </w:r>
          </w:p>
          <w:p>
            <w:pPr>
              <w:adjustRightInd w:val="0"/>
              <w:snapToGrid w:val="0"/>
              <w:spacing w:line="360" w:lineRule="auto"/>
              <w:ind w:firstLine="1200" w:firstLineChars="500"/>
              <w:rPr>
                <w:bCs/>
                <w:sz w:val="24"/>
              </w:rPr>
            </w:pPr>
            <w:r>
              <w:rPr>
                <w:bCs/>
                <w:i/>
                <w:sz w:val="24"/>
              </w:rPr>
              <w:t>A</w:t>
            </w:r>
            <w:r>
              <w:rPr>
                <w:bCs/>
                <w:i/>
                <w:sz w:val="24"/>
                <w:vertAlign w:val="subscript"/>
              </w:rPr>
              <w:t>p</w:t>
            </w:r>
            <w:r>
              <w:rPr>
                <w:bCs/>
                <w:sz w:val="24"/>
              </w:rPr>
              <w:t>—灰场的起尘面积。m</w:t>
            </w:r>
            <w:r>
              <w:rPr>
                <w:bCs/>
                <w:sz w:val="24"/>
                <w:vertAlign w:val="superscript"/>
              </w:rPr>
              <w:t>2</w:t>
            </w:r>
            <w:r>
              <w:rPr>
                <w:bCs/>
                <w:sz w:val="24"/>
              </w:rPr>
              <w:t>；</w:t>
            </w:r>
          </w:p>
          <w:p>
            <w:pPr>
              <w:adjustRightInd w:val="0"/>
              <w:snapToGrid w:val="0"/>
              <w:spacing w:line="360" w:lineRule="auto"/>
              <w:ind w:firstLine="1200" w:firstLineChars="500"/>
              <w:rPr>
                <w:sz w:val="24"/>
              </w:rPr>
            </w:pPr>
            <w:r>
              <w:rPr>
                <w:bCs/>
                <w:i/>
                <w:sz w:val="24"/>
              </w:rPr>
              <w:t>U</w:t>
            </w:r>
            <w:r>
              <w:rPr>
                <w:bCs/>
                <w:sz w:val="24"/>
              </w:rPr>
              <w:t>—灰场平均风速，m/s。</w:t>
            </w:r>
          </w:p>
          <w:p>
            <w:pPr>
              <w:adjustRightInd w:val="0"/>
              <w:snapToGrid w:val="0"/>
              <w:spacing w:line="360" w:lineRule="auto"/>
              <w:ind w:firstLine="482"/>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建筑垃圾堆场约260m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w:t>
            </w:r>
            <w:r>
              <w:rPr>
                <w:rFonts w:hint="eastAsia"/>
                <w:sz w:val="24"/>
              </w:rPr>
              <w:t>区域风速约1.</w:t>
            </w:r>
            <w:r>
              <w:rPr>
                <w:rFonts w:hint="eastAsia"/>
                <w:sz w:val="24"/>
                <w:lang w:val="en-US" w:eastAsia="zh-CN"/>
              </w:rPr>
              <w:t>2</w:t>
            </w:r>
            <w:r>
              <w:rPr>
                <w:rFonts w:hint="eastAsia"/>
                <w:sz w:val="24"/>
              </w:rPr>
              <w:t>m/s</w:t>
            </w:r>
            <w:r>
              <w:rPr>
                <w:rFonts w:hint="eastAsia"/>
                <w:sz w:val="24"/>
                <w:lang w:eastAsia="zh-CN"/>
              </w:rPr>
              <w:t>，</w:t>
            </w:r>
            <w:r>
              <w:rPr>
                <w:rFonts w:hint="eastAsia" w:ascii="Times New Roman" w:hAnsi="Times New Roman" w:eastAsia="宋体" w:cs="Times New Roman"/>
                <w:sz w:val="24"/>
              </w:rPr>
              <w:t>扬尘高度</w:t>
            </w:r>
            <w:r>
              <w:rPr>
                <w:rFonts w:hint="eastAsia" w:ascii="Times New Roman" w:hAnsi="Times New Roman" w:eastAsia="宋体" w:cs="Times New Roman"/>
                <w:sz w:val="24"/>
                <w:lang w:val="en-US" w:eastAsia="zh-CN"/>
              </w:rPr>
              <w:t>约</w:t>
            </w:r>
            <w:r>
              <w:rPr>
                <w:rFonts w:hint="eastAsia" w:ascii="Times New Roman" w:hAnsi="Times New Roman" w:eastAsia="宋体" w:cs="Times New Roman"/>
                <w:sz w:val="24"/>
              </w:rPr>
              <w:t>为10m，计算得到，该堆场起尘量为：</w:t>
            </w:r>
            <w:r>
              <w:rPr>
                <w:rFonts w:ascii="Times New Roman" w:hAnsi="Times New Roman" w:eastAsia="宋体" w:cs="Times New Roman"/>
                <w:sz w:val="24"/>
              </w:rPr>
              <w:t>Qp=4.23×10</w:t>
            </w:r>
            <w:r>
              <w:rPr>
                <w:rFonts w:ascii="Times New Roman" w:hAnsi="Times New Roman" w:eastAsia="宋体" w:cs="Times New Roman"/>
                <w:sz w:val="24"/>
                <w:vertAlign w:val="superscript"/>
              </w:rPr>
              <w:t>-4</w:t>
            </w:r>
            <w:r>
              <w:rPr>
                <w:rFonts w:ascii="Times New Roman" w:hAnsi="Times New Roman" w:eastAsia="宋体" w:cs="Times New Roman"/>
                <w:sz w:val="24"/>
              </w:rPr>
              <w:t>×1.</w:t>
            </w:r>
            <w:r>
              <w:rPr>
                <w:rFonts w:hint="eastAsia" w:ascii="Times New Roman" w:hAnsi="Times New Roman" w:eastAsia="宋体" w:cs="Times New Roman"/>
                <w:sz w:val="24"/>
                <w:lang w:val="en-US" w:eastAsia="zh-CN"/>
              </w:rPr>
              <w:t>2</w:t>
            </w:r>
            <w:r>
              <w:rPr>
                <w:rFonts w:ascii="Times New Roman" w:hAnsi="Times New Roman" w:eastAsia="宋体" w:cs="Times New Roman"/>
                <w:sz w:val="24"/>
                <w:vertAlign w:val="superscript"/>
              </w:rPr>
              <w:t>4.9</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260</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0.27</w:t>
            </w:r>
            <w:r>
              <w:rPr>
                <w:rFonts w:ascii="Times New Roman" w:hAnsi="Times New Roman" w:eastAsia="宋体" w:cs="Times New Roman"/>
                <w:bCs/>
                <w:sz w:val="24"/>
              </w:rPr>
              <w:t>mg/s</w:t>
            </w:r>
            <w:r>
              <w:rPr>
                <w:rFonts w:hint="eastAsia" w:ascii="Times New Roman" w:hAnsi="Times New Roman" w:eastAsia="宋体" w:cs="Times New Roman"/>
                <w:bCs/>
                <w:sz w:val="24"/>
              </w:rPr>
              <w:t>，0.</w:t>
            </w:r>
            <w:r>
              <w:rPr>
                <w:rFonts w:hint="eastAsia" w:ascii="Times New Roman" w:hAnsi="Times New Roman" w:eastAsia="宋体" w:cs="Times New Roman"/>
                <w:bCs/>
                <w:sz w:val="24"/>
                <w:lang w:val="en-US" w:eastAsia="zh-CN"/>
              </w:rPr>
              <w:t>001</w:t>
            </w:r>
            <w:r>
              <w:rPr>
                <w:rFonts w:hint="eastAsia" w:ascii="Times New Roman" w:hAnsi="Times New Roman" w:eastAsia="宋体" w:cs="Times New Roman"/>
                <w:bCs/>
                <w:sz w:val="24"/>
              </w:rPr>
              <w:t>kg/h，</w:t>
            </w:r>
            <w:r>
              <w:rPr>
                <w:rFonts w:hint="eastAsia" w:ascii="Times New Roman" w:hAnsi="Times New Roman" w:eastAsia="宋体" w:cs="Times New Roman"/>
                <w:bCs/>
                <w:sz w:val="24"/>
                <w:lang w:val="en-US" w:eastAsia="zh-CN"/>
              </w:rPr>
              <w:t>0.0088</w:t>
            </w:r>
            <w:r>
              <w:rPr>
                <w:rFonts w:hint="eastAsia" w:ascii="Times New Roman" w:hAnsi="Times New Roman" w:eastAsia="宋体" w:cs="Times New Roman"/>
                <w:bCs/>
                <w:sz w:val="24"/>
              </w:rPr>
              <w:t>t/</w:t>
            </w:r>
            <w:r>
              <w:rPr>
                <w:rFonts w:hint="eastAsia" w:ascii="Times New Roman" w:hAnsi="Times New Roman" w:eastAsia="宋体" w:cs="Times New Roman"/>
                <w:sz w:val="24"/>
              </w:rPr>
              <w:t>a。</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本项目成品骨料堆放于破碎厂区内部，破碎厂区三面围挡+顶部遮棚，且</w:t>
            </w:r>
            <w:r>
              <w:rPr>
                <w:rFonts w:hint="eastAsia"/>
                <w:sz w:val="24"/>
                <w:lang w:val="en-US" w:eastAsia="zh-CN"/>
              </w:rPr>
              <w:t>生产区厂界四周及设置喷雾口，</w:t>
            </w:r>
            <w:r>
              <w:rPr>
                <w:rFonts w:hint="eastAsia" w:ascii="Times New Roman" w:hAnsi="Times New Roman" w:eastAsia="宋体" w:cs="Times New Roman"/>
                <w:sz w:val="24"/>
                <w:lang w:val="en-US" w:eastAsia="zh-CN"/>
              </w:rPr>
              <w:t>综合考虑，</w:t>
            </w:r>
            <w:r>
              <w:rPr>
                <w:rFonts w:hint="eastAsia"/>
                <w:sz w:val="24"/>
              </w:rPr>
              <w:t>降尘率为</w:t>
            </w:r>
            <w:r>
              <w:rPr>
                <w:rFonts w:hint="eastAsia"/>
                <w:sz w:val="24"/>
                <w:lang w:val="en-US" w:eastAsia="zh-CN"/>
              </w:rPr>
              <w:t>85</w:t>
            </w:r>
            <w:r>
              <w:rPr>
                <w:rFonts w:hint="eastAsia"/>
                <w:sz w:val="24"/>
              </w:rPr>
              <w:t>%以上</w:t>
            </w:r>
            <w:r>
              <w:rPr>
                <w:rFonts w:hint="eastAsia"/>
                <w:sz w:val="24"/>
                <w:lang w:eastAsia="zh-CN"/>
              </w:rPr>
              <w:t>，因此粉尘无组织排放量为</w:t>
            </w:r>
            <w:r>
              <w:rPr>
                <w:rFonts w:hint="eastAsia"/>
                <w:sz w:val="24"/>
                <w:lang w:val="en-US" w:eastAsia="zh-CN"/>
              </w:rPr>
              <w:t>0.0013t/a，0.00015kg/h。</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⑥道路扬尘</w:t>
            </w:r>
          </w:p>
          <w:p>
            <w:pPr>
              <w:adjustRightInd w:val="0"/>
              <w:snapToGrid w:val="0"/>
              <w:spacing w:line="360" w:lineRule="auto"/>
              <w:ind w:firstLine="4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运输过程中的道路扬尘量与运输车辆的载重量、轮胎与路面的接触面积及路面含尘量、空气湿度有关。本项目场外运输依托现有公路，进场道路为混凝土道路，通过设置</w:t>
            </w:r>
            <w:r>
              <w:rPr>
                <w:rFonts w:hint="eastAsia" w:ascii="Times New Roman" w:hAnsi="Times New Roman" w:eastAsia="宋体" w:cs="Times New Roman"/>
                <w:sz w:val="24"/>
                <w:lang w:val="en-US" w:eastAsia="zh-CN"/>
              </w:rPr>
              <w:t>洗车槽</w:t>
            </w:r>
            <w:r>
              <w:rPr>
                <w:rFonts w:hint="default" w:ascii="Times New Roman" w:hAnsi="Times New Roman" w:eastAsia="宋体" w:cs="Times New Roman"/>
                <w:sz w:val="24"/>
                <w:lang w:val="en-US" w:eastAsia="zh-CN"/>
              </w:rPr>
              <w:t>、厂区内限</w:t>
            </w:r>
            <w:r>
              <w:rPr>
                <w:rFonts w:hint="eastAsia" w:ascii="Times New Roman" w:hAnsi="Times New Roman" w:eastAsia="宋体" w:cs="Times New Roman"/>
                <w:sz w:val="24"/>
                <w:lang w:val="en-US" w:eastAsia="zh-CN"/>
              </w:rPr>
              <w:t>制</w:t>
            </w:r>
            <w:r>
              <w:rPr>
                <w:rFonts w:hint="default" w:ascii="Times New Roman" w:hAnsi="Times New Roman" w:eastAsia="宋体" w:cs="Times New Roman"/>
                <w:sz w:val="24"/>
                <w:lang w:val="en-US" w:eastAsia="zh-CN"/>
              </w:rPr>
              <w:t>车速、定时对厂区地面进行洒水抑尘、道路定期清扫，运输车辆遮盖，可大大降低道路扬尘的产生量</w:t>
            </w:r>
            <w:r>
              <w:rPr>
                <w:rFonts w:hint="eastAsia" w:ascii="Times New Roman" w:hAnsi="Times New Roman" w:eastAsia="宋体" w:cs="Times New Roman"/>
                <w:sz w:val="24"/>
                <w:lang w:val="en-US" w:eastAsia="zh-CN"/>
              </w:rPr>
              <w:t>，产生量约0.01t/a。</w:t>
            </w:r>
          </w:p>
          <w:p>
            <w:pPr>
              <w:adjustRightInd w:val="0"/>
              <w:snapToGrid w:val="0"/>
              <w:spacing w:line="360" w:lineRule="auto"/>
              <w:ind w:firstLine="482" w:firstLineChars="200"/>
              <w:rPr>
                <w:b/>
                <w:bCs/>
                <w:sz w:val="24"/>
              </w:rPr>
            </w:pPr>
            <w:r>
              <w:rPr>
                <w:rFonts w:hint="eastAsia"/>
                <w:b/>
                <w:bCs/>
                <w:sz w:val="24"/>
                <w:lang w:val="en-US" w:eastAsia="zh-CN"/>
              </w:rPr>
              <w:t>⑦</w:t>
            </w:r>
            <w:r>
              <w:rPr>
                <w:rFonts w:hint="eastAsia"/>
                <w:b/>
                <w:bCs/>
                <w:sz w:val="24"/>
              </w:rPr>
              <w:t>汽车尾气</w:t>
            </w:r>
          </w:p>
          <w:p>
            <w:pPr>
              <w:adjustRightInd w:val="0"/>
              <w:snapToGrid w:val="0"/>
              <w:spacing w:line="360" w:lineRule="auto"/>
              <w:ind w:firstLine="480" w:firstLineChars="200"/>
              <w:rPr>
                <w:rFonts w:hint="eastAsia" w:ascii="Times New Roman" w:hAnsi="Times New Roman" w:eastAsia="宋体" w:cs="Times New Roman"/>
                <w:b/>
                <w:bCs/>
                <w:sz w:val="24"/>
                <w:lang w:val="en-US" w:eastAsia="zh-CN"/>
              </w:rPr>
            </w:pPr>
            <w:r>
              <w:rPr>
                <w:sz w:val="24"/>
              </w:rPr>
              <w:t>营运期将有一定量的车辆进出于场内，车辆排放尾气污染物主要有SO</w:t>
            </w:r>
            <w:r>
              <w:rPr>
                <w:sz w:val="24"/>
                <w:vertAlign w:val="subscript"/>
              </w:rPr>
              <w:t>2</w:t>
            </w:r>
            <w:r>
              <w:rPr>
                <w:sz w:val="24"/>
              </w:rPr>
              <w:t>、CO、NO</w:t>
            </w:r>
            <w:r>
              <w:rPr>
                <w:sz w:val="24"/>
                <w:vertAlign w:val="subscript"/>
              </w:rPr>
              <w:t>X</w:t>
            </w:r>
            <w:r>
              <w:rPr>
                <w:sz w:val="24"/>
              </w:rPr>
              <w:t>等，由于本项目同时进出的运输车辆较少，且</w:t>
            </w:r>
            <w:r>
              <w:rPr>
                <w:rFonts w:hint="eastAsia"/>
                <w:sz w:val="24"/>
              </w:rPr>
              <w:t>项目周边通风条件较好，</w:t>
            </w:r>
            <w:r>
              <w:rPr>
                <w:sz w:val="24"/>
              </w:rPr>
              <w:t>露天空旷汽车尾气很容易扩散，因此，</w:t>
            </w:r>
            <w:r>
              <w:rPr>
                <w:rFonts w:hint="eastAsia"/>
                <w:sz w:val="24"/>
              </w:rPr>
              <w:t>对周边环境影响较小</w:t>
            </w:r>
            <w:r>
              <w:rPr>
                <w:sz w:val="24"/>
              </w:rPr>
              <w:t>。</w:t>
            </w:r>
          </w:p>
          <w:p>
            <w:pPr>
              <w:adjustRightInd w:val="0"/>
              <w:snapToGrid w:val="0"/>
              <w:spacing w:line="360" w:lineRule="auto"/>
              <w:ind w:firstLine="482"/>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⑧</w:t>
            </w:r>
            <w:r>
              <w:rPr>
                <w:rFonts w:hint="default" w:ascii="Times New Roman" w:hAnsi="Times New Roman" w:eastAsia="宋体" w:cs="Times New Roman"/>
                <w:b/>
                <w:bCs/>
                <w:sz w:val="24"/>
                <w:lang w:val="en-US" w:eastAsia="zh-CN"/>
              </w:rPr>
              <w:t>食堂油烟</w:t>
            </w:r>
          </w:p>
          <w:p>
            <w:pPr>
              <w:adjustRightInd w:val="0"/>
              <w:snapToGrid w:val="0"/>
              <w:spacing w:line="360" w:lineRule="auto"/>
              <w:ind w:firstLine="480" w:firstLineChars="200"/>
              <w:rPr>
                <w:sz w:val="24"/>
              </w:rPr>
            </w:pPr>
            <w:r>
              <w:rPr>
                <w:rFonts w:hint="eastAsia"/>
                <w:sz w:val="24"/>
              </w:rPr>
              <w:t>本项目</w:t>
            </w:r>
            <w:r>
              <w:rPr>
                <w:rFonts w:hint="eastAsia"/>
                <w:sz w:val="24"/>
                <w:lang w:val="en-US" w:eastAsia="zh-CN"/>
              </w:rPr>
              <w:t>办公</w:t>
            </w:r>
            <w:r>
              <w:rPr>
                <w:rFonts w:hint="eastAsia"/>
                <w:sz w:val="24"/>
              </w:rPr>
              <w:t>生活区食堂会产生食堂油烟</w:t>
            </w:r>
            <w:r>
              <w:rPr>
                <w:sz w:val="24"/>
              </w:rPr>
              <w:t>，食堂在食物烹饪、加工过程中挥发的油脂、有机质热分解或裂解，就会产生油烟。根据对餐饮企业的类比调查，人均使用油用量约30g/人·d，一般油烟挥发量占耗油量的2~4%，平均为2.83%。</w:t>
            </w:r>
          </w:p>
          <w:p>
            <w:pPr>
              <w:adjustRightInd w:val="0"/>
              <w:snapToGrid w:val="0"/>
              <w:spacing w:line="360" w:lineRule="auto"/>
              <w:ind w:firstLine="480" w:firstLineChars="200"/>
              <w:rPr>
                <w:sz w:val="24"/>
              </w:rPr>
            </w:pPr>
            <w:r>
              <w:rPr>
                <w:rFonts w:hint="eastAsia"/>
                <w:sz w:val="24"/>
              </w:rPr>
              <w:t>本项目建成后施工区生活区有职工</w:t>
            </w:r>
            <w:r>
              <w:rPr>
                <w:rFonts w:hint="eastAsia"/>
                <w:sz w:val="24"/>
                <w:lang w:val="en-US" w:eastAsia="zh-CN"/>
              </w:rPr>
              <w:t>15</w:t>
            </w:r>
            <w:r>
              <w:rPr>
                <w:rFonts w:hint="eastAsia"/>
                <w:sz w:val="24"/>
              </w:rPr>
              <w:t>人，则油烟产生量为</w:t>
            </w:r>
            <w:r>
              <w:rPr>
                <w:rFonts w:hint="eastAsia"/>
                <w:sz w:val="24"/>
                <w:lang w:val="en-US" w:eastAsia="zh-CN"/>
              </w:rPr>
              <w:t>0.0043</w:t>
            </w:r>
            <w:r>
              <w:rPr>
                <w:sz w:val="24"/>
              </w:rPr>
              <w:t>kg/h</w:t>
            </w:r>
            <w:r>
              <w:rPr>
                <w:rFonts w:hint="eastAsia"/>
                <w:sz w:val="24"/>
              </w:rPr>
              <w:t>（每天做饭时间</w:t>
            </w:r>
            <w:r>
              <w:rPr>
                <w:rFonts w:hint="eastAsia"/>
                <w:sz w:val="24"/>
                <w:lang w:val="en-US" w:eastAsia="zh-CN"/>
              </w:rPr>
              <w:t>3</w:t>
            </w:r>
            <w:r>
              <w:rPr>
                <w:rFonts w:hint="eastAsia"/>
                <w:sz w:val="24"/>
              </w:rPr>
              <w:t>小时），</w:t>
            </w:r>
            <w:r>
              <w:rPr>
                <w:rFonts w:hint="eastAsia"/>
                <w:sz w:val="24"/>
                <w:lang w:val="en-US" w:eastAsia="zh-CN"/>
              </w:rPr>
              <w:t>设置有食堂油烟净化装置</w:t>
            </w:r>
            <w:r>
              <w:rPr>
                <w:sz w:val="24"/>
              </w:rPr>
              <w:t>（6</w:t>
            </w:r>
            <w:r>
              <w:rPr>
                <w:rFonts w:hint="eastAsia"/>
                <w:sz w:val="24"/>
                <w:lang w:val="en-US" w:eastAsia="zh-CN"/>
              </w:rPr>
              <w:t>0</w:t>
            </w:r>
            <w:r>
              <w:rPr>
                <w:sz w:val="24"/>
              </w:rPr>
              <w:t>%处理效率）</w:t>
            </w:r>
            <w:r>
              <w:rPr>
                <w:rFonts w:hint="eastAsia"/>
                <w:sz w:val="24"/>
                <w:lang w:val="en-US" w:eastAsia="zh-CN"/>
              </w:rPr>
              <w:t>，风量为20</w:t>
            </w:r>
            <w:r>
              <w:rPr>
                <w:sz w:val="24"/>
              </w:rPr>
              <w:t>00m</w:t>
            </w:r>
            <w:r>
              <w:rPr>
                <w:sz w:val="24"/>
                <w:vertAlign w:val="superscript"/>
              </w:rPr>
              <w:t>3</w:t>
            </w:r>
            <w:r>
              <w:rPr>
                <w:sz w:val="24"/>
              </w:rPr>
              <w:t>/h</w:t>
            </w:r>
            <w:r>
              <w:rPr>
                <w:rFonts w:hint="eastAsia"/>
                <w:sz w:val="24"/>
              </w:rPr>
              <w:t>，则烟气</w:t>
            </w:r>
            <w:r>
              <w:rPr>
                <w:rFonts w:hint="eastAsia"/>
                <w:sz w:val="24"/>
                <w:lang w:val="en-US" w:eastAsia="zh-CN"/>
              </w:rPr>
              <w:t>排放</w:t>
            </w:r>
            <w:r>
              <w:rPr>
                <w:rFonts w:hint="eastAsia"/>
                <w:sz w:val="24"/>
              </w:rPr>
              <w:t>浓度为</w:t>
            </w:r>
            <w:r>
              <w:rPr>
                <w:rFonts w:hint="eastAsia"/>
                <w:sz w:val="24"/>
                <w:lang w:val="en-US" w:eastAsia="zh-CN"/>
              </w:rPr>
              <w:t>0.852</w:t>
            </w:r>
            <w:r>
              <w:rPr>
                <w:sz w:val="24"/>
              </w:rPr>
              <w:t>mg/m</w:t>
            </w:r>
            <w:r>
              <w:rPr>
                <w:sz w:val="24"/>
                <w:vertAlign w:val="superscript"/>
              </w:rPr>
              <w:t>3</w:t>
            </w:r>
            <w:r>
              <w:rPr>
                <w:rFonts w:hint="eastAsia"/>
                <w:sz w:val="24"/>
              </w:rPr>
              <w:t>。</w:t>
            </w:r>
          </w:p>
          <w:p>
            <w:pPr>
              <w:adjustRightInd w:val="0"/>
              <w:snapToGrid w:val="0"/>
              <w:spacing w:line="360" w:lineRule="auto"/>
              <w:ind w:firstLine="480" w:firstLineChars="200"/>
              <w:rPr>
                <w:sz w:val="24"/>
              </w:rPr>
            </w:pPr>
            <w:r>
              <w:rPr>
                <w:sz w:val="24"/>
              </w:rPr>
              <w:t>食堂烹饪过程产生的油烟废气</w:t>
            </w:r>
            <w:r>
              <w:rPr>
                <w:rFonts w:hint="eastAsia"/>
                <w:sz w:val="24"/>
                <w:lang w:val="en-US" w:eastAsia="zh-CN"/>
              </w:rPr>
              <w:t>经油烟净化装置处理后，满足</w:t>
            </w:r>
            <w:r>
              <w:rPr>
                <w:sz w:val="24"/>
              </w:rPr>
              <w:t>《饮食业油烟排放标准》（试行）（GB18483-2001）</w:t>
            </w:r>
            <w:r>
              <w:rPr>
                <w:rFonts w:hint="eastAsia"/>
                <w:sz w:val="24"/>
                <w:lang w:val="en-US" w:eastAsia="zh-CN"/>
              </w:rPr>
              <w:t>2</w:t>
            </w:r>
            <w:r>
              <w:rPr>
                <w:sz w:val="24"/>
              </w:rPr>
              <w:t>mg/m</w:t>
            </w:r>
            <w:r>
              <w:rPr>
                <w:sz w:val="24"/>
                <w:vertAlign w:val="superscript"/>
              </w:rPr>
              <w:t>3</w:t>
            </w:r>
            <w:r>
              <w:rPr>
                <w:rFonts w:hint="eastAsia"/>
                <w:sz w:val="24"/>
                <w:vertAlign w:val="baseline"/>
                <w:lang w:val="en-US" w:eastAsia="zh-CN"/>
              </w:rPr>
              <w:t>排放要求</w:t>
            </w:r>
            <w:r>
              <w:rPr>
                <w:sz w:val="24"/>
              </w:rPr>
              <w:t>，对环境影响较小。</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本项目废气产生及处置方式见下表：</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2、废水</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喷雾管网废水、混凝土块堆场降尘用水、道路降尘用水全部蒸发，则本项目废水主要分为雨水、喷淋废水、洗车废水及生活污水。</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①初期雨水</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雨污分流，生活区雨水经场区雨水沟导入护佛路道路雨水沟</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填埋场两侧设置截水沟、堆放平台内侧排水沟以及渣场内部排水盲沟，盲沟设计尺寸为1.0m×1.0m，填筑透水性强的天然砂砾，外包反滤土工布，雨水经排水系统作用进入沉砂池，雨水经沉淀处理后用于厂区洒水降尘</w:t>
            </w:r>
            <w:r>
              <w:rPr>
                <w:rFonts w:hint="eastAsia" w:ascii="Times New Roman" w:hAnsi="Times New Roman" w:eastAsia="宋体" w:cs="Times New Roman"/>
                <w:sz w:val="24"/>
                <w:lang w:val="en-US" w:eastAsia="zh-CN"/>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pacing w:val="4"/>
              </w:rPr>
            </w:pPr>
            <w:r>
              <w:rPr>
                <w:rFonts w:hint="default" w:ascii="Times New Roman" w:hAnsi="Times New Roman" w:eastAsia="宋体" w:cs="Times New Roman"/>
                <w:color w:val="auto"/>
                <w:kern w:val="2"/>
                <w:sz w:val="24"/>
                <w:szCs w:val="24"/>
                <w:lang w:val="en-US" w:eastAsia="zh-CN" w:bidi="ar-SA"/>
              </w:rPr>
              <w:t>本项目参考使用的</w:t>
            </w:r>
            <w:r>
              <w:rPr>
                <w:rFonts w:hint="eastAsia" w:cs="Times New Roman"/>
                <w:color w:val="auto"/>
                <w:kern w:val="2"/>
                <w:sz w:val="24"/>
                <w:szCs w:val="24"/>
                <w:lang w:val="en-US" w:eastAsia="zh-CN" w:bidi="ar-SA"/>
              </w:rPr>
              <w:t>乐山市</w:t>
            </w:r>
            <w:r>
              <w:rPr>
                <w:rFonts w:hint="default" w:ascii="Times New Roman" w:hAnsi="Times New Roman" w:eastAsia="宋体" w:cs="Times New Roman"/>
                <w:color w:val="auto"/>
                <w:kern w:val="2"/>
                <w:sz w:val="24"/>
                <w:szCs w:val="24"/>
                <w:lang w:val="en-US" w:eastAsia="zh-CN" w:bidi="ar-SA"/>
              </w:rPr>
              <w:t>暴雨强度及雨水流量计算公式如下：</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2409" w:firstLineChars="1004"/>
              <w:textAlignment w:val="auto"/>
              <w:outlineLvl w:val="9"/>
              <w:rPr>
                <w:rFonts w:hint="default" w:ascii="Times New Roman" w:hAnsi="Times New Roman" w:cs="Times New Roman"/>
                <w:color w:val="auto"/>
              </w:rPr>
            </w:pPr>
            <w:r>
              <w:rPr>
                <w:rFonts w:hint="default" w:ascii="Times New Roman" w:hAnsi="Times New Roman" w:cs="Times New Roman"/>
                <w:color w:val="auto"/>
              </w:rPr>
              <w:t>Q＝φ×q×F×t</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2409" w:firstLineChars="1004"/>
              <w:textAlignment w:val="auto"/>
              <w:outlineLvl w:val="9"/>
              <w:rPr>
                <w:rFonts w:hint="default" w:ascii="Times New Roman" w:hAnsi="Times New Roman" w:cs="Times New Roman"/>
                <w:color w:val="auto"/>
              </w:rPr>
            </w:pPr>
            <w:r>
              <w:rPr>
                <w:rFonts w:hint="default" w:ascii="Times New Roman" w:hAnsi="Times New Roman" w:cs="Times New Roman"/>
                <w:color w:val="auto"/>
              </w:rPr>
              <w:t>φ--径流系数，取0.4；</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2409" w:firstLineChars="1004"/>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rPr>
              <w:t>q--暴雨强度（L/S</w:t>
            </w:r>
            <w:r>
              <w:rPr>
                <w:rFonts w:hint="default" w:ascii="Times New Roman" w:hAnsi="Times New Roman" w:cs="Times New Roman"/>
                <w:b/>
                <w:bCs/>
                <w:snapToGrid w:val="0"/>
                <w:color w:val="auto"/>
                <w:kern w:val="0"/>
              </w:rPr>
              <w:t>·</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highlight w:val="none"/>
              </w:rPr>
              <w:t>，T为重现期（2年）；</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2409" w:firstLineChars="1004"/>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F--汇水面积，（hm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eastAsia" w:cs="Times New Roman"/>
                <w:color w:val="auto"/>
                <w:highlight w:val="none"/>
                <w:lang w:val="en-US" w:eastAsia="zh-CN"/>
              </w:rPr>
              <w:t>5.3346</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2409" w:firstLineChars="1004"/>
              <w:textAlignment w:val="auto"/>
              <w:outlineLvl w:val="9"/>
              <w:rPr>
                <w:rFonts w:hint="default" w:ascii="Times New Roman" w:hAnsi="Times New Roman" w:cs="Times New Roman"/>
                <w:color w:val="auto"/>
              </w:rPr>
            </w:pPr>
            <w:r>
              <w:rPr>
                <w:rFonts w:hint="default" w:ascii="Times New Roman" w:hAnsi="Times New Roman" w:cs="Times New Roman"/>
                <w:color w:val="auto"/>
              </w:rPr>
              <w:pict>
                <v:shape id="Picture 2037" o:spid="_x0000_s2052" o:spt="75" type="#_x0000_t75" style="position:absolute;left:0pt;margin-left:218.65pt;margin-top:22.15pt;height:34.2pt;width:103.8pt;z-index:-251657216;mso-width-relative:page;mso-height-relative:page;" o:ole="t" filled="f" o:preferrelative="t" stroked="f" coordsize="21600,21600">
                  <v:path/>
                  <v:fill on="f" focussize="0,0"/>
                  <v:stroke on="f"/>
                  <v:imagedata r:id="rId29" o:title=""/>
                  <o:lock v:ext="edit" aspectratio="t"/>
                </v:shape>
                <o:OLEObject Type="Embed" ProgID="" ShapeID="Picture 2037" DrawAspect="Content" ObjectID="_1468075734" r:id="rId28">
                  <o:LockedField>false</o:LockedField>
                </o:OLEObject>
              </w:pict>
            </w:r>
            <w:r>
              <w:rPr>
                <w:rFonts w:hint="default" w:ascii="Times New Roman" w:hAnsi="Times New Roman" w:cs="Times New Roman"/>
                <w:color w:val="auto"/>
              </w:rPr>
              <w:t>t--降雨历时，取0.25h。</w:t>
            </w:r>
          </w:p>
          <w:p>
            <w:pPr>
              <w:pStyle w:val="19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rPr>
              <w:t>暴</w:t>
            </w:r>
            <w:r>
              <w:rPr>
                <w:rFonts w:hint="default" w:ascii="Times New Roman" w:hAnsi="Times New Roman" w:cs="Times New Roman"/>
                <w:color w:val="auto"/>
                <w:sz w:val="24"/>
                <w:szCs w:val="24"/>
              </w:rPr>
              <w:t>雨强度q采用暴雨强度公式，：q=</w:t>
            </w:r>
          </w:p>
          <w:p>
            <w:pPr>
              <w:keepNext w:val="0"/>
              <w:keepLines w:val="0"/>
              <w:pageBreakBefore w:val="0"/>
              <w:widowControl w:val="0"/>
              <w:suppressLineNumbers w:val="0"/>
              <w:kinsoku/>
              <w:wordWrap/>
              <w:overflowPunct/>
              <w:topLinePunct w:val="0"/>
              <w:bidi w:val="0"/>
              <w:adjustRightInd w:val="0"/>
              <w:snapToGrid w:val="0"/>
              <w:spacing w:before="156"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F—汇水面积，ha。本次汇水面积主要为</w:t>
            </w:r>
            <w:r>
              <w:rPr>
                <w:rFonts w:hint="eastAsia" w:ascii="Times New Roman" w:hAnsi="Times New Roman" w:eastAsia="宋体" w:cs="Times New Roman"/>
                <w:color w:val="auto"/>
                <w:kern w:val="2"/>
                <w:sz w:val="24"/>
                <w:szCs w:val="24"/>
                <w:lang w:val="en-US" w:eastAsia="zh-CN" w:bidi="ar-SA"/>
              </w:rPr>
              <w:t>填埋区，填埋区占地53346m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vertAlign w:val="baseline"/>
                <w:lang w:val="en-US" w:eastAsia="zh-CN" w:bidi="ar-SA"/>
              </w:rPr>
              <w:t>（5.3346</w:t>
            </w:r>
            <w:r>
              <w:rPr>
                <w:rFonts w:hint="default" w:ascii="Times New Roman" w:hAnsi="Times New Roman" w:eastAsia="宋体" w:cs="Times New Roman"/>
                <w:color w:val="auto"/>
                <w:kern w:val="2"/>
                <w:sz w:val="24"/>
                <w:szCs w:val="24"/>
                <w:lang w:val="en-US" w:eastAsia="zh-CN" w:bidi="ar-SA"/>
              </w:rPr>
              <w:t>ha</w:t>
            </w:r>
            <w:r>
              <w:rPr>
                <w:rFonts w:hint="eastAsia"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计算</w:t>
            </w:r>
            <w:r>
              <w:rPr>
                <w:rFonts w:hint="eastAsia" w:cs="Times New Roman"/>
                <w:color w:val="auto"/>
                <w:kern w:val="2"/>
                <w:sz w:val="24"/>
                <w:szCs w:val="24"/>
                <w:lang w:val="en-US" w:eastAsia="zh-CN" w:bidi="ar-SA"/>
              </w:rPr>
              <w:t>得出</w:t>
            </w:r>
            <w:r>
              <w:rPr>
                <w:rFonts w:hint="eastAsia" w:ascii="Times New Roman" w:hAnsi="Times New Roman" w:eastAsia="宋体" w:cs="Times New Roman"/>
                <w:color w:val="auto"/>
                <w:kern w:val="2"/>
                <w:sz w:val="24"/>
                <w:szCs w:val="24"/>
                <w:lang w:val="en-US" w:eastAsia="zh-CN" w:bidi="ar-SA"/>
              </w:rPr>
              <w:t>暴雨强度为</w:t>
            </w:r>
            <w:r>
              <w:rPr>
                <w:rFonts w:hint="eastAsia" w:cs="Times New Roman"/>
                <w:color w:val="auto"/>
                <w:kern w:val="2"/>
                <w:sz w:val="24"/>
                <w:szCs w:val="24"/>
                <w:lang w:val="en-US" w:eastAsia="zh-CN" w:bidi="ar-SA"/>
              </w:rPr>
              <w:t>329.97</w:t>
            </w:r>
            <w:r>
              <w:rPr>
                <w:bCs/>
                <w:sz w:val="24"/>
              </w:rPr>
              <w:t>L/s·hm</w:t>
            </w:r>
            <w:r>
              <w:rPr>
                <w:bCs/>
                <w:sz w:val="24"/>
                <w:vertAlign w:val="superscript"/>
              </w:rPr>
              <w:t>2</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雨水流量</w:t>
            </w:r>
            <w:r>
              <w:rPr>
                <w:rFonts w:hint="eastAsia" w:ascii="Times New Roman" w:hAnsi="Times New Roman" w:eastAsia="宋体" w:cs="Times New Roman"/>
                <w:color w:val="auto"/>
                <w:kern w:val="2"/>
                <w:sz w:val="24"/>
                <w:szCs w:val="24"/>
                <w:lang w:val="en-US" w:eastAsia="zh-CN" w:bidi="ar-SA"/>
              </w:rPr>
              <w:t>为176.23</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ascii="Times New Roman" w:hAnsi="Times New Roman" w:eastAsia="宋体" w:cs="Times New Roman"/>
                <w:color w:val="auto"/>
                <w:kern w:val="2"/>
                <w:sz w:val="24"/>
                <w:szCs w:val="24"/>
                <w:lang w:val="en-US" w:eastAsia="zh-CN" w:bidi="ar-SA"/>
              </w:rPr>
              <w:t>。</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沉砂池</w:t>
            </w:r>
            <w:r>
              <w:rPr>
                <w:rFonts w:hint="eastAsia" w:ascii="Times New Roman" w:hAnsi="Times New Roman" w:eastAsia="宋体" w:cs="Times New Roman"/>
                <w:b/>
                <w:bCs/>
                <w:sz w:val="24"/>
                <w:lang w:val="en-US" w:eastAsia="zh-CN"/>
              </w:rPr>
              <w:t>可行性分析：</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本项目两侧截水沟末端设置沉砂池2座，</w:t>
            </w:r>
            <w:r>
              <w:rPr>
                <w:rFonts w:hint="eastAsia" w:ascii="Times New Roman" w:hAnsi="Times New Roman" w:eastAsia="宋体" w:cs="Times New Roman"/>
                <w:sz w:val="24"/>
                <w:lang w:val="en-US" w:eastAsia="zh-CN"/>
              </w:rPr>
              <w:t>单个</w:t>
            </w:r>
            <w:r>
              <w:rPr>
                <w:rFonts w:hint="default" w:ascii="Times New Roman" w:hAnsi="Times New Roman" w:eastAsia="宋体" w:cs="Times New Roman"/>
                <w:sz w:val="24"/>
                <w:lang w:val="en-US" w:eastAsia="zh-CN"/>
              </w:rPr>
              <w:t>沉砂池尺寸为长×宽×深=</w:t>
            </w:r>
            <w:r>
              <w:rPr>
                <w:rFonts w:hint="eastAsia" w:ascii="Times New Roman" w:hAnsi="Times New Roman" w:eastAsia="宋体" w:cs="Times New Roman"/>
                <w:sz w:val="24"/>
                <w:lang w:val="en-US" w:eastAsia="zh-CN"/>
              </w:rPr>
              <w:t>10</w:t>
            </w:r>
            <w:r>
              <w:rPr>
                <w:rFonts w:hint="default" w:ascii="Times New Roman" w:hAnsi="Times New Roman" w:eastAsia="宋体" w:cs="Times New Roman"/>
                <w:sz w:val="24"/>
                <w:lang w:val="en-US" w:eastAsia="zh-CN"/>
              </w:rPr>
              <w:t>m×</w:t>
            </w:r>
            <w:r>
              <w:rPr>
                <w:rFonts w:hint="eastAsia" w:ascii="Times New Roman" w:hAnsi="Times New Roman" w:eastAsia="宋体" w:cs="Times New Roman"/>
                <w:sz w:val="24"/>
                <w:lang w:val="en-US" w:eastAsia="zh-CN"/>
              </w:rPr>
              <w:t>10</w:t>
            </w:r>
            <w:r>
              <w:rPr>
                <w:rFonts w:hint="default" w:ascii="Times New Roman" w:hAnsi="Times New Roman" w:eastAsia="宋体" w:cs="Times New Roman"/>
                <w:sz w:val="24"/>
                <w:lang w:val="en-US" w:eastAsia="zh-CN"/>
              </w:rPr>
              <w:t>m×</w:t>
            </w:r>
            <w:r>
              <w:rPr>
                <w:rFonts w:hint="eastAsia" w:ascii="Times New Roman" w:hAnsi="Times New Roman" w:eastAsia="宋体" w:cs="Times New Roman"/>
                <w:sz w:val="24"/>
                <w:lang w:val="en-US" w:eastAsia="zh-CN"/>
              </w:rPr>
              <w:t>2.5</w:t>
            </w:r>
            <w:r>
              <w:rPr>
                <w:rFonts w:hint="default" w:ascii="Times New Roman" w:hAnsi="Times New Roman" w:eastAsia="宋体" w:cs="Times New Roman"/>
                <w:sz w:val="24"/>
                <w:lang w:val="en-US" w:eastAsia="zh-CN"/>
              </w:rPr>
              <w:t>m，浆砌石砌筑。截水沟拦截的雨水经沉砂池沉淀后用于厂区洒水降尘</w:t>
            </w:r>
            <w:r>
              <w:rPr>
                <w:rFonts w:hint="eastAsia" w:ascii="Times New Roman" w:hAnsi="Times New Roman" w:eastAsia="宋体" w:cs="Times New Roman"/>
                <w:sz w:val="24"/>
                <w:lang w:val="en-US" w:eastAsia="zh-CN"/>
              </w:rPr>
              <w:t>。沉砂池总容积为500m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＞176.23</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，沉砂池设计容量可行。</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②喷淋废水</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sz w:val="24"/>
                <w:lang w:val="en-US" w:eastAsia="zh-CN"/>
              </w:rPr>
              <w:t>混凝土</w:t>
            </w:r>
            <w:r>
              <w:rPr>
                <w:rFonts w:hint="eastAsia"/>
                <w:sz w:val="24"/>
              </w:rPr>
              <w:t>破碎过程，</w:t>
            </w:r>
            <w:r>
              <w:rPr>
                <w:rFonts w:hint="eastAsia"/>
                <w:sz w:val="24"/>
                <w:lang w:val="en-US" w:eastAsia="zh-CN"/>
              </w:rPr>
              <w:t>厂区四周和破碎设备</w:t>
            </w:r>
            <w:r>
              <w:rPr>
                <w:rFonts w:hint="eastAsia"/>
                <w:sz w:val="24"/>
              </w:rPr>
              <w:t>会用喷淋喷洒水，降低破碎过程产生的粉尘。根据建设单位提供资料，破碎用水量约为8L/t，本项目年破碎</w:t>
            </w:r>
            <w:r>
              <w:rPr>
                <w:rFonts w:hint="eastAsia"/>
                <w:sz w:val="24"/>
                <w:lang w:val="en-US" w:eastAsia="zh-CN"/>
              </w:rPr>
              <w:t>混凝土块</w:t>
            </w:r>
            <w:r>
              <w:rPr>
                <w:rFonts w:hint="eastAsia"/>
                <w:sz w:val="24"/>
              </w:rPr>
              <w:t>约</w:t>
            </w:r>
            <w:r>
              <w:rPr>
                <w:rFonts w:hint="eastAsia"/>
                <w:sz w:val="24"/>
                <w:lang w:val="en-US" w:eastAsia="zh-CN"/>
              </w:rPr>
              <w:t>10.5</w:t>
            </w:r>
            <w:r>
              <w:rPr>
                <w:rFonts w:hint="eastAsia"/>
                <w:sz w:val="24"/>
              </w:rPr>
              <w:t>万t，则喷淋用水约</w:t>
            </w:r>
            <w:r>
              <w:rPr>
                <w:rFonts w:hint="eastAsia"/>
                <w:sz w:val="24"/>
                <w:lang w:val="en-US" w:eastAsia="zh-CN"/>
              </w:rPr>
              <w:t>840</w:t>
            </w:r>
            <w:r>
              <w:rPr>
                <w:sz w:val="24"/>
              </w:rPr>
              <w:t>m</w:t>
            </w:r>
            <w:r>
              <w:rPr>
                <w:sz w:val="24"/>
                <w:vertAlign w:val="superscript"/>
              </w:rPr>
              <w:t>3</w:t>
            </w:r>
            <w:r>
              <w:rPr>
                <w:sz w:val="24"/>
              </w:rPr>
              <w:t>/a</w:t>
            </w:r>
            <w:r>
              <w:rPr>
                <w:rFonts w:hint="eastAsia"/>
                <w:sz w:val="24"/>
              </w:rPr>
              <w:t>，</w:t>
            </w:r>
            <w:r>
              <w:rPr>
                <w:rFonts w:hint="eastAsia"/>
                <w:sz w:val="24"/>
                <w:lang w:val="en-US" w:eastAsia="zh-CN"/>
              </w:rPr>
              <w:t>2.3</w:t>
            </w:r>
            <w:r>
              <w:rPr>
                <w:sz w:val="24"/>
              </w:rPr>
              <w:t>m</w:t>
            </w:r>
            <w:r>
              <w:rPr>
                <w:sz w:val="24"/>
                <w:vertAlign w:val="superscript"/>
              </w:rPr>
              <w:t>3</w:t>
            </w:r>
            <w:r>
              <w:rPr>
                <w:sz w:val="24"/>
              </w:rPr>
              <w:t>/d</w:t>
            </w:r>
            <w:r>
              <w:rPr>
                <w:rFonts w:hint="eastAsia"/>
                <w:sz w:val="24"/>
              </w:rPr>
              <w:t>；喷淋废水经导流沟作用进入沉淀池</w:t>
            </w:r>
            <w:r>
              <w:rPr>
                <w:rFonts w:hint="eastAsia" w:ascii="Times New Roman" w:eastAsia="宋体"/>
                <w:sz w:val="24"/>
                <w:lang w:val="en-US" w:eastAsia="zh-CN"/>
              </w:rPr>
              <w:t>+絮凝剂</w:t>
            </w:r>
            <w:r>
              <w:rPr>
                <w:rFonts w:hint="eastAsia"/>
                <w:sz w:val="24"/>
              </w:rPr>
              <w:t>处理，处理后的废水回用于喷淋用水。</w:t>
            </w:r>
          </w:p>
          <w:p>
            <w:pPr>
              <w:adjustRightInd w:val="0"/>
              <w:snapToGrid w:val="0"/>
              <w:spacing w:line="360" w:lineRule="auto"/>
              <w:ind w:firstLine="482" w:firstLineChars="200"/>
              <w:rPr>
                <w:b/>
                <w:bCs/>
                <w:sz w:val="24"/>
              </w:rPr>
            </w:pPr>
            <w:r>
              <w:rPr>
                <w:rFonts w:hint="eastAsia"/>
                <w:b/>
                <w:bCs/>
                <w:sz w:val="24"/>
              </w:rPr>
              <w:t>沉淀池可行性分析：</w:t>
            </w:r>
          </w:p>
          <w:p>
            <w:pPr>
              <w:adjustRightInd w:val="0"/>
              <w:snapToGrid w:val="0"/>
              <w:spacing w:line="360" w:lineRule="auto"/>
              <w:ind w:firstLine="480" w:firstLineChars="200"/>
              <w:rPr>
                <w:b/>
                <w:bCs/>
                <w:sz w:val="24"/>
              </w:rPr>
            </w:pPr>
            <w:r>
              <w:rPr>
                <w:rFonts w:hint="eastAsia"/>
                <w:sz w:val="24"/>
              </w:rPr>
              <w:t>本项目</w:t>
            </w:r>
            <w:r>
              <w:rPr>
                <w:rFonts w:hint="eastAsia"/>
                <w:sz w:val="24"/>
                <w:lang w:val="en-US" w:eastAsia="zh-CN"/>
              </w:rPr>
              <w:t>破碎</w:t>
            </w:r>
            <w:r>
              <w:rPr>
                <w:rFonts w:hint="eastAsia"/>
                <w:sz w:val="24"/>
              </w:rPr>
              <w:t>废水量为</w:t>
            </w:r>
            <w:r>
              <w:rPr>
                <w:rFonts w:hint="eastAsia"/>
                <w:sz w:val="24"/>
                <w:lang w:val="en-US" w:eastAsia="zh-CN"/>
              </w:rPr>
              <w:t>2.3</w:t>
            </w:r>
            <w:r>
              <w:rPr>
                <w:rFonts w:hint="eastAsia"/>
                <w:sz w:val="24"/>
              </w:rPr>
              <w:t>m</w:t>
            </w:r>
            <w:r>
              <w:rPr>
                <w:rFonts w:hint="eastAsia"/>
                <w:sz w:val="24"/>
                <w:vertAlign w:val="superscript"/>
              </w:rPr>
              <w:t>3</w:t>
            </w:r>
            <w:r>
              <w:rPr>
                <w:rFonts w:hint="eastAsia"/>
                <w:sz w:val="24"/>
              </w:rPr>
              <w:t>＜</w:t>
            </w:r>
            <w:r>
              <w:rPr>
                <w:rFonts w:hint="eastAsia"/>
                <w:sz w:val="24"/>
                <w:lang w:val="en-US" w:eastAsia="zh-CN"/>
              </w:rPr>
              <w:t>10</w:t>
            </w:r>
            <w:r>
              <w:rPr>
                <w:rFonts w:hint="eastAsia"/>
                <w:sz w:val="24"/>
              </w:rPr>
              <w:t>m</w:t>
            </w:r>
            <w:r>
              <w:rPr>
                <w:rFonts w:hint="eastAsia"/>
                <w:sz w:val="24"/>
                <w:vertAlign w:val="superscript"/>
              </w:rPr>
              <w:t>3</w:t>
            </w:r>
            <w:r>
              <w:rPr>
                <w:rFonts w:hint="eastAsia"/>
                <w:sz w:val="24"/>
              </w:rPr>
              <w:t>，沉淀池完全有能力收集处理</w:t>
            </w:r>
            <w:r>
              <w:rPr>
                <w:rFonts w:hint="eastAsia"/>
                <w:sz w:val="24"/>
                <w:lang w:val="en-US" w:eastAsia="zh-CN"/>
              </w:rPr>
              <w:t>破碎过程产生的废水</w:t>
            </w:r>
            <w:r>
              <w:rPr>
                <w:rFonts w:hint="eastAsia"/>
                <w:sz w:val="24"/>
              </w:rPr>
              <w:t>。</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③洗车废水</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color w:val="auto"/>
                <w:sz w:val="24"/>
                <w:szCs w:val="24"/>
                <w:lang w:val="en-US" w:eastAsia="zh-CN"/>
              </w:rPr>
              <w:t>洗车用水量约为0.5m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/次，</w:t>
            </w:r>
            <w:r>
              <w:rPr>
                <w:rFonts w:hint="eastAsia"/>
                <w:sz w:val="24"/>
              </w:rPr>
              <w:t>根据建设单位运行经验</w:t>
            </w:r>
            <w:r>
              <w:rPr>
                <w:rFonts w:hint="eastAsia" w:eastAsia="宋体"/>
                <w:sz w:val="24"/>
                <w:lang w:eastAsia="zh-CN"/>
              </w:rPr>
              <w:t>，</w:t>
            </w:r>
            <w:r>
              <w:rPr>
                <w:rFonts w:hint="eastAsia" w:ascii="Times New Roman" w:hAnsi="Times New Roman" w:cs="Times New Roman"/>
                <w:color w:val="auto"/>
                <w:sz w:val="24"/>
                <w:szCs w:val="24"/>
                <w:vertAlign w:val="baseline"/>
                <w:lang w:val="en-US" w:eastAsia="zh-CN"/>
              </w:rPr>
              <w:t>每辆车每天平均洗3次，则洗车用水约15m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/d，考虑20%蒸发损耗，产生约12m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/d洗车废水，洗车废水经沉淀池处置后回用洗车。</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沉淀池可行性分析：</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sz w:val="24"/>
              </w:rPr>
              <w:t>本项目</w:t>
            </w:r>
            <w:r>
              <w:rPr>
                <w:rFonts w:hint="eastAsia"/>
                <w:sz w:val="24"/>
                <w:lang w:val="en-US" w:eastAsia="zh-CN"/>
              </w:rPr>
              <w:t>洗车</w:t>
            </w:r>
            <w:r>
              <w:rPr>
                <w:rFonts w:hint="eastAsia"/>
                <w:sz w:val="24"/>
              </w:rPr>
              <w:t>废水量为</w:t>
            </w:r>
            <w:r>
              <w:rPr>
                <w:rFonts w:hint="eastAsia"/>
                <w:sz w:val="24"/>
                <w:lang w:val="en-US" w:eastAsia="zh-CN"/>
              </w:rPr>
              <w:t>12</w:t>
            </w:r>
            <w:r>
              <w:rPr>
                <w:rFonts w:hint="eastAsia"/>
                <w:sz w:val="24"/>
              </w:rPr>
              <w:t>m</w:t>
            </w:r>
            <w:r>
              <w:rPr>
                <w:rFonts w:hint="eastAsia"/>
                <w:sz w:val="24"/>
                <w:vertAlign w:val="superscript"/>
              </w:rPr>
              <w:t>3</w:t>
            </w:r>
            <w:r>
              <w:rPr>
                <w:rFonts w:hint="eastAsia"/>
                <w:sz w:val="24"/>
              </w:rPr>
              <w:t>＜</w:t>
            </w:r>
            <w:r>
              <w:rPr>
                <w:rFonts w:hint="eastAsia"/>
                <w:sz w:val="24"/>
                <w:lang w:val="en-US" w:eastAsia="zh-CN"/>
              </w:rPr>
              <w:t>20</w:t>
            </w:r>
            <w:r>
              <w:rPr>
                <w:rFonts w:hint="eastAsia"/>
                <w:sz w:val="24"/>
              </w:rPr>
              <w:t>m</w:t>
            </w:r>
            <w:r>
              <w:rPr>
                <w:rFonts w:hint="eastAsia"/>
                <w:sz w:val="24"/>
                <w:vertAlign w:val="superscript"/>
              </w:rPr>
              <w:t>3</w:t>
            </w:r>
            <w:r>
              <w:rPr>
                <w:rFonts w:hint="eastAsia"/>
                <w:sz w:val="24"/>
              </w:rPr>
              <w:t>，沉淀池完全有能力收集处理</w:t>
            </w:r>
            <w:r>
              <w:rPr>
                <w:rFonts w:hint="eastAsia"/>
                <w:sz w:val="24"/>
                <w:lang w:val="en-US" w:eastAsia="zh-CN"/>
              </w:rPr>
              <w:t>洗车废水</w:t>
            </w:r>
            <w:r>
              <w:rPr>
                <w:rFonts w:hint="eastAsia"/>
                <w:sz w:val="24"/>
              </w:rPr>
              <w:t>。</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④生活污水</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hd w:val="clear" w:color="auto" w:fill="FFFFFF"/>
              </w:rPr>
              <w:t>本项目生活区有</w:t>
            </w:r>
            <w:r>
              <w:rPr>
                <w:rFonts w:hint="default" w:ascii="Times New Roman" w:hAnsi="Times New Roman" w:eastAsia="宋体" w:cs="Times New Roman"/>
                <w:sz w:val="24"/>
                <w:shd w:val="clear" w:color="auto" w:fill="FFFFFF"/>
                <w:lang w:val="en-US" w:eastAsia="zh-CN"/>
              </w:rPr>
              <w:t>15</w:t>
            </w:r>
            <w:r>
              <w:rPr>
                <w:rFonts w:hint="default" w:ascii="Times New Roman" w:hAnsi="Times New Roman" w:eastAsia="宋体" w:cs="Times New Roman"/>
                <w:sz w:val="24"/>
                <w:shd w:val="clear" w:color="auto" w:fill="FFFFFF"/>
              </w:rPr>
              <w:t>人</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食堂供给15人，住宿2人</w:t>
            </w:r>
            <w:r>
              <w:rPr>
                <w:rFonts w:hint="default" w:ascii="Times New Roman" w:hAnsi="Times New Roman" w:eastAsia="宋体" w:cs="Times New Roman"/>
                <w:sz w:val="24"/>
              </w:rPr>
              <w:t>。</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参考四川省人民政府关于印发《四川省用水定额》的通知（川府函〔2021〕8号）并结合项目实际情况，</w:t>
            </w:r>
            <w:r>
              <w:rPr>
                <w:rFonts w:hint="default" w:ascii="Times New Roman" w:hAnsi="Times New Roman" w:eastAsia="宋体" w:cs="Times New Roman"/>
                <w:sz w:val="24"/>
                <w:lang w:val="en-US" w:eastAsia="zh-CN"/>
              </w:rPr>
              <w:t>住宿人员</w:t>
            </w:r>
            <w:r>
              <w:rPr>
                <w:rFonts w:hint="default" w:ascii="Times New Roman" w:hAnsi="Times New Roman" w:eastAsia="宋体" w:cs="Times New Roman"/>
                <w:sz w:val="24"/>
              </w:rPr>
              <w:t>用水水量按120L/人·d计，</w:t>
            </w:r>
            <w:r>
              <w:rPr>
                <w:rFonts w:hint="default" w:ascii="Times New Roman" w:hAnsi="Times New Roman" w:eastAsia="宋体" w:cs="Times New Roman"/>
                <w:sz w:val="24"/>
                <w:lang w:val="en-US" w:eastAsia="zh-CN"/>
              </w:rPr>
              <w:t>非住宿人员</w:t>
            </w:r>
            <w:r>
              <w:rPr>
                <w:rFonts w:hint="default" w:ascii="Times New Roman" w:hAnsi="Times New Roman" w:eastAsia="宋体" w:cs="Times New Roman"/>
                <w:sz w:val="24"/>
              </w:rPr>
              <w:t>用水水量按1</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rPr>
              <w:t>0L/人·d计</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则生活用水量为</w:t>
            </w:r>
            <w:r>
              <w:rPr>
                <w:rFonts w:hint="default" w:ascii="Times New Roman" w:hAnsi="Times New Roman" w:eastAsia="宋体" w:cs="Times New Roman"/>
                <w:sz w:val="24"/>
                <w:lang w:val="en-US" w:eastAsia="zh-CN"/>
              </w:rPr>
              <w:t>1.54</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/d，产污系数按0.8考虑，则生活污水产生量为</w:t>
            </w:r>
            <w:r>
              <w:rPr>
                <w:rFonts w:hint="default" w:ascii="Times New Roman" w:hAnsi="Times New Roman" w:eastAsia="宋体" w:cs="Times New Roman"/>
                <w:sz w:val="24"/>
                <w:lang w:val="en-US" w:eastAsia="zh-CN"/>
              </w:rPr>
              <w:t>1.23</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default" w:ascii="Times New Roman" w:hAnsi="Times New Roman" w:eastAsia="宋体" w:cs="Times New Roman"/>
                <w:sz w:val="24"/>
                <w:lang w:eastAsia="zh-CN"/>
              </w:rPr>
              <w:t>。</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生活污水依托已建办公生活区化粪池，经预处理后的废水用于周边土地施肥，不外排。</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3、噪声</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根据填埋场机械设备、运输设备种类及运行情况，填埋场作业区内设备噪声75dB(A)~85dB(A)之间。为降低噪声污染，对所选用设备噪声进行严格控制，并尽量避免机械空转。</w:t>
            </w:r>
            <w:r>
              <w:rPr>
                <w:rFonts w:hint="eastAsia" w:hAnsi="宋体"/>
                <w:bCs/>
                <w:sz w:val="24"/>
              </w:rPr>
              <w:t>本项目主要噪声源及防治措施情况见下表</w:t>
            </w:r>
            <w:r>
              <w:rPr>
                <w:rFonts w:hint="eastAsia" w:ascii="Times New Roman" w:hAnsi="Times New Roman" w:eastAsia="宋体" w:cs="Times New Roman"/>
                <w:sz w:val="24"/>
                <w:lang w:val="en-US" w:eastAsia="zh-CN"/>
              </w:rPr>
              <w:t>。</w:t>
            </w:r>
          </w:p>
          <w:p>
            <w:pPr>
              <w:widowControl/>
              <w:adjustRightInd w:val="0"/>
              <w:snapToGrid w:val="0"/>
              <w:spacing w:line="360" w:lineRule="auto"/>
              <w:ind w:firstLine="482" w:firstLineChars="200"/>
              <w:jc w:val="center"/>
              <w:rPr>
                <w:rFonts w:hint="eastAsia"/>
                <w:sz w:val="24"/>
              </w:rPr>
            </w:pPr>
            <w:r>
              <w:rPr>
                <w:rFonts w:hint="eastAsia"/>
                <w:b/>
                <w:bCs/>
                <w:szCs w:val="21"/>
              </w:rPr>
              <w:t>表4-</w:t>
            </w:r>
            <w:r>
              <w:rPr>
                <w:rFonts w:hint="eastAsia"/>
                <w:b/>
                <w:bCs/>
                <w:szCs w:val="21"/>
                <w:lang w:val="en-US" w:eastAsia="zh-CN"/>
              </w:rPr>
              <w:t>2</w:t>
            </w:r>
            <w:r>
              <w:rPr>
                <w:rFonts w:hint="eastAsia"/>
                <w:b/>
                <w:bCs/>
                <w:szCs w:val="21"/>
              </w:rPr>
              <w:t xml:space="preserve">  主要噪声产生及治理情况一览表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83"/>
              <w:gridCol w:w="741"/>
              <w:gridCol w:w="718"/>
              <w:gridCol w:w="1572"/>
              <w:gridCol w:w="215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57" w:type="pct"/>
                  <w:noWrap w:val="0"/>
                  <w:vAlign w:val="center"/>
                </w:tcPr>
                <w:p>
                  <w:pPr>
                    <w:autoSpaceDE w:val="0"/>
                    <w:autoSpaceDN w:val="0"/>
                    <w:adjustRightInd w:val="0"/>
                    <w:snapToGrid w:val="0"/>
                    <w:jc w:val="center"/>
                    <w:rPr>
                      <w:b/>
                      <w:sz w:val="21"/>
                      <w:szCs w:val="21"/>
                    </w:rPr>
                  </w:pPr>
                  <w:r>
                    <w:rPr>
                      <w:b/>
                      <w:sz w:val="21"/>
                      <w:szCs w:val="21"/>
                    </w:rPr>
                    <w:t>序号</w:t>
                  </w:r>
                </w:p>
              </w:tc>
              <w:tc>
                <w:tcPr>
                  <w:tcW w:w="640" w:type="pct"/>
                  <w:noWrap w:val="0"/>
                  <w:vAlign w:val="center"/>
                </w:tcPr>
                <w:p>
                  <w:pPr>
                    <w:autoSpaceDE w:val="0"/>
                    <w:autoSpaceDN w:val="0"/>
                    <w:adjustRightInd w:val="0"/>
                    <w:snapToGrid w:val="0"/>
                    <w:jc w:val="center"/>
                    <w:rPr>
                      <w:b/>
                      <w:sz w:val="21"/>
                      <w:szCs w:val="21"/>
                    </w:rPr>
                  </w:pPr>
                  <w:r>
                    <w:rPr>
                      <w:b/>
                      <w:sz w:val="21"/>
                      <w:szCs w:val="21"/>
                    </w:rPr>
                    <w:t>噪声源</w:t>
                  </w:r>
                </w:p>
              </w:tc>
              <w:tc>
                <w:tcPr>
                  <w:tcW w:w="438" w:type="pct"/>
                  <w:noWrap w:val="0"/>
                  <w:vAlign w:val="center"/>
                </w:tcPr>
                <w:p>
                  <w:pPr>
                    <w:autoSpaceDE w:val="0"/>
                    <w:autoSpaceDN w:val="0"/>
                    <w:adjustRightInd w:val="0"/>
                    <w:snapToGrid w:val="0"/>
                    <w:jc w:val="center"/>
                    <w:rPr>
                      <w:b/>
                      <w:sz w:val="21"/>
                      <w:szCs w:val="21"/>
                    </w:rPr>
                  </w:pPr>
                  <w:r>
                    <w:rPr>
                      <w:b/>
                      <w:sz w:val="21"/>
                      <w:szCs w:val="21"/>
                    </w:rPr>
                    <w:t>所在车间</w:t>
                  </w:r>
                </w:p>
              </w:tc>
              <w:tc>
                <w:tcPr>
                  <w:tcW w:w="424" w:type="pct"/>
                  <w:noWrap w:val="0"/>
                  <w:vAlign w:val="center"/>
                </w:tcPr>
                <w:p>
                  <w:pPr>
                    <w:autoSpaceDE w:val="0"/>
                    <w:autoSpaceDN w:val="0"/>
                    <w:adjustRightInd w:val="0"/>
                    <w:snapToGrid w:val="0"/>
                    <w:jc w:val="center"/>
                    <w:rPr>
                      <w:b/>
                      <w:sz w:val="21"/>
                      <w:szCs w:val="21"/>
                    </w:rPr>
                  </w:pPr>
                  <w:r>
                    <w:rPr>
                      <w:b/>
                      <w:sz w:val="21"/>
                      <w:szCs w:val="21"/>
                    </w:rPr>
                    <w:t>台数</w:t>
                  </w:r>
                </w:p>
              </w:tc>
              <w:tc>
                <w:tcPr>
                  <w:tcW w:w="929" w:type="pct"/>
                  <w:noWrap w:val="0"/>
                  <w:vAlign w:val="center"/>
                </w:tcPr>
                <w:p>
                  <w:pPr>
                    <w:autoSpaceDE w:val="0"/>
                    <w:autoSpaceDN w:val="0"/>
                    <w:adjustRightInd w:val="0"/>
                    <w:snapToGrid w:val="0"/>
                    <w:jc w:val="center"/>
                    <w:rPr>
                      <w:b/>
                      <w:sz w:val="21"/>
                      <w:szCs w:val="21"/>
                    </w:rPr>
                  </w:pPr>
                  <w:r>
                    <w:rPr>
                      <w:b/>
                      <w:sz w:val="21"/>
                      <w:szCs w:val="21"/>
                    </w:rPr>
                    <w:t>单台设备噪声</w:t>
                  </w:r>
                </w:p>
                <w:p>
                  <w:pPr>
                    <w:autoSpaceDE w:val="0"/>
                    <w:autoSpaceDN w:val="0"/>
                    <w:adjustRightInd w:val="0"/>
                    <w:snapToGrid w:val="0"/>
                    <w:jc w:val="center"/>
                    <w:rPr>
                      <w:rFonts w:hint="eastAsia"/>
                      <w:b/>
                      <w:sz w:val="21"/>
                      <w:szCs w:val="21"/>
                    </w:rPr>
                  </w:pPr>
                  <w:r>
                    <w:rPr>
                      <w:b/>
                      <w:sz w:val="21"/>
                      <w:szCs w:val="21"/>
                    </w:rPr>
                    <w:t>源强dB</w:t>
                  </w:r>
                  <w:r>
                    <w:rPr>
                      <w:rFonts w:hint="eastAsia"/>
                      <w:b/>
                      <w:sz w:val="21"/>
                      <w:szCs w:val="21"/>
                    </w:rPr>
                    <w:t>(</w:t>
                  </w:r>
                  <w:r>
                    <w:rPr>
                      <w:b/>
                      <w:sz w:val="21"/>
                      <w:szCs w:val="21"/>
                    </w:rPr>
                    <w:t>A</w:t>
                  </w:r>
                  <w:r>
                    <w:rPr>
                      <w:rFonts w:hint="eastAsia"/>
                      <w:b/>
                      <w:sz w:val="21"/>
                      <w:szCs w:val="21"/>
                    </w:rPr>
                    <w:t>)</w:t>
                  </w:r>
                </w:p>
              </w:tc>
              <w:tc>
                <w:tcPr>
                  <w:tcW w:w="1275" w:type="pct"/>
                  <w:noWrap w:val="0"/>
                  <w:vAlign w:val="center"/>
                </w:tcPr>
                <w:p>
                  <w:pPr>
                    <w:autoSpaceDE w:val="0"/>
                    <w:autoSpaceDN w:val="0"/>
                    <w:adjustRightInd w:val="0"/>
                    <w:snapToGrid w:val="0"/>
                    <w:jc w:val="center"/>
                    <w:rPr>
                      <w:b/>
                      <w:sz w:val="21"/>
                      <w:szCs w:val="21"/>
                    </w:rPr>
                  </w:pPr>
                  <w:r>
                    <w:rPr>
                      <w:b/>
                      <w:sz w:val="21"/>
                      <w:szCs w:val="21"/>
                    </w:rPr>
                    <w:t>降噪措施</w:t>
                  </w:r>
                </w:p>
              </w:tc>
              <w:tc>
                <w:tcPr>
                  <w:tcW w:w="835" w:type="pct"/>
                  <w:noWrap w:val="0"/>
                  <w:vAlign w:val="center"/>
                </w:tcPr>
                <w:p>
                  <w:pPr>
                    <w:autoSpaceDE w:val="0"/>
                    <w:autoSpaceDN w:val="0"/>
                    <w:adjustRightInd w:val="0"/>
                    <w:snapToGrid w:val="0"/>
                    <w:jc w:val="center"/>
                    <w:rPr>
                      <w:b/>
                      <w:sz w:val="21"/>
                      <w:szCs w:val="21"/>
                    </w:rPr>
                  </w:pPr>
                  <w:r>
                    <w:rPr>
                      <w:b/>
                      <w:sz w:val="21"/>
                      <w:szCs w:val="21"/>
                    </w:rPr>
                    <w:t>降噪效果</w:t>
                  </w:r>
                </w:p>
                <w:p>
                  <w:pPr>
                    <w:autoSpaceDE w:val="0"/>
                    <w:autoSpaceDN w:val="0"/>
                    <w:adjustRightInd w:val="0"/>
                    <w:snapToGrid w:val="0"/>
                    <w:jc w:val="center"/>
                    <w:rPr>
                      <w:b/>
                      <w:sz w:val="21"/>
                      <w:szCs w:val="21"/>
                    </w:rPr>
                  </w:pPr>
                  <w:r>
                    <w:rPr>
                      <w:b/>
                      <w:sz w:val="21"/>
                      <w:szCs w:val="21"/>
                    </w:rPr>
                    <w:t>dB</w:t>
                  </w:r>
                  <w:r>
                    <w:rPr>
                      <w:rFonts w:hint="eastAsia"/>
                      <w:b/>
                      <w:sz w:val="21"/>
                      <w:szCs w:val="21"/>
                    </w:rPr>
                    <w:t>(</w:t>
                  </w:r>
                  <w:r>
                    <w:rPr>
                      <w:b/>
                      <w:sz w:val="21"/>
                      <w:szCs w:val="21"/>
                    </w:rPr>
                    <w:t>A</w:t>
                  </w:r>
                  <w:r>
                    <w:rPr>
                      <w:rFonts w:hint="eastAsia"/>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57" w:type="pct"/>
                  <w:noWrap w:val="0"/>
                  <w:vAlign w:val="center"/>
                </w:tcPr>
                <w:p>
                  <w:pPr>
                    <w:autoSpaceDE w:val="0"/>
                    <w:autoSpaceDN w:val="0"/>
                    <w:adjustRightInd w:val="0"/>
                    <w:snapToGrid w:val="0"/>
                    <w:jc w:val="center"/>
                    <w:rPr>
                      <w:sz w:val="21"/>
                      <w:szCs w:val="21"/>
                    </w:rPr>
                  </w:pPr>
                  <w:r>
                    <w:rPr>
                      <w:sz w:val="21"/>
                      <w:szCs w:val="21"/>
                    </w:rPr>
                    <w:t>1</w:t>
                  </w:r>
                </w:p>
              </w:tc>
              <w:tc>
                <w:tcPr>
                  <w:tcW w:w="640" w:type="pct"/>
                  <w:noWrap w:val="0"/>
                  <w:vAlign w:val="center"/>
                </w:tcPr>
                <w:p>
                  <w:pPr>
                    <w:autoSpaceDE w:val="0"/>
                    <w:autoSpaceDN w:val="0"/>
                    <w:adjustRightInd w:val="0"/>
                    <w:snapToGrid w:val="0"/>
                    <w:jc w:val="center"/>
                    <w:rPr>
                      <w:rFonts w:hint="eastAsia"/>
                      <w:sz w:val="21"/>
                      <w:szCs w:val="21"/>
                    </w:rPr>
                  </w:pPr>
                  <w:r>
                    <w:rPr>
                      <w:rFonts w:hint="eastAsia" w:ascii="Times New Roman" w:hAnsi="Times New Roman" w:eastAsia="宋体" w:cs="Times New Roman"/>
                      <w:sz w:val="21"/>
                      <w:szCs w:val="21"/>
                      <w:lang w:val="en-US" w:eastAsia="zh-CN"/>
                    </w:rPr>
                    <w:t>履带式破碎筛分设备</w:t>
                  </w:r>
                </w:p>
              </w:tc>
              <w:tc>
                <w:tcPr>
                  <w:tcW w:w="438" w:type="pct"/>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破碎删生产区</w:t>
                  </w:r>
                </w:p>
              </w:tc>
              <w:tc>
                <w:tcPr>
                  <w:tcW w:w="424" w:type="pct"/>
                  <w:noWrap w:val="0"/>
                  <w:vAlign w:val="center"/>
                </w:tcPr>
                <w:p>
                  <w:pPr>
                    <w:autoSpaceDE w:val="0"/>
                    <w:autoSpaceDN w:val="0"/>
                    <w:adjustRightInd w:val="0"/>
                    <w:snapToGrid w:val="0"/>
                    <w:jc w:val="center"/>
                    <w:rPr>
                      <w:sz w:val="21"/>
                      <w:szCs w:val="21"/>
                    </w:rPr>
                  </w:pPr>
                  <w:r>
                    <w:rPr>
                      <w:rFonts w:hint="eastAsia"/>
                      <w:sz w:val="21"/>
                      <w:szCs w:val="21"/>
                    </w:rPr>
                    <w:t>1</w:t>
                  </w:r>
                </w:p>
              </w:tc>
              <w:tc>
                <w:tcPr>
                  <w:tcW w:w="929" w:type="pct"/>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85</w:t>
                  </w:r>
                </w:p>
              </w:tc>
              <w:tc>
                <w:tcPr>
                  <w:tcW w:w="1275" w:type="pct"/>
                  <w:noWrap w:val="0"/>
                  <w:vAlign w:val="center"/>
                </w:tcPr>
                <w:p>
                  <w:pPr>
                    <w:autoSpaceDE w:val="0"/>
                    <w:autoSpaceDN w:val="0"/>
                    <w:adjustRightInd w:val="0"/>
                    <w:snapToGrid w:val="0"/>
                    <w:jc w:val="center"/>
                    <w:rPr>
                      <w:rFonts w:hint="default" w:eastAsia="宋体"/>
                      <w:sz w:val="21"/>
                      <w:szCs w:val="21"/>
                      <w:lang w:val="en-US" w:eastAsia="zh-CN"/>
                    </w:rPr>
                  </w:pPr>
                  <w:r>
                    <w:rPr>
                      <w:sz w:val="21"/>
                      <w:szCs w:val="21"/>
                    </w:rPr>
                    <w:t>车间墙体隔声、隔振基座和隔振垫</w:t>
                  </w:r>
                  <w:r>
                    <w:rPr>
                      <w:rFonts w:hint="eastAsia"/>
                      <w:sz w:val="21"/>
                      <w:szCs w:val="21"/>
                      <w:lang w:eastAsia="zh-CN"/>
                    </w:rPr>
                    <w:t>，</w:t>
                  </w:r>
                  <w:r>
                    <w:rPr>
                      <w:rFonts w:hint="eastAsia"/>
                      <w:sz w:val="21"/>
                      <w:szCs w:val="21"/>
                      <w:lang w:val="en-US" w:eastAsia="zh-CN"/>
                    </w:rPr>
                    <w:t>周边树林隔声</w:t>
                  </w:r>
                </w:p>
              </w:tc>
              <w:tc>
                <w:tcPr>
                  <w:tcW w:w="835" w:type="pct"/>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57" w:type="pct"/>
                  <w:noWrap w:val="0"/>
                  <w:vAlign w:val="center"/>
                </w:tcPr>
                <w:p>
                  <w:pPr>
                    <w:autoSpaceDE w:val="0"/>
                    <w:autoSpaceDN w:val="0"/>
                    <w:adjustRightInd w:val="0"/>
                    <w:snapToGrid w:val="0"/>
                    <w:jc w:val="center"/>
                    <w:rPr>
                      <w:rFonts w:hint="eastAsia"/>
                      <w:sz w:val="21"/>
                      <w:szCs w:val="21"/>
                    </w:rPr>
                  </w:pPr>
                  <w:r>
                    <w:rPr>
                      <w:rFonts w:hint="eastAsia"/>
                      <w:sz w:val="21"/>
                      <w:szCs w:val="21"/>
                    </w:rPr>
                    <w:t>2</w:t>
                  </w:r>
                </w:p>
              </w:tc>
              <w:tc>
                <w:tcPr>
                  <w:tcW w:w="640" w:type="pct"/>
                  <w:noWrap w:val="0"/>
                  <w:vAlign w:val="center"/>
                </w:tcPr>
                <w:p>
                  <w:pPr>
                    <w:autoSpaceDE w:val="0"/>
                    <w:autoSpaceDN w:val="0"/>
                    <w:adjustRightInd w:val="0"/>
                    <w:snapToGrid w:val="0"/>
                    <w:jc w:val="center"/>
                    <w:rPr>
                      <w:rFonts w:hint="eastAsia"/>
                      <w:sz w:val="21"/>
                      <w:szCs w:val="21"/>
                    </w:rPr>
                  </w:pPr>
                  <w:r>
                    <w:rPr>
                      <w:rFonts w:hint="eastAsia" w:ascii="Times New Roman" w:hAnsi="Times New Roman" w:eastAsia="宋体" w:cs="Times New Roman"/>
                      <w:sz w:val="21"/>
                      <w:szCs w:val="21"/>
                      <w:lang w:val="en-US" w:eastAsia="zh-CN"/>
                    </w:rPr>
                    <w:t>履带式推土机</w:t>
                  </w:r>
                </w:p>
              </w:tc>
              <w:tc>
                <w:tcPr>
                  <w:tcW w:w="438" w:type="pct"/>
                  <w:noWrap w:val="0"/>
                  <w:vAlign w:val="center"/>
                </w:tcPr>
                <w:p>
                  <w:pPr>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填埋区</w:t>
                  </w:r>
                </w:p>
              </w:tc>
              <w:tc>
                <w:tcPr>
                  <w:tcW w:w="424" w:type="pct"/>
                  <w:noWrap w:val="0"/>
                  <w:vAlign w:val="center"/>
                </w:tcPr>
                <w:p>
                  <w:pPr>
                    <w:autoSpaceDE w:val="0"/>
                    <w:autoSpaceDN w:val="0"/>
                    <w:adjustRightInd w:val="0"/>
                    <w:snapToGrid w:val="0"/>
                    <w:jc w:val="center"/>
                    <w:rPr>
                      <w:rFonts w:hint="eastAsia" w:eastAsia="宋体"/>
                      <w:sz w:val="21"/>
                      <w:szCs w:val="21"/>
                      <w:lang w:eastAsia="zh-CN"/>
                    </w:rPr>
                  </w:pPr>
                  <w:r>
                    <w:rPr>
                      <w:rFonts w:hint="eastAsia"/>
                      <w:sz w:val="21"/>
                      <w:szCs w:val="21"/>
                      <w:lang w:val="en-US" w:eastAsia="zh-CN"/>
                    </w:rPr>
                    <w:t>1</w:t>
                  </w:r>
                </w:p>
              </w:tc>
              <w:tc>
                <w:tcPr>
                  <w:tcW w:w="929" w:type="pct"/>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80</w:t>
                  </w:r>
                </w:p>
              </w:tc>
              <w:tc>
                <w:tcPr>
                  <w:tcW w:w="1275" w:type="pct"/>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距离衰减、周边树林隔声</w:t>
                  </w:r>
                </w:p>
              </w:tc>
              <w:tc>
                <w:tcPr>
                  <w:tcW w:w="835" w:type="pct"/>
                  <w:noWrap w:val="0"/>
                  <w:vAlign w:val="center"/>
                </w:tcPr>
                <w:p>
                  <w:pPr>
                    <w:autoSpaceDE w:val="0"/>
                    <w:autoSpaceDN w:val="0"/>
                    <w:adjustRightInd w:val="0"/>
                    <w:snapToGrid w:val="0"/>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57" w:type="pct"/>
                  <w:noWrap w:val="0"/>
                  <w:vAlign w:val="center"/>
                </w:tcPr>
                <w:p>
                  <w:pPr>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3</w:t>
                  </w:r>
                </w:p>
              </w:tc>
              <w:tc>
                <w:tcPr>
                  <w:tcW w:w="640" w:type="pct"/>
                  <w:noWrap w:val="0"/>
                  <w:vAlign w:val="center"/>
                </w:tcPr>
                <w:p>
                  <w:pPr>
                    <w:autoSpaceDE w:val="0"/>
                    <w:autoSpaceDN w:val="0"/>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压路机</w:t>
                  </w:r>
                </w:p>
              </w:tc>
              <w:tc>
                <w:tcPr>
                  <w:tcW w:w="438" w:type="pct"/>
                  <w:noWrap w:val="0"/>
                  <w:vAlign w:val="center"/>
                </w:tcPr>
                <w:p>
                  <w:pPr>
                    <w:autoSpaceDE w:val="0"/>
                    <w:autoSpaceDN w:val="0"/>
                    <w:adjustRightInd w:val="0"/>
                    <w:snapToGrid w:val="0"/>
                    <w:jc w:val="center"/>
                    <w:rPr>
                      <w:rFonts w:hint="eastAsia"/>
                      <w:sz w:val="21"/>
                      <w:szCs w:val="21"/>
                      <w:lang w:val="en-US" w:eastAsia="zh-CN"/>
                    </w:rPr>
                  </w:pPr>
                  <w:r>
                    <w:rPr>
                      <w:rFonts w:hint="eastAsia"/>
                      <w:sz w:val="21"/>
                      <w:szCs w:val="21"/>
                      <w:lang w:val="en-US" w:eastAsia="zh-CN"/>
                    </w:rPr>
                    <w:t>填埋区</w:t>
                  </w:r>
                </w:p>
              </w:tc>
              <w:tc>
                <w:tcPr>
                  <w:tcW w:w="424"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1</w:t>
                  </w:r>
                </w:p>
              </w:tc>
              <w:tc>
                <w:tcPr>
                  <w:tcW w:w="929"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80</w:t>
                  </w:r>
                </w:p>
              </w:tc>
              <w:tc>
                <w:tcPr>
                  <w:tcW w:w="2023" w:type="dxa"/>
                  <w:noWrap w:val="0"/>
                  <w:vAlign w:val="center"/>
                </w:tcPr>
                <w:p>
                  <w:pPr>
                    <w:autoSpaceDE w:val="0"/>
                    <w:autoSpaceDN w:val="0"/>
                    <w:adjustRightInd w:val="0"/>
                    <w:snapToGrid w:val="0"/>
                    <w:jc w:val="center"/>
                    <w:rPr>
                      <w:rFonts w:hint="eastAsia"/>
                      <w:sz w:val="21"/>
                      <w:szCs w:val="21"/>
                      <w:lang w:val="en-US" w:eastAsia="zh-CN"/>
                    </w:rPr>
                  </w:pPr>
                  <w:r>
                    <w:rPr>
                      <w:rFonts w:hint="eastAsia"/>
                      <w:sz w:val="21"/>
                      <w:szCs w:val="21"/>
                      <w:lang w:val="en-US" w:eastAsia="zh-CN"/>
                    </w:rPr>
                    <w:t>距离衰减、周边树林隔声</w:t>
                  </w:r>
                </w:p>
              </w:tc>
              <w:tc>
                <w:tcPr>
                  <w:tcW w:w="1325" w:type="dxa"/>
                  <w:noWrap w:val="0"/>
                  <w:vAlign w:val="center"/>
                </w:tcPr>
                <w:p>
                  <w:pPr>
                    <w:autoSpaceDE w:val="0"/>
                    <w:autoSpaceDN w:val="0"/>
                    <w:adjustRightInd w:val="0"/>
                    <w:snapToGrid w:val="0"/>
                    <w:jc w:val="center"/>
                    <w:rPr>
                      <w:rFonts w:hint="eastAsia"/>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57"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4</w:t>
                  </w:r>
                </w:p>
              </w:tc>
              <w:tc>
                <w:tcPr>
                  <w:tcW w:w="640" w:type="pct"/>
                  <w:noWrap w:val="0"/>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运输车辆</w:t>
                  </w:r>
                </w:p>
              </w:tc>
              <w:tc>
                <w:tcPr>
                  <w:tcW w:w="438"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填埋区</w:t>
                  </w:r>
                </w:p>
              </w:tc>
              <w:tc>
                <w:tcPr>
                  <w:tcW w:w="424"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10</w:t>
                  </w:r>
                </w:p>
              </w:tc>
              <w:tc>
                <w:tcPr>
                  <w:tcW w:w="929" w:type="pct"/>
                  <w:noWrap w:val="0"/>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75</w:t>
                  </w:r>
                </w:p>
              </w:tc>
              <w:tc>
                <w:tcPr>
                  <w:tcW w:w="2023" w:type="dxa"/>
                  <w:noWrap w:val="0"/>
                  <w:vAlign w:val="center"/>
                </w:tcPr>
                <w:p>
                  <w:pPr>
                    <w:autoSpaceDE w:val="0"/>
                    <w:autoSpaceDN w:val="0"/>
                    <w:adjustRightInd w:val="0"/>
                    <w:snapToGrid w:val="0"/>
                    <w:jc w:val="center"/>
                    <w:rPr>
                      <w:rFonts w:hint="eastAsia"/>
                      <w:sz w:val="21"/>
                      <w:szCs w:val="21"/>
                      <w:lang w:val="en-US" w:eastAsia="zh-CN"/>
                    </w:rPr>
                  </w:pPr>
                  <w:r>
                    <w:rPr>
                      <w:rFonts w:hint="eastAsia"/>
                      <w:sz w:val="21"/>
                      <w:szCs w:val="21"/>
                      <w:lang w:val="en-US" w:eastAsia="zh-CN"/>
                    </w:rPr>
                    <w:t>距离衰减、周边树林隔声</w:t>
                  </w:r>
                </w:p>
              </w:tc>
              <w:tc>
                <w:tcPr>
                  <w:tcW w:w="1325" w:type="dxa"/>
                  <w:noWrap w:val="0"/>
                  <w:vAlign w:val="center"/>
                </w:tcPr>
                <w:p>
                  <w:pPr>
                    <w:autoSpaceDE w:val="0"/>
                    <w:autoSpaceDN w:val="0"/>
                    <w:adjustRightInd w:val="0"/>
                    <w:snapToGrid w:val="0"/>
                    <w:jc w:val="center"/>
                    <w:rPr>
                      <w:rFonts w:hint="default" w:eastAsia="宋体"/>
                      <w:sz w:val="21"/>
                      <w:szCs w:val="21"/>
                      <w:lang w:val="en-US" w:eastAsia="zh-CN"/>
                    </w:rPr>
                  </w:pPr>
                  <w:r>
                    <w:rPr>
                      <w:rFonts w:hint="eastAsia"/>
                      <w:sz w:val="21"/>
                      <w:szCs w:val="21"/>
                      <w:lang w:val="en-US" w:eastAsia="zh-CN"/>
                    </w:rPr>
                    <w:t>20</w:t>
                  </w:r>
                </w:p>
              </w:tc>
            </w:tr>
          </w:tbl>
          <w:p>
            <w:pPr>
              <w:adjustRightInd w:val="0"/>
              <w:snapToGrid w:val="0"/>
              <w:spacing w:line="360" w:lineRule="auto"/>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（2）采取处理措施</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为保证厂界噪声达标，建设单位</w:t>
            </w:r>
            <w:r>
              <w:rPr>
                <w:rFonts w:hint="eastAsia" w:ascii="Times New Roman" w:hAnsi="Times New Roman" w:eastAsia="宋体" w:cs="Times New Roman"/>
                <w:sz w:val="24"/>
              </w:rPr>
              <w:t>已</w:t>
            </w:r>
            <w:r>
              <w:rPr>
                <w:rFonts w:ascii="Times New Roman" w:hAnsi="Times New Roman" w:eastAsia="宋体" w:cs="Times New Roman"/>
                <w:sz w:val="24"/>
              </w:rPr>
              <w:t>采取以下污染防治措施：</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a. </w:t>
            </w:r>
            <w:r>
              <w:rPr>
                <w:rFonts w:ascii="Times New Roman" w:hAnsi="Times New Roman" w:eastAsia="宋体" w:cs="Times New Roman"/>
                <w:sz w:val="24"/>
              </w:rPr>
              <w:t>合理布置噪声源，在进行工艺设计时，高噪声设备尽量远离</w:t>
            </w:r>
            <w:r>
              <w:rPr>
                <w:rFonts w:hint="eastAsia" w:ascii="Times New Roman" w:hAnsi="Times New Roman" w:eastAsia="宋体" w:cs="Times New Roman"/>
                <w:sz w:val="24"/>
              </w:rPr>
              <w:t>居民区</w:t>
            </w:r>
            <w:r>
              <w:rPr>
                <w:rFonts w:ascii="Times New Roman" w:hAnsi="Times New Roman" w:eastAsia="宋体" w:cs="Times New Roman"/>
                <w:sz w:val="24"/>
              </w:rPr>
              <w:t>；</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b. </w:t>
            </w:r>
            <w:r>
              <w:rPr>
                <w:rFonts w:ascii="Times New Roman" w:hAnsi="Times New Roman" w:eastAsia="宋体" w:cs="Times New Roman"/>
                <w:sz w:val="24"/>
              </w:rPr>
              <w:t>在设备选型时尽量采用符合要求的低噪声设备；</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c. </w:t>
            </w:r>
            <w:r>
              <w:rPr>
                <w:rFonts w:ascii="Times New Roman" w:hAnsi="Times New Roman" w:eastAsia="宋体" w:cs="Times New Roman"/>
                <w:sz w:val="24"/>
              </w:rPr>
              <w:t>对于</w:t>
            </w:r>
            <w:r>
              <w:rPr>
                <w:rFonts w:hint="eastAsia" w:ascii="Times New Roman" w:hAnsi="Times New Roman" w:eastAsia="宋体" w:cs="Times New Roman"/>
                <w:sz w:val="24"/>
                <w:lang w:val="en-US" w:eastAsia="zh-CN"/>
              </w:rPr>
              <w:t>履带式破碎筛分设备</w:t>
            </w:r>
            <w:r>
              <w:rPr>
                <w:rFonts w:ascii="Times New Roman" w:hAnsi="Times New Roman" w:eastAsia="宋体" w:cs="Times New Roman"/>
                <w:sz w:val="24"/>
              </w:rPr>
              <w:t>采用</w:t>
            </w:r>
            <w:r>
              <w:rPr>
                <w:rFonts w:hint="eastAsia" w:ascii="Times New Roman" w:hAnsi="Times New Roman" w:eastAsia="宋体" w:cs="Times New Roman"/>
                <w:sz w:val="24"/>
                <w:lang w:val="en-US" w:eastAsia="zh-CN"/>
              </w:rPr>
              <w:t>厂房密闭</w:t>
            </w:r>
            <w:r>
              <w:rPr>
                <w:rFonts w:ascii="Times New Roman" w:hAnsi="Times New Roman" w:eastAsia="宋体" w:cs="Times New Roman"/>
                <w:sz w:val="24"/>
              </w:rPr>
              <w:t>；</w:t>
            </w:r>
          </w:p>
          <w:p>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d. </w:t>
            </w:r>
            <w:r>
              <w:rPr>
                <w:rFonts w:ascii="Times New Roman" w:hAnsi="Times New Roman" w:eastAsia="宋体" w:cs="Times New Roman"/>
                <w:sz w:val="24"/>
              </w:rPr>
              <w:t>定期检查设备，加强设备维护，使设备处于良好的运行状态，避免和减轻非正常运行产生的噪声污染；</w:t>
            </w:r>
          </w:p>
          <w:p>
            <w:pPr>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本项目合理布设高噪声设备，高噪声设备车间50m范围内无居民。本项目采取减振、消声、隔声等措施后，厂界噪声可满足《工业企业厂界噪声排放标准》（GB12348-2008）2类标准。</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4、固废</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本项目运营期产生的固体废弃物主要来自于进场的建筑垃圾、生活垃圾、化粪池底泥、车辆清洗废水沉淀池产生的泥沙、破碎生产区沉淀池产生的底泥、沉砂池产生的底泥以及设备维修保养产生的废机油。</w:t>
            </w:r>
          </w:p>
          <w:p>
            <w:pPr>
              <w:adjustRightInd w:val="0"/>
              <w:snapToGrid w:val="0"/>
              <w:spacing w:line="360" w:lineRule="auto"/>
              <w:ind w:firstLine="480" w:firstLineChars="200"/>
              <w:rPr>
                <w:sz w:val="24"/>
              </w:rPr>
            </w:pPr>
            <w:r>
              <w:rPr>
                <w:rFonts w:hint="eastAsia"/>
                <w:sz w:val="24"/>
              </w:rPr>
              <w:t>本</w:t>
            </w:r>
            <w:r>
              <w:rPr>
                <w:sz w:val="24"/>
              </w:rPr>
              <w:t>项目运营期固废产生情况见下表：</w:t>
            </w:r>
          </w:p>
          <w:p>
            <w:pPr>
              <w:widowControl/>
              <w:adjustRightInd w:val="0"/>
              <w:snapToGrid w:val="0"/>
              <w:spacing w:line="360" w:lineRule="auto"/>
              <w:ind w:right="113" w:firstLine="482" w:firstLineChars="200"/>
              <w:jc w:val="center"/>
              <w:rPr>
                <w:b/>
                <w:kern w:val="0"/>
                <w:szCs w:val="21"/>
              </w:rPr>
            </w:pPr>
            <w:r>
              <w:rPr>
                <w:b/>
                <w:kern w:val="0"/>
                <w:szCs w:val="21"/>
              </w:rPr>
              <w:t>表4-</w:t>
            </w:r>
            <w:r>
              <w:rPr>
                <w:rFonts w:hint="eastAsia"/>
                <w:b/>
                <w:kern w:val="0"/>
                <w:szCs w:val="21"/>
                <w:lang w:val="en-US" w:eastAsia="zh-CN"/>
              </w:rPr>
              <w:t>3</w:t>
            </w:r>
            <w:r>
              <w:rPr>
                <w:b/>
                <w:kern w:val="0"/>
                <w:szCs w:val="21"/>
              </w:rPr>
              <w:t xml:space="preserve">  拟建项目运营期固废产生情况表</w:t>
            </w:r>
          </w:p>
          <w:tbl>
            <w:tblPr>
              <w:tblStyle w:val="38"/>
              <w:tblW w:w="498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59"/>
              <w:gridCol w:w="1863"/>
              <w:gridCol w:w="3118"/>
              <w:gridCol w:w="24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627" w:type="pct"/>
                  <w:noWrap w:val="0"/>
                  <w:vAlign w:val="center"/>
                </w:tcPr>
                <w:p>
                  <w:pPr>
                    <w:jc w:val="center"/>
                  </w:pPr>
                  <w:r>
                    <w:t>序号</w:t>
                  </w:r>
                </w:p>
              </w:tc>
              <w:tc>
                <w:tcPr>
                  <w:tcW w:w="1102" w:type="pct"/>
                  <w:noWrap w:val="0"/>
                  <w:vAlign w:val="center"/>
                </w:tcPr>
                <w:p>
                  <w:pPr>
                    <w:jc w:val="center"/>
                    <w:rPr>
                      <w:rFonts w:hint="eastAsia"/>
                    </w:rPr>
                  </w:pPr>
                  <w:r>
                    <w:rPr>
                      <w:rFonts w:hint="eastAsia"/>
                    </w:rPr>
                    <w:t>来源</w:t>
                  </w:r>
                </w:p>
              </w:tc>
              <w:tc>
                <w:tcPr>
                  <w:tcW w:w="1845" w:type="pct"/>
                  <w:noWrap w:val="0"/>
                  <w:vAlign w:val="center"/>
                </w:tcPr>
                <w:p>
                  <w:pPr>
                    <w:jc w:val="center"/>
                  </w:pPr>
                  <w:r>
                    <w:t>固废名称</w:t>
                  </w:r>
                </w:p>
              </w:tc>
              <w:tc>
                <w:tcPr>
                  <w:tcW w:w="1425" w:type="pct"/>
                  <w:noWrap w:val="0"/>
                  <w:vAlign w:val="center"/>
                </w:tcPr>
                <w:p>
                  <w:pPr>
                    <w:jc w:val="center"/>
                  </w:pPr>
                  <w:r>
                    <w:t>固废性质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restart"/>
                  <w:noWrap w:val="0"/>
                  <w:vAlign w:val="center"/>
                </w:tcPr>
                <w:p>
                  <w:pPr>
                    <w:jc w:val="center"/>
                    <w:rPr>
                      <w:rFonts w:hint="eastAsia"/>
                    </w:rPr>
                  </w:pPr>
                  <w:r>
                    <w:rPr>
                      <w:rFonts w:hint="eastAsia"/>
                    </w:rPr>
                    <w:t>1</w:t>
                  </w:r>
                </w:p>
              </w:tc>
              <w:tc>
                <w:tcPr>
                  <w:tcW w:w="1102" w:type="pct"/>
                  <w:vMerge w:val="restart"/>
                  <w:noWrap w:val="0"/>
                  <w:vAlign w:val="center"/>
                </w:tcPr>
                <w:p>
                  <w:pPr>
                    <w:jc w:val="center"/>
                    <w:rPr>
                      <w:rFonts w:hint="default" w:eastAsia="宋体"/>
                      <w:lang w:val="en-US" w:eastAsia="zh-CN"/>
                    </w:rPr>
                  </w:pPr>
                  <w:r>
                    <w:rPr>
                      <w:rFonts w:hint="eastAsia"/>
                      <w:lang w:val="en-US" w:eastAsia="zh-CN"/>
                    </w:rPr>
                    <w:t>外运</w:t>
                  </w:r>
                </w:p>
              </w:tc>
              <w:tc>
                <w:tcPr>
                  <w:tcW w:w="1845" w:type="pct"/>
                  <w:noWrap w:val="0"/>
                  <w:vAlign w:val="center"/>
                </w:tcPr>
                <w:p>
                  <w:pPr>
                    <w:jc w:val="center"/>
                    <w:rPr>
                      <w:rFonts w:hint="default" w:eastAsia="宋体"/>
                      <w:lang w:val="en-US" w:eastAsia="zh-CN"/>
                    </w:rPr>
                  </w:pPr>
                  <w:r>
                    <w:rPr>
                      <w:rFonts w:hint="eastAsia"/>
                      <w:lang w:val="en-US" w:eastAsia="zh-CN"/>
                    </w:rPr>
                    <w:t>混凝土块</w:t>
                  </w:r>
                </w:p>
              </w:tc>
              <w:tc>
                <w:tcPr>
                  <w:tcW w:w="1425" w:type="pct"/>
                  <w:noWrap w:val="0"/>
                  <w:vAlign w:val="center"/>
                </w:tcPr>
                <w:p>
                  <w:pPr>
                    <w:jc w:val="center"/>
                    <w:rPr>
                      <w:rFonts w:hint="eastAsia"/>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pPr>
                </w:p>
              </w:tc>
              <w:tc>
                <w:tcPr>
                  <w:tcW w:w="1102" w:type="pct"/>
                  <w:vMerge w:val="continue"/>
                  <w:noWrap w:val="0"/>
                  <w:vAlign w:val="center"/>
                </w:tcPr>
                <w:p>
                  <w:pPr>
                    <w:jc w:val="center"/>
                  </w:pPr>
                </w:p>
              </w:tc>
              <w:tc>
                <w:tcPr>
                  <w:tcW w:w="1845" w:type="pct"/>
                  <w:noWrap w:val="0"/>
                  <w:vAlign w:val="center"/>
                </w:tcPr>
                <w:p>
                  <w:pPr>
                    <w:adjustRightInd w:val="0"/>
                    <w:snapToGrid w:val="0"/>
                    <w:spacing w:line="256" w:lineRule="exact"/>
                    <w:jc w:val="center"/>
                    <w:rPr>
                      <w:rFonts w:hint="eastAsia"/>
                      <w:lang w:val="en-US" w:eastAsia="zh-CN"/>
                    </w:rPr>
                  </w:pPr>
                  <w:r>
                    <w:rPr>
                      <w:rFonts w:hint="eastAsia"/>
                      <w:szCs w:val="21"/>
                      <w:lang w:val="en-US" w:eastAsia="zh-CN"/>
                    </w:rPr>
                    <w:t>废木头</w:t>
                  </w:r>
                </w:p>
              </w:tc>
              <w:tc>
                <w:tcPr>
                  <w:tcW w:w="1425" w:type="pct"/>
                  <w:noWrap w:val="0"/>
                  <w:vAlign w:val="center"/>
                </w:tcPr>
                <w:p>
                  <w:pPr>
                    <w:jc w:val="center"/>
                    <w:rPr>
                      <w:rFonts w:hint="eastAsia"/>
                      <w:lang w:val="en-US" w:eastAsia="zh-CN"/>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rPr>
                      <w:rFonts w:hint="eastAsia"/>
                      <w:lang w:val="en-US" w:eastAsia="zh-CN"/>
                    </w:rPr>
                  </w:pPr>
                </w:p>
              </w:tc>
              <w:tc>
                <w:tcPr>
                  <w:tcW w:w="1102" w:type="pct"/>
                  <w:vMerge w:val="continue"/>
                  <w:noWrap w:val="0"/>
                  <w:vAlign w:val="center"/>
                </w:tcPr>
                <w:p>
                  <w:pPr>
                    <w:jc w:val="center"/>
                    <w:rPr>
                      <w:rFonts w:hint="eastAsia"/>
                      <w:lang w:val="en-US" w:eastAsia="zh-CN"/>
                    </w:rPr>
                  </w:pPr>
                </w:p>
              </w:tc>
              <w:tc>
                <w:tcPr>
                  <w:tcW w:w="1845" w:type="pct"/>
                  <w:noWrap w:val="0"/>
                  <w:vAlign w:val="center"/>
                </w:tcPr>
                <w:p>
                  <w:pPr>
                    <w:adjustRightInd w:val="0"/>
                    <w:snapToGrid w:val="0"/>
                    <w:spacing w:line="256" w:lineRule="exact"/>
                    <w:jc w:val="center"/>
                    <w:rPr>
                      <w:rFonts w:hint="eastAsia"/>
                      <w:lang w:val="en-US" w:eastAsia="zh-CN"/>
                    </w:rPr>
                  </w:pPr>
                  <w:r>
                    <w:rPr>
                      <w:rFonts w:hint="eastAsia"/>
                      <w:szCs w:val="21"/>
                      <w:lang w:val="en-US" w:eastAsia="zh-CN"/>
                    </w:rPr>
                    <w:t>废纸板</w:t>
                  </w:r>
                </w:p>
              </w:tc>
              <w:tc>
                <w:tcPr>
                  <w:tcW w:w="1425" w:type="pct"/>
                  <w:noWrap w:val="0"/>
                  <w:vAlign w:val="center"/>
                </w:tcPr>
                <w:p>
                  <w:pPr>
                    <w:jc w:val="center"/>
                    <w:rPr>
                      <w:rFonts w:hint="eastAsia"/>
                      <w:lang w:val="en-US" w:eastAsia="zh-CN"/>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rPr>
                      <w:rFonts w:hint="eastAsia"/>
                      <w:lang w:val="en-US" w:eastAsia="zh-CN"/>
                    </w:rPr>
                  </w:pPr>
                </w:p>
              </w:tc>
              <w:tc>
                <w:tcPr>
                  <w:tcW w:w="1102" w:type="pct"/>
                  <w:vMerge w:val="continue"/>
                  <w:noWrap w:val="0"/>
                  <w:vAlign w:val="center"/>
                </w:tcPr>
                <w:p>
                  <w:pPr>
                    <w:jc w:val="center"/>
                    <w:rPr>
                      <w:rFonts w:hint="eastAsia"/>
                      <w:lang w:val="en-US" w:eastAsia="zh-CN"/>
                    </w:rPr>
                  </w:pPr>
                </w:p>
              </w:tc>
              <w:tc>
                <w:tcPr>
                  <w:tcW w:w="1845" w:type="pct"/>
                  <w:noWrap w:val="0"/>
                  <w:vAlign w:val="center"/>
                </w:tcPr>
                <w:p>
                  <w:pPr>
                    <w:adjustRightInd w:val="0"/>
                    <w:snapToGrid w:val="0"/>
                    <w:spacing w:line="256" w:lineRule="exact"/>
                    <w:jc w:val="center"/>
                    <w:rPr>
                      <w:rFonts w:hint="eastAsia"/>
                      <w:lang w:val="en-US" w:eastAsia="zh-CN"/>
                    </w:rPr>
                  </w:pPr>
                  <w:r>
                    <w:rPr>
                      <w:rFonts w:hint="eastAsia"/>
                      <w:szCs w:val="21"/>
                      <w:lang w:val="en-US" w:eastAsia="zh-CN"/>
                    </w:rPr>
                    <w:t>废钢材</w:t>
                  </w:r>
                </w:p>
              </w:tc>
              <w:tc>
                <w:tcPr>
                  <w:tcW w:w="1425" w:type="pct"/>
                  <w:noWrap w:val="0"/>
                  <w:vAlign w:val="center"/>
                </w:tcPr>
                <w:p>
                  <w:pPr>
                    <w:jc w:val="center"/>
                    <w:rPr>
                      <w:rFonts w:hint="eastAsia"/>
                      <w:lang w:val="en-US" w:eastAsia="zh-CN"/>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rPr>
                      <w:rFonts w:hint="eastAsia"/>
                      <w:lang w:val="en-US" w:eastAsia="zh-CN"/>
                    </w:rPr>
                  </w:pPr>
                </w:p>
              </w:tc>
              <w:tc>
                <w:tcPr>
                  <w:tcW w:w="1102" w:type="pct"/>
                  <w:vMerge w:val="continue"/>
                  <w:noWrap w:val="0"/>
                  <w:vAlign w:val="center"/>
                </w:tcPr>
                <w:p>
                  <w:pPr>
                    <w:jc w:val="center"/>
                    <w:rPr>
                      <w:rFonts w:hint="eastAsia"/>
                      <w:lang w:val="en-US" w:eastAsia="zh-CN"/>
                    </w:rPr>
                  </w:pPr>
                </w:p>
              </w:tc>
              <w:tc>
                <w:tcPr>
                  <w:tcW w:w="1845" w:type="pct"/>
                  <w:noWrap w:val="0"/>
                  <w:vAlign w:val="center"/>
                </w:tcPr>
                <w:p>
                  <w:pPr>
                    <w:adjustRightInd w:val="0"/>
                    <w:snapToGrid w:val="0"/>
                    <w:spacing w:line="256" w:lineRule="exact"/>
                    <w:jc w:val="center"/>
                    <w:rPr>
                      <w:rFonts w:hint="eastAsia"/>
                      <w:lang w:val="en-US" w:eastAsia="zh-CN"/>
                    </w:rPr>
                  </w:pPr>
                  <w:r>
                    <w:rPr>
                      <w:rFonts w:hint="eastAsia"/>
                      <w:szCs w:val="21"/>
                      <w:lang w:val="en-US" w:eastAsia="zh-CN"/>
                    </w:rPr>
                    <w:t>废砖头</w:t>
                  </w:r>
                </w:p>
              </w:tc>
              <w:tc>
                <w:tcPr>
                  <w:tcW w:w="1425" w:type="pct"/>
                  <w:noWrap w:val="0"/>
                  <w:vAlign w:val="center"/>
                </w:tcPr>
                <w:p>
                  <w:pPr>
                    <w:jc w:val="center"/>
                    <w:rPr>
                      <w:rFonts w:hint="eastAsia"/>
                      <w:lang w:val="en-US" w:eastAsia="zh-CN"/>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rPr>
                      <w:rFonts w:hint="eastAsia"/>
                      <w:lang w:val="en-US" w:eastAsia="zh-CN"/>
                    </w:rPr>
                  </w:pPr>
                </w:p>
              </w:tc>
              <w:tc>
                <w:tcPr>
                  <w:tcW w:w="1102" w:type="pct"/>
                  <w:vMerge w:val="continue"/>
                  <w:noWrap w:val="0"/>
                  <w:vAlign w:val="center"/>
                </w:tcPr>
                <w:p>
                  <w:pPr>
                    <w:jc w:val="center"/>
                    <w:rPr>
                      <w:rFonts w:hint="eastAsia"/>
                      <w:lang w:val="en-US" w:eastAsia="zh-CN"/>
                    </w:rPr>
                  </w:pPr>
                </w:p>
              </w:tc>
              <w:tc>
                <w:tcPr>
                  <w:tcW w:w="1845" w:type="pct"/>
                  <w:noWrap w:val="0"/>
                  <w:vAlign w:val="center"/>
                </w:tcPr>
                <w:p>
                  <w:pPr>
                    <w:adjustRightInd w:val="0"/>
                    <w:snapToGrid w:val="0"/>
                    <w:spacing w:line="256" w:lineRule="exact"/>
                    <w:jc w:val="center"/>
                    <w:rPr>
                      <w:rFonts w:hint="eastAsia"/>
                      <w:lang w:val="en-US" w:eastAsia="zh-CN"/>
                    </w:rPr>
                  </w:pPr>
                  <w:r>
                    <w:rPr>
                      <w:rFonts w:hint="eastAsia"/>
                      <w:szCs w:val="21"/>
                      <w:lang w:val="en-US" w:eastAsia="zh-CN"/>
                    </w:rPr>
                    <w:t>装修垃圾</w:t>
                  </w:r>
                </w:p>
              </w:tc>
              <w:tc>
                <w:tcPr>
                  <w:tcW w:w="1425" w:type="pct"/>
                  <w:noWrap w:val="0"/>
                  <w:vAlign w:val="center"/>
                </w:tcPr>
                <w:p>
                  <w:pPr>
                    <w:jc w:val="center"/>
                    <w:rPr>
                      <w:rFonts w:hint="eastAsia"/>
                      <w:lang w:val="en-US" w:eastAsia="zh-CN"/>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vMerge w:val="continue"/>
                  <w:noWrap w:val="0"/>
                  <w:vAlign w:val="center"/>
                </w:tcPr>
                <w:p>
                  <w:pPr>
                    <w:jc w:val="center"/>
                    <w:rPr>
                      <w:rFonts w:hint="eastAsia"/>
                      <w:lang w:val="en-US" w:eastAsia="zh-CN"/>
                    </w:rPr>
                  </w:pPr>
                </w:p>
              </w:tc>
              <w:tc>
                <w:tcPr>
                  <w:tcW w:w="1102" w:type="pct"/>
                  <w:vMerge w:val="continue"/>
                  <w:noWrap w:val="0"/>
                  <w:vAlign w:val="center"/>
                </w:tcPr>
                <w:p>
                  <w:pPr>
                    <w:jc w:val="center"/>
                    <w:rPr>
                      <w:rFonts w:hint="eastAsia"/>
                      <w:lang w:val="en-US" w:eastAsia="zh-CN"/>
                    </w:rPr>
                  </w:pPr>
                </w:p>
              </w:tc>
              <w:tc>
                <w:tcPr>
                  <w:tcW w:w="1845" w:type="pct"/>
                  <w:noWrap w:val="0"/>
                  <w:vAlign w:val="center"/>
                </w:tcPr>
                <w:p>
                  <w:pPr>
                    <w:jc w:val="center"/>
                    <w:rPr>
                      <w:rFonts w:hint="default"/>
                      <w:highlight w:val="none"/>
                      <w:lang w:val="en-US" w:eastAsia="zh-CN"/>
                    </w:rPr>
                  </w:pPr>
                  <w:r>
                    <w:rPr>
                      <w:rFonts w:hint="eastAsia"/>
                      <w:highlight w:val="none"/>
                      <w:lang w:val="en-US" w:eastAsia="zh-CN"/>
                    </w:rPr>
                    <w:t>白色装修垃圾</w:t>
                  </w:r>
                </w:p>
              </w:tc>
              <w:tc>
                <w:tcPr>
                  <w:tcW w:w="1425" w:type="pct"/>
                  <w:noWrap w:val="0"/>
                  <w:vAlign w:val="center"/>
                </w:tcPr>
                <w:p>
                  <w:pPr>
                    <w:jc w:val="center"/>
                    <w:rPr>
                      <w:rFonts w:hint="eastAsia"/>
                      <w:highlight w:val="none"/>
                      <w:lang w:val="en-US" w:eastAsia="zh-CN"/>
                    </w:rPr>
                  </w:pPr>
                  <w:r>
                    <w:rPr>
                      <w:rFonts w:hint="eastAsia"/>
                      <w:highlight w:val="none"/>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noWrap w:val="0"/>
                  <w:vAlign w:val="center"/>
                </w:tcPr>
                <w:p>
                  <w:pPr>
                    <w:jc w:val="center"/>
                    <w:rPr>
                      <w:rFonts w:hint="eastAsia"/>
                    </w:rPr>
                  </w:pPr>
                  <w:r>
                    <w:rPr>
                      <w:rFonts w:hint="eastAsia"/>
                    </w:rPr>
                    <w:t>2</w:t>
                  </w:r>
                </w:p>
              </w:tc>
              <w:tc>
                <w:tcPr>
                  <w:tcW w:w="1102" w:type="pct"/>
                  <w:noWrap w:val="0"/>
                  <w:vAlign w:val="center"/>
                </w:tcPr>
                <w:p>
                  <w:pPr>
                    <w:jc w:val="center"/>
                    <w:rPr>
                      <w:rFonts w:hint="default" w:eastAsia="宋体"/>
                      <w:lang w:val="en-US" w:eastAsia="zh-CN"/>
                    </w:rPr>
                  </w:pPr>
                  <w:r>
                    <w:rPr>
                      <w:rFonts w:hint="eastAsia"/>
                      <w:lang w:val="en-US" w:eastAsia="zh-CN"/>
                    </w:rPr>
                    <w:t>化粪池底泥</w:t>
                  </w:r>
                </w:p>
              </w:tc>
              <w:tc>
                <w:tcPr>
                  <w:tcW w:w="1845" w:type="pct"/>
                  <w:noWrap w:val="0"/>
                  <w:vAlign w:val="center"/>
                </w:tcPr>
                <w:p>
                  <w:pPr>
                    <w:jc w:val="center"/>
                    <w:rPr>
                      <w:rFonts w:hint="eastAsia" w:eastAsia="宋体"/>
                      <w:lang w:val="en-US" w:eastAsia="zh-CN"/>
                    </w:rPr>
                  </w:pPr>
                  <w:r>
                    <w:rPr>
                      <w:rFonts w:hint="eastAsia"/>
                      <w:lang w:val="en-US" w:eastAsia="zh-CN"/>
                    </w:rPr>
                    <w:t>底泥</w:t>
                  </w:r>
                </w:p>
              </w:tc>
              <w:tc>
                <w:tcPr>
                  <w:tcW w:w="1425" w:type="pct"/>
                  <w:noWrap w:val="0"/>
                  <w:vAlign w:val="center"/>
                </w:tcPr>
                <w:p>
                  <w:pPr>
                    <w:jc w:val="center"/>
                    <w:rPr>
                      <w:rFonts w:hint="eastAsia"/>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noWrap w:val="0"/>
                  <w:vAlign w:val="center"/>
                </w:tcPr>
                <w:p>
                  <w:pPr>
                    <w:jc w:val="center"/>
                    <w:rPr>
                      <w:rFonts w:hint="eastAsia" w:eastAsia="宋体"/>
                      <w:lang w:val="en-US" w:eastAsia="zh-CN"/>
                    </w:rPr>
                  </w:pPr>
                  <w:r>
                    <w:rPr>
                      <w:rFonts w:hint="eastAsia"/>
                      <w:lang w:val="en-US" w:eastAsia="zh-CN"/>
                    </w:rPr>
                    <w:t>3</w:t>
                  </w:r>
                </w:p>
              </w:tc>
              <w:tc>
                <w:tcPr>
                  <w:tcW w:w="1102" w:type="pct"/>
                  <w:noWrap w:val="0"/>
                  <w:vAlign w:val="center"/>
                </w:tcPr>
                <w:p>
                  <w:pPr>
                    <w:jc w:val="center"/>
                    <w:rPr>
                      <w:rFonts w:hint="default" w:eastAsia="宋体"/>
                      <w:lang w:val="en-US" w:eastAsia="zh-CN"/>
                    </w:rPr>
                  </w:pPr>
                  <w:r>
                    <w:rPr>
                      <w:rFonts w:hint="eastAsia"/>
                      <w:lang w:val="en-US" w:eastAsia="zh-CN"/>
                    </w:rPr>
                    <w:t>沉淀池（洗车槽）底泥</w:t>
                  </w:r>
                </w:p>
              </w:tc>
              <w:tc>
                <w:tcPr>
                  <w:tcW w:w="2924" w:type="dxa"/>
                  <w:noWrap w:val="0"/>
                  <w:vAlign w:val="center"/>
                </w:tcPr>
                <w:p>
                  <w:pPr>
                    <w:jc w:val="center"/>
                    <w:rPr>
                      <w:rFonts w:hint="eastAsia"/>
                    </w:rPr>
                  </w:pPr>
                  <w:r>
                    <w:rPr>
                      <w:rFonts w:hint="eastAsia"/>
                      <w:lang w:val="en-US" w:eastAsia="zh-CN"/>
                    </w:rPr>
                    <w:t>底泥</w:t>
                  </w:r>
                </w:p>
              </w:tc>
              <w:tc>
                <w:tcPr>
                  <w:tcW w:w="2259" w:type="dxa"/>
                  <w:noWrap w:val="0"/>
                  <w:vAlign w:val="center"/>
                </w:tcPr>
                <w:p>
                  <w:pPr>
                    <w:jc w:val="center"/>
                    <w:rPr>
                      <w:rFonts w:hint="eastAsia"/>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noWrap w:val="0"/>
                  <w:vAlign w:val="center"/>
                </w:tcPr>
                <w:p>
                  <w:pPr>
                    <w:jc w:val="center"/>
                    <w:rPr>
                      <w:rFonts w:hint="eastAsia" w:eastAsia="宋体"/>
                      <w:lang w:val="en-US" w:eastAsia="zh-CN"/>
                    </w:rPr>
                  </w:pPr>
                  <w:r>
                    <w:rPr>
                      <w:rFonts w:hint="eastAsia"/>
                      <w:lang w:val="en-US" w:eastAsia="zh-CN"/>
                    </w:rPr>
                    <w:t>4</w:t>
                  </w:r>
                </w:p>
              </w:tc>
              <w:tc>
                <w:tcPr>
                  <w:tcW w:w="1102" w:type="pct"/>
                  <w:noWrap w:val="0"/>
                  <w:vAlign w:val="center"/>
                </w:tcPr>
                <w:p>
                  <w:pPr>
                    <w:jc w:val="center"/>
                    <w:rPr>
                      <w:rFonts w:hint="default" w:eastAsia="宋体"/>
                      <w:lang w:val="en-US" w:eastAsia="zh-CN"/>
                    </w:rPr>
                  </w:pPr>
                  <w:r>
                    <w:rPr>
                      <w:rFonts w:hint="eastAsia"/>
                      <w:lang w:val="en-US" w:eastAsia="zh-CN"/>
                    </w:rPr>
                    <w:t>沉淀池（碎石破碎）底泥</w:t>
                  </w:r>
                </w:p>
              </w:tc>
              <w:tc>
                <w:tcPr>
                  <w:tcW w:w="2924" w:type="dxa"/>
                  <w:noWrap w:val="0"/>
                  <w:vAlign w:val="center"/>
                </w:tcPr>
                <w:p>
                  <w:pPr>
                    <w:jc w:val="center"/>
                    <w:rPr>
                      <w:rFonts w:hint="eastAsia"/>
                    </w:rPr>
                  </w:pPr>
                  <w:r>
                    <w:rPr>
                      <w:rFonts w:hint="eastAsia"/>
                      <w:lang w:val="en-US" w:eastAsia="zh-CN"/>
                    </w:rPr>
                    <w:t>底泥</w:t>
                  </w:r>
                </w:p>
              </w:tc>
              <w:tc>
                <w:tcPr>
                  <w:tcW w:w="2259" w:type="dxa"/>
                  <w:noWrap w:val="0"/>
                  <w:vAlign w:val="center"/>
                </w:tcPr>
                <w:p>
                  <w:pPr>
                    <w:jc w:val="center"/>
                    <w:rPr>
                      <w:rFonts w:hint="eastAsia"/>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627" w:type="pct"/>
                  <w:noWrap w:val="0"/>
                  <w:vAlign w:val="center"/>
                </w:tcPr>
                <w:p>
                  <w:pPr>
                    <w:jc w:val="center"/>
                    <w:rPr>
                      <w:rFonts w:hint="eastAsia" w:eastAsia="宋体"/>
                      <w:lang w:val="en-US" w:eastAsia="zh-CN"/>
                    </w:rPr>
                  </w:pPr>
                  <w:r>
                    <w:rPr>
                      <w:rFonts w:hint="eastAsia"/>
                      <w:lang w:val="en-US" w:eastAsia="zh-CN"/>
                    </w:rPr>
                    <w:t>5</w:t>
                  </w:r>
                </w:p>
              </w:tc>
              <w:tc>
                <w:tcPr>
                  <w:tcW w:w="1102" w:type="pct"/>
                  <w:noWrap w:val="0"/>
                  <w:vAlign w:val="center"/>
                </w:tcPr>
                <w:p>
                  <w:pPr>
                    <w:jc w:val="center"/>
                    <w:rPr>
                      <w:rFonts w:hint="default" w:eastAsia="宋体"/>
                      <w:lang w:val="en-US" w:eastAsia="zh-CN"/>
                    </w:rPr>
                  </w:pPr>
                  <w:r>
                    <w:rPr>
                      <w:rFonts w:hint="eastAsia"/>
                      <w:lang w:val="en-US" w:eastAsia="zh-CN"/>
                    </w:rPr>
                    <w:t>沉砂池底泥</w:t>
                  </w:r>
                </w:p>
              </w:tc>
              <w:tc>
                <w:tcPr>
                  <w:tcW w:w="2924" w:type="dxa"/>
                  <w:noWrap w:val="0"/>
                  <w:vAlign w:val="center"/>
                </w:tcPr>
                <w:p>
                  <w:pPr>
                    <w:jc w:val="center"/>
                    <w:rPr>
                      <w:rFonts w:hint="eastAsia"/>
                    </w:rPr>
                  </w:pPr>
                  <w:r>
                    <w:rPr>
                      <w:rFonts w:hint="eastAsia"/>
                      <w:lang w:val="en-US" w:eastAsia="zh-CN"/>
                    </w:rPr>
                    <w:t>底泥</w:t>
                  </w:r>
                </w:p>
              </w:tc>
              <w:tc>
                <w:tcPr>
                  <w:tcW w:w="2259" w:type="dxa"/>
                  <w:noWrap w:val="0"/>
                  <w:vAlign w:val="center"/>
                </w:tcPr>
                <w:p>
                  <w:pPr>
                    <w:jc w:val="center"/>
                    <w:rPr>
                      <w:rFonts w:hint="eastAsia"/>
                    </w:rPr>
                  </w:pPr>
                  <w:r>
                    <w:rPr>
                      <w:rFonts w:hint="eastAsia"/>
                    </w:rPr>
                    <w:t>一般固废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27" w:type="pct"/>
                  <w:noWrap w:val="0"/>
                  <w:vAlign w:val="center"/>
                </w:tcPr>
                <w:p>
                  <w:pPr>
                    <w:jc w:val="center"/>
                    <w:rPr>
                      <w:rFonts w:hint="eastAsia" w:eastAsia="宋体"/>
                      <w:lang w:val="en-US" w:eastAsia="zh-CN"/>
                    </w:rPr>
                  </w:pPr>
                  <w:r>
                    <w:rPr>
                      <w:rFonts w:hint="eastAsia"/>
                      <w:lang w:val="en-US" w:eastAsia="zh-CN"/>
                    </w:rPr>
                    <w:t>6</w:t>
                  </w:r>
                </w:p>
              </w:tc>
              <w:tc>
                <w:tcPr>
                  <w:tcW w:w="1102" w:type="pct"/>
                  <w:noWrap w:val="0"/>
                  <w:vAlign w:val="center"/>
                </w:tcPr>
                <w:p>
                  <w:pPr>
                    <w:jc w:val="center"/>
                    <w:rPr>
                      <w:rFonts w:hint="eastAsia"/>
                    </w:rPr>
                  </w:pPr>
                  <w:r>
                    <w:rPr>
                      <w:rFonts w:hint="eastAsia"/>
                    </w:rPr>
                    <w:t>设备</w:t>
                  </w:r>
                </w:p>
              </w:tc>
              <w:tc>
                <w:tcPr>
                  <w:tcW w:w="1845" w:type="pct"/>
                  <w:noWrap w:val="0"/>
                  <w:vAlign w:val="center"/>
                </w:tcPr>
                <w:p>
                  <w:pPr>
                    <w:jc w:val="center"/>
                    <w:rPr>
                      <w:rFonts w:hint="eastAsia"/>
                    </w:rPr>
                  </w:pPr>
                  <w:r>
                    <w:rPr>
                      <w:rFonts w:hint="eastAsia"/>
                    </w:rPr>
                    <w:t>废机油</w:t>
                  </w:r>
                </w:p>
              </w:tc>
              <w:tc>
                <w:tcPr>
                  <w:tcW w:w="1425" w:type="pct"/>
                  <w:noWrap w:val="0"/>
                  <w:vAlign w:val="center"/>
                </w:tcPr>
                <w:p>
                  <w:pPr>
                    <w:jc w:val="center"/>
                    <w:rPr>
                      <w:rFonts w:hint="eastAsia"/>
                    </w:rPr>
                  </w:pPr>
                  <w:r>
                    <w:rPr>
                      <w:rFonts w:hint="eastAsia"/>
                    </w:rPr>
                    <w:t>危险废物</w:t>
                  </w:r>
                </w:p>
              </w:tc>
            </w:tr>
          </w:tbl>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①进场的建筑垃圾</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建筑垃圾中的混凝土块送至破碎生产区履带式破碎筛分设备破碎处置。破碎后的骨料（</w:t>
            </w:r>
            <w:r>
              <w:rPr>
                <w:rFonts w:hint="eastAsia"/>
                <w:sz w:val="24"/>
                <w:highlight w:val="none"/>
                <w:lang w:val="en-US" w:eastAsia="zh-CN"/>
              </w:rPr>
              <w:t>细骨料0~5mm：10000t，粗骨料5~10mm：82000t，粗骨料10~20</w:t>
            </w:r>
            <w:r>
              <w:rPr>
                <w:rFonts w:hint="eastAsia" w:ascii="Times New Roman" w:hAnsi="Times New Roman" w:eastAsia="宋体" w:cs="Times New Roman"/>
                <w:sz w:val="24"/>
                <w:lang w:val="en-US" w:eastAsia="zh-CN"/>
              </w:rPr>
              <w:t>mm：12994.2112t）装车，外售；破碎过程磁选出的废钢材（0.5t/a）装车，外售；</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lang w:val="en-US" w:eastAsia="zh-CN"/>
              </w:rPr>
              <w:t>分选出的废木头（700t/a）、废钢材（3.0t/a）、废纸板（100t/a）装车外售，再利用；分选出的废砖头（49999.125t/a）、装修垃圾（18000t/a）进行填埋处置；</w:t>
            </w:r>
            <w:r>
              <w:rPr>
                <w:rFonts w:hint="eastAsia"/>
                <w:sz w:val="24"/>
                <w:highlight w:val="none"/>
                <w:lang w:val="en-US" w:eastAsia="zh-CN"/>
              </w:rPr>
              <w:t>分选出的装修白色垃圾（18000t/a）外运交由光大环保能源（乐山）有限</w:t>
            </w:r>
            <w:r>
              <w:rPr>
                <w:rFonts w:hint="eastAsia" w:ascii="Times New Roman" w:hAnsi="Times New Roman" w:eastAsia="宋体" w:cs="Times New Roman"/>
                <w:sz w:val="24"/>
                <w:highlight w:val="none"/>
                <w:lang w:val="en-US" w:eastAsia="zh-CN"/>
              </w:rPr>
              <w:t>公司处理。</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②底泥</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lang w:val="en-US" w:eastAsia="zh-CN"/>
              </w:rPr>
              <w:t>破碎生产区沉淀池产生的底泥，产生</w:t>
            </w:r>
            <w:r>
              <w:rPr>
                <w:rFonts w:hint="default" w:ascii="Times New Roman" w:hAnsi="Times New Roman" w:eastAsia="宋体" w:cs="Times New Roman"/>
                <w:sz w:val="24"/>
                <w:lang w:val="en-US" w:eastAsia="zh-CN"/>
              </w:rPr>
              <w:t>量约</w:t>
            </w:r>
            <w:r>
              <w:rPr>
                <w:rFonts w:hint="eastAsia" w:ascii="Times New Roman" w:hAnsi="Times New Roman" w:eastAsia="宋体" w:cs="Times New Roman"/>
                <w:sz w:val="24"/>
                <w:lang w:val="en-US" w:eastAsia="zh-CN"/>
              </w:rPr>
              <w:t>10</w:t>
            </w:r>
            <w:r>
              <w:rPr>
                <w:rFonts w:hint="default" w:ascii="Times New Roman" w:hAnsi="Times New Roman" w:eastAsia="宋体" w:cs="Times New Roman"/>
                <w:sz w:val="24"/>
                <w:lang w:val="en-US" w:eastAsia="zh-CN"/>
              </w:rPr>
              <w:t>t/a，定</w:t>
            </w:r>
            <w:r>
              <w:rPr>
                <w:rFonts w:hint="eastAsia" w:ascii="Times New Roman" w:hAnsi="Times New Roman" w:eastAsia="宋体" w:cs="Times New Roman"/>
                <w:sz w:val="24"/>
                <w:lang w:val="en-US" w:eastAsia="zh-CN"/>
              </w:rPr>
              <w:t>期清掏，清掏出的底泥自然风干后，填埋处置；</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lang w:val="en-US" w:eastAsia="zh-CN"/>
              </w:rPr>
              <w:t>车辆清洗废水沉淀池产生的泥沙，产生</w:t>
            </w:r>
            <w:r>
              <w:rPr>
                <w:rFonts w:hint="default" w:ascii="Times New Roman" w:hAnsi="Times New Roman" w:eastAsia="宋体" w:cs="Times New Roman"/>
                <w:sz w:val="24"/>
                <w:lang w:val="en-US" w:eastAsia="zh-CN"/>
              </w:rPr>
              <w:t>量约</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定期清掏，清掏出的底泥自然风干后，填埋处置；</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沉砂池产生的底泥，</w:t>
            </w:r>
            <w:r>
              <w:rPr>
                <w:rFonts w:hint="eastAsia" w:ascii="Times New Roman" w:hAnsi="Times New Roman" w:eastAsia="宋体" w:cs="Times New Roman"/>
                <w:sz w:val="24"/>
                <w:lang w:val="en-US" w:eastAsia="zh-CN"/>
              </w:rPr>
              <w:t>产生</w:t>
            </w:r>
            <w:r>
              <w:rPr>
                <w:rFonts w:hint="default" w:ascii="Times New Roman" w:hAnsi="Times New Roman" w:eastAsia="宋体" w:cs="Times New Roman"/>
                <w:sz w:val="24"/>
                <w:lang w:val="en-US" w:eastAsia="zh-CN"/>
              </w:rPr>
              <w:t>量约</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定期清掏，清掏出的底泥自然风干后，填埋处置；</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化粪池底泥定期清掏，</w:t>
            </w:r>
            <w:r>
              <w:rPr>
                <w:rFonts w:hint="eastAsia" w:ascii="Times New Roman" w:hAnsi="Times New Roman" w:eastAsia="宋体" w:cs="Times New Roman"/>
                <w:sz w:val="24"/>
                <w:lang w:val="en-US" w:eastAsia="zh-CN"/>
              </w:rPr>
              <w:t>产生</w:t>
            </w:r>
            <w:r>
              <w:rPr>
                <w:rFonts w:hint="default" w:ascii="Times New Roman" w:hAnsi="Times New Roman" w:eastAsia="宋体" w:cs="Times New Roman"/>
                <w:sz w:val="24"/>
                <w:lang w:val="en-US" w:eastAsia="zh-CN"/>
              </w:rPr>
              <w:t>量约</w:t>
            </w:r>
            <w:r>
              <w:rPr>
                <w:rFonts w:hint="eastAsia" w:ascii="Times New Roman" w:hAnsi="Times New Roman" w:eastAsia="宋体" w:cs="Times New Roman"/>
                <w:sz w:val="24"/>
                <w:lang w:val="en-US" w:eastAsia="zh-CN"/>
              </w:rPr>
              <w:t>0.1</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highlight w:val="none"/>
                <w:lang w:val="en-US" w:eastAsia="zh-CN"/>
              </w:rPr>
              <w:t>清掏出的底泥用于周边绿化施肥。</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③生活垃圾</w:t>
            </w:r>
          </w:p>
          <w:p>
            <w:pPr>
              <w:spacing w:line="360" w:lineRule="auto"/>
              <w:ind w:firstLine="480" w:firstLineChars="200"/>
              <w:rPr>
                <w:rFonts w:hint="eastAsia"/>
                <w:sz w:val="24"/>
              </w:rPr>
            </w:pPr>
            <w:r>
              <w:rPr>
                <w:rFonts w:hint="eastAsia" w:hAnsi="宋体"/>
                <w:sz w:val="24"/>
              </w:rPr>
              <w:t>本项目劳动定员</w:t>
            </w:r>
            <w:r>
              <w:rPr>
                <w:rFonts w:hint="eastAsia" w:hAnsi="宋体"/>
                <w:sz w:val="24"/>
                <w:lang w:val="en-US" w:eastAsia="zh-CN"/>
              </w:rPr>
              <w:t>15</w:t>
            </w:r>
            <w:r>
              <w:rPr>
                <w:rFonts w:hint="eastAsia" w:hAnsi="宋体"/>
                <w:sz w:val="24"/>
              </w:rPr>
              <w:t>人，厂区内设职工宿舍与职工食堂，工作及办公人员产生的生活垃圾量平均按0.5kg/人·天计算，则生活垃圾年产生量为</w:t>
            </w:r>
            <w:r>
              <w:rPr>
                <w:rFonts w:hint="eastAsia" w:hAnsi="宋体"/>
                <w:sz w:val="24"/>
                <w:lang w:val="en-US" w:eastAsia="zh-CN"/>
              </w:rPr>
              <w:t>2.74</w:t>
            </w:r>
            <w:r>
              <w:rPr>
                <w:rFonts w:hint="eastAsia" w:hAnsi="宋体"/>
                <w:sz w:val="24"/>
              </w:rPr>
              <w:t>t/a，生活垃圾产生量较大，对这些垃圾的处理是分类收集后定期交由环卫部门处理，不随意倾倒。</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④废机油</w:t>
            </w:r>
          </w:p>
          <w:p>
            <w:pPr>
              <w:widowControl/>
              <w:adjustRightInd w:val="0"/>
              <w:snapToGrid w:val="0"/>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eastAsia"/>
                <w:sz w:val="24"/>
              </w:rPr>
              <w:t>本项目定期对设备进行检修及维护，检修及维护过程会产生少量废机油，约0.01t。</w:t>
            </w:r>
            <w:r>
              <w:rPr>
                <w:kern w:val="0"/>
                <w:sz w:val="24"/>
              </w:rPr>
              <w:t>废机油属于</w:t>
            </w:r>
            <w:r>
              <w:rPr>
                <w:sz w:val="24"/>
              </w:rPr>
              <w:t>HW08废矿物油与含矿物油废物，危规号为900-214-08</w:t>
            </w:r>
            <w:r>
              <w:rPr>
                <w:rFonts w:hint="eastAsia"/>
                <w:sz w:val="24"/>
              </w:rPr>
              <w:t>，废机油</w:t>
            </w:r>
            <w:r>
              <w:rPr>
                <w:rFonts w:hint="eastAsia"/>
                <w:sz w:val="24"/>
                <w:lang w:val="en-US" w:eastAsia="zh-CN"/>
              </w:rPr>
              <w:t>由维修人员打包带走，交由资质单位处置</w:t>
            </w:r>
            <w:r>
              <w:rPr>
                <w:rFonts w:hint="eastAsia"/>
                <w:sz w:val="24"/>
              </w:rPr>
              <w:t>。</w:t>
            </w:r>
          </w:p>
          <w:p>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危险废物属性判定</w:t>
            </w:r>
            <w:r>
              <w:rPr>
                <w:rFonts w:hint="eastAsia" w:ascii="Times New Roman" w:hAnsi="Times New Roman" w:eastAsia="宋体" w:cs="Times New Roman"/>
                <w:b/>
                <w:bCs/>
                <w:sz w:val="24"/>
              </w:rPr>
              <w:t>：</w:t>
            </w:r>
          </w:p>
          <w:p>
            <w:pPr>
              <w:adjustRightInd w:val="0"/>
              <w:snapToGrid w:val="0"/>
              <w:spacing w:line="360" w:lineRule="auto"/>
              <w:ind w:firstLine="480" w:firstLineChars="200"/>
              <w:rPr>
                <w:rFonts w:ascii="Times New Roman" w:hAnsi="Times New Roman" w:eastAsia="宋体" w:cs="Times New Roman"/>
                <w:b/>
                <w:sz w:val="21"/>
                <w:szCs w:val="21"/>
              </w:rPr>
            </w:pPr>
            <w:r>
              <w:rPr>
                <w:rFonts w:ascii="Times New Roman" w:hAnsi="Times New Roman" w:eastAsia="宋体" w:cs="Times New Roman"/>
                <w:sz w:val="24"/>
              </w:rPr>
              <w:t>根据《国家危险废物名录》（2021年版），判定建设项目的固体废物是否属于危险废物，判定结果见下表。</w:t>
            </w:r>
          </w:p>
          <w:p>
            <w:pPr>
              <w:pStyle w:val="14"/>
              <w:adjustRightInd w:val="0"/>
              <w:spacing w:before="0" w:after="0" w:line="360" w:lineRule="auto"/>
              <w:ind w:firstLine="422" w:firstLineChars="200"/>
              <w:jc w:val="center"/>
              <w:rPr>
                <w:rFonts w:ascii="Times New Roman" w:hAnsi="Times New Roman" w:eastAsia="宋体" w:cs="Times New Roman"/>
                <w:b/>
                <w:sz w:val="21"/>
                <w:szCs w:val="21"/>
              </w:rPr>
            </w:pPr>
            <w:r>
              <w:rPr>
                <w:rFonts w:ascii="Times New Roman" w:hAnsi="Times New Roman" w:eastAsia="宋体" w:cs="Times New Roman"/>
                <w:b/>
                <w:sz w:val="21"/>
                <w:szCs w:val="21"/>
              </w:rPr>
              <w:t>表4-</w:t>
            </w:r>
            <w:r>
              <w:rPr>
                <w:rFonts w:hint="eastAsia" w:ascii="Times New Roman" w:hAnsi="Times New Roman" w:eastAsia="宋体" w:cs="Times New Roman"/>
                <w:b/>
                <w:sz w:val="21"/>
                <w:szCs w:val="21"/>
                <w:lang w:val="en-US" w:eastAsia="zh-CN"/>
              </w:rPr>
              <w:t>4</w:t>
            </w:r>
            <w:r>
              <w:rPr>
                <w:rFonts w:ascii="Times New Roman" w:hAnsi="Times New Roman" w:eastAsia="宋体" w:cs="Times New Roman"/>
                <w:b/>
                <w:sz w:val="21"/>
                <w:szCs w:val="21"/>
              </w:rPr>
              <w:t xml:space="preserve">  危险废物属性判定表</w:t>
            </w:r>
          </w:p>
          <w:tbl>
            <w:tblPr>
              <w:tblStyle w:val="38"/>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56"/>
              <w:gridCol w:w="2389"/>
              <w:gridCol w:w="1987"/>
              <w:gridCol w:w="1247"/>
              <w:gridCol w:w="1049"/>
              <w:gridCol w:w="1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5" w:hRule="atLeast"/>
                <w:jc w:val="center"/>
              </w:trPr>
              <w:tc>
                <w:tcPr>
                  <w:tcW w:w="259"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417"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1180"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产生工序</w:t>
                  </w:r>
                </w:p>
              </w:tc>
              <w:tc>
                <w:tcPr>
                  <w:tcW w:w="743"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是否属于危险废物</w:t>
                  </w:r>
                </w:p>
              </w:tc>
              <w:tc>
                <w:tcPr>
                  <w:tcW w:w="625"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废物类别</w:t>
                  </w:r>
                </w:p>
              </w:tc>
              <w:tc>
                <w:tcPr>
                  <w:tcW w:w="774"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废物代码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259" w:type="pct"/>
                  <w:noWrap w:val="0"/>
                  <w:vAlign w:val="center"/>
                </w:tcPr>
                <w:p>
                  <w:pPr>
                    <w:tabs>
                      <w:tab w:val="right" w:leader="dot" w:pos="8834"/>
                    </w:tabs>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c>
                <w:tcPr>
                  <w:tcW w:w="1417"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废机油</w:t>
                  </w:r>
                </w:p>
              </w:tc>
              <w:tc>
                <w:tcPr>
                  <w:tcW w:w="1180"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设备保养、检修</w:t>
                  </w:r>
                </w:p>
              </w:tc>
              <w:tc>
                <w:tcPr>
                  <w:tcW w:w="743"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是</w:t>
                  </w:r>
                </w:p>
              </w:tc>
              <w:tc>
                <w:tcPr>
                  <w:tcW w:w="625"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HW08</w:t>
                  </w:r>
                </w:p>
              </w:tc>
              <w:tc>
                <w:tcPr>
                  <w:tcW w:w="774" w:type="pct"/>
                  <w:noWrap w:val="0"/>
                  <w:vAlign w:val="center"/>
                </w:tcPr>
                <w:p>
                  <w:pPr>
                    <w:tabs>
                      <w:tab w:val="right" w:leader="dot" w:pos="8834"/>
                    </w:tabs>
                    <w:jc w:val="center"/>
                    <w:rPr>
                      <w:rFonts w:ascii="Times New Roman" w:hAnsi="Times New Roman" w:eastAsia="宋体" w:cs="Times New Roman"/>
                      <w:szCs w:val="21"/>
                    </w:rPr>
                  </w:pPr>
                  <w:r>
                    <w:rPr>
                      <w:rFonts w:ascii="Times New Roman" w:hAnsi="Times New Roman" w:eastAsia="宋体" w:cs="Times New Roman"/>
                      <w:szCs w:val="21"/>
                    </w:rPr>
                    <w:t>900-214-08</w:t>
                  </w:r>
                </w:p>
              </w:tc>
            </w:tr>
          </w:tbl>
          <w:p>
            <w:pPr>
              <w:spacing w:line="360" w:lineRule="auto"/>
              <w:ind w:firstLine="480" w:firstLineChars="200"/>
              <w:rPr>
                <w:kern w:val="0"/>
                <w:sz w:val="24"/>
              </w:rPr>
            </w:pPr>
            <w:r>
              <w:rPr>
                <w:rFonts w:hint="eastAsia"/>
                <w:kern w:val="0"/>
                <w:sz w:val="24"/>
              </w:rPr>
              <w:t>综上，</w:t>
            </w:r>
            <w:r>
              <w:rPr>
                <w:kern w:val="0"/>
                <w:sz w:val="24"/>
              </w:rPr>
              <w:t>项目固废都能得到合理妥善的处理，不会造成二次污染，不会对周围环境造成明显的不良影响。</w:t>
            </w:r>
          </w:p>
          <w:p>
            <w:pPr>
              <w:adjustRightInd w:val="0"/>
              <w:snapToGrid w:val="0"/>
              <w:spacing w:line="360" w:lineRule="auto"/>
              <w:ind w:firstLine="482"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5、地下水污染防治措施</w:t>
            </w:r>
          </w:p>
          <w:p>
            <w:pPr>
              <w:spacing w:line="360" w:lineRule="auto"/>
              <w:ind w:firstLine="480" w:firstLineChars="200"/>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val="en-US" w:eastAsia="zh-CN"/>
              </w:rPr>
              <w:t>本项目为建筑垃圾填埋场项目，根据类比调查和项目工程分析</w:t>
            </w:r>
            <w:r>
              <w:rPr>
                <w:rFonts w:hint="eastAsia" w:ascii="Times New Roman" w:hAnsi="Times New Roman" w:eastAsia="宋体" w:cs="Times New Roman"/>
                <w:kern w:val="0"/>
                <w:sz w:val="24"/>
                <w:lang w:val="en-US" w:eastAsia="zh-CN"/>
              </w:rPr>
              <w:t>，</w:t>
            </w:r>
            <w:r>
              <w:rPr>
                <w:rFonts w:hint="default" w:ascii="Times New Roman" w:hAnsi="Times New Roman" w:eastAsia="宋体" w:cs="Times New Roman"/>
                <w:kern w:val="0"/>
                <w:sz w:val="24"/>
                <w:lang w:val="en-US" w:eastAsia="zh-CN"/>
              </w:rPr>
              <w:t>本项目建设运营后</w:t>
            </w:r>
            <w:r>
              <w:rPr>
                <w:rFonts w:hint="eastAsia" w:ascii="Times New Roman" w:hAnsi="Times New Roman" w:eastAsia="宋体" w:cs="Times New Roman"/>
                <w:kern w:val="0"/>
                <w:sz w:val="24"/>
                <w:lang w:val="en-US" w:eastAsia="zh-CN"/>
              </w:rPr>
              <w:t>，</w:t>
            </w:r>
            <w:r>
              <w:rPr>
                <w:rFonts w:hint="default" w:ascii="Times New Roman" w:hAnsi="Times New Roman" w:eastAsia="宋体" w:cs="Times New Roman"/>
                <w:kern w:val="0"/>
                <w:sz w:val="24"/>
                <w:lang w:val="en-US" w:eastAsia="zh-CN"/>
              </w:rPr>
              <w:t>对地下水的污染源主要为填埋区渗出水。建筑垃圾自身渗出水量较小，渗出水的产生量与降雨量有直接关系，项目填埋区设置了</w:t>
            </w:r>
            <w:r>
              <w:rPr>
                <w:rFonts w:hint="eastAsia" w:ascii="Times New Roman" w:hAnsi="Times New Roman" w:eastAsia="宋体" w:cs="Times New Roman"/>
                <w:color w:val="auto"/>
                <w:sz w:val="24"/>
                <w:lang w:val="en-US" w:eastAsia="zh-CN"/>
              </w:rPr>
              <w:t>截排水沟</w:t>
            </w:r>
            <w:r>
              <w:rPr>
                <w:rFonts w:hint="default" w:ascii="Times New Roman" w:hAnsi="Times New Roman" w:eastAsia="宋体" w:cs="Times New Roman"/>
                <w:kern w:val="0"/>
                <w:sz w:val="24"/>
                <w:lang w:val="en-US" w:eastAsia="zh-CN"/>
              </w:rPr>
              <w:t>、</w:t>
            </w:r>
            <w:r>
              <w:rPr>
                <w:rFonts w:hint="eastAsia" w:ascii="Times New Roman" w:hAnsi="Times New Roman" w:eastAsia="宋体" w:cs="Times New Roman"/>
                <w:color w:val="auto"/>
                <w:sz w:val="24"/>
                <w:lang w:val="en-US" w:eastAsia="zh-CN"/>
              </w:rPr>
              <w:t>平台排水沟</w:t>
            </w:r>
            <w:r>
              <w:rPr>
                <w:rFonts w:hint="default" w:ascii="Times New Roman" w:hAnsi="Times New Roman" w:eastAsia="宋体" w:cs="Times New Roman"/>
                <w:kern w:val="0"/>
                <w:sz w:val="24"/>
                <w:lang w:val="en-US" w:eastAsia="zh-CN"/>
              </w:rPr>
              <w:t>等</w:t>
            </w:r>
            <w:r>
              <w:rPr>
                <w:rFonts w:hint="eastAsia" w:ascii="Times New Roman" w:hAnsi="Times New Roman" w:eastAsia="宋体" w:cs="Times New Roman"/>
                <w:kern w:val="0"/>
                <w:sz w:val="24"/>
                <w:lang w:val="en-US" w:eastAsia="zh-CN"/>
              </w:rPr>
              <w:t>排水</w:t>
            </w:r>
            <w:r>
              <w:rPr>
                <w:rFonts w:hint="default" w:ascii="Times New Roman" w:hAnsi="Times New Roman" w:eastAsia="宋体" w:cs="Times New Roman"/>
                <w:kern w:val="0"/>
                <w:sz w:val="24"/>
                <w:lang w:val="en-US" w:eastAsia="zh-CN"/>
              </w:rPr>
              <w:t>工程，有效截留了雨水流入填埋区。同时，</w:t>
            </w:r>
            <w:r>
              <w:rPr>
                <w:rFonts w:hint="eastAsia" w:ascii="Times New Roman" w:hAnsi="Times New Roman" w:eastAsia="宋体" w:cs="Times New Roman"/>
                <w:color w:val="auto"/>
                <w:sz w:val="24"/>
                <w:highlight w:val="none"/>
                <w:lang w:val="en-US" w:eastAsia="zh-CN"/>
              </w:rPr>
              <w:t>中轴线设置排水盲沟（填筑透水性强的天然砂砾，外包反滤土工布）以防止雨水向下渗集，</w:t>
            </w:r>
            <w:r>
              <w:rPr>
                <w:rFonts w:hint="eastAsia" w:ascii="Times New Roman" w:hAnsi="Times New Roman" w:eastAsia="宋体" w:cs="Times New Roman"/>
                <w:kern w:val="0"/>
                <w:sz w:val="24"/>
                <w:lang w:val="en-US" w:eastAsia="zh-CN"/>
              </w:rPr>
              <w:t>雨水</w:t>
            </w:r>
            <w:r>
              <w:rPr>
                <w:rFonts w:hint="default" w:ascii="Times New Roman" w:hAnsi="Times New Roman" w:eastAsia="宋体" w:cs="Times New Roman"/>
                <w:kern w:val="0"/>
                <w:sz w:val="24"/>
                <w:lang w:val="en-US" w:eastAsia="zh-CN"/>
              </w:rPr>
              <w:t>经收集后排入</w:t>
            </w:r>
            <w:r>
              <w:rPr>
                <w:rFonts w:hint="eastAsia" w:ascii="Times New Roman" w:hAnsi="Times New Roman" w:eastAsia="宋体" w:cs="Times New Roman"/>
                <w:kern w:val="0"/>
                <w:sz w:val="24"/>
                <w:lang w:val="en-US" w:eastAsia="zh-CN"/>
              </w:rPr>
              <w:t>沉砂池</w:t>
            </w:r>
            <w:r>
              <w:rPr>
                <w:rFonts w:hint="default" w:ascii="Times New Roman" w:hAnsi="Times New Roman" w:eastAsia="宋体" w:cs="Times New Roman"/>
                <w:kern w:val="0"/>
                <w:sz w:val="24"/>
                <w:lang w:val="en-US" w:eastAsia="zh-CN"/>
              </w:rPr>
              <w:t>，用于填埋区作业抑尘。</w:t>
            </w:r>
          </w:p>
          <w:p>
            <w:pPr>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本项目填埋的主要为砖头、装修垃圾，</w:t>
            </w:r>
            <w:r>
              <w:rPr>
                <w:rFonts w:hint="eastAsia" w:ascii="Times New Roman" w:hAnsi="Times New Roman" w:eastAsia="宋体" w:cs="Times New Roman"/>
                <w:color w:val="auto"/>
                <w:sz w:val="24"/>
                <w:highlight w:val="none"/>
                <w:lang w:val="en-US" w:eastAsia="zh-CN"/>
              </w:rPr>
              <w:t>埋区库底采用HPDE防渗系统，防渗结构自下而上依次为：反滤层土工滤网200g/m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+卵石导流层（厚300mm）+长丝针刺无纺土工布200g/m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+厚实土壤750mm+1.5mmHPDE土工膜+长丝针刺无纺土工布800g/m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+卵石导流层（厚300mm）+反滤层土工滤网200g/m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+500mm厚袋装土；填埋区边坡采用HPDE防渗系统，防渗结构自下而上依次为：长丝针刺无纺土工布600g/m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+1.5mmHPDE土工膜+长丝针刺无纺土工布800g/m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+500mm厚袋装土</w:t>
            </w:r>
            <w:r>
              <w:rPr>
                <w:rFonts w:hint="eastAsia" w:ascii="Times New Roman" w:hAnsi="Times New Roman" w:eastAsia="宋体" w:cs="Times New Roman"/>
                <w:kern w:val="0"/>
                <w:sz w:val="24"/>
                <w:lang w:val="en-US" w:eastAsia="zh-CN"/>
              </w:rPr>
              <w:t>，对地下水环境影响较小。</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为避免项目建设影响地下水环境，环评要求填埋场在建设期，填埋区要严格按照相关设计要求进行防渗系统的施工；运营过程中应加强填埋区和沉砂池的维护，确保</w:t>
            </w:r>
            <w:r>
              <w:rPr>
                <w:rFonts w:hint="eastAsia" w:ascii="Times New Roman" w:hAnsi="Times New Roman" w:eastAsia="宋体" w:cs="Times New Roman"/>
                <w:color w:val="auto"/>
                <w:sz w:val="24"/>
                <w:lang w:val="en-US" w:eastAsia="zh-CN"/>
              </w:rPr>
              <w:t>截排水沟</w:t>
            </w:r>
            <w:r>
              <w:rPr>
                <w:rFonts w:hint="default" w:ascii="Times New Roman" w:hAnsi="Times New Roman" w:eastAsia="宋体" w:cs="Times New Roman"/>
                <w:kern w:val="0"/>
                <w:sz w:val="24"/>
                <w:lang w:val="en-US" w:eastAsia="zh-CN"/>
              </w:rPr>
              <w:t>、</w:t>
            </w:r>
            <w:r>
              <w:rPr>
                <w:rFonts w:hint="eastAsia" w:ascii="Times New Roman" w:hAnsi="Times New Roman" w:eastAsia="宋体" w:cs="Times New Roman"/>
                <w:color w:val="auto"/>
                <w:sz w:val="24"/>
                <w:lang w:val="en-US" w:eastAsia="zh-CN"/>
              </w:rPr>
              <w:t>平台排水沟、</w:t>
            </w:r>
            <w:r>
              <w:rPr>
                <w:rFonts w:hint="eastAsia" w:ascii="Times New Roman" w:hAnsi="Times New Roman" w:eastAsia="宋体" w:cs="Times New Roman"/>
                <w:color w:val="auto"/>
                <w:sz w:val="24"/>
                <w:highlight w:val="none"/>
                <w:lang w:val="en-US" w:eastAsia="zh-CN"/>
              </w:rPr>
              <w:t>排水盲沟、</w:t>
            </w:r>
            <w:r>
              <w:rPr>
                <w:rFonts w:hint="eastAsia" w:ascii="Times New Roman" w:hAnsi="Times New Roman" w:eastAsia="宋体" w:cs="Times New Roman"/>
                <w:kern w:val="0"/>
                <w:sz w:val="24"/>
                <w:lang w:val="en-US" w:eastAsia="zh-CN"/>
              </w:rPr>
              <w:t>沉砂池的防渗措施正常有效；同时，在填埋区下游设置1口地下水监测井，确保在非正常状况下渗出水渗漏能够被及时发现，防止渗出水持续下渗污染地下水，并在运营期应加强地下水水质的跟踪监测。</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6、土壤污染防治措施</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（1）地面径流影响</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本项目填埋场可能产生的地面漫流有沉砂池中收集的雨水，沉砂池总容积500m</w:t>
            </w:r>
            <w:r>
              <w:rPr>
                <w:rFonts w:hint="eastAsia" w:ascii="Times New Roman" w:hAnsi="Times New Roman" w:eastAsia="宋体" w:cs="Times New Roman"/>
                <w:kern w:val="0"/>
                <w:sz w:val="24"/>
                <w:vertAlign w:val="superscript"/>
                <w:lang w:val="en-US" w:eastAsia="zh-CN"/>
              </w:rPr>
              <w:t>3</w:t>
            </w:r>
            <w:r>
              <w:rPr>
                <w:rFonts w:hint="eastAsia" w:ascii="Times New Roman" w:hAnsi="Times New Roman" w:eastAsia="宋体" w:cs="Times New Roman"/>
                <w:kern w:val="0"/>
                <w:sz w:val="24"/>
                <w:lang w:val="en-US" w:eastAsia="zh-CN"/>
              </w:rPr>
              <w:t>，可以满足项目区日最大雨水176.23m</w:t>
            </w:r>
            <w:r>
              <w:rPr>
                <w:rFonts w:hint="eastAsia" w:ascii="Times New Roman" w:hAnsi="Times New Roman" w:eastAsia="宋体" w:cs="Times New Roman"/>
                <w:kern w:val="0"/>
                <w:sz w:val="24"/>
                <w:vertAlign w:val="superscript"/>
                <w:lang w:val="en-US" w:eastAsia="zh-CN"/>
              </w:rPr>
              <w:t>3</w:t>
            </w:r>
            <w:r>
              <w:rPr>
                <w:rFonts w:hint="eastAsia" w:ascii="Times New Roman" w:hAnsi="Times New Roman" w:eastAsia="宋体" w:cs="Times New Roman"/>
                <w:kern w:val="0"/>
                <w:sz w:val="24"/>
                <w:lang w:val="en-US" w:eastAsia="zh-CN"/>
              </w:rPr>
              <w:t>的储存要求。场区建设时填埋区按照《建筑垃圾处理技术标准》(CJ/T134-2019）中要求进行防渗，办公区、道路进行简单防渗，破碎生产区地面进行水泥硬化处理，建设有完善的截排水设施及雨水排水系统，在正常工况下，不会由于渗出水中有害成分被雨水冲刷进入土壤环境。因此，本项目正常情况下可以防控污染物随地表漫流进入土壤环境。</w:t>
            </w:r>
          </w:p>
          <w:p>
            <w:pPr>
              <w:numPr>
                <w:ilvl w:val="0"/>
                <w:numId w:val="0"/>
              </w:num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（2）垂直入渗影响</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本项目采取了源头控制和分区防渗，正常情况下各类物料、固废、废水不会造成下渗影响土壤环境。</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（3）填埋场溃坝后建筑垃圾废弃物泄漏</w:t>
            </w:r>
          </w:p>
          <w:p>
            <w:pPr>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填埋场在发生溃坝后，填埋物下泄时落在填埋区以外土壤表面，填埋物会对土壤产生占压，其浸出的有害物质下渗到土壤中还会对土壤产生污染影响。为避免填埋场溃坝后废弃物泄漏对填埋区周围土壤造成污染，本项目填埋场选址四周有天然绿化隔离带，同时，建设单位</w:t>
            </w:r>
            <w:r>
              <w:rPr>
                <w:rFonts w:hint="eastAsia" w:ascii="Times New Roman" w:hAnsi="Times New Roman" w:eastAsia="宋体" w:cs="Times New Roman"/>
                <w:color w:val="auto"/>
                <w:sz w:val="24"/>
                <w:highlight w:val="none"/>
                <w:lang w:val="en-US" w:eastAsia="zh-CN"/>
              </w:rPr>
              <w:t>在填埋区南侧边界建设1座碾压拦渣坝（拦渣坝长30m，上宽5m，高5m，内外坡度1:1。坝体埋深约1.0m，埋深部分采用混凝土块填筑而成。露出部分利用土石方层层碾压堆叠而成。拦渣坝工程等级为4级，排洪工程等级为4级，防洪标准为20年一遇）。</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此外，运营期建设单位应加强库区坝体安全检查，如有溃坝倾向及时采取措施加固，一旦溃坝污染物泄漏，应及时采取应急措施，恢复坝体，及时清理泄漏物乃被污染的表土层。</w:t>
            </w:r>
          </w:p>
          <w:p>
            <w:pPr>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通过各项措施，本项目污染土壤的可能性较小。</w:t>
            </w:r>
          </w:p>
          <w:p>
            <w:pPr>
              <w:spacing w:line="360" w:lineRule="auto"/>
              <w:ind w:firstLine="482" w:firstLineChars="200"/>
              <w:rPr>
                <w:rFonts w:hint="default" w:ascii="Times New Roman" w:hAnsi="Times New Roman" w:eastAsia="宋体" w:cs="Times New Roman"/>
                <w:b/>
                <w:bCs/>
                <w:kern w:val="0"/>
                <w:sz w:val="24"/>
                <w:lang w:val="en-US" w:eastAsia="zh-CN"/>
              </w:rPr>
            </w:pPr>
            <w:r>
              <w:rPr>
                <w:rFonts w:hint="eastAsia" w:ascii="Times New Roman" w:hAnsi="Times New Roman" w:eastAsia="宋体" w:cs="Times New Roman"/>
                <w:b/>
                <w:bCs/>
                <w:kern w:val="0"/>
                <w:sz w:val="24"/>
                <w:lang w:val="en-US" w:eastAsia="zh-CN"/>
              </w:rPr>
              <w:t>7、环境风险分析</w:t>
            </w:r>
          </w:p>
          <w:p>
            <w:pPr>
              <w:autoSpaceDE w:val="0"/>
              <w:autoSpaceDN w:val="0"/>
              <w:adjustRightInd w:val="0"/>
              <w:snapToGrid w:val="0"/>
              <w:spacing w:line="360" w:lineRule="auto"/>
              <w:ind w:firstLine="482" w:firstLineChars="200"/>
              <w:rPr>
                <w:b/>
                <w:kern w:val="0"/>
                <w:sz w:val="24"/>
              </w:rPr>
            </w:pPr>
            <w:r>
              <w:rPr>
                <w:rFonts w:hint="eastAsia"/>
                <w:b/>
                <w:kern w:val="0"/>
                <w:sz w:val="24"/>
                <w:lang w:eastAsia="zh-CN"/>
              </w:rPr>
              <w:t>（</w:t>
            </w:r>
            <w:r>
              <w:rPr>
                <w:rFonts w:hint="eastAsia"/>
                <w:b/>
                <w:kern w:val="0"/>
                <w:sz w:val="24"/>
                <w:lang w:val="en-US" w:eastAsia="zh-CN"/>
              </w:rPr>
              <w:t>1</w:t>
            </w:r>
            <w:r>
              <w:rPr>
                <w:rFonts w:hint="eastAsia"/>
                <w:b/>
                <w:kern w:val="0"/>
                <w:sz w:val="24"/>
                <w:lang w:eastAsia="zh-CN"/>
              </w:rPr>
              <w:t>）</w:t>
            </w:r>
            <w:r>
              <w:rPr>
                <w:b/>
                <w:kern w:val="0"/>
                <w:sz w:val="24"/>
              </w:rPr>
              <w:t>评价依据</w:t>
            </w:r>
          </w:p>
          <w:p>
            <w:pPr>
              <w:adjustRightInd w:val="0"/>
              <w:snapToGrid w:val="0"/>
              <w:spacing w:line="360" w:lineRule="auto"/>
              <w:ind w:firstLine="480" w:firstLineChars="200"/>
              <w:rPr>
                <w:sz w:val="24"/>
              </w:rPr>
            </w:pPr>
            <w:r>
              <w:rPr>
                <w:sz w:val="24"/>
              </w:rPr>
              <w:t>1）风险调查</w:t>
            </w:r>
          </w:p>
          <w:p>
            <w:pPr>
              <w:spacing w:line="360" w:lineRule="auto"/>
              <w:ind w:firstLine="480" w:firstLineChars="200"/>
              <w:rPr>
                <w:rFonts w:hint="eastAsia" w:ascii="Times New Roman" w:hAnsi="Times New Roman" w:eastAsia="宋体" w:cs="Times New Roman"/>
                <w:kern w:val="0"/>
                <w:sz w:val="24"/>
                <w:lang w:val="en-US" w:eastAsia="zh-CN"/>
              </w:rPr>
            </w:pPr>
            <w:r>
              <w:rPr>
                <w:sz w:val="24"/>
              </w:rPr>
              <w:t>根据工程分析，拟建项目运营期在生产过程中，</w:t>
            </w:r>
            <w:r>
              <w:rPr>
                <w:rFonts w:hint="eastAsia"/>
                <w:sz w:val="24"/>
                <w:lang w:val="en-US" w:eastAsia="zh-CN"/>
              </w:rPr>
              <w:t>主要风险物质为废机油</w:t>
            </w:r>
            <w:r>
              <w:rPr>
                <w:rFonts w:hint="eastAsia" w:ascii="Times New Roman" w:hAnsi="Times New Roman" w:eastAsia="宋体" w:cs="Times New Roman"/>
                <w:kern w:val="0"/>
                <w:sz w:val="24"/>
                <w:lang w:val="en-US" w:eastAsia="zh-CN"/>
              </w:rPr>
              <w:t>。</w:t>
            </w:r>
          </w:p>
          <w:p>
            <w:pPr>
              <w:adjustRightInd w:val="0"/>
              <w:snapToGrid w:val="0"/>
              <w:spacing w:line="360" w:lineRule="auto"/>
              <w:ind w:firstLine="480" w:firstLineChars="200"/>
              <w:rPr>
                <w:iCs/>
                <w:sz w:val="24"/>
              </w:rPr>
            </w:pPr>
            <w:r>
              <w:rPr>
                <w:iCs/>
                <w:sz w:val="24"/>
              </w:rPr>
              <w:t>2）环境风险潜势初判</w:t>
            </w:r>
          </w:p>
          <w:p>
            <w:pPr>
              <w:adjustRightInd w:val="0"/>
              <w:snapToGrid w:val="0"/>
              <w:spacing w:line="360" w:lineRule="auto"/>
              <w:ind w:firstLine="480" w:firstLineChars="200"/>
              <w:rPr>
                <w:iCs/>
                <w:sz w:val="24"/>
              </w:rPr>
            </w:pPr>
            <w:r>
              <w:rPr>
                <w:iCs/>
                <w:sz w:val="24"/>
              </w:rPr>
              <w:t>根据《建设项目环境风险评价技术导则》（HJ169-2018）计算所涉及的每种危险物质在厂界内的最大存在总量与其在附录B中对应临界量的比值Q。当只涉及一种危险物质时，计算该物质的总量与其临界量比值，即为Q；当存在多种危险物质时，则按以下公式计算物质总量与其临界量的比值Q：</w:t>
            </w:r>
          </w:p>
          <w:p>
            <w:pPr>
              <w:adjustRightInd w:val="0"/>
              <w:snapToGrid w:val="0"/>
              <w:spacing w:line="360" w:lineRule="auto"/>
              <w:ind w:firstLine="480" w:firstLineChars="200"/>
              <w:jc w:val="center"/>
              <w:rPr>
                <w:sz w:val="24"/>
              </w:rPr>
            </w:pPr>
            <w:r>
              <w:rPr>
                <w:sz w:val="24"/>
              </w:rPr>
              <w:drawing>
                <wp:inline distT="0" distB="0" distL="114300" distR="114300">
                  <wp:extent cx="1837690" cy="474345"/>
                  <wp:effectExtent l="0" t="0" r="10160" b="1905"/>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30"/>
                          <a:stretch>
                            <a:fillRect/>
                          </a:stretch>
                        </pic:blipFill>
                        <pic:spPr>
                          <a:xfrm>
                            <a:off x="0" y="0"/>
                            <a:ext cx="1837690" cy="474345"/>
                          </a:xfrm>
                          <a:prstGeom prst="rect">
                            <a:avLst/>
                          </a:prstGeom>
                          <a:noFill/>
                          <a:ln>
                            <a:noFill/>
                          </a:ln>
                        </pic:spPr>
                      </pic:pic>
                    </a:graphicData>
                  </a:graphic>
                </wp:inline>
              </w:drawing>
            </w:r>
          </w:p>
          <w:p>
            <w:pPr>
              <w:adjustRightInd w:val="0"/>
              <w:snapToGrid w:val="0"/>
              <w:spacing w:line="360" w:lineRule="auto"/>
              <w:ind w:firstLine="480" w:firstLineChars="200"/>
              <w:rPr>
                <w:iCs/>
                <w:sz w:val="24"/>
              </w:rPr>
            </w:pPr>
            <w:r>
              <w:rPr>
                <w:iCs/>
                <w:sz w:val="24"/>
              </w:rPr>
              <w:t>式中：q1、q2、…qn——每种无限物质的最大存在总量，t；</w:t>
            </w:r>
          </w:p>
          <w:p>
            <w:pPr>
              <w:adjustRightInd w:val="0"/>
              <w:snapToGrid w:val="0"/>
              <w:spacing w:line="360" w:lineRule="auto"/>
              <w:ind w:firstLine="480" w:firstLineChars="200"/>
              <w:rPr>
                <w:iCs/>
                <w:sz w:val="24"/>
              </w:rPr>
            </w:pPr>
            <w:r>
              <w:rPr>
                <w:iCs/>
                <w:sz w:val="24"/>
              </w:rPr>
              <w:t xml:space="preserve">      Q1、Q2、…Qn——每种危险物质的临界量，t。</w:t>
            </w:r>
          </w:p>
          <w:p>
            <w:pPr>
              <w:adjustRightInd w:val="0"/>
              <w:snapToGrid w:val="0"/>
              <w:spacing w:line="360" w:lineRule="auto"/>
              <w:ind w:firstLine="480" w:firstLineChars="200"/>
              <w:rPr>
                <w:iCs/>
                <w:sz w:val="24"/>
              </w:rPr>
            </w:pPr>
            <w:r>
              <w:rPr>
                <w:iCs/>
                <w:sz w:val="24"/>
              </w:rPr>
              <w:t>当Q&lt;1时，该项目环境风险潜势为Ⅰ；</w:t>
            </w:r>
          </w:p>
          <w:p>
            <w:pPr>
              <w:adjustRightInd w:val="0"/>
              <w:snapToGrid w:val="0"/>
              <w:spacing w:line="360" w:lineRule="auto"/>
              <w:ind w:firstLine="480" w:firstLineChars="200"/>
              <w:rPr>
                <w:iCs/>
                <w:sz w:val="24"/>
              </w:rPr>
            </w:pPr>
            <w:r>
              <w:rPr>
                <w:iCs/>
                <w:sz w:val="24"/>
              </w:rPr>
              <w:t>当Q≥1时，将Q值划分为：（1）1≤Q&lt;10；（2）10≤Q&lt;100；（3）Q≥100.</w:t>
            </w:r>
          </w:p>
          <w:p>
            <w:pPr>
              <w:spacing w:line="360" w:lineRule="auto"/>
              <w:ind w:firstLine="480" w:firstLineChars="200"/>
              <w:rPr>
                <w:rFonts w:ascii="Times New Roman" w:hAnsi="Times New Roman" w:eastAsia="宋体" w:cs="Times New Roman"/>
                <w:iCs/>
                <w:sz w:val="24"/>
              </w:rPr>
            </w:pPr>
            <w:r>
              <w:rPr>
                <w:rFonts w:ascii="Times New Roman" w:hAnsi="Times New Roman" w:eastAsia="宋体" w:cs="Times New Roman"/>
                <w:iCs/>
                <w:sz w:val="24"/>
              </w:rPr>
              <w:t>本项目运营期环境风险物质为</w:t>
            </w:r>
            <w:r>
              <w:rPr>
                <w:rFonts w:hint="eastAsia" w:ascii="Times New Roman" w:hAnsi="Times New Roman" w:eastAsia="宋体" w:cs="Times New Roman"/>
                <w:iCs/>
                <w:sz w:val="24"/>
              </w:rPr>
              <w:t>废机油</w:t>
            </w:r>
            <w:r>
              <w:rPr>
                <w:rFonts w:hint="eastAsia" w:ascii="Times New Roman" w:hAnsi="Times New Roman" w:eastAsia="宋体" w:cs="Times New Roman"/>
                <w:iCs/>
                <w:sz w:val="24"/>
                <w:lang w:eastAsia="zh-CN"/>
              </w:rPr>
              <w:t>，</w:t>
            </w:r>
            <w:r>
              <w:rPr>
                <w:rFonts w:hint="eastAsia" w:ascii="Times New Roman" w:hAnsi="Times New Roman" w:eastAsia="宋体" w:cs="Times New Roman"/>
                <w:iCs/>
                <w:sz w:val="24"/>
                <w:lang w:val="en-US" w:eastAsia="zh-CN"/>
              </w:rPr>
              <w:t>废机油由维修人员打包带走，交由资质单位处置，不在厂区堆存。故本项目Q=0</w:t>
            </w:r>
            <w:r>
              <w:rPr>
                <w:rFonts w:ascii="Times New Roman" w:hAnsi="Times New Roman" w:eastAsia="宋体" w:cs="Times New Roman"/>
                <w:iCs/>
                <w:sz w:val="24"/>
              </w:rPr>
              <w:t>&lt;1</w:t>
            </w:r>
            <w:r>
              <w:rPr>
                <w:rFonts w:hint="eastAsia" w:ascii="Times New Roman" w:hAnsi="Times New Roman" w:eastAsia="宋体" w:cs="Times New Roman"/>
                <w:iCs/>
                <w:sz w:val="24"/>
                <w:lang w:val="en-US" w:eastAsia="zh-CN"/>
              </w:rPr>
              <w:t>，</w:t>
            </w:r>
            <w:r>
              <w:rPr>
                <w:rFonts w:ascii="Times New Roman" w:hAnsi="Times New Roman" w:eastAsia="宋体" w:cs="Times New Roman"/>
                <w:iCs/>
                <w:sz w:val="24"/>
              </w:rPr>
              <w:t>因此本项目环境风险潜势为Ⅰ。</w:t>
            </w:r>
          </w:p>
          <w:p>
            <w:pPr>
              <w:adjustRightInd w:val="0"/>
              <w:snapToGrid w:val="0"/>
              <w:spacing w:line="360" w:lineRule="auto"/>
              <w:ind w:firstLine="480"/>
              <w:rPr>
                <w:rFonts w:ascii="Times New Roman" w:hAnsi="Times New Roman" w:eastAsia="宋体" w:cs="Times New Roman"/>
                <w:b w:val="0"/>
                <w:bCs w:val="0"/>
                <w:iCs/>
                <w:sz w:val="24"/>
              </w:rPr>
            </w:pPr>
            <w:r>
              <w:rPr>
                <w:rFonts w:hint="eastAsia" w:ascii="Times New Roman" w:hAnsi="Times New Roman" w:eastAsia="宋体" w:cs="Times New Roman"/>
                <w:b w:val="0"/>
                <w:bCs w:val="0"/>
                <w:iCs/>
                <w:sz w:val="24"/>
                <w:lang w:val="en-US" w:eastAsia="zh-CN"/>
              </w:rPr>
              <w:t>3</w:t>
            </w:r>
            <w:r>
              <w:rPr>
                <w:rFonts w:hint="eastAsia" w:ascii="Times New Roman" w:hAnsi="Times New Roman" w:eastAsia="宋体" w:cs="Times New Roman"/>
                <w:b w:val="0"/>
                <w:bCs w:val="0"/>
                <w:iCs/>
                <w:sz w:val="24"/>
                <w:lang w:eastAsia="zh-CN"/>
              </w:rPr>
              <w:t>）</w:t>
            </w:r>
            <w:r>
              <w:rPr>
                <w:rFonts w:ascii="Times New Roman" w:hAnsi="Times New Roman" w:eastAsia="宋体" w:cs="Times New Roman"/>
                <w:b w:val="0"/>
                <w:bCs w:val="0"/>
                <w:iCs/>
                <w:sz w:val="24"/>
              </w:rPr>
              <w:t>评价等级</w:t>
            </w:r>
          </w:p>
          <w:p>
            <w:pPr>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根据《建设项目环境风险评价技术导则》（HJ169—2018），本项目环境风险评价等级判断如下表所示：</w:t>
            </w:r>
          </w:p>
          <w:p>
            <w:pPr>
              <w:widowControl/>
              <w:adjustRightInd w:val="0"/>
              <w:snapToGrid w:val="0"/>
              <w:spacing w:line="360" w:lineRule="auto"/>
              <w:ind w:right="113" w:firstLine="48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w:t>
            </w:r>
            <w:r>
              <w:rPr>
                <w:rFonts w:hint="eastAsia" w:ascii="Times New Roman" w:hAnsi="Times New Roman" w:eastAsia="宋体" w:cs="Times New Roman"/>
                <w:b/>
                <w:kern w:val="0"/>
                <w:szCs w:val="21"/>
              </w:rPr>
              <w:t>4</w:t>
            </w:r>
            <w:r>
              <w:rPr>
                <w:rFonts w:ascii="Times New Roman" w:hAnsi="Times New Roman" w:eastAsia="宋体" w:cs="Times New Roman"/>
                <w:b/>
                <w:kern w:val="0"/>
                <w:szCs w:val="21"/>
              </w:rPr>
              <w:t>-</w:t>
            </w:r>
            <w:r>
              <w:rPr>
                <w:rFonts w:hint="eastAsia" w:ascii="Times New Roman" w:hAnsi="Times New Roman" w:eastAsia="宋体" w:cs="Times New Roman"/>
                <w:b/>
                <w:kern w:val="0"/>
                <w:szCs w:val="21"/>
                <w:lang w:val="en-US" w:eastAsia="zh-CN"/>
              </w:rPr>
              <w:t>5</w:t>
            </w:r>
            <w:r>
              <w:rPr>
                <w:rFonts w:hint="eastAsia" w:ascii="Times New Roman" w:hAnsi="Times New Roman" w:eastAsia="宋体" w:cs="Times New Roman"/>
                <w:b/>
                <w:kern w:val="0"/>
                <w:szCs w:val="21"/>
              </w:rPr>
              <w:t xml:space="preserve"> </w:t>
            </w:r>
            <w:r>
              <w:rPr>
                <w:rFonts w:ascii="Times New Roman" w:hAnsi="Times New Roman" w:eastAsia="宋体" w:cs="Times New Roman"/>
                <w:b/>
                <w:kern w:val="0"/>
                <w:szCs w:val="21"/>
              </w:rPr>
              <w:t xml:space="preserve"> 评价工作等级划分</w:t>
            </w:r>
          </w:p>
          <w:tbl>
            <w:tblPr>
              <w:tblStyle w:val="38"/>
              <w:tblW w:w="493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70"/>
              <w:gridCol w:w="1670"/>
              <w:gridCol w:w="1669"/>
              <w:gridCol w:w="1671"/>
              <w:gridCol w:w="16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4" w:hRule="atLeast"/>
                <w:jc w:val="center"/>
              </w:trPr>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环境风险潜势</w:t>
                  </w:r>
                </w:p>
              </w:tc>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Ⅳ、Ⅳ</w:t>
                  </w:r>
                  <w:r>
                    <w:rPr>
                      <w:rFonts w:ascii="Times New Roman" w:hAnsi="Times New Roman" w:eastAsia="宋体" w:cs="Times New Roman"/>
                      <w:iCs/>
                      <w:szCs w:val="21"/>
                      <w:vertAlign w:val="superscript"/>
                    </w:rPr>
                    <w:t>+</w:t>
                  </w:r>
                </w:p>
              </w:tc>
              <w:tc>
                <w:tcPr>
                  <w:tcW w:w="999"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Ⅲ</w:t>
                  </w:r>
                </w:p>
              </w:tc>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Ⅱ</w:t>
                  </w:r>
                </w:p>
              </w:tc>
              <w:tc>
                <w:tcPr>
                  <w:tcW w:w="1000" w:type="pct"/>
                  <w:shd w:val="clear" w:color="auto" w:fill="7F7F7F"/>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评价工作等级</w:t>
                  </w:r>
                </w:p>
              </w:tc>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一</w:t>
                  </w:r>
                </w:p>
              </w:tc>
              <w:tc>
                <w:tcPr>
                  <w:tcW w:w="999"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二</w:t>
                  </w:r>
                </w:p>
              </w:tc>
              <w:tc>
                <w:tcPr>
                  <w:tcW w:w="1000" w:type="pct"/>
                  <w:shd w:val="clear" w:color="auto" w:fill="auto"/>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三</w:t>
                  </w:r>
                </w:p>
              </w:tc>
              <w:tc>
                <w:tcPr>
                  <w:tcW w:w="1000" w:type="pct"/>
                  <w:shd w:val="clear" w:color="auto" w:fill="7F7F7F"/>
                  <w:noWrap w:val="0"/>
                  <w:vAlign w:val="top"/>
                </w:tcPr>
                <w:p>
                  <w:pPr>
                    <w:adjustRightInd w:val="0"/>
                    <w:snapToGrid w:val="0"/>
                    <w:jc w:val="center"/>
                    <w:rPr>
                      <w:rFonts w:ascii="Times New Roman" w:hAnsi="Times New Roman" w:eastAsia="宋体" w:cs="Times New Roman"/>
                      <w:iCs/>
                      <w:szCs w:val="21"/>
                    </w:rPr>
                  </w:pPr>
                  <w:r>
                    <w:rPr>
                      <w:rFonts w:ascii="Times New Roman" w:hAnsi="Times New Roman" w:eastAsia="宋体" w:cs="Times New Roman"/>
                      <w:iCs/>
                      <w:szCs w:val="21"/>
                    </w:rPr>
                    <w:t>简单分析</w:t>
                  </w:r>
                </w:p>
              </w:tc>
            </w:tr>
          </w:tbl>
          <w:p>
            <w:pPr>
              <w:spacing w:line="360" w:lineRule="auto"/>
              <w:ind w:firstLine="480" w:firstLineChars="200"/>
              <w:rPr>
                <w:rFonts w:ascii="Times New Roman" w:hAnsi="Times New Roman" w:eastAsia="宋体" w:cs="Times New Roman"/>
                <w:iCs/>
                <w:sz w:val="24"/>
              </w:rPr>
            </w:pPr>
          </w:p>
          <w:p>
            <w:pPr>
              <w:spacing w:line="360" w:lineRule="auto"/>
              <w:ind w:firstLine="480" w:firstLineChars="200"/>
              <w:rPr>
                <w:rFonts w:ascii="Times New Roman" w:hAnsi="Times New Roman" w:eastAsia="宋体" w:cs="Times New Roman"/>
                <w:iCs/>
                <w:sz w:val="24"/>
              </w:rPr>
            </w:pPr>
            <w:r>
              <w:rPr>
                <w:rFonts w:ascii="Times New Roman" w:hAnsi="Times New Roman" w:eastAsia="宋体" w:cs="Times New Roman"/>
                <w:iCs/>
                <w:sz w:val="24"/>
              </w:rPr>
              <w:t>根据上表可知，本项目环境风险评价等级为“简单分析”。</w:t>
            </w:r>
          </w:p>
          <w:p>
            <w:pPr>
              <w:adjustRightInd w:val="0"/>
              <w:snapToGrid w:val="0"/>
              <w:spacing w:line="360" w:lineRule="auto"/>
              <w:ind w:left="480" w:leftChars="200"/>
              <w:rPr>
                <w:b/>
                <w:bCs/>
                <w:iCs/>
                <w:sz w:val="24"/>
              </w:rPr>
            </w:pPr>
            <w:r>
              <w:rPr>
                <w:rFonts w:hint="eastAsia"/>
                <w:b/>
                <w:bCs/>
                <w:iCs/>
                <w:sz w:val="24"/>
                <w:lang w:val="en-US" w:eastAsia="zh-CN"/>
              </w:rPr>
              <w:t>（2）</w:t>
            </w:r>
            <w:r>
              <w:rPr>
                <w:b/>
                <w:bCs/>
                <w:iCs/>
                <w:sz w:val="24"/>
              </w:rPr>
              <w:t>环境敏感目标概况</w:t>
            </w:r>
          </w:p>
          <w:p>
            <w:pPr>
              <w:widowControl/>
              <w:adjustRightInd w:val="0"/>
              <w:snapToGrid w:val="0"/>
              <w:spacing w:line="360" w:lineRule="auto"/>
              <w:ind w:firstLine="480" w:firstLineChars="200"/>
              <w:jc w:val="left"/>
              <w:rPr>
                <w:sz w:val="24"/>
              </w:rPr>
            </w:pPr>
            <w:r>
              <w:rPr>
                <w:sz w:val="24"/>
              </w:rPr>
              <w:t>根据本项目性质、目污染物排放特征以及所在地区的外环境现状特征，确定本项目主要环境保护目标与等级见下表：</w:t>
            </w:r>
          </w:p>
          <w:p>
            <w:pPr>
              <w:widowControl/>
              <w:adjustRightInd w:val="0"/>
              <w:snapToGrid w:val="0"/>
              <w:spacing w:line="360" w:lineRule="auto"/>
              <w:ind w:right="113" w:firstLine="482" w:firstLineChars="200"/>
              <w:jc w:val="center"/>
              <w:rPr>
                <w:rFonts w:ascii="Times New Roman" w:hAnsi="Times New Roman" w:eastAsia="宋体" w:cs="Times New Roman"/>
                <w:iCs/>
                <w:sz w:val="24"/>
              </w:rPr>
            </w:pPr>
            <w:r>
              <w:rPr>
                <w:b/>
                <w:kern w:val="0"/>
                <w:szCs w:val="21"/>
              </w:rPr>
              <w:t>表</w:t>
            </w:r>
            <w:r>
              <w:rPr>
                <w:rFonts w:hint="eastAsia"/>
                <w:b/>
                <w:kern w:val="0"/>
                <w:szCs w:val="21"/>
              </w:rPr>
              <w:t>4</w:t>
            </w:r>
            <w:r>
              <w:rPr>
                <w:b/>
                <w:kern w:val="0"/>
                <w:szCs w:val="21"/>
              </w:rPr>
              <w:t>-</w:t>
            </w:r>
            <w:r>
              <w:rPr>
                <w:rFonts w:hint="eastAsia"/>
                <w:b/>
                <w:kern w:val="0"/>
                <w:szCs w:val="21"/>
                <w:lang w:val="en-US" w:eastAsia="zh-CN"/>
              </w:rPr>
              <w:t>6</w:t>
            </w:r>
            <w:r>
              <w:rPr>
                <w:rFonts w:hint="eastAsia"/>
                <w:b/>
                <w:kern w:val="0"/>
                <w:szCs w:val="21"/>
              </w:rPr>
              <w:t xml:space="preserve"> </w:t>
            </w:r>
            <w:r>
              <w:rPr>
                <w:b/>
                <w:kern w:val="0"/>
                <w:szCs w:val="21"/>
              </w:rPr>
              <w:t xml:space="preserve"> 项目主要环境保护目标一览表</w:t>
            </w:r>
          </w:p>
          <w:tbl>
            <w:tblPr>
              <w:tblStyle w:val="3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50"/>
              <w:gridCol w:w="450"/>
              <w:gridCol w:w="1330"/>
              <w:gridCol w:w="1212"/>
              <w:gridCol w:w="450"/>
              <w:gridCol w:w="685"/>
              <w:gridCol w:w="2027"/>
              <w:gridCol w:w="451"/>
              <w:gridCol w:w="14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530"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环境要素</w:t>
                  </w:r>
                </w:p>
              </w:tc>
              <w:tc>
                <w:tcPr>
                  <w:tcW w:w="867"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511" w:type="dxa"/>
                  <w:gridSpan w:val="2"/>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坐标</w:t>
                  </w:r>
                </w:p>
              </w:tc>
              <w:tc>
                <w:tcPr>
                  <w:tcW w:w="723"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保护对象</w:t>
                  </w:r>
                </w:p>
              </w:tc>
              <w:tc>
                <w:tcPr>
                  <w:tcW w:w="679"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保护内容</w:t>
                  </w:r>
                </w:p>
              </w:tc>
              <w:tc>
                <w:tcPr>
                  <w:tcW w:w="1637"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环境功能区划</w:t>
                  </w:r>
                </w:p>
              </w:tc>
              <w:tc>
                <w:tcPr>
                  <w:tcW w:w="719"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相对厂址方位</w:t>
                  </w:r>
                </w:p>
              </w:tc>
              <w:tc>
                <w:tcPr>
                  <w:tcW w:w="849" w:type="dxa"/>
                  <w:vMerge w:val="restart"/>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63" w:hRule="atLeast"/>
                <w:jc w:val="center"/>
              </w:trPr>
              <w:tc>
                <w:tcPr>
                  <w:tcW w:w="530"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867"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809"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X</w:t>
                  </w:r>
                </w:p>
              </w:tc>
              <w:tc>
                <w:tcPr>
                  <w:tcW w:w="702"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Y</w:t>
                  </w:r>
                </w:p>
              </w:tc>
              <w:tc>
                <w:tcPr>
                  <w:tcW w:w="723"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679"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1637"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719" w:type="dxa"/>
                  <w:vMerge w:val="continue"/>
                  <w:noWrap w:val="0"/>
                  <w:vAlign w:val="center"/>
                </w:tcPr>
                <w:p>
                  <w:pPr>
                    <w:pStyle w:val="46"/>
                    <w:ind w:firstLine="0" w:firstLineChars="0"/>
                    <w:jc w:val="center"/>
                    <w:rPr>
                      <w:rFonts w:ascii="Times New Roman" w:hAnsi="Times New Roman" w:eastAsia="宋体" w:cs="Times New Roman"/>
                      <w:szCs w:val="21"/>
                    </w:rPr>
                  </w:pPr>
                </w:p>
              </w:tc>
              <w:tc>
                <w:tcPr>
                  <w:tcW w:w="849" w:type="dxa"/>
                  <w:vMerge w:val="continue"/>
                  <w:noWrap w:val="0"/>
                  <w:vAlign w:val="center"/>
                </w:tcPr>
                <w:p>
                  <w:pPr>
                    <w:pStyle w:val="46"/>
                    <w:ind w:firstLine="0" w:firstLineChars="0"/>
                    <w:jc w:val="center"/>
                    <w:rPr>
                      <w:rFonts w:ascii="Times New Roman" w:hAnsi="Times New Roman" w:eastAsia="宋体" w:cs="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30" w:type="dxa"/>
                  <w:vMerge w:val="restart"/>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大气环境</w:t>
                  </w:r>
                </w:p>
              </w:tc>
              <w:tc>
                <w:tcPr>
                  <w:tcW w:w="867" w:type="dxa"/>
                  <w:vMerge w:val="restart"/>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809"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103.779977</w:t>
                  </w:r>
                </w:p>
              </w:tc>
              <w:tc>
                <w:tcPr>
                  <w:tcW w:w="702"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cs="Times New Roman"/>
                      <w:szCs w:val="21"/>
                    </w:rPr>
                    <w:t>29.597404</w:t>
                  </w:r>
                </w:p>
              </w:tc>
              <w:tc>
                <w:tcPr>
                  <w:tcW w:w="723"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679"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150</w:t>
                  </w:r>
                  <w:r>
                    <w:rPr>
                      <w:rFonts w:hint="eastAsia" w:ascii="Times New Roman" w:hAnsi="Times New Roman" w:eastAsia="宋体" w:cs="Times New Roman"/>
                      <w:szCs w:val="21"/>
                    </w:rPr>
                    <w:t>人</w:t>
                  </w:r>
                </w:p>
              </w:tc>
              <w:tc>
                <w:tcPr>
                  <w:tcW w:w="1637" w:type="dxa"/>
                  <w:vMerge w:val="restart"/>
                  <w:noWrap w:val="0"/>
                  <w:vAlign w:val="center"/>
                </w:tcPr>
                <w:p>
                  <w:pPr>
                    <w:pStyle w:val="46"/>
                    <w:ind w:firstLine="0" w:firstLineChars="0"/>
                    <w:jc w:val="center"/>
                    <w:rPr>
                      <w:rFonts w:ascii="Times New Roman" w:hAnsi="Times New Roman" w:eastAsia="宋体"/>
                      <w:kern w:val="2"/>
                      <w:szCs w:val="21"/>
                    </w:rPr>
                  </w:pPr>
                  <w:r>
                    <w:rPr>
                      <w:rFonts w:ascii="Times New Roman" w:hAnsi="Times New Roman" w:eastAsia="宋体"/>
                      <w:szCs w:val="21"/>
                      <w:lang w:bidi="ar"/>
                    </w:rPr>
                    <w:t>《环境空气质量标准》（GB3095-2012）</w:t>
                  </w:r>
                  <w:r>
                    <w:rPr>
                      <w:rFonts w:hint="eastAsia" w:ascii="Times New Roman" w:hAnsi="Times New Roman" w:eastAsia="宋体"/>
                      <w:szCs w:val="21"/>
                      <w:lang w:bidi="ar"/>
                    </w:rPr>
                    <w:t>二</w:t>
                  </w:r>
                  <w:r>
                    <w:rPr>
                      <w:rFonts w:ascii="Times New Roman" w:hAnsi="Times New Roman" w:eastAsia="宋体"/>
                      <w:szCs w:val="21"/>
                      <w:lang w:bidi="ar"/>
                    </w:rPr>
                    <w:t>级标准</w:t>
                  </w:r>
                </w:p>
              </w:tc>
              <w:tc>
                <w:tcPr>
                  <w:tcW w:w="71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东</w:t>
                  </w:r>
                  <w:r>
                    <w:rPr>
                      <w:rFonts w:hint="eastAsia" w:ascii="Times New Roman" w:hAnsi="Times New Roman" w:eastAsia="宋体" w:cs="Times New Roman"/>
                      <w:szCs w:val="21"/>
                    </w:rPr>
                    <w:t>北侧</w:t>
                  </w:r>
                </w:p>
              </w:tc>
              <w:tc>
                <w:tcPr>
                  <w:tcW w:w="849" w:type="dxa"/>
                  <w:noWrap w:val="0"/>
                  <w:vAlign w:val="center"/>
                </w:tcPr>
                <w:p>
                  <w:pPr>
                    <w:pStyle w:val="46"/>
                    <w:ind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ascii="Times New Roman" w:hAnsi="Times New Roman" w:eastAsia="宋体" w:cs="Times New Roman"/>
                      <w:szCs w:val="21"/>
                    </w:rPr>
                    <w:t>2m~500m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30" w:type="dxa"/>
                  <w:vMerge w:val="continue"/>
                  <w:noWrap w:val="0"/>
                  <w:vAlign w:val="center"/>
                </w:tcPr>
                <w:p>
                  <w:pPr>
                    <w:jc w:val="center"/>
                    <w:rPr>
                      <w:rFonts w:ascii="Times New Roman" w:hAnsi="Times New Roman" w:eastAsia="宋体" w:cs="Times New Roman"/>
                    </w:rPr>
                  </w:pPr>
                </w:p>
              </w:tc>
              <w:tc>
                <w:tcPr>
                  <w:tcW w:w="867" w:type="dxa"/>
                  <w:vMerge w:val="continue"/>
                  <w:noWrap w:val="0"/>
                  <w:vAlign w:val="center"/>
                </w:tcPr>
                <w:p>
                  <w:pPr>
                    <w:jc w:val="center"/>
                    <w:rPr>
                      <w:rFonts w:ascii="Times New Roman" w:hAnsi="Times New Roman" w:eastAsia="宋体" w:cs="Times New Roman"/>
                    </w:rPr>
                  </w:pP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103.780589</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29.594008</w:t>
                  </w:r>
                </w:p>
              </w:tc>
              <w:tc>
                <w:tcPr>
                  <w:tcW w:w="72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67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45</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135</w:t>
                  </w:r>
                  <w:r>
                    <w:rPr>
                      <w:rFonts w:hint="eastAsia" w:ascii="Times New Roman" w:hAnsi="Times New Roman" w:eastAsia="宋体" w:cs="Times New Roman"/>
                      <w:szCs w:val="21"/>
                    </w:rPr>
                    <w:t>人</w:t>
                  </w:r>
                </w:p>
              </w:tc>
              <w:tc>
                <w:tcPr>
                  <w:tcW w:w="1637" w:type="dxa"/>
                  <w:vMerge w:val="continue"/>
                  <w:noWrap w:val="0"/>
                  <w:vAlign w:val="center"/>
                </w:tcPr>
                <w:p>
                  <w:pPr>
                    <w:jc w:val="center"/>
                    <w:rPr>
                      <w:rFonts w:hint="eastAsia" w:ascii="Times New Roman" w:hAnsi="Times New Roman" w:eastAsia="宋体" w:cs="Times New Roman"/>
                      <w:szCs w:val="21"/>
                    </w:rPr>
                  </w:pPr>
                </w:p>
              </w:tc>
              <w:tc>
                <w:tcPr>
                  <w:tcW w:w="71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东</w:t>
                  </w:r>
                  <w:r>
                    <w:rPr>
                      <w:rFonts w:hint="eastAsia" w:ascii="Times New Roman" w:hAnsi="Times New Roman" w:eastAsia="宋体" w:cs="Times New Roman"/>
                      <w:szCs w:val="21"/>
                    </w:rPr>
                    <w:t>侧</w:t>
                  </w:r>
                </w:p>
              </w:tc>
              <w:tc>
                <w:tcPr>
                  <w:tcW w:w="84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30" w:type="dxa"/>
                  <w:vMerge w:val="continue"/>
                  <w:noWrap w:val="0"/>
                  <w:vAlign w:val="center"/>
                </w:tcPr>
                <w:p>
                  <w:pPr>
                    <w:jc w:val="center"/>
                    <w:rPr>
                      <w:rFonts w:hint="eastAsia" w:ascii="Times New Roman" w:hAnsi="Times New Roman" w:eastAsia="宋体" w:cs="Times New Roman"/>
                      <w:szCs w:val="21"/>
                    </w:rPr>
                  </w:pPr>
                </w:p>
              </w:tc>
              <w:tc>
                <w:tcPr>
                  <w:tcW w:w="867" w:type="dxa"/>
                  <w:vMerge w:val="continue"/>
                  <w:noWrap w:val="0"/>
                  <w:vAlign w:val="center"/>
                </w:tcPr>
                <w:p>
                  <w:pPr>
                    <w:jc w:val="center"/>
                    <w:rPr>
                      <w:rFonts w:hint="eastAsia" w:ascii="Times New Roman" w:hAnsi="Times New Roman" w:eastAsia="宋体" w:cs="Times New Roman"/>
                      <w:szCs w:val="21"/>
                    </w:rPr>
                  </w:pP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103.780127</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29.592838</w:t>
                  </w:r>
                </w:p>
              </w:tc>
              <w:tc>
                <w:tcPr>
                  <w:tcW w:w="72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67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人</w:t>
                  </w:r>
                </w:p>
              </w:tc>
              <w:tc>
                <w:tcPr>
                  <w:tcW w:w="1637" w:type="dxa"/>
                  <w:vMerge w:val="continue"/>
                  <w:noWrap w:val="0"/>
                  <w:vAlign w:val="center"/>
                </w:tcPr>
                <w:p>
                  <w:pPr>
                    <w:jc w:val="center"/>
                    <w:rPr>
                      <w:rFonts w:hint="eastAsia" w:ascii="Times New Roman" w:hAnsi="Times New Roman" w:eastAsia="宋体" w:cs="Times New Roman"/>
                      <w:szCs w:val="21"/>
                    </w:rPr>
                  </w:pPr>
                </w:p>
              </w:tc>
              <w:tc>
                <w:tcPr>
                  <w:tcW w:w="71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东</w:t>
                  </w:r>
                  <w:r>
                    <w:rPr>
                      <w:rFonts w:hint="eastAsia" w:ascii="Times New Roman" w:hAnsi="Times New Roman" w:eastAsia="宋体" w:cs="Times New Roman"/>
                      <w:szCs w:val="21"/>
                      <w:lang w:val="en-US" w:eastAsia="zh-CN"/>
                    </w:rPr>
                    <w:t>南</w:t>
                  </w:r>
                  <w:r>
                    <w:rPr>
                      <w:rFonts w:hint="eastAsia" w:ascii="Times New Roman" w:hAnsi="Times New Roman" w:eastAsia="宋体" w:cs="Times New Roman"/>
                      <w:szCs w:val="21"/>
                    </w:rPr>
                    <w:t>侧</w:t>
                  </w:r>
                </w:p>
              </w:tc>
              <w:tc>
                <w:tcPr>
                  <w:tcW w:w="84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75</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30" w:type="dxa"/>
                  <w:vMerge w:val="continue"/>
                  <w:noWrap w:val="0"/>
                  <w:vAlign w:val="center"/>
                </w:tcPr>
                <w:p>
                  <w:pPr>
                    <w:jc w:val="center"/>
                    <w:rPr>
                      <w:rFonts w:hint="eastAsia" w:ascii="Times New Roman" w:hAnsi="Times New Roman" w:eastAsia="宋体" w:cs="Times New Roman"/>
                      <w:szCs w:val="21"/>
                    </w:rPr>
                  </w:pPr>
                </w:p>
              </w:tc>
              <w:tc>
                <w:tcPr>
                  <w:tcW w:w="867" w:type="dxa"/>
                  <w:vMerge w:val="continue"/>
                  <w:noWrap w:val="0"/>
                  <w:vAlign w:val="center"/>
                </w:tcPr>
                <w:p>
                  <w:pPr>
                    <w:jc w:val="center"/>
                    <w:rPr>
                      <w:rFonts w:hint="eastAsia" w:ascii="Times New Roman" w:hAnsi="Times New Roman" w:eastAsia="宋体" w:cs="Times New Roman"/>
                      <w:szCs w:val="21"/>
                    </w:rPr>
                  </w:pP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103.778051</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29.591685</w:t>
                  </w:r>
                </w:p>
              </w:tc>
              <w:tc>
                <w:tcPr>
                  <w:tcW w:w="72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67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16</w:t>
                  </w:r>
                  <w:r>
                    <w:rPr>
                      <w:rFonts w:hint="eastAsia" w:ascii="Times New Roman" w:hAnsi="Times New Roman" w:eastAsia="宋体" w:cs="Times New Roman"/>
                      <w:szCs w:val="21"/>
                    </w:rPr>
                    <w:t>户，</w:t>
                  </w:r>
                  <w:r>
                    <w:rPr>
                      <w:rFonts w:hint="eastAsia" w:ascii="Times New Roman" w:hAnsi="Times New Roman" w:eastAsia="宋体" w:cs="Times New Roman"/>
                      <w:szCs w:val="21"/>
                      <w:lang w:val="en-US" w:eastAsia="zh-CN"/>
                    </w:rPr>
                    <w:t>48</w:t>
                  </w:r>
                  <w:r>
                    <w:rPr>
                      <w:rFonts w:hint="eastAsia" w:ascii="Times New Roman" w:hAnsi="Times New Roman" w:eastAsia="宋体" w:cs="Times New Roman"/>
                      <w:szCs w:val="21"/>
                    </w:rPr>
                    <w:t>人</w:t>
                  </w:r>
                </w:p>
              </w:tc>
              <w:tc>
                <w:tcPr>
                  <w:tcW w:w="1637" w:type="dxa"/>
                  <w:vMerge w:val="continue"/>
                  <w:noWrap w:val="0"/>
                  <w:vAlign w:val="center"/>
                </w:tcPr>
                <w:p>
                  <w:pPr>
                    <w:jc w:val="center"/>
                    <w:rPr>
                      <w:rFonts w:hint="eastAsia" w:ascii="Times New Roman" w:hAnsi="Times New Roman" w:eastAsia="宋体" w:cs="Times New Roman"/>
                      <w:szCs w:val="21"/>
                    </w:rPr>
                  </w:pPr>
                </w:p>
              </w:tc>
              <w:tc>
                <w:tcPr>
                  <w:tcW w:w="71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南侧</w:t>
                  </w:r>
                </w:p>
              </w:tc>
              <w:tc>
                <w:tcPr>
                  <w:tcW w:w="84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56</w:t>
                  </w:r>
                  <w:r>
                    <w:rPr>
                      <w:rFonts w:hint="eastAsia"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30" w:type="dxa"/>
                  <w:vMerge w:val="continue"/>
                  <w:noWrap w:val="0"/>
                  <w:vAlign w:val="center"/>
                </w:tcPr>
                <w:p>
                  <w:pPr>
                    <w:jc w:val="center"/>
                    <w:rPr>
                      <w:rFonts w:hint="eastAsia" w:ascii="Times New Roman" w:hAnsi="Times New Roman" w:eastAsia="宋体" w:cs="Times New Roman"/>
                      <w:szCs w:val="21"/>
                    </w:rPr>
                  </w:pPr>
                </w:p>
              </w:tc>
              <w:tc>
                <w:tcPr>
                  <w:tcW w:w="867" w:type="dxa"/>
                  <w:vMerge w:val="continue"/>
                  <w:noWrap w:val="0"/>
                  <w:vAlign w:val="center"/>
                </w:tcPr>
                <w:p>
                  <w:pPr>
                    <w:jc w:val="center"/>
                    <w:rPr>
                      <w:rFonts w:hint="eastAsia" w:ascii="Times New Roman" w:hAnsi="Times New Roman" w:eastAsia="宋体" w:cs="Times New Roman"/>
                      <w:szCs w:val="21"/>
                    </w:rPr>
                  </w:pP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103.777198</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29.591470</w:t>
                  </w:r>
                </w:p>
              </w:tc>
              <w:tc>
                <w:tcPr>
                  <w:tcW w:w="723"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居民</w:t>
                  </w:r>
                </w:p>
              </w:tc>
              <w:tc>
                <w:tcPr>
                  <w:tcW w:w="67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10户，30人</w:t>
                  </w:r>
                </w:p>
              </w:tc>
              <w:tc>
                <w:tcPr>
                  <w:tcW w:w="1637" w:type="dxa"/>
                  <w:vMerge w:val="continue"/>
                  <w:noWrap w:val="0"/>
                  <w:vAlign w:val="center"/>
                </w:tcPr>
                <w:p>
                  <w:pPr>
                    <w:jc w:val="center"/>
                    <w:rPr>
                      <w:rFonts w:hint="eastAsia" w:ascii="Times New Roman" w:hAnsi="Times New Roman" w:eastAsia="宋体" w:cs="Times New Roman"/>
                      <w:szCs w:val="21"/>
                    </w:rPr>
                  </w:pPr>
                </w:p>
              </w:tc>
              <w:tc>
                <w:tcPr>
                  <w:tcW w:w="71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西南侧</w:t>
                  </w:r>
                </w:p>
              </w:tc>
              <w:tc>
                <w:tcPr>
                  <w:tcW w:w="849"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12</w:t>
                  </w:r>
                  <w:r>
                    <w:rPr>
                      <w:rFonts w:hint="eastAsia" w:ascii="Times New Roman" w:hAnsi="Times New Roman" w:eastAsia="宋体" w:cs="Times New Roman"/>
                      <w:szCs w:val="21"/>
                    </w:rPr>
                    <w:t>2m~500m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530"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867" w:type="dxa"/>
                  <w:vMerge w:val="continue"/>
                  <w:noWrap w:val="0"/>
                  <w:vAlign w:val="center"/>
                </w:tcPr>
                <w:p>
                  <w:pPr>
                    <w:pStyle w:val="46"/>
                    <w:ind w:firstLine="0" w:firstLineChars="0"/>
                    <w:jc w:val="center"/>
                    <w:rPr>
                      <w:rFonts w:hint="eastAsia" w:ascii="Times New Roman" w:hAnsi="Times New Roman" w:eastAsia="宋体" w:cs="Times New Roman"/>
                      <w:szCs w:val="21"/>
                      <w:lang w:val="en-US" w:eastAsia="zh-CN"/>
                    </w:rPr>
                  </w:pP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103.776243</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29.595043</w:t>
                  </w:r>
                </w:p>
              </w:tc>
              <w:tc>
                <w:tcPr>
                  <w:tcW w:w="723" w:type="dxa"/>
                  <w:noWrap w:val="0"/>
                  <w:vAlign w:val="center"/>
                </w:tcPr>
                <w:p>
                  <w:pPr>
                    <w:pStyle w:val="46"/>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居民</w:t>
                  </w:r>
                </w:p>
              </w:tc>
              <w:tc>
                <w:tcPr>
                  <w:tcW w:w="679" w:type="dxa"/>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20户，60人</w:t>
                  </w:r>
                </w:p>
              </w:tc>
              <w:tc>
                <w:tcPr>
                  <w:tcW w:w="1637" w:type="dxa"/>
                  <w:vMerge w:val="continue"/>
                  <w:noWrap w:val="0"/>
                  <w:vAlign w:val="center"/>
                </w:tcPr>
                <w:p>
                  <w:pPr>
                    <w:pStyle w:val="46"/>
                    <w:ind w:firstLine="0" w:firstLineChars="0"/>
                    <w:jc w:val="center"/>
                    <w:rPr>
                      <w:rFonts w:ascii="Times New Roman" w:hAnsi="Times New Roman" w:eastAsia="宋体"/>
                      <w:kern w:val="2"/>
                      <w:szCs w:val="21"/>
                    </w:rPr>
                  </w:pPr>
                </w:p>
              </w:tc>
              <w:tc>
                <w:tcPr>
                  <w:tcW w:w="71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西侧</w:t>
                  </w:r>
                </w:p>
              </w:tc>
              <w:tc>
                <w:tcPr>
                  <w:tcW w:w="849" w:type="dxa"/>
                  <w:noWrap w:val="0"/>
                  <w:vAlign w:val="center"/>
                </w:tcPr>
                <w:p>
                  <w:pPr>
                    <w:pStyle w:val="46"/>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156</w:t>
                  </w:r>
                  <w:r>
                    <w:rPr>
                      <w:rFonts w:ascii="Times New Roman" w:hAnsi="Times New Roman" w:eastAsia="宋体" w:cs="Times New Roman"/>
                      <w:szCs w:val="21"/>
                    </w:rPr>
                    <w:t>m~500m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530"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867"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乐山孝老宛老年公寓</w:t>
                  </w:r>
                </w:p>
              </w:tc>
              <w:tc>
                <w:tcPr>
                  <w:tcW w:w="80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103.774570</w:t>
                  </w:r>
                </w:p>
              </w:tc>
              <w:tc>
                <w:tcPr>
                  <w:tcW w:w="702"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29.590768</w:t>
                  </w:r>
                </w:p>
              </w:tc>
              <w:tc>
                <w:tcPr>
                  <w:tcW w:w="723"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工作人员及老人</w:t>
                  </w:r>
                </w:p>
              </w:tc>
              <w:tc>
                <w:tcPr>
                  <w:tcW w:w="67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1000人</w:t>
                  </w:r>
                </w:p>
              </w:tc>
              <w:tc>
                <w:tcPr>
                  <w:tcW w:w="1637" w:type="dxa"/>
                  <w:vMerge w:val="continue"/>
                  <w:noWrap w:val="0"/>
                  <w:vAlign w:val="center"/>
                </w:tcPr>
                <w:p>
                  <w:pPr>
                    <w:pStyle w:val="46"/>
                    <w:ind w:firstLine="0" w:firstLineChars="0"/>
                    <w:jc w:val="center"/>
                    <w:rPr>
                      <w:rFonts w:ascii="Times New Roman" w:hAnsi="Times New Roman" w:eastAsia="宋体"/>
                      <w:kern w:val="2"/>
                      <w:szCs w:val="21"/>
                    </w:rPr>
                  </w:pPr>
                </w:p>
              </w:tc>
              <w:tc>
                <w:tcPr>
                  <w:tcW w:w="71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西南侧</w:t>
                  </w:r>
                </w:p>
              </w:tc>
              <w:tc>
                <w:tcPr>
                  <w:tcW w:w="849" w:type="dxa"/>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334m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530" w:type="dxa"/>
                  <w:vMerge w:val="continue"/>
                  <w:noWrap w:val="0"/>
                  <w:vAlign w:val="center"/>
                </w:tcPr>
                <w:p>
                  <w:pPr>
                    <w:pStyle w:val="46"/>
                    <w:ind w:firstLine="0" w:firstLineChars="0"/>
                    <w:jc w:val="center"/>
                    <w:rPr>
                      <w:rFonts w:hint="eastAsia" w:ascii="Times New Roman" w:hAnsi="Times New Roman" w:eastAsia="宋体" w:cs="Times New Roman"/>
                      <w:szCs w:val="21"/>
                    </w:rPr>
                  </w:pPr>
                </w:p>
              </w:tc>
              <w:tc>
                <w:tcPr>
                  <w:tcW w:w="867"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color w:val="auto"/>
                      <w:lang w:val="en-US" w:eastAsia="zh-CN"/>
                    </w:rPr>
                    <w:t>中国石油加油站</w:t>
                  </w:r>
                </w:p>
              </w:tc>
              <w:tc>
                <w:tcPr>
                  <w:tcW w:w="80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103.778990</w:t>
                  </w:r>
                </w:p>
              </w:tc>
              <w:tc>
                <w:tcPr>
                  <w:tcW w:w="702"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29.600772</w:t>
                  </w:r>
                </w:p>
              </w:tc>
              <w:tc>
                <w:tcPr>
                  <w:tcW w:w="723"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679" w:type="dxa"/>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637" w:type="dxa"/>
                  <w:vMerge w:val="continue"/>
                  <w:noWrap w:val="0"/>
                  <w:vAlign w:val="center"/>
                </w:tcPr>
                <w:p>
                  <w:pPr>
                    <w:pStyle w:val="46"/>
                    <w:ind w:firstLine="0" w:firstLineChars="0"/>
                    <w:jc w:val="center"/>
                    <w:rPr>
                      <w:rFonts w:ascii="Times New Roman" w:hAnsi="Times New Roman" w:eastAsia="宋体"/>
                      <w:kern w:val="2"/>
                      <w:szCs w:val="21"/>
                    </w:rPr>
                  </w:pPr>
                </w:p>
              </w:tc>
              <w:tc>
                <w:tcPr>
                  <w:tcW w:w="719"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北侧</w:t>
                  </w:r>
                </w:p>
              </w:tc>
              <w:tc>
                <w:tcPr>
                  <w:tcW w:w="849"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492m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9" w:hRule="atLeast"/>
                <w:jc w:val="center"/>
              </w:trPr>
              <w:tc>
                <w:tcPr>
                  <w:tcW w:w="530"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地表水</w:t>
                  </w:r>
                </w:p>
              </w:tc>
              <w:tc>
                <w:tcPr>
                  <w:tcW w:w="867"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泥溪</w:t>
                  </w:r>
                  <w:r>
                    <w:rPr>
                      <w:rFonts w:hint="eastAsia" w:ascii="Times New Roman" w:hAnsi="Times New Roman" w:eastAsia="宋体" w:cs="Times New Roman"/>
                      <w:szCs w:val="21"/>
                    </w:rPr>
                    <w:t>河</w:t>
                  </w:r>
                </w:p>
              </w:tc>
              <w:tc>
                <w:tcPr>
                  <w:tcW w:w="809" w:type="dxa"/>
                  <w:noWrap w:val="0"/>
                  <w:vAlign w:val="center"/>
                </w:tcPr>
                <w:p>
                  <w:pPr>
                    <w:pStyle w:val="46"/>
                    <w:ind w:firstLine="0" w:firstLineChars="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103.779752</w:t>
                  </w:r>
                </w:p>
              </w:tc>
              <w:tc>
                <w:tcPr>
                  <w:tcW w:w="702" w:type="dxa"/>
                  <w:noWrap w:val="0"/>
                  <w:vAlign w:val="center"/>
                </w:tcPr>
                <w:p>
                  <w:pPr>
                    <w:pStyle w:val="46"/>
                    <w:ind w:firstLine="0" w:firstLineChars="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29.591744</w:t>
                  </w:r>
                </w:p>
              </w:tc>
              <w:tc>
                <w:tcPr>
                  <w:tcW w:w="723"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地表水</w:t>
                  </w:r>
                </w:p>
              </w:tc>
              <w:tc>
                <w:tcPr>
                  <w:tcW w:w="679"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行洪、灌溉</w:t>
                  </w:r>
                </w:p>
              </w:tc>
              <w:tc>
                <w:tcPr>
                  <w:tcW w:w="1637" w:type="dxa"/>
                  <w:noWrap w:val="0"/>
                  <w:vAlign w:val="center"/>
                </w:tcPr>
                <w:p>
                  <w:pPr>
                    <w:pStyle w:val="46"/>
                    <w:ind w:firstLine="0" w:firstLineChars="0"/>
                    <w:jc w:val="center"/>
                    <w:rPr>
                      <w:rFonts w:ascii="Times New Roman" w:hAnsi="Times New Roman" w:eastAsia="宋体" w:cs="Times New Roman"/>
                      <w:szCs w:val="21"/>
                    </w:rPr>
                  </w:pPr>
                  <w:r>
                    <w:rPr>
                      <w:rFonts w:ascii="Times New Roman" w:hAnsi="Times New Roman" w:eastAsia="宋体"/>
                      <w:kern w:val="2"/>
                      <w:szCs w:val="21"/>
                    </w:rPr>
                    <w:t>《地表水环境质量标准》（GB3838-2002）Ⅲ类</w:t>
                  </w:r>
                </w:p>
              </w:tc>
              <w:tc>
                <w:tcPr>
                  <w:tcW w:w="719" w:type="dxa"/>
                  <w:noWrap w:val="0"/>
                  <w:vAlign w:val="center"/>
                </w:tcPr>
                <w:p>
                  <w:pPr>
                    <w:pStyle w:val="46"/>
                    <w:ind w:firstLine="0" w:firstLineChars="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东南</w:t>
                  </w:r>
                  <w:r>
                    <w:rPr>
                      <w:rFonts w:hint="eastAsia" w:ascii="Times New Roman" w:hAnsi="Times New Roman" w:eastAsia="宋体" w:cs="Times New Roman"/>
                      <w:szCs w:val="21"/>
                    </w:rPr>
                    <w:t>南</w:t>
                  </w:r>
                </w:p>
              </w:tc>
              <w:tc>
                <w:tcPr>
                  <w:tcW w:w="849" w:type="dxa"/>
                  <w:noWrap w:val="0"/>
                  <w:vAlign w:val="center"/>
                </w:tcPr>
                <w:p>
                  <w:pPr>
                    <w:pStyle w:val="46"/>
                    <w:ind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24m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30" w:type="dxa"/>
                  <w:noWrap w:val="0"/>
                  <w:vAlign w:val="center"/>
                </w:tcPr>
                <w:p>
                  <w:pPr>
                    <w:adjustRightInd w:val="0"/>
                    <w:snapToGrid w:val="0"/>
                    <w:jc w:val="center"/>
                    <w:rPr>
                      <w:rFonts w:hint="eastAsia" w:ascii="Times New Roman" w:hAnsi="Times New Roman" w:eastAsia="宋体" w:cs="Times New Roman"/>
                      <w:szCs w:val="21"/>
                    </w:rPr>
                  </w:pPr>
                  <w:r>
                    <w:rPr>
                      <w:rFonts w:ascii="Times New Roman" w:hAnsi="Times New Roman" w:eastAsia="宋体" w:cs="Times New Roman"/>
                      <w:szCs w:val="21"/>
                    </w:rPr>
                    <w:t>地下水</w:t>
                  </w:r>
                </w:p>
              </w:tc>
              <w:tc>
                <w:tcPr>
                  <w:tcW w:w="6985"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《地下水质量标准》（GB/T-14848-2017）III类标准，不因本项目建设而发生变化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30" w:type="dxa"/>
                  <w:noWrap w:val="0"/>
                  <w:vAlign w:val="center"/>
                </w:tcPr>
                <w:p>
                  <w:pPr>
                    <w:adjustRightInd w:val="0"/>
                    <w:snapToGrid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土壤</w:t>
                  </w:r>
                </w:p>
              </w:tc>
              <w:tc>
                <w:tcPr>
                  <w:tcW w:w="6985"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《土壤环境质量 农用地土壤污染风险管控标准（试行）》中表 1 农用地土壤污染风险筛选值（基本项目）（其他）要求，</w:t>
                  </w:r>
                  <w:r>
                    <w:rPr>
                      <w:rFonts w:hint="default" w:ascii="Times New Roman" w:hAnsi="Times New Roman" w:eastAsia="宋体" w:cs="Times New Roman"/>
                      <w:sz w:val="21"/>
                      <w:szCs w:val="21"/>
                      <w:highlight w:val="none"/>
                      <w:lang w:val="en-US" w:eastAsia="zh-CN"/>
                    </w:rPr>
                    <w:t>不因本项目建设而发生变化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30" w:type="dxa"/>
                  <w:noWrap w:val="0"/>
                  <w:vAlign w:val="center"/>
                </w:tcPr>
                <w:p>
                  <w:pPr>
                    <w:pStyle w:val="196"/>
                    <w:widowControl w:val="0"/>
                    <w:adjustRightInd w:val="0"/>
                    <w:snapToGrid w:val="0"/>
                    <w:spacing w:before="0" w:beforeAutospacing="0" w:after="0" w:afterAutospacing="0"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w:t>
                  </w:r>
                </w:p>
              </w:tc>
              <w:tc>
                <w:tcPr>
                  <w:tcW w:w="6985" w:type="dxa"/>
                  <w:gridSpan w:val="8"/>
                  <w:noWrap w:val="0"/>
                  <w:vAlign w:val="center"/>
                </w:tcPr>
                <w:p>
                  <w:pPr>
                    <w:pStyle w:val="196"/>
                    <w:widowControl w:val="0"/>
                    <w:adjustRightInd w:val="0"/>
                    <w:snapToGrid w:val="0"/>
                    <w:spacing w:before="0" w:beforeAutospacing="0" w:after="0" w:afterAutospacing="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本项目</w:t>
                  </w:r>
                  <w:r>
                    <w:rPr>
                      <w:rFonts w:hint="default" w:ascii="Times New Roman" w:hAnsi="Times New Roman" w:eastAsia="宋体" w:cs="Times New Roman"/>
                      <w:sz w:val="21"/>
                      <w:szCs w:val="21"/>
                      <w:lang w:val="en-US" w:eastAsia="zh-CN"/>
                    </w:rPr>
                    <w:t>临时</w:t>
                  </w:r>
                  <w:r>
                    <w:rPr>
                      <w:rFonts w:hint="default" w:ascii="Times New Roman" w:hAnsi="Times New Roman" w:eastAsia="宋体" w:cs="Times New Roman"/>
                      <w:sz w:val="21"/>
                      <w:szCs w:val="21"/>
                      <w:lang w:val="zh-CN" w:eastAsia="zh-CN"/>
                    </w:rPr>
                    <w:t>占地为</w:t>
                  </w:r>
                  <w:r>
                    <w:rPr>
                      <w:rFonts w:hint="default" w:ascii="Times New Roman" w:hAnsi="Times New Roman" w:eastAsia="宋体" w:cs="Times New Roman"/>
                      <w:sz w:val="21"/>
                      <w:szCs w:val="21"/>
                      <w:lang w:val="en-US" w:eastAsia="zh-CN"/>
                    </w:rPr>
                    <w:t>林地、耕地、农用地、坑塘水面，不占用基本农田。填埋工程完成后，复垦、绿化恢复</w:t>
                  </w:r>
                </w:p>
              </w:tc>
            </w:tr>
          </w:tbl>
          <w:p>
            <w:pPr>
              <w:widowControl/>
              <w:adjustRightInd w:val="0"/>
              <w:snapToGrid w:val="0"/>
              <w:spacing w:line="360" w:lineRule="auto"/>
              <w:ind w:firstLine="482" w:firstLineChars="200"/>
              <w:rPr>
                <w:b/>
                <w:bCs/>
                <w:kern w:val="0"/>
                <w:sz w:val="24"/>
              </w:rPr>
            </w:pPr>
            <w:r>
              <w:rPr>
                <w:rFonts w:hint="eastAsia"/>
                <w:b/>
                <w:bCs/>
                <w:kern w:val="0"/>
                <w:sz w:val="24"/>
                <w:lang w:val="en-US" w:eastAsia="zh-CN"/>
              </w:rPr>
              <w:t>（3）</w:t>
            </w:r>
            <w:r>
              <w:rPr>
                <w:b/>
                <w:bCs/>
                <w:kern w:val="0"/>
                <w:sz w:val="24"/>
              </w:rPr>
              <w:t>风险识别</w:t>
            </w:r>
          </w:p>
          <w:p>
            <w:pPr>
              <w:spacing w:line="360" w:lineRule="auto"/>
              <w:ind w:firstLine="480" w:firstLineChars="200"/>
              <w:rPr>
                <w:sz w:val="24"/>
                <w:szCs w:val="20"/>
              </w:rPr>
            </w:pPr>
            <w:r>
              <w:rPr>
                <w:kern w:val="0"/>
                <w:sz w:val="24"/>
              </w:rPr>
              <w:t>本项目存在一定的安全危险因素，风险防范是企业安全生产的前提和保障，本评价将对本</w:t>
            </w:r>
            <w:r>
              <w:rPr>
                <w:rFonts w:hint="eastAsia"/>
                <w:kern w:val="0"/>
                <w:sz w:val="24"/>
              </w:rPr>
              <w:t>项目运营</w:t>
            </w:r>
            <w:r>
              <w:rPr>
                <w:kern w:val="0"/>
                <w:sz w:val="24"/>
              </w:rPr>
              <w:t>过程中可能发生的潜在危险进行分析，以找出主要危险环节，认识危险程度，从而针对性地采取预防和应急措施，尽可能将风险可能性和危害程度降至最低</w:t>
            </w:r>
            <w:r>
              <w:rPr>
                <w:sz w:val="24"/>
                <w:szCs w:val="20"/>
              </w:rPr>
              <w:t>。</w:t>
            </w:r>
          </w:p>
          <w:p>
            <w:pPr>
              <w:spacing w:line="360" w:lineRule="auto"/>
              <w:ind w:firstLine="482" w:firstLineChars="200"/>
              <w:rPr>
                <w:b/>
                <w:bCs/>
                <w:sz w:val="24"/>
                <w:szCs w:val="20"/>
              </w:rPr>
            </w:pPr>
            <w:r>
              <w:rPr>
                <w:rFonts w:hint="eastAsia"/>
                <w:b/>
                <w:bCs/>
                <w:sz w:val="24"/>
                <w:szCs w:val="20"/>
                <w:lang w:val="en-US" w:eastAsia="zh-CN"/>
              </w:rPr>
              <w:t>（4）</w:t>
            </w:r>
            <w:r>
              <w:rPr>
                <w:rFonts w:hint="eastAsia"/>
                <w:b/>
                <w:bCs/>
                <w:sz w:val="24"/>
                <w:szCs w:val="20"/>
              </w:rPr>
              <w:t>风险分析</w:t>
            </w:r>
          </w:p>
          <w:p>
            <w:pPr>
              <w:spacing w:line="360" w:lineRule="auto"/>
              <w:ind w:firstLine="480" w:firstLineChars="200"/>
              <w:rPr>
                <w:rFonts w:ascii="Times New Roman" w:hAnsi="Times New Roman" w:eastAsia="宋体" w:cs="Times New Roman"/>
                <w:iCs/>
                <w:sz w:val="24"/>
              </w:rPr>
            </w:pPr>
            <w:r>
              <w:rPr>
                <w:rFonts w:hint="eastAsia" w:ascii="Times New Roman" w:hAnsi="Times New Roman" w:eastAsia="宋体" w:cs="Times New Roman"/>
                <w:iCs/>
                <w:sz w:val="24"/>
              </w:rPr>
              <w:t>本工程运行后主要风险因素为</w:t>
            </w:r>
            <w:r>
              <w:rPr>
                <w:rFonts w:hint="eastAsia" w:ascii="Times New Roman" w:hAnsi="Times New Roman" w:eastAsia="宋体" w:cs="Times New Roman"/>
                <w:iCs/>
                <w:sz w:val="24"/>
                <w:lang w:eastAsia="zh-CN"/>
              </w:rPr>
              <w:t>：</w:t>
            </w:r>
            <w:r>
              <w:rPr>
                <w:rFonts w:hint="eastAsia" w:ascii="Times New Roman" w:hAnsi="Times New Roman" w:eastAsia="宋体" w:cs="Times New Roman"/>
                <w:iCs/>
                <w:sz w:val="24"/>
              </w:rPr>
              <w:t>强降雨</w:t>
            </w:r>
            <w:r>
              <w:rPr>
                <w:rFonts w:hint="eastAsia" w:ascii="Times New Roman" w:hAnsi="Times New Roman" w:eastAsia="宋体" w:cs="Times New Roman"/>
                <w:iCs/>
                <w:sz w:val="24"/>
                <w:lang w:val="en-US" w:eastAsia="zh-CN"/>
              </w:rPr>
              <w:t>雨水</w:t>
            </w:r>
            <w:r>
              <w:rPr>
                <w:rFonts w:hint="eastAsia" w:ascii="Times New Roman" w:hAnsi="Times New Roman" w:eastAsia="宋体" w:cs="Times New Roman"/>
                <w:iCs/>
                <w:sz w:val="24"/>
              </w:rPr>
              <w:t>外溢、</w:t>
            </w:r>
            <w:r>
              <w:rPr>
                <w:rFonts w:hint="eastAsia" w:ascii="Times New Roman" w:hAnsi="Times New Roman" w:eastAsia="宋体" w:cs="Times New Roman"/>
                <w:iCs/>
                <w:sz w:val="24"/>
                <w:lang w:val="en-US" w:eastAsia="zh-CN"/>
              </w:rPr>
              <w:t>雨水</w:t>
            </w:r>
            <w:r>
              <w:rPr>
                <w:rFonts w:hint="eastAsia" w:ascii="Times New Roman" w:hAnsi="Times New Roman" w:eastAsia="宋体" w:cs="Times New Roman"/>
                <w:iCs/>
                <w:sz w:val="24"/>
              </w:rPr>
              <w:t>收集系统失效、</w:t>
            </w:r>
            <w:r>
              <w:rPr>
                <w:rFonts w:hint="eastAsia" w:ascii="Times New Roman" w:hAnsi="Times New Roman" w:eastAsia="宋体" w:cs="Times New Roman"/>
                <w:iCs/>
                <w:sz w:val="24"/>
                <w:lang w:val="en-US" w:eastAsia="zh-CN"/>
              </w:rPr>
              <w:t>排水</w:t>
            </w:r>
            <w:r>
              <w:rPr>
                <w:rFonts w:hint="eastAsia" w:ascii="Times New Roman" w:hAnsi="Times New Roman" w:eastAsia="宋体" w:cs="Times New Roman"/>
                <w:iCs/>
                <w:sz w:val="24"/>
              </w:rPr>
              <w:t>系统失效、垃圾坝溃决</w:t>
            </w:r>
            <w:r>
              <w:rPr>
                <w:rFonts w:hint="eastAsia" w:ascii="Times New Roman" w:hAnsi="Times New Roman" w:eastAsia="宋体" w:cs="Times New Roman"/>
                <w:iCs/>
                <w:sz w:val="24"/>
                <w:lang w:eastAsia="zh-CN"/>
              </w:rPr>
              <w:t>、</w:t>
            </w:r>
            <w:r>
              <w:rPr>
                <w:rFonts w:hint="eastAsia" w:ascii="Times New Roman" w:hAnsi="Times New Roman" w:eastAsia="宋体" w:cs="Times New Roman"/>
                <w:iCs/>
                <w:sz w:val="24"/>
                <w:lang w:val="en-US" w:eastAsia="zh-CN"/>
              </w:rPr>
              <w:t>池体渗漏</w:t>
            </w:r>
            <w:r>
              <w:rPr>
                <w:rFonts w:hint="eastAsia" w:ascii="Times New Roman" w:hAnsi="Times New Roman" w:eastAsia="宋体" w:cs="Times New Roman"/>
                <w:iCs/>
                <w:sz w:val="24"/>
              </w:rPr>
              <w:t>等。</w:t>
            </w:r>
          </w:p>
          <w:p>
            <w:pPr>
              <w:spacing w:line="360" w:lineRule="auto"/>
              <w:ind w:firstLine="480" w:firstLineChars="200"/>
              <w:rPr>
                <w:rFonts w:ascii="Times New Roman" w:hAnsi="Times New Roman" w:eastAsia="宋体" w:cs="Times New Roman"/>
                <w:iCs/>
                <w:sz w:val="24"/>
              </w:rPr>
            </w:pPr>
            <w:r>
              <w:rPr>
                <w:rFonts w:hint="eastAsia" w:ascii="Times New Roman" w:hAnsi="Times New Roman" w:eastAsia="宋体" w:cs="Times New Roman"/>
                <w:iCs/>
                <w:sz w:val="24"/>
              </w:rPr>
              <w:t>①</w:t>
            </w:r>
            <w:r>
              <w:rPr>
                <w:rFonts w:hint="eastAsia" w:ascii="Times New Roman" w:hAnsi="Times New Roman" w:eastAsia="宋体" w:cs="Times New Roman"/>
                <w:iCs/>
                <w:sz w:val="24"/>
                <w:lang w:val="en-US" w:eastAsia="zh-CN"/>
              </w:rPr>
              <w:t>雨水</w:t>
            </w:r>
            <w:r>
              <w:rPr>
                <w:rFonts w:hint="eastAsia" w:ascii="Times New Roman" w:hAnsi="Times New Roman" w:eastAsia="宋体" w:cs="Times New Roman"/>
                <w:iCs/>
                <w:sz w:val="24"/>
              </w:rPr>
              <w:t>收集与</w:t>
            </w:r>
            <w:r>
              <w:rPr>
                <w:rFonts w:hint="eastAsia" w:ascii="Times New Roman" w:hAnsi="Times New Roman" w:eastAsia="宋体" w:cs="Times New Roman"/>
                <w:iCs/>
                <w:sz w:val="24"/>
                <w:lang w:val="en-US" w:eastAsia="zh-CN"/>
              </w:rPr>
              <w:t>排水</w:t>
            </w:r>
            <w:r>
              <w:rPr>
                <w:rFonts w:hint="eastAsia" w:ascii="Times New Roman" w:hAnsi="Times New Roman" w:eastAsia="宋体" w:cs="Times New Roman"/>
                <w:iCs/>
                <w:sz w:val="24"/>
              </w:rPr>
              <w:t>系统</w:t>
            </w:r>
          </w:p>
          <w:p>
            <w:pPr>
              <w:spacing w:line="360" w:lineRule="auto"/>
              <w:ind w:firstLine="480" w:firstLineChars="200"/>
              <w:rPr>
                <w:rFonts w:hint="eastAsia" w:ascii="Times New Roman" w:hAnsi="Times New Roman" w:eastAsia="宋体" w:cs="Times New Roman"/>
                <w:iCs/>
                <w:sz w:val="24"/>
              </w:rPr>
            </w:pPr>
            <w:r>
              <w:rPr>
                <w:rFonts w:hint="eastAsia" w:ascii="Times New Roman" w:hAnsi="Times New Roman" w:eastAsia="宋体" w:cs="Times New Roman"/>
                <w:iCs/>
                <w:sz w:val="24"/>
                <w:lang w:val="en-US" w:eastAsia="zh-CN"/>
              </w:rPr>
              <w:t>雨</w:t>
            </w:r>
            <w:r>
              <w:rPr>
                <w:rFonts w:hint="eastAsia" w:ascii="Times New Roman" w:hAnsi="Times New Roman" w:eastAsia="宋体" w:cs="Times New Roman"/>
                <w:iCs/>
                <w:sz w:val="24"/>
              </w:rPr>
              <w:t>水收集系统失效会使得</w:t>
            </w:r>
            <w:r>
              <w:rPr>
                <w:rFonts w:hint="eastAsia" w:ascii="Times New Roman" w:hAnsi="Times New Roman" w:eastAsia="宋体" w:cs="Times New Roman"/>
                <w:iCs/>
                <w:sz w:val="24"/>
                <w:lang w:val="en-US" w:eastAsia="zh-CN"/>
              </w:rPr>
              <w:t>雨</w:t>
            </w:r>
            <w:r>
              <w:rPr>
                <w:rFonts w:hint="eastAsia" w:ascii="Times New Roman" w:hAnsi="Times New Roman" w:eastAsia="宋体" w:cs="Times New Roman"/>
                <w:iCs/>
                <w:sz w:val="24"/>
              </w:rPr>
              <w:t>水不能完全进入</w:t>
            </w:r>
            <w:r>
              <w:rPr>
                <w:rFonts w:hint="eastAsia" w:ascii="Times New Roman" w:hAnsi="Times New Roman" w:eastAsia="宋体" w:cs="Times New Roman"/>
                <w:iCs/>
                <w:sz w:val="24"/>
                <w:lang w:val="en-US" w:eastAsia="zh-CN"/>
              </w:rPr>
              <w:t>沉砂</w:t>
            </w:r>
            <w:r>
              <w:rPr>
                <w:rFonts w:hint="eastAsia" w:ascii="Times New Roman" w:hAnsi="Times New Roman" w:eastAsia="宋体" w:cs="Times New Roman"/>
                <w:iCs/>
                <w:sz w:val="24"/>
              </w:rPr>
              <w:t>池，导致固体废物堆体内积水，不利于固体废物的压实与堆放后的稳定。此外，</w:t>
            </w:r>
            <w:r>
              <w:rPr>
                <w:rFonts w:hint="eastAsia" w:ascii="Times New Roman" w:hAnsi="Times New Roman" w:eastAsia="宋体" w:cs="Times New Roman"/>
                <w:iCs/>
                <w:sz w:val="24"/>
                <w:lang w:val="en-US" w:eastAsia="zh-CN"/>
              </w:rPr>
              <w:t>雨</w:t>
            </w:r>
            <w:r>
              <w:rPr>
                <w:rFonts w:hint="eastAsia" w:ascii="Times New Roman" w:hAnsi="Times New Roman" w:eastAsia="宋体" w:cs="Times New Roman"/>
                <w:iCs/>
                <w:sz w:val="24"/>
              </w:rPr>
              <w:t>水收集系统可因管道堵塞、破裂或设计有缺陷而失效，造成</w:t>
            </w:r>
            <w:r>
              <w:rPr>
                <w:rFonts w:hint="eastAsia" w:ascii="Times New Roman" w:hAnsi="Times New Roman" w:eastAsia="宋体" w:cs="Times New Roman"/>
                <w:iCs/>
                <w:sz w:val="24"/>
                <w:lang w:val="en-US" w:eastAsia="zh-CN"/>
              </w:rPr>
              <w:t>雨</w:t>
            </w:r>
            <w:r>
              <w:rPr>
                <w:rFonts w:hint="eastAsia" w:ascii="Times New Roman" w:hAnsi="Times New Roman" w:eastAsia="宋体" w:cs="Times New Roman"/>
                <w:iCs/>
                <w:sz w:val="24"/>
              </w:rPr>
              <w:t>水泄漏</w:t>
            </w:r>
            <w:r>
              <w:rPr>
                <w:rFonts w:hint="eastAsia" w:ascii="Times New Roman" w:hAnsi="Times New Roman" w:eastAsia="宋体" w:cs="Times New Roman"/>
                <w:iCs/>
                <w:sz w:val="24"/>
                <w:lang w:eastAsia="zh-CN"/>
              </w:rPr>
              <w:t>，</w:t>
            </w:r>
            <w:r>
              <w:rPr>
                <w:rFonts w:hint="eastAsia" w:ascii="Times New Roman" w:hAnsi="Times New Roman" w:eastAsia="宋体" w:cs="Times New Roman"/>
                <w:iCs/>
                <w:sz w:val="24"/>
                <w:lang w:val="en-US" w:eastAsia="zh-CN"/>
              </w:rPr>
              <w:t>影响</w:t>
            </w:r>
            <w:r>
              <w:rPr>
                <w:rFonts w:hint="eastAsia" w:ascii="Times New Roman" w:hAnsi="Times New Roman" w:eastAsia="宋体" w:cs="Times New Roman"/>
                <w:iCs/>
                <w:sz w:val="24"/>
              </w:rPr>
              <w:t>周围环境。</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②垃圾坝溃决</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垃圾坝溃决，填埋场的固体废物如同泥石流一样向场外泄出，不仅使填埋场周边受到严重的环境污染，也使得周边生态受到严重破坏。</w:t>
            </w:r>
          </w:p>
          <w:p>
            <w:p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③池体渗漏</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化粪池、沉淀池（碎石破碎）、沉淀池（洗车槽）、沉砂池</w:t>
            </w:r>
            <w:r>
              <w:rPr>
                <w:rFonts w:hint="eastAsia"/>
                <w:sz w:val="24"/>
                <w:szCs w:val="20"/>
              </w:rPr>
              <w:t>在运行过程中，由于诸多因素，</w:t>
            </w:r>
            <w:r>
              <w:rPr>
                <w:rFonts w:hint="eastAsia" w:ascii="Times New Roman" w:hAnsi="Times New Roman" w:eastAsia="宋体" w:cs="Times New Roman"/>
                <w:iCs/>
                <w:sz w:val="24"/>
                <w:lang w:val="en-US" w:eastAsia="zh-CN"/>
              </w:rPr>
              <w:t>池体</w:t>
            </w:r>
            <w:r>
              <w:rPr>
                <w:rFonts w:hint="eastAsia"/>
                <w:sz w:val="24"/>
                <w:szCs w:val="20"/>
              </w:rPr>
              <w:t>发</w:t>
            </w:r>
            <w:r>
              <w:rPr>
                <w:rFonts w:hint="eastAsia" w:ascii="Times New Roman" w:hAnsi="Times New Roman" w:eastAsia="宋体" w:cs="Times New Roman"/>
                <w:iCs/>
                <w:sz w:val="24"/>
                <w:lang w:val="en-US" w:eastAsia="zh-CN"/>
              </w:rPr>
              <w:t>生了渗漏，对周边环境造成不良影响。</w:t>
            </w:r>
          </w:p>
          <w:p>
            <w:pPr>
              <w:spacing w:line="360" w:lineRule="auto"/>
              <w:ind w:firstLine="482" w:firstLineChars="200"/>
              <w:rPr>
                <w:b/>
                <w:bCs/>
                <w:sz w:val="24"/>
                <w:szCs w:val="20"/>
              </w:rPr>
            </w:pPr>
            <w:r>
              <w:rPr>
                <w:rFonts w:hint="eastAsia"/>
                <w:b/>
                <w:bCs/>
                <w:sz w:val="24"/>
                <w:szCs w:val="20"/>
                <w:lang w:val="en-US" w:eastAsia="zh-CN"/>
              </w:rPr>
              <w:t>（5）</w:t>
            </w:r>
            <w:r>
              <w:rPr>
                <w:rFonts w:hint="eastAsia"/>
                <w:b/>
                <w:bCs/>
                <w:sz w:val="24"/>
                <w:szCs w:val="20"/>
              </w:rPr>
              <w:t>风险防范措施</w:t>
            </w:r>
          </w:p>
          <w:p>
            <w:p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rPr>
              <w:t>①</w:t>
            </w:r>
            <w:r>
              <w:rPr>
                <w:rFonts w:hint="eastAsia" w:ascii="Times New Roman" w:hAnsi="Times New Roman" w:eastAsia="宋体" w:cs="Times New Roman"/>
                <w:iCs/>
                <w:sz w:val="24"/>
                <w:lang w:val="en-US" w:eastAsia="zh-CN"/>
              </w:rPr>
              <w:t>雨水</w:t>
            </w:r>
            <w:r>
              <w:rPr>
                <w:rFonts w:hint="eastAsia" w:ascii="Times New Roman" w:hAnsi="Times New Roman" w:eastAsia="宋体" w:cs="Times New Roman"/>
                <w:iCs/>
                <w:sz w:val="24"/>
              </w:rPr>
              <w:t>收集与</w:t>
            </w:r>
            <w:r>
              <w:rPr>
                <w:rFonts w:hint="eastAsia" w:ascii="Times New Roman" w:hAnsi="Times New Roman" w:eastAsia="宋体" w:cs="Times New Roman"/>
                <w:iCs/>
                <w:sz w:val="24"/>
                <w:lang w:val="en-US" w:eastAsia="zh-CN"/>
              </w:rPr>
              <w:t>排水</w:t>
            </w:r>
            <w:r>
              <w:rPr>
                <w:rFonts w:hint="eastAsia" w:ascii="Times New Roman" w:hAnsi="Times New Roman" w:eastAsia="宋体" w:cs="Times New Roman"/>
                <w:iCs/>
                <w:sz w:val="24"/>
              </w:rPr>
              <w:t>系统</w:t>
            </w:r>
            <w:r>
              <w:rPr>
                <w:rFonts w:hint="eastAsia" w:ascii="Times New Roman" w:hAnsi="Times New Roman" w:eastAsia="宋体" w:cs="Times New Roman"/>
                <w:iCs/>
                <w:sz w:val="24"/>
                <w:lang w:val="en-US" w:eastAsia="zh-CN"/>
              </w:rPr>
              <w:t>风险防范措施</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考虑本项目最不利因素，项目日最大降水量为176.23m</w:t>
            </w:r>
            <w:r>
              <w:rPr>
                <w:rFonts w:hint="eastAsia" w:ascii="Times New Roman" w:hAnsi="Times New Roman" w:eastAsia="宋体" w:cs="Times New Roman"/>
                <w:iCs/>
                <w:sz w:val="24"/>
                <w:vertAlign w:val="superscript"/>
                <w:lang w:val="en-US" w:eastAsia="zh-CN"/>
              </w:rPr>
              <w:t>3</w:t>
            </w:r>
            <w:r>
              <w:rPr>
                <w:rFonts w:hint="eastAsia" w:ascii="Times New Roman" w:hAnsi="Times New Roman" w:eastAsia="宋体" w:cs="Times New Roman"/>
                <w:iCs/>
                <w:sz w:val="24"/>
                <w:lang w:val="en-US" w:eastAsia="zh-CN"/>
              </w:rPr>
              <w:t>/d，本项目填埋场配套建设一座500m</w:t>
            </w:r>
            <w:r>
              <w:rPr>
                <w:rFonts w:hint="eastAsia" w:ascii="Times New Roman" w:hAnsi="Times New Roman" w:eastAsia="宋体" w:cs="Times New Roman"/>
                <w:iCs/>
                <w:sz w:val="24"/>
                <w:vertAlign w:val="superscript"/>
                <w:lang w:val="en-US" w:eastAsia="zh-CN"/>
              </w:rPr>
              <w:t>3</w:t>
            </w:r>
            <w:r>
              <w:rPr>
                <w:rFonts w:hint="eastAsia" w:ascii="Times New Roman" w:hAnsi="Times New Roman" w:eastAsia="宋体" w:cs="Times New Roman"/>
                <w:iCs/>
                <w:sz w:val="24"/>
                <w:lang w:val="en-US" w:eastAsia="zh-CN"/>
              </w:rPr>
              <w:t>沉砂池，基本能容纳3天最大降雨量，但如果降暴雨时不及时清理调节池中的废水，雨水就会外溢，造成区域环境污染。建议采取如下防范措施：</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A.日常运行时，特别是在雨季时，应留出沉砂池的剩余容积以调节强暴雨时的雨水。</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color w:val="auto"/>
                <w:sz w:val="24"/>
                <w:lang w:val="en-US" w:eastAsia="zh-CN"/>
              </w:rPr>
              <w:t>B.截排水沟、平台排水沟</w:t>
            </w:r>
            <w:r>
              <w:rPr>
                <w:rFonts w:hint="eastAsia" w:ascii="Times New Roman" w:hAnsi="Times New Roman" w:eastAsia="宋体" w:cs="Times New Roman"/>
                <w:iCs/>
                <w:sz w:val="24"/>
                <w:lang w:val="en-US" w:eastAsia="zh-CN"/>
              </w:rPr>
              <w:t>应加盖水泥盖板，并经常疏通，防止堵塞。</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C.场底渗出水导流系统施工一定要按有关规定进行，填埋覆土、压实要严格按规程操作。</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D.场区截洪沟应按照设计要求先行构筑，确保未被污染的强降水直接导出场外，减少暴雨对沉砂池的冲击。</w:t>
            </w:r>
          </w:p>
          <w:p>
            <w:p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②垃圾坝溃决的影响分析与防治措施</w:t>
            </w:r>
          </w:p>
          <w:p>
            <w:pPr>
              <w:spacing w:line="360" w:lineRule="auto"/>
              <w:ind w:firstLine="480" w:firstLineChars="200"/>
              <w:rPr>
                <w:rFonts w:hint="default" w:ascii="Times New Roman" w:hAnsi="Times New Roman" w:eastAsia="宋体" w:cs="Times New Roman"/>
                <w:iCs/>
                <w:sz w:val="24"/>
                <w:lang w:val="en-US" w:eastAsia="zh-CN"/>
              </w:rPr>
            </w:pPr>
            <w:r>
              <w:rPr>
                <w:rFonts w:hint="default" w:ascii="Times New Roman" w:hAnsi="Times New Roman" w:eastAsia="宋体" w:cs="Times New Roman"/>
                <w:iCs/>
                <w:sz w:val="24"/>
                <w:lang w:val="en-US" w:eastAsia="zh-CN"/>
              </w:rPr>
              <w:t>填埋库区垃圾坝溃决后，填埋场的固体废物如同泥石流一样向场外泄出，不仅使处置场周边受到严重的环境污染，也使得周边生态受到严重破坏。</w:t>
            </w:r>
          </w:p>
          <w:p>
            <w:pPr>
              <w:spacing w:line="360" w:lineRule="auto"/>
              <w:ind w:firstLine="480" w:firstLineChars="200"/>
              <w:rPr>
                <w:rFonts w:hint="eastAsia" w:ascii="Times New Roman" w:hAnsi="Times New Roman" w:eastAsia="宋体" w:cs="Times New Roman"/>
                <w:iCs/>
                <w:sz w:val="24"/>
                <w:lang w:val="en-US" w:eastAsia="zh-CN"/>
              </w:rPr>
            </w:pPr>
            <w:r>
              <w:rPr>
                <w:rFonts w:hint="default" w:ascii="Times New Roman" w:hAnsi="Times New Roman" w:eastAsia="宋体" w:cs="Times New Roman"/>
                <w:iCs/>
                <w:sz w:val="24"/>
                <w:lang w:val="en-US" w:eastAsia="zh-CN"/>
              </w:rPr>
              <w:t>由于固体废物堆体外泄的距离与垃圾坝溃坝口的形状和堆体的高度，堆存固体废物的粒径含水率等因素有关，还与填埋场外部的地表形态、岩性、坡度等因素相关</w:t>
            </w:r>
            <w:r>
              <w:rPr>
                <w:rFonts w:hint="eastAsia" w:ascii="Times New Roman" w:hAnsi="Times New Roman" w:eastAsia="宋体" w:cs="Times New Roman"/>
                <w:iCs/>
                <w:sz w:val="24"/>
                <w:lang w:val="en-US" w:eastAsia="zh-CN"/>
              </w:rPr>
              <w:t>。</w:t>
            </w:r>
          </w:p>
          <w:p>
            <w:p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本项目</w:t>
            </w:r>
            <w:r>
              <w:rPr>
                <w:rFonts w:hint="default" w:ascii="Times New Roman" w:hAnsi="Times New Roman" w:eastAsia="宋体" w:cs="Times New Roman"/>
                <w:iCs/>
                <w:sz w:val="24"/>
                <w:lang w:val="en-US" w:eastAsia="zh-CN"/>
              </w:rPr>
              <w:t>建设单位在建设阶段严格施工质量，</w:t>
            </w:r>
            <w:r>
              <w:rPr>
                <w:rFonts w:hint="eastAsia" w:ascii="Times New Roman" w:hAnsi="Times New Roman" w:eastAsia="宋体" w:cs="Times New Roman"/>
                <w:iCs/>
                <w:sz w:val="24"/>
                <w:lang w:val="en-US" w:eastAsia="zh-CN"/>
              </w:rPr>
              <w:t>同时</w:t>
            </w:r>
            <w:r>
              <w:rPr>
                <w:rFonts w:hint="eastAsia" w:ascii="Times New Roman" w:hAnsi="Times New Roman" w:eastAsia="宋体" w:cs="Times New Roman"/>
                <w:color w:val="auto"/>
                <w:sz w:val="24"/>
                <w:highlight w:val="none"/>
                <w:lang w:val="en-US" w:eastAsia="zh-CN"/>
              </w:rPr>
              <w:t>填埋区南侧边界建设1座碾压拦渣坝（拦渣坝长30m，上宽5m，高5m，内外坡度1:1。坝体埋深约1.0m，埋深部分采用混凝土块填筑而成。露出部分利用土石方层层碾压堆叠而成。拦渣坝工程等级为4级，排洪工程等级为4级，防洪标准为20年一遇），</w:t>
            </w:r>
            <w:r>
              <w:rPr>
                <w:rFonts w:hint="default" w:ascii="Times New Roman" w:hAnsi="Times New Roman" w:eastAsia="宋体" w:cs="Times New Roman"/>
                <w:iCs/>
                <w:sz w:val="24"/>
                <w:lang w:val="en-US" w:eastAsia="zh-CN"/>
              </w:rPr>
              <w:t>将垃圾坝溃坝环境风险</w:t>
            </w:r>
            <w:r>
              <w:rPr>
                <w:rFonts w:hint="eastAsia" w:ascii="Times New Roman" w:hAnsi="Times New Roman" w:eastAsia="宋体" w:cs="Times New Roman"/>
                <w:iCs/>
                <w:sz w:val="24"/>
                <w:lang w:val="en-US" w:eastAsia="zh-CN"/>
              </w:rPr>
              <w:t>隐患</w:t>
            </w:r>
            <w:r>
              <w:rPr>
                <w:rFonts w:hint="default" w:ascii="Times New Roman" w:hAnsi="Times New Roman" w:eastAsia="宋体" w:cs="Times New Roman"/>
                <w:iCs/>
                <w:sz w:val="24"/>
                <w:lang w:val="en-US" w:eastAsia="zh-CN"/>
              </w:rPr>
              <w:t>降到最低。</w:t>
            </w:r>
          </w:p>
          <w:p>
            <w:pPr>
              <w:spacing w:line="360" w:lineRule="auto"/>
              <w:ind w:firstLine="480" w:firstLineChars="200"/>
              <w:rPr>
                <w:rFonts w:hint="default" w:ascii="Times New Roman" w:hAnsi="Times New Roman" w:eastAsia="宋体" w:cs="Times New Roman"/>
                <w:iCs/>
                <w:sz w:val="24"/>
                <w:lang w:val="en-US" w:eastAsia="zh-CN"/>
              </w:rPr>
            </w:pPr>
            <w:r>
              <w:rPr>
                <w:rFonts w:hint="default" w:ascii="Times New Roman" w:hAnsi="Times New Roman" w:eastAsia="宋体" w:cs="Times New Roman"/>
                <w:iCs/>
                <w:sz w:val="24"/>
                <w:lang w:val="en-US" w:eastAsia="zh-CN"/>
              </w:rPr>
              <w:t>可采取的防范措施</w:t>
            </w:r>
            <w:r>
              <w:rPr>
                <w:rFonts w:hint="eastAsia" w:ascii="Times New Roman" w:hAnsi="Times New Roman" w:eastAsia="宋体" w:cs="Times New Roman"/>
                <w:iCs/>
                <w:sz w:val="24"/>
                <w:lang w:val="en-US" w:eastAsia="zh-CN"/>
              </w:rPr>
              <w:t>：</w:t>
            </w:r>
          </w:p>
          <w:p>
            <w:pPr>
              <w:numPr>
                <w:ilvl w:val="0"/>
                <w:numId w:val="0"/>
              </w:numPr>
              <w:spacing w:line="360" w:lineRule="auto"/>
              <w:ind w:firstLine="480" w:firstLineChars="200"/>
              <w:rPr>
                <w:rFonts w:hint="eastAsia"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A.精心设计，从设计上把好关，确保填埋场的稳定性和安全性。</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B.严格按设计图纸要求施工，严禁偷工减料:施工现场监理到位，严格把关，确保施工质量。</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C.确保场内排水系统的畅通，在雨季特别是暴雨期应加强对填埋场的巡逻检查，如发现垃圾坝出现裂缝应采取补救措施。垃圾坝溃决后应立即采取抢救措施，可在填埋场下游设缓冲地带。同时配备必需的通信设施，保持与地方政府的联系，如发现坝体开裂等垮坝征兆，应立即组织力量进行抢修和安全加固。</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D.严格进行规范管理，按设计要求设置专人严格管理，落实责任。加强日常监控，派专人负责巡视，以杜绝安全隐患。填埋场服务期满后，应按规定进行土地复垦和日常管理、维护，并按有关要求进行生态或植被的恢复，确保填埋场的稳定。</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E.严格按国家有关规定，定期对填埋场和垃圾坝安全性和稳定性进行评价，发现问题及时解决。</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ascii="Times New Roman" w:hAnsi="Times New Roman" w:eastAsia="宋体" w:cs="Times New Roman"/>
                <w:iCs/>
                <w:sz w:val="24"/>
                <w:lang w:val="en-US" w:eastAsia="zh-CN"/>
              </w:rPr>
              <w:t>③池体渗漏风险防范措施</w:t>
            </w:r>
          </w:p>
          <w:p>
            <w:pPr>
              <w:spacing w:line="360" w:lineRule="auto"/>
              <w:ind w:firstLine="480" w:firstLineChars="200"/>
              <w:rPr>
                <w:rFonts w:hint="eastAsia"/>
                <w:b/>
                <w:bCs/>
                <w:sz w:val="24"/>
              </w:rPr>
            </w:pPr>
            <w:r>
              <w:rPr>
                <w:rFonts w:hint="eastAsia"/>
                <w:sz w:val="24"/>
              </w:rPr>
              <w:t>定期检查化粪池</w:t>
            </w:r>
            <w:r>
              <w:rPr>
                <w:rFonts w:hint="eastAsia"/>
                <w:sz w:val="24"/>
                <w:lang w:eastAsia="zh-CN"/>
              </w:rPr>
              <w:t>、</w:t>
            </w:r>
            <w:r>
              <w:rPr>
                <w:rFonts w:hint="eastAsia"/>
                <w:sz w:val="24"/>
                <w:lang w:val="en-US" w:eastAsia="zh-CN"/>
              </w:rPr>
              <w:t>沉淀池（洗车槽）、沉淀池（碎石破碎）、沉砂池</w:t>
            </w:r>
            <w:r>
              <w:rPr>
                <w:rFonts w:hint="eastAsia"/>
                <w:sz w:val="24"/>
              </w:rPr>
              <w:t>，如发现化粪池</w:t>
            </w:r>
            <w:r>
              <w:rPr>
                <w:rFonts w:hint="eastAsia"/>
                <w:sz w:val="24"/>
                <w:lang w:eastAsia="zh-CN"/>
              </w:rPr>
              <w:t>、</w:t>
            </w:r>
            <w:r>
              <w:rPr>
                <w:rFonts w:hint="eastAsia"/>
                <w:sz w:val="24"/>
                <w:lang w:val="en-US" w:eastAsia="zh-CN"/>
              </w:rPr>
              <w:t>沉淀池（洗车槽）、沉淀池（碎石破碎）、沉砂池</w:t>
            </w:r>
            <w:r>
              <w:rPr>
                <w:rFonts w:hint="eastAsia"/>
                <w:sz w:val="24"/>
              </w:rPr>
              <w:t>发生渗漏，及时联系维修工人，及时维修，将渗漏风险的影响降到最低。</w:t>
            </w:r>
          </w:p>
          <w:p>
            <w:pPr>
              <w:spacing w:line="360" w:lineRule="auto"/>
              <w:ind w:firstLine="482" w:firstLineChars="200"/>
              <w:rPr>
                <w:b/>
                <w:bCs/>
                <w:sz w:val="24"/>
              </w:rPr>
            </w:pPr>
            <w:r>
              <w:rPr>
                <w:rFonts w:hint="eastAsia"/>
                <w:b/>
                <w:bCs/>
                <w:sz w:val="24"/>
              </w:rPr>
              <w:t>6</w:t>
            </w:r>
            <w:r>
              <w:rPr>
                <w:b/>
                <w:bCs/>
                <w:sz w:val="24"/>
              </w:rPr>
              <w:t>）风险结论</w:t>
            </w:r>
          </w:p>
          <w:p>
            <w:pPr>
              <w:numPr>
                <w:ilvl w:val="0"/>
                <w:numId w:val="0"/>
              </w:numPr>
              <w:spacing w:line="360" w:lineRule="auto"/>
              <w:ind w:firstLine="480" w:firstLineChars="200"/>
              <w:rPr>
                <w:rFonts w:hint="default" w:ascii="Times New Roman" w:hAnsi="Times New Roman" w:eastAsia="宋体" w:cs="Times New Roman"/>
                <w:iCs/>
                <w:sz w:val="24"/>
                <w:lang w:val="en-US" w:eastAsia="zh-CN"/>
              </w:rPr>
            </w:pPr>
            <w:r>
              <w:rPr>
                <w:rFonts w:hint="eastAsia"/>
                <w:kern w:val="0"/>
                <w:sz w:val="24"/>
              </w:rPr>
              <w:t>综上所述，本项目存在一定的环境风险，因此在设计中应充分考虑到可能的风险事故并采取必要的措施，在日常工作中加强管理，预防和及时处理风险事故，减少可能造成的环境影响及经济损失。工程的建设必须严格按国家及地方政府的有关规范、规定进行，项目建设完成投产前必须经过安全部门的验收。针对工程可能发生的风险事故，制定风险事故应急预案，在风险事故发生时，能够及时采取有效措施将损失减至最小。针对本项目可能发生的突发事故，应编制突发环境事件应急预案，将环境风险事故率降低到最低。</w:t>
            </w:r>
          </w:p>
          <w:p>
            <w:pPr>
              <w:widowControl/>
              <w:adjustRightInd w:val="0"/>
              <w:snapToGrid w:val="0"/>
              <w:spacing w:line="360" w:lineRule="auto"/>
              <w:ind w:right="113" w:firstLine="48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w:t>
            </w:r>
            <w:r>
              <w:rPr>
                <w:rFonts w:hint="eastAsia" w:ascii="Times New Roman" w:hAnsi="Times New Roman" w:eastAsia="宋体" w:cs="Times New Roman"/>
                <w:b/>
                <w:kern w:val="0"/>
                <w:szCs w:val="21"/>
              </w:rPr>
              <w:t>4</w:t>
            </w:r>
            <w:r>
              <w:rPr>
                <w:rFonts w:ascii="Times New Roman" w:hAnsi="Times New Roman" w:eastAsia="宋体" w:cs="Times New Roman"/>
                <w:b/>
                <w:kern w:val="0"/>
                <w:szCs w:val="21"/>
              </w:rPr>
              <w:t>-</w:t>
            </w:r>
            <w:r>
              <w:rPr>
                <w:rFonts w:hint="eastAsia" w:ascii="Times New Roman" w:hAnsi="Times New Roman" w:eastAsia="宋体" w:cs="Times New Roman"/>
                <w:b/>
                <w:kern w:val="0"/>
                <w:szCs w:val="21"/>
                <w:lang w:val="en-US" w:eastAsia="zh-CN"/>
              </w:rPr>
              <w:t>7</w:t>
            </w:r>
            <w:r>
              <w:rPr>
                <w:rFonts w:ascii="Times New Roman" w:hAnsi="Times New Roman" w:eastAsia="宋体" w:cs="Times New Roman"/>
                <w:b/>
                <w:kern w:val="0"/>
                <w:szCs w:val="21"/>
              </w:rPr>
              <w:t xml:space="preserve">  建设项目环境风险分析内容表</w:t>
            </w:r>
          </w:p>
          <w:tbl>
            <w:tblPr>
              <w:tblStyle w:val="38"/>
              <w:tblW w:w="488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05"/>
              <w:gridCol w:w="1360"/>
              <w:gridCol w:w="1874"/>
              <w:gridCol w:w="1442"/>
              <w:gridCol w:w="21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建设项目名称</w:t>
                  </w:r>
                </w:p>
              </w:tc>
              <w:tc>
                <w:tcPr>
                  <w:tcW w:w="4149" w:type="pct"/>
                  <w:gridSpan w:val="4"/>
                  <w:noWrap w:val="0"/>
                  <w:vAlign w:val="center"/>
                </w:tcPr>
                <w:p>
                  <w:pPr>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大湾弃土场项目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822" w:type="pct"/>
                  <w:noWrap w:val="0"/>
                  <w:vAlign w:val="center"/>
                </w:tcPr>
                <w:p>
                  <w:pPr>
                    <w:adjustRightInd w:val="0"/>
                    <w:snapToGrid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四川省</w:t>
                  </w:r>
                </w:p>
              </w:tc>
              <w:tc>
                <w:tcPr>
                  <w:tcW w:w="1133" w:type="pct"/>
                  <w:noWrap w:val="0"/>
                  <w:vAlign w:val="center"/>
                </w:tcPr>
                <w:p>
                  <w:pPr>
                    <w:adjustRightInd w:val="0"/>
                    <w:snapToGrid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乐山市</w:t>
                  </w:r>
                </w:p>
              </w:tc>
              <w:tc>
                <w:tcPr>
                  <w:tcW w:w="872" w:type="pct"/>
                  <w:noWrap w:val="0"/>
                  <w:vAlign w:val="center"/>
                </w:tcPr>
                <w:p>
                  <w:pPr>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市中区</w:t>
                  </w:r>
                </w:p>
              </w:tc>
              <w:tc>
                <w:tcPr>
                  <w:tcW w:w="1320" w:type="pct"/>
                  <w:noWrap w:val="0"/>
                  <w:vAlign w:val="center"/>
                </w:tcPr>
                <w:p>
                  <w:pPr>
                    <w:adjustRightInd w:val="0"/>
                    <w:snapToGrid w:val="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全福街道办事处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地理坐标</w:t>
                  </w:r>
                </w:p>
              </w:tc>
              <w:tc>
                <w:tcPr>
                  <w:tcW w:w="822" w:type="pct"/>
                  <w:noWrap w:val="0"/>
                  <w:vAlign w:val="center"/>
                </w:tcPr>
                <w:p>
                  <w:pPr>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经度</w:t>
                  </w:r>
                </w:p>
              </w:tc>
              <w:tc>
                <w:tcPr>
                  <w:tcW w:w="1133" w:type="pct"/>
                  <w:noWrap w:val="0"/>
                  <w:vAlign w:val="center"/>
                </w:tcPr>
                <w:p>
                  <w:pPr>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103°46′42.722″</w:t>
                  </w:r>
                </w:p>
              </w:tc>
              <w:tc>
                <w:tcPr>
                  <w:tcW w:w="872" w:type="pct"/>
                  <w:noWrap w:val="0"/>
                  <w:vAlign w:val="center"/>
                </w:tcPr>
                <w:p>
                  <w:pPr>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纬度</w:t>
                  </w:r>
                </w:p>
              </w:tc>
              <w:tc>
                <w:tcPr>
                  <w:tcW w:w="1320" w:type="pct"/>
                  <w:noWrap w:val="0"/>
                  <w:vAlign w:val="center"/>
                </w:tcPr>
                <w:p>
                  <w:pPr>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29°35′44.880″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主要危险物质及分布</w:t>
                  </w:r>
                </w:p>
              </w:tc>
              <w:tc>
                <w:tcPr>
                  <w:tcW w:w="4149" w:type="pct"/>
                  <w:gridSpan w:val="4"/>
                  <w:noWrap w:val="0"/>
                  <w:vAlign w:val="center"/>
                </w:tcPr>
                <w:p>
                  <w:pPr>
                    <w:adjustRightInd w:val="0"/>
                    <w:snapToGrid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0"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环境影响途径及危害后果</w:t>
                  </w:r>
                </w:p>
              </w:tc>
              <w:tc>
                <w:tcPr>
                  <w:tcW w:w="4149" w:type="pct"/>
                  <w:gridSpan w:val="4"/>
                  <w:noWrap w:val="0"/>
                  <w:vAlign w:val="center"/>
                </w:tcPr>
                <w:p>
                  <w:pPr>
                    <w:adjustRightInd w:val="0"/>
                    <w:snapToGrid w:val="0"/>
                    <w:jc w:val="center"/>
                    <w:textAlignment w:val="center"/>
                    <w:rPr>
                      <w:rFonts w:hint="eastAsia" w:ascii="Times New Roman" w:hAnsi="Times New Roman" w:eastAsia="宋体" w:cs="Times New Roman"/>
                    </w:rPr>
                  </w:pPr>
                  <w:r>
                    <w:rPr>
                      <w:rFonts w:hint="eastAsia"/>
                    </w:rPr>
                    <w:t>本工程运行后主要风险因素为</w:t>
                  </w:r>
                  <w:r>
                    <w:rPr>
                      <w:rFonts w:hint="eastAsia"/>
                      <w:lang w:eastAsia="zh-CN"/>
                    </w:rPr>
                    <w:t>：</w:t>
                  </w:r>
                  <w:r>
                    <w:rPr>
                      <w:rFonts w:hint="eastAsia"/>
                    </w:rPr>
                    <w:t>强降雨</w:t>
                  </w:r>
                  <w:r>
                    <w:rPr>
                      <w:rFonts w:hint="eastAsia"/>
                      <w:lang w:val="en-US" w:eastAsia="zh-CN"/>
                    </w:rPr>
                    <w:t>雨水</w:t>
                  </w:r>
                  <w:r>
                    <w:rPr>
                      <w:rFonts w:hint="eastAsia"/>
                    </w:rPr>
                    <w:t>外溢、</w:t>
                  </w:r>
                  <w:r>
                    <w:rPr>
                      <w:rFonts w:hint="eastAsia"/>
                      <w:lang w:val="en-US" w:eastAsia="zh-CN"/>
                    </w:rPr>
                    <w:t>雨水</w:t>
                  </w:r>
                  <w:r>
                    <w:rPr>
                      <w:rFonts w:hint="eastAsia"/>
                    </w:rPr>
                    <w:t>收集系统失</w:t>
                  </w:r>
                  <w:r>
                    <w:rPr>
                      <w:rFonts w:hint="eastAsia" w:ascii="Times New Roman" w:hAnsi="Times New Roman" w:eastAsia="宋体" w:cs="Times New Roman"/>
                    </w:rPr>
                    <w:t>效、</w:t>
                  </w:r>
                  <w:r>
                    <w:rPr>
                      <w:rFonts w:hint="eastAsia" w:ascii="Times New Roman" w:hAnsi="Times New Roman" w:eastAsia="宋体" w:cs="Times New Roman"/>
                      <w:lang w:val="en-US" w:eastAsia="zh-CN"/>
                    </w:rPr>
                    <w:t>排水</w:t>
                  </w:r>
                  <w:r>
                    <w:rPr>
                      <w:rFonts w:hint="eastAsia" w:ascii="Times New Roman" w:hAnsi="Times New Roman" w:eastAsia="宋体" w:cs="Times New Roman"/>
                    </w:rPr>
                    <w:t>系统失效、垃圾坝溃决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池体渗漏</w:t>
                  </w:r>
                  <w:r>
                    <w:rPr>
                      <w:rFonts w:hint="eastAsia" w:ascii="Times New Roman" w:hAnsi="Times New Roman" w:eastAsia="宋体" w:cs="Times New Roman"/>
                    </w:rPr>
                    <w:t>。</w:t>
                  </w:r>
                </w:p>
                <w:p>
                  <w:pPr>
                    <w:rPr>
                      <w:rFonts w:hint="eastAsia" w:ascii="Times New Roman" w:hAnsi="Times New Roman" w:eastAsia="宋体" w:cs="Times New Roman"/>
                    </w:rPr>
                  </w:pPr>
                  <w:r>
                    <w:rPr>
                      <w:rFonts w:hint="eastAsia" w:ascii="Times New Roman" w:hAnsi="Times New Roman" w:eastAsia="宋体" w:cs="Times New Roman"/>
                    </w:rPr>
                    <w:t>①</w:t>
                  </w:r>
                  <w:r>
                    <w:rPr>
                      <w:rFonts w:hint="eastAsia" w:ascii="Times New Roman" w:hAnsi="Times New Roman" w:eastAsia="宋体" w:cs="Times New Roman"/>
                      <w:lang w:val="en-US" w:eastAsia="zh-CN"/>
                    </w:rPr>
                    <w:t>雨水</w:t>
                  </w:r>
                  <w:r>
                    <w:rPr>
                      <w:rFonts w:hint="eastAsia" w:ascii="Times New Roman" w:hAnsi="Times New Roman" w:eastAsia="宋体" w:cs="Times New Roman"/>
                    </w:rPr>
                    <w:t>收集与</w:t>
                  </w:r>
                  <w:r>
                    <w:rPr>
                      <w:rFonts w:hint="eastAsia" w:ascii="Times New Roman" w:hAnsi="Times New Roman" w:eastAsia="宋体" w:cs="Times New Roman"/>
                      <w:lang w:val="en-US" w:eastAsia="zh-CN"/>
                    </w:rPr>
                    <w:t>排水</w:t>
                  </w:r>
                  <w:r>
                    <w:rPr>
                      <w:rFonts w:hint="eastAsia" w:ascii="Times New Roman" w:hAnsi="Times New Roman" w:eastAsia="宋体" w:cs="Times New Roman"/>
                    </w:rPr>
                    <w:t>系统</w:t>
                  </w:r>
                </w:p>
                <w:p>
                  <w:pPr>
                    <w:ind w:firstLine="480" w:firstLineChars="200"/>
                    <w:rPr>
                      <w:rFonts w:hint="eastAsia" w:ascii="Times New Roman" w:hAnsi="Times New Roman" w:eastAsia="宋体" w:cs="Times New Roman"/>
                    </w:rPr>
                  </w:pPr>
                  <w:r>
                    <w:rPr>
                      <w:rFonts w:hint="eastAsia" w:ascii="Times New Roman" w:hAnsi="Times New Roman" w:eastAsia="宋体" w:cs="Times New Roman"/>
                      <w:lang w:val="en-US" w:eastAsia="zh-CN"/>
                    </w:rPr>
                    <w:t>雨</w:t>
                  </w:r>
                  <w:r>
                    <w:rPr>
                      <w:rFonts w:hint="eastAsia" w:ascii="Times New Roman" w:hAnsi="Times New Roman" w:eastAsia="宋体" w:cs="Times New Roman"/>
                    </w:rPr>
                    <w:t>水收集系统失效会使得</w:t>
                  </w:r>
                  <w:r>
                    <w:rPr>
                      <w:rFonts w:hint="eastAsia" w:ascii="Times New Roman" w:hAnsi="Times New Roman" w:eastAsia="宋体" w:cs="Times New Roman"/>
                      <w:lang w:val="en-US" w:eastAsia="zh-CN"/>
                    </w:rPr>
                    <w:t>雨</w:t>
                  </w:r>
                  <w:r>
                    <w:rPr>
                      <w:rFonts w:hint="eastAsia" w:ascii="Times New Roman" w:hAnsi="Times New Roman" w:eastAsia="宋体" w:cs="Times New Roman"/>
                    </w:rPr>
                    <w:t>水不能完全进入</w:t>
                  </w:r>
                  <w:r>
                    <w:rPr>
                      <w:rFonts w:hint="eastAsia" w:ascii="Times New Roman" w:hAnsi="Times New Roman" w:eastAsia="宋体" w:cs="Times New Roman"/>
                      <w:lang w:val="en-US" w:eastAsia="zh-CN"/>
                    </w:rPr>
                    <w:t>沉砂</w:t>
                  </w:r>
                  <w:r>
                    <w:rPr>
                      <w:rFonts w:hint="eastAsia" w:ascii="Times New Roman" w:hAnsi="Times New Roman" w:eastAsia="宋体" w:cs="Times New Roman"/>
                    </w:rPr>
                    <w:t>池，导致固体废物堆体内积水，不利于固体废物的压实与堆放后的稳定。此外，</w:t>
                  </w:r>
                  <w:r>
                    <w:rPr>
                      <w:rFonts w:hint="eastAsia" w:ascii="Times New Roman" w:hAnsi="Times New Roman" w:eastAsia="宋体" w:cs="Times New Roman"/>
                      <w:lang w:val="en-US" w:eastAsia="zh-CN"/>
                    </w:rPr>
                    <w:t>雨</w:t>
                  </w:r>
                  <w:r>
                    <w:rPr>
                      <w:rFonts w:hint="eastAsia" w:ascii="Times New Roman" w:hAnsi="Times New Roman" w:eastAsia="宋体" w:cs="Times New Roman"/>
                    </w:rPr>
                    <w:t>水收集系统可因管道堵塞、破裂或设计有缺陷而失效，造成</w:t>
                  </w:r>
                  <w:r>
                    <w:rPr>
                      <w:rFonts w:hint="eastAsia" w:ascii="Times New Roman" w:hAnsi="Times New Roman" w:eastAsia="宋体" w:cs="Times New Roman"/>
                      <w:lang w:val="en-US" w:eastAsia="zh-CN"/>
                    </w:rPr>
                    <w:t>雨</w:t>
                  </w:r>
                  <w:r>
                    <w:rPr>
                      <w:rFonts w:hint="eastAsia" w:ascii="Times New Roman" w:hAnsi="Times New Roman" w:eastAsia="宋体" w:cs="Times New Roman"/>
                    </w:rPr>
                    <w:t>水泄漏</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影响</w:t>
                  </w:r>
                  <w:r>
                    <w:rPr>
                      <w:rFonts w:hint="eastAsia" w:ascii="Times New Roman" w:hAnsi="Times New Roman" w:eastAsia="宋体" w:cs="Times New Roman"/>
                    </w:rPr>
                    <w:t>周围环境。</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②垃圾坝溃决</w:t>
                  </w:r>
                </w:p>
                <w:p>
                  <w:pPr>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垃圾坝溃决，填埋场的固体废物如同泥石流一样向场外泄出，不仅使填埋场周边受到严重的环境污染，也使得周边生态受到严重破坏。</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③池体渗漏</w:t>
                  </w:r>
                </w:p>
                <w:p>
                  <w:pPr>
                    <w:ind w:firstLine="480" w:firstLineChars="200"/>
                  </w:pPr>
                  <w:r>
                    <w:rPr>
                      <w:rFonts w:hint="eastAsia" w:ascii="Times New Roman" w:hAnsi="Times New Roman" w:eastAsia="宋体" w:cs="Times New Roman"/>
                    </w:rPr>
                    <w:t>化粪池</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沉淀池（洗车槽）、沉淀池（碎石破碎）、沉砂池</w:t>
                  </w:r>
                  <w:r>
                    <w:rPr>
                      <w:rFonts w:hint="eastAsia" w:ascii="Times New Roman" w:hAnsi="Times New Roman" w:eastAsia="宋体" w:cs="Times New Roman"/>
                    </w:rPr>
                    <w:t>在运行过程中，由于诸多因素，</w:t>
                  </w:r>
                  <w:r>
                    <w:rPr>
                      <w:rFonts w:hint="eastAsia" w:ascii="Times New Roman" w:hAnsi="Times New Roman" w:eastAsia="宋体" w:cs="Times New Roman"/>
                      <w:lang w:val="en-US" w:eastAsia="zh-CN"/>
                    </w:rPr>
                    <w:t>池体</w:t>
                  </w:r>
                  <w:r>
                    <w:rPr>
                      <w:rFonts w:hint="eastAsia" w:ascii="Times New Roman" w:hAnsi="Times New Roman" w:eastAsia="宋体" w:cs="Times New Roman"/>
                    </w:rPr>
                    <w:t>发</w:t>
                  </w:r>
                  <w:r>
                    <w:rPr>
                      <w:rFonts w:hint="eastAsia" w:ascii="Times New Roman" w:hAnsi="Times New Roman" w:eastAsia="宋体" w:cs="Times New Roman"/>
                      <w:lang w:val="en-US" w:eastAsia="zh-CN"/>
                    </w:rPr>
                    <w:t>生了渗漏，对周边环境造成不良影响。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4"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风险防范措施等</w:t>
                  </w:r>
                </w:p>
              </w:tc>
              <w:tc>
                <w:tcPr>
                  <w:tcW w:w="4149" w:type="pct"/>
                  <w:gridSpan w:val="4"/>
                  <w:noWrap w:val="0"/>
                  <w:vAlign w:val="center"/>
                </w:tcPr>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①</w:t>
                  </w:r>
                  <w:r>
                    <w:rPr>
                      <w:rFonts w:hint="eastAsia" w:ascii="Times New Roman" w:hAnsi="Times New Roman" w:eastAsia="宋体" w:cs="Times New Roman"/>
                      <w:kern w:val="0"/>
                      <w:szCs w:val="21"/>
                      <w:lang w:val="en-US" w:eastAsia="zh-CN"/>
                    </w:rPr>
                    <w:t>雨水</w:t>
                  </w:r>
                  <w:r>
                    <w:rPr>
                      <w:rFonts w:hint="eastAsia" w:ascii="Times New Roman" w:hAnsi="Times New Roman" w:eastAsia="宋体" w:cs="Times New Roman"/>
                      <w:kern w:val="0"/>
                      <w:szCs w:val="21"/>
                    </w:rPr>
                    <w:t>收集与</w:t>
                  </w:r>
                  <w:r>
                    <w:rPr>
                      <w:rFonts w:hint="eastAsia" w:ascii="Times New Roman" w:hAnsi="Times New Roman" w:eastAsia="宋体" w:cs="Times New Roman"/>
                      <w:kern w:val="0"/>
                      <w:szCs w:val="21"/>
                      <w:lang w:val="en-US" w:eastAsia="zh-CN"/>
                    </w:rPr>
                    <w:t>排水</w:t>
                  </w:r>
                  <w:r>
                    <w:rPr>
                      <w:rFonts w:hint="eastAsia" w:ascii="Times New Roman" w:hAnsi="Times New Roman" w:eastAsia="宋体" w:cs="Times New Roman"/>
                      <w:kern w:val="0"/>
                      <w:szCs w:val="21"/>
                    </w:rPr>
                    <w:t>系统</w:t>
                  </w:r>
                  <w:r>
                    <w:rPr>
                      <w:rFonts w:hint="eastAsia" w:ascii="Times New Roman" w:hAnsi="Times New Roman" w:eastAsia="宋体" w:cs="Times New Roman"/>
                      <w:kern w:val="0"/>
                      <w:szCs w:val="21"/>
                      <w:lang w:val="en-US" w:eastAsia="zh-CN"/>
                    </w:rPr>
                    <w:t>风险防范措施</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建议采取如下防范措施：</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A.日常运行时，特别是在雨季时，应留出沉砂池的剩余容积以调节强暴雨时的雨水。</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B.截排水沟、平台排水沟应加盖水泥盖板，并经常疏通，防止堵塞。</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C.场底渗出水导流系统施工一定要按有关规定进行，填埋覆土、压实要严格按规程操作。</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D.场区截洪沟应按照设计要求先行构筑，确保未被污染的强降水直接导出场外，减少暴雨对沉砂池的冲击。</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②垃圾坝溃决的影响分析与防治措施</w:t>
                  </w:r>
                </w:p>
                <w:p>
                  <w:pPr>
                    <w:adjustRightInd w:val="0"/>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可采取的防范措施</w:t>
                  </w:r>
                  <w:r>
                    <w:rPr>
                      <w:rFonts w:hint="eastAsia" w:ascii="Times New Roman" w:hAnsi="Times New Roman" w:eastAsia="宋体" w:cs="Times New Roman"/>
                      <w:kern w:val="0"/>
                      <w:szCs w:val="21"/>
                      <w:lang w:val="en-US" w:eastAsia="zh-CN"/>
                    </w:rPr>
                    <w:t>：</w:t>
                  </w:r>
                </w:p>
                <w:p>
                  <w:pPr>
                    <w:adjustRightInd w:val="0"/>
                    <w:snapToGrid w:val="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A.精心设计，从设计上把好关，确保填埋场的稳定性和安全性。</w:t>
                  </w:r>
                </w:p>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B.严格按设计图纸要求施工，严禁偷工减料:施工现场监理到位，严格把关，确保施工质量。</w:t>
                  </w:r>
                </w:p>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C.确保场内排水系统的畅通，在雨季特别是暴雨期应加强对填埋场的巡逻检查，如发现垃圾坝出现裂缝应采取补救措施。垃圾坝溃决后应立即采取抢救措施，可在填埋场下游设缓冲地带。同时配备必需的通信设施，保持与地方政府的联系，如发现坝体开裂等垮坝征兆，应立即组织力量进行抢修和安全加固。</w:t>
                  </w:r>
                </w:p>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严格进行规范管理，按设计要求设置专人严格管理，落实责任。加强日常监控，派专人负责巡视，以杜绝安全隐患。填埋场服务期满后，应按规定进行土地复垦和日常管理、维护，并按有关要求进行生态或植被的恢复，确保填埋场的稳定。</w:t>
                  </w:r>
                </w:p>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E.严格按国家有关规定，定期对填埋场和垃圾坝安全性和稳定性进行评价，发现问题及时解决。</w:t>
                  </w:r>
                </w:p>
                <w:p>
                  <w:pPr>
                    <w:adjustRightInd w:val="0"/>
                    <w:snapToGrid w:val="0"/>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③池体渗漏风险防范措施</w:t>
                  </w:r>
                </w:p>
                <w:p>
                  <w:pPr>
                    <w:adjustRightInd w:val="0"/>
                    <w:snapToGrid w:val="0"/>
                    <w:rPr>
                      <w:rFonts w:ascii="Times New Roman" w:hAnsi="Times New Roman" w:eastAsia="宋体" w:cs="Times New Roman"/>
                      <w:kern w:val="0"/>
                      <w:szCs w:val="21"/>
                    </w:rPr>
                  </w:pPr>
                  <w:r>
                    <w:rPr>
                      <w:rFonts w:hint="eastAsia" w:ascii="Times New Roman" w:hAnsi="Times New Roman" w:eastAsia="宋体" w:cs="Times New Roman"/>
                      <w:kern w:val="0"/>
                      <w:szCs w:val="21"/>
                    </w:rPr>
                    <w:t>定期检查化粪池</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沉淀池（洗车槽）、沉淀池（碎石破碎）、沉砂池</w:t>
                  </w:r>
                  <w:r>
                    <w:rPr>
                      <w:rFonts w:hint="eastAsia" w:ascii="Times New Roman" w:hAnsi="Times New Roman" w:eastAsia="宋体" w:cs="Times New Roman"/>
                      <w:kern w:val="0"/>
                      <w:szCs w:val="21"/>
                    </w:rPr>
                    <w:t>，如发现化粪池</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沉淀池（洗车槽）、沉淀池（碎石破碎）、沉砂池</w:t>
                  </w:r>
                  <w:r>
                    <w:rPr>
                      <w:rFonts w:hint="eastAsia" w:ascii="Times New Roman" w:hAnsi="Times New Roman" w:eastAsia="宋体" w:cs="Times New Roman"/>
                      <w:kern w:val="0"/>
                      <w:szCs w:val="21"/>
                    </w:rPr>
                    <w:t>发生渗漏，及时联系维修工人，及时维修，将渗漏风险的影响降到最低。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850" w:type="pct"/>
                  <w:noWrap w:val="0"/>
                  <w:vAlign w:val="center"/>
                </w:tcPr>
                <w:p>
                  <w:pPr>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szCs w:val="21"/>
                    </w:rPr>
                    <w:t>填表说明</w:t>
                  </w:r>
                </w:p>
              </w:tc>
              <w:tc>
                <w:tcPr>
                  <w:tcW w:w="4149" w:type="pct"/>
                  <w:gridSpan w:val="4"/>
                  <w:noWrap w:val="0"/>
                  <w:vAlign w:val="center"/>
                </w:tcPr>
                <w:p>
                  <w:pPr>
                    <w:adjustRightInd w:val="0"/>
                    <w:snapToGrid w:val="0"/>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废机油约0.01t/a，由维修人员打包带走，交由资质单位处置</w:t>
                  </w:r>
                </w:p>
              </w:tc>
            </w:tr>
          </w:tbl>
          <w:p>
            <w:pPr>
              <w:numPr>
                <w:ilvl w:val="0"/>
                <w:numId w:val="0"/>
              </w:numPr>
              <w:spacing w:line="360" w:lineRule="auto"/>
              <w:ind w:firstLine="480" w:firstLineChars="200"/>
              <w:rPr>
                <w:rFonts w:hint="default" w:ascii="Times New Roman" w:hAnsi="Times New Roman" w:eastAsia="宋体" w:cs="Times New Roman"/>
                <w:iCs/>
                <w:sz w:val="24"/>
                <w:lang w:val="en-US" w:eastAsia="zh-CN"/>
              </w:rPr>
            </w:pPr>
          </w:p>
          <w:p>
            <w:pPr>
              <w:adjustRightInd w:val="0"/>
              <w:snapToGrid w:val="0"/>
              <w:spacing w:line="360" w:lineRule="auto"/>
              <w:ind w:firstLine="482" w:firstLineChars="200"/>
              <w:rPr>
                <w:rFonts w:hint="default" w:ascii="Times New Roman" w:hAnsi="Times New Roman" w:eastAsia="宋体" w:cs="Times New Roman"/>
                <w:sz w:val="24"/>
                <w:lang w:val="en-US" w:eastAsia="zh-CN"/>
              </w:rPr>
            </w:pPr>
            <w:r>
              <w:rPr>
                <w:rFonts w:hint="eastAsia"/>
                <w:b/>
                <w:bCs/>
                <w:sz w:val="24"/>
                <w:lang w:val="en-US" w:eastAsia="zh-CN"/>
              </w:rPr>
              <w:t>8、封场</w:t>
            </w:r>
            <w:r>
              <w:rPr>
                <w:b/>
                <w:bCs/>
                <w:sz w:val="24"/>
              </w:rPr>
              <w:t>期</w:t>
            </w:r>
            <w:r>
              <w:rPr>
                <w:rFonts w:hint="eastAsia"/>
                <w:b/>
                <w:bCs/>
                <w:sz w:val="24"/>
                <w:lang w:val="en-US" w:eastAsia="zh-CN"/>
              </w:rPr>
              <w:t>影响</w:t>
            </w:r>
            <w:r>
              <w:rPr>
                <w:b/>
                <w:bCs/>
                <w:sz w:val="24"/>
              </w:rPr>
              <w:t>分析</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（1）大气环境</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本项目对于填埋区实施分区填埋，封场后填埋区最终将达到整体绿化，植被覆盖全部填埋区。植被恢复前期由于植被盖度尚未达到较好的程度，如遇大风干旱天气，会产生一定的扬尘，但是较填埋区未恢复植被时而言，裸露地表面积大大减少，扬尘产生量将大大减少，且恢复的植被将会削弱风速，风速减小，起尘量也会减少，扬尘将会得到一定的治理，影响范围和影响程度较运营期将会更小。</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植被恢复远期随着植被生长，植被覆盖度的逐渐增大，扬尘产生量会越来越少，最终植被恢复稳定后扬尘产生量将会非常微小，影响微弱。</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（2）水环境</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本项目填埋场服务期满后，主要涉及到填埋场的关闭与封场期的环境保护。关闭与封场期要严格执行《建筑垃圾处理技术标准》(CJI/T134-2019)中的要求，做好填埋场防渗措施，以防止和降低渗出水渗入地下污染地下水的环境风险。</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封场期填埋区渗出的雨水逐渐减少，通过排水收集系统收集后进入沉砂池，处理后回用于填埋场洒水降尘，不外排，对地表水环境产生影响较小。</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在正常状况下渗出的雨水对地下水环境影响小。非正常状况下，如果填埋区防渗层局部因破裂而失效，雨水可能渗漏进入地下含水层，将造成地下水污染。但封场期渗出水产生量远小于运行期的产生量，因此渗漏量也较小。</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本项目封场后，排水系统应继续正常运转，地下水监测系统应继续维持正常运转，建设单位每季度对项目地下水跟踪监测，如发现污染及时启动地下水污染应急预案，采取措施补救，阻断污染源，采取以上措施后本项目封场期渗出水渗漏对地下水环境影响较小。</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（3）声环境</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封场期噪声主要是洒水车运输噪声，为流动声源，间歇性排放，填埋场距离环境敏感点较远，对周围声环境影响较小。</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（4）生态环境</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填埋场作为永久性处置设施，封场后需对堆体表面进行绿化生态修复，该填埋服务期满后进行生态恢复。封场期填埋区全部覆土，进行植被恢复。植被选用抗逆性强、适应填埋场环境条件、生长稳定的植物;填埋堆体上宜选用护坡、防冲刷能力强的浅根植物。植被恢复为乔灌草相结合的方式实施，林草成活率高，成林快，最终植被达到工程建设前该区域植被较好地段的生物量和覆盖度。绿化植物配置宜与周围景观和封场后土地利用规划相协调。</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封场后，场地内临时堆土区应表面种植当地草本植物，进行生态恢复，尽可能恢复其原有土地功能，减少对生态环境的影响。</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植被恢复后区域绿化率比工程实施之前将有所提高，对于填埋区水土流失的治理将会起到积极的作用。植被恢复时需先覆土，覆土应尽量避开大风、多雨季节，避免水土流失的发生。覆土后应及时恢复植被，避免土壤长期裸露带来水土流失的发生。</w:t>
            </w:r>
          </w:p>
          <w:p>
            <w:pPr>
              <w:adjustRightInd w:val="0"/>
              <w:snapToGrid w:val="0"/>
              <w:spacing w:line="360" w:lineRule="auto"/>
              <w:ind w:firstLine="480"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val="0"/>
                <w:bCs w:val="0"/>
                <w:sz w:val="24"/>
                <w:lang w:val="en-US" w:eastAsia="zh-CN"/>
              </w:rPr>
              <w:t>综上所述，在合理安排覆土和植被恢复时间的前提下，封场期对区域生态环境影响较小。</w:t>
            </w: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9、环境管理与监测计划</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（1）环境管理</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项目环境保护管理是指建设单位、设计单位和施工单位在项目的可行性研究、项目设计、建设期和运行期必须遵守国家、省市的有关环境保护法规、政策、标准，落实环境影响报告中拟定采取的减缓措施，并确保环境保护设施处于正常运行状态。环境管理计划是根据建设项目的特点，制定防护职责、实施进度、监测内容和报告程序等内容，以及确定资金投入和来源。同时为了能够及时了解项目运营期和封场后对周围环境的影响范围和程度，检验环保设施的运行效果，为可能出现的污染事故提供预期警报，并为环保设施的维修和保养提供依据，项目应制定相应的环境监测计划。最后在项目建设、运行和封场期，接受地方环境保护主管部门的监督和指导，并配合环境保护主管部门完成对项目建设的“三同时”审查。</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为了保证环境管理工作的顺利进行，本项目应设立环境管理部门，配备专职人员负责日常环境管理工作，并由延安市生态环境局宜川分局负责监督检查。</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根据建设项目的性质及污染特征，并结合环境保护的有关规定，在建设项目建设期就设立环境管理部门，设专（兼）职人员2人，并由主要领导负责管理。</w:t>
            </w:r>
          </w:p>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（2）监测计划</w:t>
            </w:r>
          </w:p>
          <w:p>
            <w:pPr>
              <w:adjustRightInd w:val="0"/>
              <w:snapToGrid w:val="0"/>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参考《排污许可证申请与核发技术规范 废弃资源加工工业》，结合工程与环境特点，确定项目运行期和封场后的环境监测内容，各个指标的监测均按国家相关标准监测方法进行，具体见下表。</w:t>
            </w:r>
          </w:p>
          <w:p>
            <w:pPr>
              <w:widowControl/>
              <w:adjustRightInd w:val="0"/>
              <w:snapToGrid w:val="0"/>
              <w:spacing w:line="360" w:lineRule="auto"/>
              <w:ind w:right="113" w:firstLine="48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w:t>
            </w:r>
            <w:r>
              <w:rPr>
                <w:rFonts w:hint="eastAsia" w:ascii="Times New Roman" w:hAnsi="Times New Roman" w:eastAsia="宋体" w:cs="Times New Roman"/>
                <w:b/>
                <w:kern w:val="0"/>
                <w:szCs w:val="21"/>
              </w:rPr>
              <w:t>4</w:t>
            </w:r>
            <w:r>
              <w:rPr>
                <w:rFonts w:ascii="Times New Roman" w:hAnsi="Times New Roman" w:eastAsia="宋体" w:cs="Times New Roman"/>
                <w:b/>
                <w:kern w:val="0"/>
                <w:szCs w:val="21"/>
              </w:rPr>
              <w:t>-</w:t>
            </w:r>
            <w:r>
              <w:rPr>
                <w:rFonts w:hint="eastAsia" w:ascii="Times New Roman" w:hAnsi="Times New Roman" w:eastAsia="宋体" w:cs="Times New Roman"/>
                <w:b/>
                <w:kern w:val="0"/>
                <w:szCs w:val="21"/>
                <w:lang w:val="en-US" w:eastAsia="zh-CN"/>
              </w:rPr>
              <w:t>8</w:t>
            </w:r>
            <w:r>
              <w:rPr>
                <w:rFonts w:ascii="Times New Roman" w:hAnsi="Times New Roman" w:eastAsia="宋体" w:cs="Times New Roman"/>
                <w:b/>
                <w:kern w:val="0"/>
                <w:szCs w:val="21"/>
              </w:rPr>
              <w:t xml:space="preserve">  建设项目</w:t>
            </w:r>
            <w:r>
              <w:rPr>
                <w:rFonts w:hint="eastAsia" w:ascii="Times New Roman" w:hAnsi="Times New Roman" w:eastAsia="宋体" w:cs="Times New Roman"/>
                <w:b/>
                <w:kern w:val="0"/>
                <w:szCs w:val="21"/>
                <w:lang w:val="en-US" w:eastAsia="zh-CN"/>
              </w:rPr>
              <w:t>监测计划一览</w:t>
            </w:r>
            <w:r>
              <w:rPr>
                <w:rFonts w:ascii="Times New Roman" w:hAnsi="Times New Roman" w:eastAsia="宋体" w:cs="Times New Roman"/>
                <w:b/>
                <w:kern w:val="0"/>
                <w:szCs w:val="21"/>
              </w:rPr>
              <w:t>表</w:t>
            </w:r>
          </w:p>
          <w:tbl>
            <w:tblPr>
              <w:tblStyle w:val="3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733"/>
              <w:gridCol w:w="1097"/>
              <w:gridCol w:w="2132"/>
              <w:gridCol w:w="1252"/>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blHeader/>
                <w:jc w:val="center"/>
              </w:trPr>
              <w:tc>
                <w:tcPr>
                  <w:tcW w:w="432"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监测期</w:t>
                  </w:r>
                </w:p>
              </w:tc>
              <w:tc>
                <w:tcPr>
                  <w:tcW w:w="433"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监测要素</w:t>
                  </w:r>
                </w:p>
              </w:tc>
              <w:tc>
                <w:tcPr>
                  <w:tcW w:w="648"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监测位置</w:t>
                  </w:r>
                </w:p>
              </w:tc>
              <w:tc>
                <w:tcPr>
                  <w:tcW w:w="126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监测内容</w:t>
                  </w:r>
                </w:p>
              </w:tc>
              <w:tc>
                <w:tcPr>
                  <w:tcW w:w="74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监测频率</w:t>
                  </w:r>
                </w:p>
              </w:tc>
              <w:tc>
                <w:tcPr>
                  <w:tcW w:w="1484"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b w:val="0"/>
                      <w:bCs/>
                      <w:color w:val="auto"/>
                      <w:sz w:val="21"/>
                      <w:szCs w:val="21"/>
                      <w:lang w:val="en-US" w:eastAsia="zh-CN"/>
                    </w:rPr>
                  </w:pPr>
                  <w:r>
                    <w:rPr>
                      <w:rFonts w:hint="eastAsia"/>
                      <w:b w:val="0"/>
                      <w:bCs/>
                      <w:color w:val="auto"/>
                      <w:sz w:val="21"/>
                      <w:szCs w:val="21"/>
                      <w:lang w:val="en-US" w:eastAsia="zh-CN"/>
                    </w:rPr>
                    <w:t>运营期</w:t>
                  </w:r>
                </w:p>
              </w:tc>
              <w:tc>
                <w:tcPr>
                  <w:tcW w:w="433"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大气</w:t>
                  </w:r>
                </w:p>
              </w:tc>
              <w:tc>
                <w:tcPr>
                  <w:tcW w:w="648"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b w:val="0"/>
                      <w:bCs/>
                      <w:color w:val="auto"/>
                      <w:sz w:val="21"/>
                      <w:szCs w:val="21"/>
                      <w:lang w:val="en-US" w:eastAsia="zh-CN"/>
                    </w:rPr>
                  </w:pPr>
                  <w:r>
                    <w:rPr>
                      <w:rFonts w:hint="eastAsia"/>
                      <w:b w:val="0"/>
                      <w:bCs/>
                      <w:color w:val="auto"/>
                      <w:sz w:val="21"/>
                      <w:szCs w:val="21"/>
                      <w:lang w:val="en-US" w:eastAsia="zh-CN"/>
                    </w:rPr>
                    <w:t>填埋区下风向</w:t>
                  </w:r>
                </w:p>
              </w:tc>
              <w:tc>
                <w:tcPr>
                  <w:tcW w:w="126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TSP</w:t>
                  </w:r>
                </w:p>
              </w:tc>
              <w:tc>
                <w:tcPr>
                  <w:tcW w:w="74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每</w:t>
                  </w:r>
                  <w:r>
                    <w:rPr>
                      <w:rFonts w:hint="eastAsia"/>
                      <w:b w:val="0"/>
                      <w:bCs/>
                      <w:color w:val="auto"/>
                      <w:sz w:val="21"/>
                      <w:szCs w:val="21"/>
                      <w:lang w:val="en-US" w:eastAsia="zh-CN"/>
                    </w:rPr>
                    <w:t>半年1</w:t>
                  </w:r>
                  <w:r>
                    <w:rPr>
                      <w:b w:val="0"/>
                      <w:bCs/>
                      <w:color w:val="auto"/>
                      <w:sz w:val="21"/>
                      <w:szCs w:val="21"/>
                    </w:rPr>
                    <w:t>次</w:t>
                  </w:r>
                </w:p>
              </w:tc>
              <w:tc>
                <w:tcPr>
                  <w:tcW w:w="1484"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eastAsia"/>
                      <w:b w:val="0"/>
                      <w:bCs/>
                      <w:color w:val="auto"/>
                      <w:sz w:val="21"/>
                      <w:szCs w:val="21"/>
                    </w:rPr>
                    <w:t>GB16297-1996《大气污染物综合排放标准》中“无组织排放监控浓度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2" w:type="pct"/>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p>
              </w:tc>
              <w:tc>
                <w:tcPr>
                  <w:tcW w:w="433"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地下水</w:t>
                  </w:r>
                </w:p>
              </w:tc>
              <w:tc>
                <w:tcPr>
                  <w:tcW w:w="648"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填埋区下游处</w:t>
                  </w:r>
                </w:p>
              </w:tc>
              <w:tc>
                <w:tcPr>
                  <w:tcW w:w="126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eastAsia"/>
                      <w:b w:val="0"/>
                      <w:bCs/>
                      <w:color w:val="auto"/>
                      <w:sz w:val="21"/>
                      <w:szCs w:val="21"/>
                      <w:lang w:val="en-US" w:eastAsia="zh-CN"/>
                    </w:rPr>
                    <w:t>浑浊度、pH、溶解性总固体、氯化物、硝酸盐（以 N 计）、亚硝酸盐（以 N 计）</w:t>
                  </w:r>
                </w:p>
              </w:tc>
              <w:tc>
                <w:tcPr>
                  <w:tcW w:w="74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每季度1次</w:t>
                  </w:r>
                </w:p>
              </w:tc>
              <w:tc>
                <w:tcPr>
                  <w:tcW w:w="1484"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default"/>
                      <w:b w:val="0"/>
                      <w:bCs/>
                      <w:color w:val="auto"/>
                      <w:sz w:val="21"/>
                      <w:szCs w:val="21"/>
                      <w:lang w:val="en-US" w:eastAsia="zh-CN"/>
                    </w:rPr>
                    <w:t>《地下水质量标准》（GB/T 14848-2017）III类标准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p>
              </w:tc>
              <w:tc>
                <w:tcPr>
                  <w:tcW w:w="433"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b w:val="0"/>
                      <w:bCs/>
                      <w:color w:val="auto"/>
                      <w:sz w:val="21"/>
                      <w:szCs w:val="21"/>
                    </w:rPr>
                    <w:t>噪声</w:t>
                  </w:r>
                </w:p>
              </w:tc>
              <w:tc>
                <w:tcPr>
                  <w:tcW w:w="648"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填埋区四周</w:t>
                  </w:r>
                </w:p>
              </w:tc>
              <w:tc>
                <w:tcPr>
                  <w:tcW w:w="126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厂界噪声</w:t>
                  </w:r>
                </w:p>
              </w:tc>
              <w:tc>
                <w:tcPr>
                  <w:tcW w:w="74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b w:val="0"/>
                      <w:bCs/>
                      <w:color w:val="auto"/>
                      <w:sz w:val="21"/>
                      <w:szCs w:val="21"/>
                      <w:lang w:val="en-US" w:eastAsia="zh-CN"/>
                    </w:rPr>
                  </w:pPr>
                  <w:r>
                    <w:rPr>
                      <w:b w:val="0"/>
                      <w:bCs/>
                      <w:color w:val="auto"/>
                      <w:sz w:val="21"/>
                      <w:szCs w:val="21"/>
                    </w:rPr>
                    <w:t>每</w:t>
                  </w:r>
                  <w:r>
                    <w:rPr>
                      <w:rFonts w:hint="eastAsia"/>
                      <w:b w:val="0"/>
                      <w:bCs/>
                      <w:color w:val="auto"/>
                      <w:sz w:val="21"/>
                      <w:szCs w:val="21"/>
                      <w:lang w:val="en-US" w:eastAsia="zh-CN"/>
                    </w:rPr>
                    <w:t>年1</w:t>
                  </w:r>
                  <w:r>
                    <w:rPr>
                      <w:b w:val="0"/>
                      <w:bCs/>
                      <w:color w:val="auto"/>
                      <w:sz w:val="21"/>
                      <w:szCs w:val="21"/>
                    </w:rPr>
                    <w:t>次</w:t>
                  </w:r>
                </w:p>
              </w:tc>
              <w:tc>
                <w:tcPr>
                  <w:tcW w:w="1484"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eastAsia"/>
                      <w:b w:val="0"/>
                      <w:bCs/>
                      <w:color w:val="auto"/>
                      <w:sz w:val="21"/>
                      <w:szCs w:val="21"/>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b w:val="0"/>
                      <w:bCs/>
                      <w:color w:val="auto"/>
                      <w:sz w:val="21"/>
                      <w:szCs w:val="21"/>
                      <w:lang w:val="en-US" w:eastAsia="zh-CN"/>
                    </w:rPr>
                  </w:pPr>
                </w:p>
              </w:tc>
              <w:tc>
                <w:tcPr>
                  <w:tcW w:w="433"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b w:val="0"/>
                      <w:bCs/>
                      <w:color w:val="auto"/>
                      <w:sz w:val="21"/>
                      <w:szCs w:val="21"/>
                      <w:lang w:val="en-US" w:eastAsia="zh-CN"/>
                    </w:rPr>
                  </w:pPr>
                  <w:r>
                    <w:rPr>
                      <w:rFonts w:hint="eastAsia"/>
                      <w:b w:val="0"/>
                      <w:bCs/>
                      <w:color w:val="auto"/>
                      <w:sz w:val="21"/>
                      <w:szCs w:val="21"/>
                      <w:lang w:val="en-US" w:eastAsia="zh-CN"/>
                    </w:rPr>
                    <w:t>土壤</w:t>
                  </w:r>
                </w:p>
              </w:tc>
              <w:tc>
                <w:tcPr>
                  <w:tcW w:w="648"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b w:val="0"/>
                      <w:bCs/>
                      <w:color w:val="auto"/>
                      <w:sz w:val="21"/>
                      <w:szCs w:val="21"/>
                      <w:lang w:val="en-US" w:eastAsia="zh-CN"/>
                    </w:rPr>
                  </w:pPr>
                  <w:r>
                    <w:rPr>
                      <w:rFonts w:hint="eastAsia"/>
                      <w:b w:val="0"/>
                      <w:bCs/>
                      <w:color w:val="auto"/>
                      <w:sz w:val="21"/>
                      <w:szCs w:val="21"/>
                      <w:lang w:val="en-US" w:eastAsia="zh-CN"/>
                    </w:rPr>
                    <w:t>填埋区下游处</w:t>
                  </w:r>
                </w:p>
              </w:tc>
              <w:tc>
                <w:tcPr>
                  <w:tcW w:w="126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default"/>
                      <w:b w:val="0"/>
                      <w:bCs/>
                      <w:color w:val="auto"/>
                      <w:sz w:val="21"/>
                      <w:szCs w:val="21"/>
                      <w:lang w:val="en-US" w:eastAsia="zh-CN"/>
                    </w:rPr>
                    <w:t>pH、砷、镉、铬、铜、铅、汞、</w:t>
                  </w:r>
                  <w:r>
                    <w:rPr>
                      <w:rFonts w:hint="eastAsia"/>
                      <w:b w:val="0"/>
                      <w:bCs/>
                      <w:color w:val="auto"/>
                      <w:sz w:val="21"/>
                      <w:szCs w:val="21"/>
                      <w:lang w:val="en-US" w:eastAsia="zh-CN"/>
                    </w:rPr>
                    <w:t>锌、</w:t>
                  </w:r>
                  <w:r>
                    <w:rPr>
                      <w:rFonts w:hint="default"/>
                      <w:b w:val="0"/>
                      <w:bCs/>
                      <w:color w:val="auto"/>
                      <w:sz w:val="21"/>
                      <w:szCs w:val="21"/>
                      <w:lang w:val="en-US" w:eastAsia="zh-CN"/>
                    </w:rPr>
                    <w:t>镍</w:t>
                  </w:r>
                </w:p>
              </w:tc>
              <w:tc>
                <w:tcPr>
                  <w:tcW w:w="740"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eastAsia"/>
                      <w:b w:val="0"/>
                      <w:bCs/>
                      <w:color w:val="auto"/>
                      <w:sz w:val="21"/>
                      <w:szCs w:val="21"/>
                      <w:lang w:val="en-US" w:eastAsia="zh-CN"/>
                    </w:rPr>
                    <w:t>每5年1次</w:t>
                  </w:r>
                </w:p>
              </w:tc>
              <w:tc>
                <w:tcPr>
                  <w:tcW w:w="1484"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b w:val="0"/>
                      <w:bCs/>
                      <w:color w:val="auto"/>
                      <w:sz w:val="21"/>
                      <w:szCs w:val="21"/>
                    </w:rPr>
                  </w:pPr>
                  <w:r>
                    <w:rPr>
                      <w:rFonts w:hint="default"/>
                      <w:b w:val="0"/>
                      <w:bCs/>
                      <w:color w:val="auto"/>
                      <w:sz w:val="21"/>
                      <w:szCs w:val="21"/>
                      <w:lang w:eastAsia="zh-CN"/>
                    </w:rPr>
                    <w:t xml:space="preserve">《土壤环境质量 </w:t>
                  </w:r>
                  <w:r>
                    <w:rPr>
                      <w:rFonts w:hint="eastAsia"/>
                      <w:b w:val="0"/>
                      <w:bCs/>
                      <w:color w:val="auto"/>
                      <w:sz w:val="21"/>
                      <w:szCs w:val="21"/>
                      <w:lang w:eastAsia="zh-CN"/>
                    </w:rPr>
                    <w:t>农</w:t>
                  </w:r>
                  <w:r>
                    <w:rPr>
                      <w:rFonts w:hint="default"/>
                      <w:b w:val="0"/>
                      <w:bCs/>
                      <w:color w:val="auto"/>
                      <w:sz w:val="21"/>
                      <w:szCs w:val="21"/>
                      <w:lang w:eastAsia="zh-CN"/>
                    </w:rPr>
                    <w:t>用地土壤污染风险管控标准》（试行）（GB</w:t>
                  </w:r>
                  <w:r>
                    <w:rPr>
                      <w:rFonts w:hint="eastAsia"/>
                      <w:b w:val="0"/>
                      <w:bCs/>
                      <w:color w:val="auto"/>
                      <w:sz w:val="21"/>
                      <w:szCs w:val="21"/>
                      <w:lang w:val="en-US" w:eastAsia="zh-CN"/>
                    </w:rPr>
                    <w:t>15618</w:t>
                  </w:r>
                  <w:r>
                    <w:rPr>
                      <w:rFonts w:hint="default"/>
                      <w:b w:val="0"/>
                      <w:bCs/>
                      <w:color w:val="auto"/>
                      <w:sz w:val="21"/>
                      <w:szCs w:val="21"/>
                      <w:lang w:eastAsia="zh-CN"/>
                    </w:rPr>
                    <w:t>-2018）中表1</w:t>
                  </w:r>
                  <w:r>
                    <w:rPr>
                      <w:rFonts w:hint="eastAsia"/>
                      <w:b w:val="0"/>
                      <w:bCs/>
                      <w:color w:val="auto"/>
                      <w:sz w:val="21"/>
                      <w:szCs w:val="21"/>
                      <w:lang w:val="en-US" w:eastAsia="zh-CN"/>
                    </w:rPr>
                    <w:t xml:space="preserve"> </w:t>
                  </w:r>
                  <w:r>
                    <w:rPr>
                      <w:rFonts w:hint="default"/>
                      <w:b w:val="0"/>
                      <w:bCs/>
                      <w:color w:val="auto"/>
                      <w:sz w:val="21"/>
                      <w:szCs w:val="21"/>
                      <w:lang w:eastAsia="zh-CN"/>
                    </w:rPr>
                    <w:t>农用地土壤污染风险筛选值（基本项目）（</w:t>
                  </w:r>
                  <w:r>
                    <w:rPr>
                      <w:rFonts w:hint="eastAsia"/>
                      <w:b w:val="0"/>
                      <w:bCs/>
                      <w:color w:val="auto"/>
                      <w:sz w:val="21"/>
                      <w:szCs w:val="21"/>
                      <w:lang w:eastAsia="zh-CN"/>
                    </w:rPr>
                    <w:t>其他</w:t>
                  </w:r>
                  <w:r>
                    <w:rPr>
                      <w:rFonts w:hint="default"/>
                      <w:b w:val="0"/>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b w:val="0"/>
                      <w:bCs/>
                      <w:color w:val="auto"/>
                      <w:sz w:val="21"/>
                      <w:szCs w:val="21"/>
                      <w:lang w:val="en-US" w:eastAsia="zh-CN"/>
                    </w:rPr>
                  </w:pPr>
                  <w:r>
                    <w:rPr>
                      <w:rFonts w:hint="eastAsia"/>
                      <w:b w:val="0"/>
                      <w:bCs/>
                      <w:color w:val="auto"/>
                      <w:sz w:val="21"/>
                      <w:szCs w:val="21"/>
                      <w:lang w:val="en-US" w:eastAsia="zh-CN"/>
                    </w:rPr>
                    <w:t>封场期</w:t>
                  </w:r>
                </w:p>
              </w:tc>
              <w:tc>
                <w:tcPr>
                  <w:tcW w:w="687"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eastAsia"/>
                      <w:b w:val="0"/>
                      <w:bCs/>
                      <w:color w:val="auto"/>
                      <w:sz w:val="21"/>
                      <w:szCs w:val="21"/>
                      <w:lang w:val="en-US" w:eastAsia="zh-CN"/>
                    </w:rPr>
                  </w:pPr>
                  <w:r>
                    <w:rPr>
                      <w:b w:val="0"/>
                      <w:bCs/>
                      <w:color w:val="auto"/>
                      <w:sz w:val="21"/>
                      <w:szCs w:val="21"/>
                    </w:rPr>
                    <w:t>地下水</w:t>
                  </w:r>
                </w:p>
              </w:tc>
              <w:tc>
                <w:tcPr>
                  <w:tcW w:w="102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eastAsia"/>
                      <w:b w:val="0"/>
                      <w:bCs/>
                      <w:color w:val="auto"/>
                      <w:sz w:val="21"/>
                      <w:szCs w:val="21"/>
                      <w:lang w:val="en-US" w:eastAsia="zh-CN"/>
                    </w:rPr>
                  </w:pPr>
                  <w:r>
                    <w:rPr>
                      <w:rFonts w:hint="eastAsia"/>
                      <w:b w:val="0"/>
                      <w:bCs/>
                      <w:color w:val="auto"/>
                      <w:sz w:val="21"/>
                      <w:szCs w:val="21"/>
                      <w:lang w:val="en-US" w:eastAsia="zh-CN"/>
                    </w:rPr>
                    <w:t>填埋区下游处</w:t>
                  </w:r>
                </w:p>
              </w:tc>
              <w:tc>
                <w:tcPr>
                  <w:tcW w:w="2000"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b w:val="0"/>
                      <w:bCs/>
                      <w:color w:val="auto"/>
                      <w:sz w:val="21"/>
                      <w:szCs w:val="21"/>
                      <w:lang w:val="en-US" w:eastAsia="zh-CN"/>
                    </w:rPr>
                  </w:pPr>
                  <w:r>
                    <w:rPr>
                      <w:rFonts w:hint="eastAsia"/>
                      <w:b w:val="0"/>
                      <w:bCs/>
                      <w:color w:val="auto"/>
                      <w:sz w:val="21"/>
                      <w:szCs w:val="21"/>
                      <w:lang w:val="en-US" w:eastAsia="zh-CN"/>
                    </w:rPr>
                    <w:t>浑浊度、pH、溶解性总固体、氯化物、硝酸盐（以 N 计）、亚硝酸盐（以 N 计）</w:t>
                  </w:r>
                </w:p>
              </w:tc>
              <w:tc>
                <w:tcPr>
                  <w:tcW w:w="117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eastAsia"/>
                      <w:b w:val="0"/>
                      <w:bCs/>
                      <w:color w:val="auto"/>
                      <w:sz w:val="21"/>
                      <w:szCs w:val="21"/>
                      <w:lang w:val="en-US" w:eastAsia="zh-CN"/>
                    </w:rPr>
                  </w:pPr>
                  <w:r>
                    <w:rPr>
                      <w:rFonts w:hint="eastAsia"/>
                      <w:b w:val="0"/>
                      <w:bCs/>
                      <w:color w:val="auto"/>
                      <w:sz w:val="21"/>
                      <w:szCs w:val="21"/>
                      <w:lang w:val="en-US" w:eastAsia="zh-CN"/>
                    </w:rPr>
                    <w:t>每季度1次</w:t>
                  </w:r>
                </w:p>
              </w:tc>
              <w:tc>
                <w:tcPr>
                  <w:tcW w:w="2355"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b w:val="0"/>
                      <w:bCs/>
                      <w:color w:val="auto"/>
                      <w:sz w:val="21"/>
                      <w:szCs w:val="21"/>
                      <w:lang w:eastAsia="zh-CN"/>
                    </w:rPr>
                  </w:pPr>
                  <w:r>
                    <w:rPr>
                      <w:rFonts w:hint="default"/>
                      <w:b w:val="0"/>
                      <w:bCs/>
                      <w:color w:val="auto"/>
                      <w:sz w:val="21"/>
                      <w:szCs w:val="21"/>
                      <w:lang w:val="en-US" w:eastAsia="zh-CN"/>
                    </w:rPr>
                    <w:t>《地下水质量标准》（GB/T 14848-2017）III类标准</w:t>
                  </w:r>
                </w:p>
              </w:tc>
            </w:tr>
          </w:tbl>
          <w:p>
            <w:pPr>
              <w:adjustRightInd w:val="0"/>
              <w:snapToGrid w:val="0"/>
              <w:spacing w:line="360" w:lineRule="auto"/>
              <w:rPr>
                <w:rFonts w:hint="eastAsia" w:ascii="Times New Roman" w:hAnsi="Times New Roman" w:eastAsia="宋体" w:cs="Times New Roman"/>
                <w:b/>
                <w:bCs/>
                <w:sz w:val="24"/>
                <w:lang w:val="en-US" w:eastAsia="zh-CN"/>
              </w:rPr>
            </w:pPr>
          </w:p>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10、项目环保治理投资估算</w:t>
            </w:r>
          </w:p>
          <w:p>
            <w:pPr>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w:t>
            </w:r>
            <w:r>
              <w:rPr>
                <w:rFonts w:hint="eastAsia" w:ascii="Times New Roman" w:hAnsi="Times New Roman" w:eastAsia="宋体" w:cs="Times New Roman"/>
                <w:kern w:val="0"/>
                <w:sz w:val="24"/>
                <w:highlight w:val="none"/>
                <w:lang w:val="en-US" w:eastAsia="zh-CN"/>
              </w:rPr>
              <w:t>项目总投资1000万元，其中环保投资142.7万元，环保投资占总投资的14.27%。本项目</w:t>
            </w:r>
            <w:r>
              <w:rPr>
                <w:rFonts w:hint="eastAsia" w:ascii="Times New Roman" w:hAnsi="Times New Roman" w:eastAsia="宋体" w:cs="Times New Roman"/>
                <w:kern w:val="0"/>
                <w:sz w:val="24"/>
                <w:lang w:val="en-US" w:eastAsia="zh-CN"/>
              </w:rPr>
              <w:t>环保治理措施及具体投资见下表：</w:t>
            </w:r>
          </w:p>
          <w:p>
            <w:pPr>
              <w:widowControl/>
              <w:adjustRightInd w:val="0"/>
              <w:snapToGrid w:val="0"/>
              <w:spacing w:line="360" w:lineRule="auto"/>
              <w:ind w:right="113" w:firstLine="48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表</w:t>
            </w:r>
            <w:r>
              <w:rPr>
                <w:rFonts w:hint="eastAsia" w:ascii="Times New Roman" w:hAnsi="Times New Roman" w:eastAsia="宋体" w:cs="Times New Roman"/>
                <w:b/>
                <w:kern w:val="0"/>
                <w:szCs w:val="21"/>
              </w:rPr>
              <w:t>4</w:t>
            </w:r>
            <w:r>
              <w:rPr>
                <w:rFonts w:ascii="Times New Roman" w:hAnsi="Times New Roman" w:eastAsia="宋体" w:cs="Times New Roman"/>
                <w:b/>
                <w:kern w:val="0"/>
                <w:szCs w:val="21"/>
              </w:rPr>
              <w:t>-</w:t>
            </w:r>
            <w:r>
              <w:rPr>
                <w:rFonts w:hint="eastAsia" w:ascii="Times New Roman" w:hAnsi="Times New Roman" w:eastAsia="宋体" w:cs="Times New Roman"/>
                <w:b/>
                <w:kern w:val="0"/>
                <w:szCs w:val="21"/>
                <w:lang w:val="en-US" w:eastAsia="zh-CN"/>
              </w:rPr>
              <w:t>9</w:t>
            </w:r>
            <w:r>
              <w:rPr>
                <w:rFonts w:ascii="Times New Roman" w:hAnsi="Times New Roman" w:eastAsia="宋体" w:cs="Times New Roman"/>
                <w:b/>
                <w:kern w:val="0"/>
                <w:szCs w:val="21"/>
              </w:rPr>
              <w:t xml:space="preserve">  </w:t>
            </w:r>
            <w:r>
              <w:rPr>
                <w:rFonts w:hint="eastAsia" w:ascii="Times New Roman" w:hAnsi="Times New Roman" w:eastAsia="宋体" w:cs="Times New Roman"/>
                <w:b/>
                <w:kern w:val="0"/>
                <w:szCs w:val="21"/>
                <w:lang w:val="en-US" w:eastAsia="zh-CN"/>
              </w:rPr>
              <w:t>环保投资一览</w:t>
            </w:r>
            <w:r>
              <w:rPr>
                <w:rFonts w:ascii="Times New Roman" w:hAnsi="Times New Roman" w:eastAsia="宋体" w:cs="Times New Roman"/>
                <w:b/>
                <w:kern w:val="0"/>
                <w:szCs w:val="21"/>
              </w:rPr>
              <w:t>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63"/>
              <w:gridCol w:w="1337"/>
              <w:gridCol w:w="2088"/>
              <w:gridCol w:w="1464"/>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序号</w:t>
                  </w:r>
                </w:p>
              </w:tc>
              <w:tc>
                <w:tcPr>
                  <w:tcW w:w="2100" w:type="dxa"/>
                  <w:gridSpan w:val="2"/>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类别</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设施名称</w:t>
                  </w:r>
                </w:p>
              </w:tc>
              <w:tc>
                <w:tcPr>
                  <w:tcW w:w="1464" w:type="dxa"/>
                  <w:noWrap w:val="0"/>
                  <w:vAlign w:val="center"/>
                </w:tcPr>
                <w:p>
                  <w:pPr>
                    <w:jc w:val="center"/>
                    <w:rPr>
                      <w:szCs w:val="21"/>
                    </w:rPr>
                  </w:pPr>
                  <w:r>
                    <w:rPr>
                      <w:szCs w:val="21"/>
                    </w:rPr>
                    <w:t>投资</w:t>
                  </w:r>
                </w:p>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szCs w:val="21"/>
                    </w:rPr>
                    <w:t>(万元)</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trPr>
              <w:tc>
                <w:tcPr>
                  <w:tcW w:w="696"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763"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w:t>
                  </w:r>
                </w:p>
              </w:tc>
              <w:tc>
                <w:tcPr>
                  <w:tcW w:w="1337"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填埋场扬尘</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1辆洒水车</w:t>
                  </w:r>
                </w:p>
              </w:tc>
              <w:tc>
                <w:tcPr>
                  <w:tcW w:w="1464"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szCs w:val="21"/>
                      <w:lang w:val="en-US" w:eastAsia="zh-CN"/>
                    </w:rPr>
                  </w:pPr>
                  <w:r>
                    <w:rPr>
                      <w:rFonts w:hint="eastAsia"/>
                      <w:szCs w:val="21"/>
                      <w:lang w:val="en-US" w:eastAsia="zh-CN"/>
                    </w:rPr>
                    <w:t>12</w:t>
                  </w:r>
                </w:p>
              </w:tc>
              <w:tc>
                <w:tcPr>
                  <w:tcW w:w="1588"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763"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1337"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分区作业、压实、洒水抑尘、覆盖措施</w:t>
                  </w:r>
                </w:p>
              </w:tc>
              <w:tc>
                <w:tcPr>
                  <w:tcW w:w="1464"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1588"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763"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1337"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破碎生产区</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厂房三面围挡+顶部密闭，喷雾降尘</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763"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1337"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食堂油烟</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油烟净化器</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依托已建设施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lang w:val="en-US" w:eastAsia="zh-CN"/>
                    </w:rPr>
                  </w:pPr>
                  <w:r>
                    <w:rPr>
                      <w:rFonts w:hint="eastAsia"/>
                      <w:lang w:val="en-US" w:eastAsia="zh-CN"/>
                    </w:rPr>
                    <w:t>2</w:t>
                  </w:r>
                </w:p>
              </w:tc>
              <w:tc>
                <w:tcPr>
                  <w:tcW w:w="2100" w:type="dxa"/>
                  <w:gridSpan w:val="2"/>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噪声</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采用低噪声设备、定期保养维护、限速禁鸣标志</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lang w:val="en-US" w:eastAsia="zh-CN"/>
                    </w:rPr>
                  </w:pPr>
                  <w:r>
                    <w:rPr>
                      <w:rFonts w:hint="eastAsia"/>
                      <w:lang w:val="en-US" w:eastAsia="zh-CN"/>
                    </w:rPr>
                    <w:t>3</w:t>
                  </w:r>
                </w:p>
              </w:tc>
              <w:tc>
                <w:tcPr>
                  <w:tcW w:w="2100" w:type="dxa"/>
                  <w:gridSpan w:val="2"/>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废水</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办公生活区雨污分流系统</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依托已建设施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填埋区排水系统</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45</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1个20m</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b w:val="0"/>
                      <w:bCs/>
                      <w:color w:val="auto"/>
                      <w:sz w:val="21"/>
                      <w:szCs w:val="21"/>
                      <w:lang w:val="en-US" w:eastAsia="zh-CN"/>
                    </w:rPr>
                    <w:t>沉淀池（洗车槽）</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1.5</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1个10m</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b w:val="0"/>
                      <w:bCs/>
                      <w:color w:val="auto"/>
                      <w:sz w:val="21"/>
                      <w:szCs w:val="21"/>
                      <w:lang w:val="en-US" w:eastAsia="zh-CN"/>
                    </w:rPr>
                    <w:t>沉淀池（碎石破碎）</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2个（250m</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b w:val="0"/>
                      <w:bCs/>
                      <w:color w:val="auto"/>
                      <w:sz w:val="21"/>
                      <w:szCs w:val="21"/>
                      <w:lang w:val="en-US" w:eastAsia="zh-CN"/>
                    </w:rPr>
                    <w:t>）沉砂池</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1个10m</w:t>
                  </w:r>
                  <w:r>
                    <w:rPr>
                      <w:rFonts w:hint="eastAsia" w:ascii="Times New Roman" w:hAnsi="Times New Roman" w:eastAsia="宋体" w:cs="Times New Roman"/>
                      <w:b w:val="0"/>
                      <w:bCs/>
                      <w:color w:val="auto"/>
                      <w:sz w:val="21"/>
                      <w:szCs w:val="21"/>
                      <w:vertAlign w:val="superscript"/>
                      <w:lang w:val="en-US" w:eastAsia="zh-CN"/>
                    </w:rPr>
                    <w:t>3</w:t>
                  </w:r>
                  <w:r>
                    <w:rPr>
                      <w:rFonts w:hint="eastAsia" w:ascii="Times New Roman" w:hAnsi="Times New Roman" w:eastAsia="宋体" w:cs="Times New Roman"/>
                      <w:b w:val="0"/>
                      <w:bCs/>
                      <w:color w:val="auto"/>
                      <w:sz w:val="21"/>
                      <w:szCs w:val="21"/>
                      <w:lang w:val="en-US" w:eastAsia="zh-CN"/>
                    </w:rPr>
                    <w:t>化粪池</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依托已建设施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96"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2100" w:type="dxa"/>
                  <w:gridSpan w:val="2"/>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固废</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垃圾桶若干</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2100" w:type="dxa"/>
                  <w:gridSpan w:val="2"/>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地下水</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监测计划</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100" w:type="dxa"/>
                  <w:gridSpan w:val="2"/>
                  <w:vMerge w:val="continue"/>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pP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防渗系统</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15</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696"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eastAsia" w:eastAsia="宋体"/>
                      <w:lang w:val="en-US" w:eastAsia="zh-CN"/>
                    </w:rPr>
                  </w:pPr>
                  <w:r>
                    <w:rPr>
                      <w:rFonts w:hint="eastAsia"/>
                      <w:lang w:val="en-US" w:eastAsia="zh-CN"/>
                    </w:rPr>
                    <w:t>6</w:t>
                  </w:r>
                </w:p>
              </w:tc>
              <w:tc>
                <w:tcPr>
                  <w:tcW w:w="2100" w:type="dxa"/>
                  <w:gridSpan w:val="2"/>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eastAsia="宋体"/>
                      <w:lang w:val="en-US" w:eastAsia="zh-CN"/>
                    </w:rPr>
                  </w:pPr>
                  <w:r>
                    <w:rPr>
                      <w:rFonts w:hint="eastAsia"/>
                      <w:lang w:val="en-US" w:eastAsia="zh-CN"/>
                    </w:rPr>
                    <w:t>生态</w:t>
                  </w:r>
                </w:p>
              </w:tc>
              <w:tc>
                <w:tcPr>
                  <w:tcW w:w="20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绿化恢复</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40</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884" w:type="dxa"/>
                  <w:gridSpan w:val="4"/>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合计</w:t>
                  </w:r>
                </w:p>
              </w:tc>
              <w:tc>
                <w:tcPr>
                  <w:tcW w:w="1464"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142.7</w:t>
                  </w:r>
                </w:p>
              </w:tc>
              <w:tc>
                <w:tcPr>
                  <w:tcW w:w="1588"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contextualSpacing/>
                    <w:jc w:val="center"/>
                    <w:textAlignment w:val="baseline"/>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pPr>
              <w:pStyle w:val="37"/>
              <w:ind w:left="0" w:leftChars="0" w:firstLine="0" w:firstLineChars="0"/>
              <w:rPr>
                <w:rFonts w:hint="default"/>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cols w:space="720" w:num="1"/>
          <w:docGrid w:linePitch="312" w:charSpace="0"/>
        </w:sectPr>
      </w:pPr>
    </w:p>
    <w:p>
      <w:pPr>
        <w:pStyle w:val="33"/>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089"/>
        <w:gridCol w:w="1425"/>
        <w:gridCol w:w="1929"/>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pPr>
              <w:adjustRightInd w:val="0"/>
              <w:snapToGrid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要素</w:t>
            </w:r>
          </w:p>
        </w:tc>
        <w:tc>
          <w:tcPr>
            <w:tcW w:w="2089"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排放口(编号、</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名称)/污染源</w:t>
            </w:r>
          </w:p>
        </w:tc>
        <w:tc>
          <w:tcPr>
            <w:tcW w:w="1425"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1929"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1757"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600" w:type="dxa"/>
            <w:vMerge w:val="restart"/>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2089"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ascii="Times New Roman" w:hAnsi="Times New Roman" w:eastAsia="宋体" w:cs="Times New Roman"/>
                <w:sz w:val="24"/>
                <w:szCs w:val="24"/>
              </w:rPr>
            </w:pPr>
            <w:r>
              <w:rPr>
                <w:rFonts w:hint="eastAsia" w:ascii="Times New Roman" w:hAnsi="Times New Roman" w:eastAsia="宋体" w:cs="Times New Roman"/>
                <w:b w:val="0"/>
                <w:bCs/>
                <w:color w:val="auto"/>
                <w:sz w:val="24"/>
                <w:szCs w:val="24"/>
                <w:lang w:val="en-US" w:eastAsia="zh-CN"/>
              </w:rPr>
              <w:t>填埋场扬尘</w:t>
            </w:r>
          </w:p>
        </w:tc>
        <w:tc>
          <w:tcPr>
            <w:tcW w:w="142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TSP</w:t>
            </w:r>
          </w:p>
        </w:tc>
        <w:tc>
          <w:tcPr>
            <w:tcW w:w="1929"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洒水车、洒水抑尘、覆盖措施</w:t>
            </w:r>
          </w:p>
        </w:tc>
        <w:tc>
          <w:tcPr>
            <w:tcW w:w="1757" w:type="dxa"/>
            <w:vMerge w:val="restar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b w:val="0"/>
                <w:bCs/>
                <w:color w:val="auto"/>
                <w:kern w:val="18"/>
                <w:sz w:val="24"/>
                <w:szCs w:val="24"/>
                <w:lang w:val="en-US" w:eastAsia="zh-CN" w:bidi="ar-SA"/>
              </w:rPr>
            </w:pPr>
            <w:r>
              <w:rPr>
                <w:rFonts w:hint="eastAsia"/>
                <w:b w:val="0"/>
                <w:bCs/>
                <w:color w:val="auto"/>
                <w:sz w:val="24"/>
                <w:szCs w:val="24"/>
              </w:rPr>
              <w:t>GB16297-1996《大气污染物综合排放标准》中“无组织排放监控浓度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ascii="Times New Roman" w:hAnsi="Times New Roman" w:eastAsia="宋体" w:cs="Times New Roman"/>
                <w:sz w:val="24"/>
                <w:szCs w:val="24"/>
              </w:rPr>
            </w:pPr>
            <w:r>
              <w:rPr>
                <w:rFonts w:hint="eastAsia" w:ascii="Times New Roman" w:hAnsi="Times New Roman" w:eastAsia="宋体" w:cs="Times New Roman"/>
                <w:b w:val="0"/>
                <w:bCs/>
                <w:color w:val="auto"/>
                <w:sz w:val="24"/>
                <w:szCs w:val="24"/>
                <w:lang w:val="en-US" w:eastAsia="zh-CN"/>
              </w:rPr>
              <w:t>破碎生产区</w:t>
            </w:r>
          </w:p>
        </w:tc>
        <w:tc>
          <w:tcPr>
            <w:tcW w:w="142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TSP</w:t>
            </w:r>
          </w:p>
        </w:tc>
        <w:tc>
          <w:tcPr>
            <w:tcW w:w="192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厂房三面围挡+顶部密闭，喷雾降尘</w:t>
            </w:r>
          </w:p>
        </w:tc>
        <w:tc>
          <w:tcPr>
            <w:tcW w:w="1757" w:type="dxa"/>
            <w:vMerge w:val="continue"/>
            <w:noWrap w:val="0"/>
            <w:vAlign w:val="center"/>
          </w:tcPr>
          <w:p>
            <w:pPr>
              <w:adjustRightInd w:val="0"/>
              <w:snapToGrid w:val="0"/>
              <w:jc w:val="center"/>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baseline"/>
              <w:rPr>
                <w:rFonts w:hint="default" w:ascii="Times New Roman" w:hAnsi="Times New Roman" w:eastAsia="宋体" w:cs="Times New Roman"/>
                <w:sz w:val="24"/>
                <w:szCs w:val="24"/>
              </w:rPr>
            </w:pPr>
            <w:r>
              <w:rPr>
                <w:rFonts w:hint="eastAsia" w:ascii="Times New Roman" w:hAnsi="Times New Roman" w:eastAsia="宋体" w:cs="Times New Roman"/>
                <w:b w:val="0"/>
                <w:bCs/>
                <w:color w:val="auto"/>
                <w:sz w:val="24"/>
                <w:szCs w:val="24"/>
                <w:lang w:val="en-US" w:eastAsia="zh-CN"/>
              </w:rPr>
              <w:t>食堂油烟</w:t>
            </w:r>
          </w:p>
        </w:tc>
        <w:tc>
          <w:tcPr>
            <w:tcW w:w="1425"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油烟</w:t>
            </w:r>
          </w:p>
        </w:tc>
        <w:tc>
          <w:tcPr>
            <w:tcW w:w="192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油烟净化器</w:t>
            </w:r>
          </w:p>
        </w:tc>
        <w:tc>
          <w:tcPr>
            <w:tcW w:w="175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sz w:val="24"/>
              </w:rPr>
              <w:t>《饮食业油烟排放标准》（试行）（GB18483-2001）</w:t>
            </w:r>
            <w:r>
              <w:rPr>
                <w:rFonts w:hint="eastAsia"/>
                <w:sz w:val="24"/>
                <w:lang w:val="en-US" w:eastAsia="zh-CN"/>
              </w:rPr>
              <w:t>2</w:t>
            </w:r>
            <w:r>
              <w:rPr>
                <w:sz w:val="24"/>
              </w:rPr>
              <w:t>mg/m</w:t>
            </w:r>
            <w:r>
              <w:rPr>
                <w:sz w:val="24"/>
                <w:vertAlign w:val="superscript"/>
              </w:rPr>
              <w:t>3</w:t>
            </w:r>
            <w:r>
              <w:rPr>
                <w:rFonts w:hint="eastAsia"/>
                <w:sz w:val="24"/>
                <w:vertAlign w:val="baseline"/>
                <w:lang w:val="en-US" w:eastAsia="zh-CN"/>
              </w:rPr>
              <w:t>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600" w:type="dxa"/>
            <w:vMerge w:val="restart"/>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喷雾管网用水</w:t>
            </w:r>
          </w:p>
        </w:tc>
        <w:tc>
          <w:tcPr>
            <w:tcW w:w="1425" w:type="dxa"/>
            <w:noWrap w:val="0"/>
            <w:vAlign w:val="center"/>
          </w:tcPr>
          <w:p>
            <w:pPr>
              <w:adjustRightInd w:val="0"/>
              <w:snapToGrid w:val="0"/>
              <w:spacing w:line="256"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全部蒸发</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堆场扬尘用水</w:t>
            </w:r>
          </w:p>
        </w:tc>
        <w:tc>
          <w:tcPr>
            <w:tcW w:w="1425" w:type="dxa"/>
            <w:noWrap w:val="0"/>
            <w:vAlign w:val="center"/>
          </w:tcPr>
          <w:p>
            <w:pPr>
              <w:adjustRightInd w:val="0"/>
              <w:snapToGrid w:val="0"/>
              <w:spacing w:line="256"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全部蒸发</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道路降尘用水</w:t>
            </w:r>
          </w:p>
        </w:tc>
        <w:tc>
          <w:tcPr>
            <w:tcW w:w="1425" w:type="dxa"/>
            <w:noWrap w:val="0"/>
            <w:vAlign w:val="center"/>
          </w:tcPr>
          <w:p>
            <w:pPr>
              <w:adjustRightInd w:val="0"/>
              <w:snapToGrid w:val="0"/>
              <w:spacing w:line="256"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全部蒸发</w:t>
            </w:r>
          </w:p>
        </w:tc>
        <w:tc>
          <w:tcPr>
            <w:tcW w:w="175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喷淋废水</w:t>
            </w:r>
          </w:p>
        </w:tc>
        <w:tc>
          <w:tcPr>
            <w:tcW w:w="1425" w:type="dxa"/>
            <w:noWrap w:val="0"/>
            <w:vAlign w:val="center"/>
          </w:tcPr>
          <w:p>
            <w:pPr>
              <w:adjustRightInd w:val="0"/>
              <w:snapToGrid w:val="0"/>
              <w:spacing w:line="256"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SS</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沉淀池+絮凝剂处置后回用</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洗车废水</w:t>
            </w:r>
          </w:p>
        </w:tc>
        <w:tc>
          <w:tcPr>
            <w:tcW w:w="1425" w:type="dxa"/>
            <w:noWrap w:val="0"/>
            <w:vAlign w:val="center"/>
          </w:tcPr>
          <w:p>
            <w:pPr>
              <w:adjustRightInd w:val="0"/>
              <w:snapToGrid w:val="0"/>
              <w:spacing w:line="256"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SS</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lang w:val="en-US" w:eastAsia="zh-CN"/>
              </w:rPr>
              <w:t>沉淀池处置后回用</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ascii="Times New Roman" w:hAnsi="Times New Roman" w:eastAsia="宋体" w:cs="Times New Roman"/>
                <w:sz w:val="24"/>
                <w:szCs w:val="24"/>
                <w:lang w:val="en-US"/>
              </w:rPr>
            </w:pPr>
            <w:r>
              <w:rPr>
                <w:rFonts w:hint="eastAsia"/>
                <w:sz w:val="24"/>
                <w:szCs w:val="24"/>
                <w:lang w:val="en-US" w:eastAsia="zh-CN"/>
              </w:rPr>
              <w:t>生活污水、餐饮废水</w:t>
            </w:r>
          </w:p>
        </w:tc>
        <w:tc>
          <w:tcPr>
            <w:tcW w:w="1425"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sz w:val="24"/>
              </w:rPr>
              <w:t>pH、COD、</w:t>
            </w:r>
            <w:r>
              <w:rPr>
                <w:spacing w:val="-1"/>
                <w:position w:val="2"/>
                <w:sz w:val="24"/>
              </w:rPr>
              <w:t>BOD</w:t>
            </w:r>
            <w:r>
              <w:rPr>
                <w:spacing w:val="-1"/>
                <w:sz w:val="24"/>
                <w:vertAlign w:val="subscript"/>
              </w:rPr>
              <w:t>5</w:t>
            </w:r>
            <w:r>
              <w:rPr>
                <w:spacing w:val="-18"/>
                <w:position w:val="2"/>
                <w:sz w:val="24"/>
              </w:rPr>
              <w:t>、</w:t>
            </w:r>
            <w:r>
              <w:rPr>
                <w:w w:val="95"/>
                <w:sz w:val="24"/>
              </w:rPr>
              <w:t>SS、氨氮、TN、TP</w:t>
            </w:r>
          </w:p>
        </w:tc>
        <w:tc>
          <w:tcPr>
            <w:tcW w:w="1929" w:type="dxa"/>
            <w:noWrap w:val="0"/>
            <w:vAlign w:val="center"/>
          </w:tcPr>
          <w:p>
            <w:pPr>
              <w:adjustRightInd w:val="0"/>
              <w:snapToGrid w:val="0"/>
              <w:spacing w:line="256" w:lineRule="exact"/>
              <w:jc w:val="center"/>
              <w:rPr>
                <w:rFonts w:hint="default" w:ascii="Times New Roman" w:hAnsi="Times New Roman" w:eastAsia="宋体" w:cs="Times New Roman"/>
                <w:sz w:val="24"/>
                <w:szCs w:val="24"/>
              </w:rPr>
            </w:pPr>
            <w:r>
              <w:rPr>
                <w:rFonts w:hint="eastAsia"/>
                <w:sz w:val="24"/>
                <w:szCs w:val="24"/>
              </w:rPr>
              <w:t>餐饮</w:t>
            </w:r>
            <w:r>
              <w:rPr>
                <w:sz w:val="24"/>
                <w:szCs w:val="24"/>
              </w:rPr>
              <w:t>废水经隔油池</w:t>
            </w:r>
            <w:r>
              <w:rPr>
                <w:rFonts w:hint="eastAsia"/>
                <w:sz w:val="24"/>
                <w:szCs w:val="24"/>
                <w:lang w:eastAsia="zh-CN"/>
              </w:rPr>
              <w:t>（</w:t>
            </w:r>
            <w:r>
              <w:rPr>
                <w:rFonts w:hint="eastAsia"/>
                <w:sz w:val="24"/>
                <w:szCs w:val="24"/>
                <w:lang w:val="en-US" w:eastAsia="zh-CN"/>
              </w:rPr>
              <w:t>1个，5m</w:t>
            </w:r>
            <w:r>
              <w:rPr>
                <w:rFonts w:hint="eastAsia"/>
                <w:sz w:val="24"/>
                <w:szCs w:val="24"/>
                <w:vertAlign w:val="superscript"/>
                <w:lang w:val="en-US" w:eastAsia="zh-CN"/>
              </w:rPr>
              <w:t>3</w:t>
            </w:r>
            <w:r>
              <w:rPr>
                <w:rFonts w:hint="eastAsia"/>
                <w:sz w:val="24"/>
                <w:szCs w:val="24"/>
                <w:lang w:eastAsia="zh-CN"/>
              </w:rPr>
              <w:t>）</w:t>
            </w:r>
            <w:r>
              <w:rPr>
                <w:sz w:val="24"/>
                <w:szCs w:val="24"/>
              </w:rPr>
              <w:t>处理后与</w:t>
            </w:r>
            <w:r>
              <w:rPr>
                <w:rFonts w:hint="eastAsia"/>
                <w:sz w:val="24"/>
                <w:szCs w:val="24"/>
              </w:rPr>
              <w:t>生活污水</w:t>
            </w:r>
            <w:r>
              <w:rPr>
                <w:sz w:val="24"/>
                <w:szCs w:val="24"/>
              </w:rPr>
              <w:t>一并进入</w:t>
            </w:r>
            <w:r>
              <w:rPr>
                <w:rFonts w:hint="eastAsia"/>
                <w:sz w:val="24"/>
                <w:szCs w:val="24"/>
                <w:lang w:val="en-US" w:eastAsia="zh-CN"/>
              </w:rPr>
              <w:t>化粪池</w:t>
            </w:r>
            <w:r>
              <w:rPr>
                <w:rFonts w:hint="eastAsia"/>
                <w:sz w:val="24"/>
                <w:szCs w:val="24"/>
              </w:rPr>
              <w:t>（1个，</w:t>
            </w:r>
            <w:r>
              <w:rPr>
                <w:rFonts w:hint="eastAsia"/>
                <w:sz w:val="24"/>
                <w:szCs w:val="24"/>
                <w:lang w:val="en-US" w:eastAsia="zh-CN"/>
              </w:rPr>
              <w:t>1</w:t>
            </w:r>
            <w:r>
              <w:rPr>
                <w:rFonts w:hint="eastAsia"/>
                <w:sz w:val="24"/>
                <w:szCs w:val="24"/>
              </w:rPr>
              <w:t>0m</w:t>
            </w:r>
            <w:r>
              <w:rPr>
                <w:rFonts w:hint="eastAsia"/>
                <w:sz w:val="24"/>
                <w:szCs w:val="24"/>
                <w:vertAlign w:val="superscript"/>
              </w:rPr>
              <w:t>3</w:t>
            </w:r>
            <w:r>
              <w:rPr>
                <w:rFonts w:hint="eastAsia"/>
                <w:sz w:val="24"/>
                <w:szCs w:val="24"/>
              </w:rPr>
              <w:t>）</w:t>
            </w:r>
            <w:r>
              <w:rPr>
                <w:sz w:val="24"/>
                <w:szCs w:val="24"/>
              </w:rPr>
              <w:t>处理后用于</w:t>
            </w:r>
            <w:r>
              <w:rPr>
                <w:rFonts w:hint="eastAsia"/>
                <w:sz w:val="24"/>
                <w:szCs w:val="24"/>
              </w:rPr>
              <w:t>周边</w:t>
            </w:r>
            <w:r>
              <w:rPr>
                <w:rFonts w:hint="eastAsia"/>
                <w:sz w:val="24"/>
                <w:szCs w:val="24"/>
                <w:lang w:val="en-US" w:eastAsia="zh-CN"/>
              </w:rPr>
              <w:t>土地施肥</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2089" w:type="dxa"/>
            <w:noWrap w:val="0"/>
            <w:vAlign w:val="center"/>
          </w:tcPr>
          <w:p>
            <w:pPr>
              <w:adjustRightInd w:val="0"/>
              <w:snapToGrid w:val="0"/>
              <w:spacing w:line="256" w:lineRule="exact"/>
              <w:jc w:val="center"/>
              <w:rPr>
                <w:rFonts w:hint="default"/>
                <w:sz w:val="24"/>
                <w:szCs w:val="24"/>
                <w:lang w:val="en-US" w:eastAsia="zh-CN"/>
              </w:rPr>
            </w:pPr>
            <w:r>
              <w:rPr>
                <w:rFonts w:hint="eastAsia"/>
                <w:sz w:val="24"/>
                <w:szCs w:val="24"/>
                <w:lang w:val="en-US" w:eastAsia="zh-CN"/>
              </w:rPr>
              <w:t>雨水</w:t>
            </w:r>
          </w:p>
        </w:tc>
        <w:tc>
          <w:tcPr>
            <w:tcW w:w="1425" w:type="dxa"/>
            <w:noWrap w:val="0"/>
            <w:vAlign w:val="center"/>
          </w:tcPr>
          <w:p>
            <w:pPr>
              <w:adjustRightInd w:val="0"/>
              <w:snapToGrid w:val="0"/>
              <w:spacing w:line="256" w:lineRule="exact"/>
              <w:jc w:val="center"/>
              <w:rPr>
                <w:sz w:val="24"/>
              </w:rPr>
            </w:pPr>
            <w:r>
              <w:rPr>
                <w:sz w:val="24"/>
              </w:rPr>
              <w:t>pH、COD、</w:t>
            </w:r>
            <w:r>
              <w:rPr>
                <w:spacing w:val="-1"/>
                <w:position w:val="2"/>
                <w:sz w:val="24"/>
              </w:rPr>
              <w:t>BOD</w:t>
            </w:r>
            <w:r>
              <w:rPr>
                <w:spacing w:val="-1"/>
                <w:sz w:val="24"/>
                <w:vertAlign w:val="subscript"/>
              </w:rPr>
              <w:t>5</w:t>
            </w:r>
            <w:r>
              <w:rPr>
                <w:spacing w:val="-18"/>
                <w:position w:val="2"/>
                <w:sz w:val="24"/>
              </w:rPr>
              <w:t>、</w:t>
            </w:r>
            <w:r>
              <w:rPr>
                <w:w w:val="95"/>
                <w:sz w:val="24"/>
              </w:rPr>
              <w:t>SS、氨氮、TN、TP</w:t>
            </w:r>
          </w:p>
        </w:tc>
        <w:tc>
          <w:tcPr>
            <w:tcW w:w="1929" w:type="dxa"/>
            <w:noWrap w:val="0"/>
            <w:vAlign w:val="center"/>
          </w:tcPr>
          <w:p>
            <w:pPr>
              <w:adjustRightInd w:val="0"/>
              <w:snapToGrid w:val="0"/>
              <w:spacing w:line="256" w:lineRule="exact"/>
              <w:jc w:val="center"/>
              <w:rPr>
                <w:rFonts w:hint="default" w:eastAsia="宋体"/>
                <w:sz w:val="24"/>
                <w:szCs w:val="24"/>
                <w:lang w:val="en-US" w:eastAsia="zh-CN"/>
              </w:rPr>
            </w:pPr>
            <w:r>
              <w:rPr>
                <w:rFonts w:hint="eastAsia"/>
                <w:sz w:val="24"/>
                <w:szCs w:val="24"/>
                <w:lang w:val="en-US" w:eastAsia="zh-CN"/>
              </w:rPr>
              <w:t>填埋区排水系统、盲沟收集至沉砂池，处置后填埋区洒水降尘</w:t>
            </w:r>
          </w:p>
        </w:tc>
        <w:tc>
          <w:tcPr>
            <w:tcW w:w="175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0"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208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运输、作业</w:t>
            </w:r>
          </w:p>
        </w:tc>
        <w:tc>
          <w:tcPr>
            <w:tcW w:w="142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生产噪声</w:t>
            </w:r>
          </w:p>
        </w:tc>
        <w:tc>
          <w:tcPr>
            <w:tcW w:w="1929" w:type="dxa"/>
            <w:noWrap w:val="0"/>
            <w:vAlign w:val="center"/>
          </w:tcPr>
          <w:p>
            <w:pPr>
              <w:adjustRightInd w:val="0"/>
              <w:snapToGrid w:val="0"/>
              <w:jc w:val="center"/>
              <w:rPr>
                <w:rFonts w:hint="default" w:ascii="Times New Roman" w:hAnsi="Times New Roman" w:eastAsia="宋体" w:cs="Times New Roman"/>
                <w:sz w:val="24"/>
                <w:szCs w:val="24"/>
              </w:rPr>
            </w:pPr>
            <w:r>
              <w:rPr>
                <w:rFonts w:hint="eastAsia"/>
                <w:sz w:val="24"/>
              </w:rPr>
              <w:t>合理布局、</w:t>
            </w:r>
            <w:r>
              <w:rPr>
                <w:rFonts w:hint="eastAsia"/>
                <w:sz w:val="24"/>
                <w:lang w:val="en-US" w:eastAsia="zh-CN"/>
              </w:rPr>
              <w:t>破碎</w:t>
            </w:r>
            <w:r>
              <w:rPr>
                <w:rFonts w:hint="eastAsia"/>
                <w:sz w:val="24"/>
              </w:rPr>
              <w:t>厂房隔声、基础减震；距离衰减</w:t>
            </w:r>
          </w:p>
        </w:tc>
        <w:tc>
          <w:tcPr>
            <w:tcW w:w="1757" w:type="dxa"/>
            <w:noWrap w:val="0"/>
            <w:vAlign w:val="center"/>
          </w:tcPr>
          <w:p>
            <w:pPr>
              <w:adjustRightInd w:val="0"/>
              <w:snapToGrid w:val="0"/>
              <w:jc w:val="center"/>
              <w:rPr>
                <w:rFonts w:hint="default" w:ascii="Times New Roman" w:hAnsi="Times New Roman" w:eastAsia="宋体" w:cs="Times New Roman"/>
                <w:sz w:val="24"/>
                <w:szCs w:val="24"/>
              </w:rPr>
            </w:pPr>
            <w:r>
              <w:rPr>
                <w:rFonts w:hint="eastAsia"/>
                <w:sz w:val="24"/>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00"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电磁辐射</w:t>
            </w:r>
          </w:p>
        </w:tc>
        <w:tc>
          <w:tcPr>
            <w:tcW w:w="2089"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425"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92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00"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200" w:type="dxa"/>
            <w:gridSpan w:val="4"/>
            <w:noWrap w:val="0"/>
            <w:vAlign w:val="center"/>
          </w:tcPr>
          <w:p>
            <w:pPr>
              <w:adjustRightInd w:val="0"/>
              <w:snapToGrid w:val="0"/>
              <w:spacing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破碎生产区沉淀池的底泥定期清掏，自然风干后，填埋处置；</w:t>
            </w:r>
          </w:p>
          <w:p>
            <w:pPr>
              <w:adjustRightInd w:val="0"/>
              <w:snapToGrid w:val="0"/>
              <w:spacing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车辆清洗废水沉淀池的泥沙定期清掏，自然风干后填埋处置；</w:t>
            </w:r>
          </w:p>
          <w:p>
            <w:pPr>
              <w:adjustRightInd w:val="0"/>
              <w:snapToGrid w:val="0"/>
              <w:spacing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沉砂池产生的底泥定期清掏，自然风干后，填埋处置；</w:t>
            </w:r>
          </w:p>
          <w:p>
            <w:pPr>
              <w:adjustRightInd w:val="0"/>
              <w:snapToGrid w:val="0"/>
              <w:spacing w:line="360" w:lineRule="auto"/>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化粪池底泥定期清掏，清掏出的底泥用于周边绿化施肥。</w:t>
            </w:r>
          </w:p>
          <w:p>
            <w:pPr>
              <w:adjustRightInd w:val="0"/>
              <w:snapToGrid w:val="0"/>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生活垃圾产生量较大，对分类收集后定期交由环卫部门处理。</w:t>
            </w:r>
          </w:p>
          <w:p>
            <w:pPr>
              <w:adjustRightInd w:val="0"/>
              <w:snapToGrid w:val="0"/>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废机油</w:t>
            </w:r>
            <w:r>
              <w:rPr>
                <w:rFonts w:hint="default" w:ascii="Times New Roman" w:hAnsi="Times New Roman" w:eastAsia="宋体" w:cs="Times New Roman"/>
                <w:sz w:val="24"/>
                <w:szCs w:val="24"/>
                <w:lang w:val="en-US" w:eastAsia="zh-CN"/>
              </w:rPr>
              <w:t>由维修人员打包带走，交由资质单位处置</w:t>
            </w:r>
            <w:r>
              <w:rPr>
                <w:rFonts w:hint="default"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00"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污染防治措施</w:t>
            </w:r>
          </w:p>
        </w:tc>
        <w:tc>
          <w:tcPr>
            <w:tcW w:w="7200" w:type="dxa"/>
            <w:gridSpan w:val="4"/>
            <w:noWrap w:val="0"/>
            <w:vAlign w:val="center"/>
          </w:tcPr>
          <w:p>
            <w:pPr>
              <w:adjustRightInd w:val="0"/>
              <w:snapToGrid w:val="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填埋区设置了截排水沟、平台排水沟等排水工程，有效截留了雨水流入填埋区。同时，中轴线设置排水盲沟（填筑透水性强的天然砂砾，外包反滤土工布）以防止雨水向下渗集，雨水经收集后排入沉砂池，用于填埋区作业抑尘。同时，在填埋区下游设置1口地下水监测井，确保在非正常状况下渗出水渗漏能够被及时发现，防止渗出水持续下渗污染地下水，并在运营期应加强地下水水质的跟踪监测。</w:t>
            </w:r>
          </w:p>
          <w:p>
            <w:pPr>
              <w:adjustRightInd w:val="0"/>
              <w:snapToGrid w:val="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填埋场可能产生的地面漫流有沉砂池中收集的雨水。场区建设时填埋区按照《建筑垃圾处理技术标准》(CJ/T134-2019）中要求进行防渗，办公区、道路进行简单防渗，破碎生产区地面进行水泥硬化处理，建设有完善的截排水设施及雨水排水系统，在正常工况下，不会由于渗出水中有害成分被雨水冲刷进入土壤环境。因此，本项目正常情况下可以防控污染物随地表漫流进入土壤环境。</w:t>
            </w:r>
          </w:p>
          <w:p>
            <w:pPr>
              <w:adjustRightInd w:val="0"/>
              <w:snapToGrid w:val="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本项目填埋场选址四周有天然绿化隔离带，同时，建设单位在填埋区南侧边界建设1座碾压拦渣坝。</w:t>
            </w:r>
          </w:p>
          <w:p>
            <w:pPr>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此外，运营期建设单位应加强库区坝体安全检查，如有溃坝倾向及时采取措施加固，一旦溃坝污染物泄漏，应及时采取应急措施，恢复坝体，及时清理泄漏物乃被污染的表土层。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00"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200" w:type="dxa"/>
            <w:gridSpan w:val="4"/>
            <w:noWrap w:val="0"/>
            <w:vAlign w:val="center"/>
          </w:tcPr>
          <w:p>
            <w:pPr>
              <w:adjustRightInd w:val="0"/>
              <w:snapToGrid w:val="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本项目总占地</w:t>
            </w:r>
            <w:r>
              <w:rPr>
                <w:rFonts w:hint="default" w:ascii="Times New Roman" w:hAnsi="Times New Roman" w:eastAsia="宋体" w:cs="Times New Roman"/>
                <w:sz w:val="24"/>
                <w:szCs w:val="24"/>
                <w:lang w:val="en-US" w:eastAsia="zh-CN"/>
              </w:rPr>
              <w:t>53346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项目建设将会导致建设区域植被破坏，项目建成后植被破坏区域填埋覆土绿化。项目封场后填埋区全部绿化，场内弃土堆存区域进行生态恢复，植被将恢复到项目建设前的水平或略有提高，届时植被破坏将得到恢复，在较长的时间尺度上来看，植被的破坏是暂时的和可逆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76" w:hRule="atLeast"/>
          <w:jc w:val="center"/>
        </w:trPr>
        <w:tc>
          <w:tcPr>
            <w:tcW w:w="1600" w:type="dxa"/>
            <w:noWrap w:val="0"/>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防范措施</w:t>
            </w:r>
          </w:p>
        </w:tc>
        <w:tc>
          <w:tcPr>
            <w:tcW w:w="7200" w:type="dxa"/>
            <w:gridSpan w:val="4"/>
            <w:noWrap w:val="0"/>
            <w:vAlign w:val="center"/>
          </w:tcPr>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①</w:t>
            </w:r>
            <w:r>
              <w:rPr>
                <w:rFonts w:hint="default" w:ascii="Times New Roman" w:hAnsi="Times New Roman" w:eastAsia="宋体" w:cs="Times New Roman"/>
                <w:kern w:val="0"/>
                <w:sz w:val="24"/>
                <w:szCs w:val="24"/>
                <w:lang w:val="en-US" w:eastAsia="zh-CN"/>
              </w:rPr>
              <w:t>雨水</w:t>
            </w:r>
            <w:r>
              <w:rPr>
                <w:rFonts w:hint="default" w:ascii="Times New Roman" w:hAnsi="Times New Roman" w:eastAsia="宋体" w:cs="Times New Roman"/>
                <w:kern w:val="0"/>
                <w:sz w:val="24"/>
                <w:szCs w:val="24"/>
              </w:rPr>
              <w:t>收集与</w:t>
            </w:r>
            <w:r>
              <w:rPr>
                <w:rFonts w:hint="default" w:ascii="Times New Roman" w:hAnsi="Times New Roman" w:eastAsia="宋体" w:cs="Times New Roman"/>
                <w:kern w:val="0"/>
                <w:sz w:val="24"/>
                <w:szCs w:val="24"/>
                <w:lang w:val="en-US" w:eastAsia="zh-CN"/>
              </w:rPr>
              <w:t>排水</w:t>
            </w:r>
            <w:r>
              <w:rPr>
                <w:rFonts w:hint="default" w:ascii="Times New Roman" w:hAnsi="Times New Roman" w:eastAsia="宋体" w:cs="Times New Roman"/>
                <w:kern w:val="0"/>
                <w:sz w:val="24"/>
                <w:szCs w:val="24"/>
              </w:rPr>
              <w:t>系统</w:t>
            </w:r>
            <w:r>
              <w:rPr>
                <w:rFonts w:hint="default" w:ascii="Times New Roman" w:hAnsi="Times New Roman" w:eastAsia="宋体" w:cs="Times New Roman"/>
                <w:kern w:val="0"/>
                <w:sz w:val="24"/>
                <w:szCs w:val="24"/>
                <w:lang w:val="en-US" w:eastAsia="zh-CN"/>
              </w:rPr>
              <w:t>风险防范措施</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建议采取如下防范措施：</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A.雨季时，应留出沉砂池的剩余容积以调节强暴雨时的雨水。</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B.截排水沟、平台排水沟应加盖水泥盖板，并经常疏通，防止堵塞。</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C.场底渗出水导流系统施工一定要按有关规定进行，填埋覆土、压实要严格按规程操作。</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D.场区截洪沟应按照设计要求先行构筑，确保未被污染的强降水直接导出场外，减少暴雨对沉砂池的冲击。</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②垃圾坝溃决的影响分析与防治措施</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可采取的防范措施：</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A.精心设计，从设计上把好关，确保填埋场的稳定性和安全性。</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B.严格按设计图纸要求施工，严禁偷工减料:施工现场监理到位，严格把关，确保施工质量。</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C.确保场内排水系统的畅通，加强巡逻检查，发现垃圾坝出现裂缝应采取补救措施</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D.严格进行规范管理，按设计要求设置专人严格管理，落实责任。应按规定进行土地复垦和日常管理、维护，并按有关要求进行生态或植被的恢复，确保填埋场的稳定。</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E.严格按国家有关规定，定期对填埋场和垃圾坝安全性和稳定性进行评价，发现问题及时解决。</w:t>
            </w:r>
          </w:p>
          <w:p>
            <w:p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③池体渗漏风险防范措施</w:t>
            </w:r>
          </w:p>
          <w:p>
            <w:pPr>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定期检查化粪池</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lang w:val="en-US" w:eastAsia="zh-CN"/>
              </w:rPr>
              <w:t>沉淀池（洗车槽）、沉淀池（碎石破碎）、沉砂池</w:t>
            </w:r>
            <w:r>
              <w:rPr>
                <w:rFonts w:hint="default" w:ascii="Times New Roman" w:hAnsi="Times New Roman" w:eastAsia="宋体" w:cs="Times New Roman"/>
                <w:kern w:val="0"/>
                <w:sz w:val="24"/>
                <w:szCs w:val="24"/>
              </w:rPr>
              <w:t>，如发现化粪池</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lang w:val="en-US" w:eastAsia="zh-CN"/>
              </w:rPr>
              <w:t>沉淀池（洗车槽）、沉淀池（碎石破碎）、沉砂池</w:t>
            </w:r>
            <w:r>
              <w:rPr>
                <w:rFonts w:hint="default" w:ascii="Times New Roman" w:hAnsi="Times New Roman" w:eastAsia="宋体" w:cs="Times New Roman"/>
                <w:kern w:val="0"/>
                <w:sz w:val="24"/>
                <w:szCs w:val="24"/>
              </w:rPr>
              <w:t>发生渗漏，及时联系维修工人，及时维修，将渗漏风险的影响降到最低。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00" w:type="dxa"/>
            <w:noWrap w:val="0"/>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管理要求</w:t>
            </w:r>
          </w:p>
        </w:tc>
        <w:tc>
          <w:tcPr>
            <w:tcW w:w="7200" w:type="dxa"/>
            <w:gridSpan w:val="4"/>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废机油由维修工人打包带走，交由资质单位处置，不得在厂区堆存</w:t>
            </w:r>
          </w:p>
        </w:tc>
      </w:tr>
    </w:tbl>
    <w:p>
      <w:pPr>
        <w:pStyle w:val="3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adjustRightInd w:val="0"/>
              <w:snapToGrid w:val="0"/>
              <w:spacing w:line="360" w:lineRule="auto"/>
              <w:jc w:val="both"/>
              <w:rPr>
                <w:rFonts w:hint="eastAsia"/>
                <w:b/>
                <w:bCs/>
                <w:sz w:val="24"/>
              </w:rPr>
            </w:pPr>
            <w:r>
              <w:rPr>
                <w:rFonts w:hint="eastAsia"/>
                <w:b/>
                <w:bCs/>
                <w:sz w:val="24"/>
              </w:rPr>
              <w:t>一、评价结论</w:t>
            </w:r>
          </w:p>
          <w:p>
            <w:pPr>
              <w:adjustRightInd w:val="0"/>
              <w:snapToGrid w:val="0"/>
              <w:spacing w:line="360" w:lineRule="auto"/>
              <w:ind w:firstLine="480" w:firstLineChars="200"/>
              <w:jc w:val="both"/>
              <w:rPr>
                <w:rFonts w:ascii="宋体" w:cs="宋体"/>
                <w:sz w:val="24"/>
              </w:rPr>
            </w:pPr>
            <w:r>
              <w:rPr>
                <w:sz w:val="24"/>
              </w:rPr>
              <w:t>综上所述，评价认为：</w:t>
            </w:r>
            <w:r>
              <w:rPr>
                <w:rFonts w:hint="default"/>
                <w:sz w:val="24"/>
                <w:lang w:val="en-US" w:eastAsia="zh-CN"/>
              </w:rPr>
              <w:t>乐山市晨曦建材渣土运输有限公司</w:t>
            </w:r>
            <w:r>
              <w:rPr>
                <w:sz w:val="24"/>
              </w:rPr>
              <w:t>的“</w:t>
            </w:r>
            <w:r>
              <w:rPr>
                <w:rFonts w:hint="eastAsia"/>
                <w:sz w:val="24"/>
                <w:lang w:val="en-US" w:eastAsia="zh-CN"/>
              </w:rPr>
              <w:t>大湾弃土场项目</w:t>
            </w:r>
            <w:r>
              <w:rPr>
                <w:sz w:val="24"/>
              </w:rPr>
              <w:t>”符合国家产业发展政策，</w:t>
            </w:r>
            <w:r>
              <w:rPr>
                <w:rFonts w:hint="eastAsia"/>
                <w:sz w:val="24"/>
              </w:rPr>
              <w:t>选址符合《建筑垃圾处理技术标准》(CJJ/T134-2019）和《固体废物处理处置工程技术导则》(HJ2035-2013）中相关规定</w:t>
            </w:r>
            <w:r>
              <w:rPr>
                <w:sz w:val="24"/>
              </w:rPr>
              <w:t>，符合当地发展规划。</w:t>
            </w:r>
            <w:r>
              <w:rPr>
                <w:rFonts w:hint="eastAsia"/>
                <w:sz w:val="24"/>
              </w:rPr>
              <w:t>评价区现状环境质量较好，项目所采用的污染防治措施可行，能保证各种污染物稳定达标排放，正常运行时排放的污染物对周围环境影响较小</w:t>
            </w:r>
            <w:r>
              <w:rPr>
                <w:sz w:val="24"/>
              </w:rPr>
              <w:t>。因此，本评价认为，只要认真落实本报告表中提出的各项污染防治对策措施及环境风险防范措施，保证环境保护设施的有效运行，确保污染物稳定达标排放，从环保角度而言，本项目的建设是可行的。</w:t>
            </w:r>
          </w:p>
        </w:tc>
      </w:tr>
    </w:tbl>
    <w:p>
      <w:pPr>
        <w:rPr>
          <w:rFonts w:ascii="宋体"/>
        </w:rPr>
        <w:sectPr>
          <w:pgSz w:w="11906" w:h="16838"/>
          <w:pgMar w:top="1701" w:right="1531" w:bottom="1701" w:left="1531" w:header="851" w:footer="851" w:gutter="0"/>
          <w:cols w:space="720" w:num="1"/>
          <w:docGrid w:linePitch="312" w:charSpace="0"/>
        </w:sectPr>
      </w:pPr>
    </w:p>
    <w:p>
      <w:pPr>
        <w:pStyle w:val="33"/>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33"/>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3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noWrap w:val="0"/>
            <w:tcMar>
              <w:left w:w="28" w:type="dxa"/>
              <w:right w:w="28" w:type="dxa"/>
            </w:tcMar>
            <w:vAlign w:val="center"/>
          </w:tcPr>
          <w:p>
            <w:pPr>
              <w:pStyle w:val="103"/>
              <w:spacing w:beforeLines="0" w:afterLines="0" w:line="240" w:lineRule="auto"/>
              <w:jc w:val="right"/>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项目</w:t>
            </w:r>
          </w:p>
          <w:p>
            <w:pPr>
              <w:pStyle w:val="103"/>
              <w:spacing w:beforeLines="0" w:afterLines="0" w:line="240" w:lineRule="auto"/>
              <w:jc w:val="left"/>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分类</w:t>
            </w:r>
          </w:p>
        </w:tc>
        <w:tc>
          <w:tcPr>
            <w:tcW w:w="1417"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污染物名称</w:t>
            </w:r>
          </w:p>
        </w:tc>
        <w:tc>
          <w:tcPr>
            <w:tcW w:w="1701"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现有工程</w:t>
            </w:r>
          </w:p>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排放量（固体废物产生量）</w:t>
            </w:r>
            <w:r>
              <w:rPr>
                <w:rFonts w:hint="default" w:ascii="Times New Roman" w:hAnsi="Times New Roman" w:eastAsia="黑体" w:cs="Times New Roman"/>
                <w:snapToGrid w:val="0"/>
                <w:color w:val="000000"/>
                <w:spacing w:val="-6"/>
                <w:kern w:val="21"/>
                <w:sz w:val="24"/>
                <w:szCs w:val="24"/>
              </w:rPr>
              <w:fldChar w:fldCharType="begin"/>
            </w:r>
            <w:r>
              <w:rPr>
                <w:rFonts w:hint="default" w:ascii="Times New Roman" w:hAnsi="Times New Roman" w:eastAsia="黑体" w:cs="Times New Roman"/>
                <w:snapToGrid w:val="0"/>
                <w:color w:val="000000"/>
                <w:spacing w:val="-6"/>
                <w:kern w:val="21"/>
                <w:sz w:val="24"/>
                <w:szCs w:val="24"/>
              </w:rPr>
              <w:instrText xml:space="preserve"> = 1 \* GB3 \* MERGEFORMAT </w:instrText>
            </w:r>
            <w:r>
              <w:rPr>
                <w:rFonts w:hint="default" w:ascii="Times New Roman" w:hAnsi="Times New Roman" w:eastAsia="黑体" w:cs="Times New Roman"/>
                <w:snapToGrid w:val="0"/>
                <w:color w:val="000000"/>
                <w:spacing w:val="-6"/>
                <w:kern w:val="21"/>
                <w:sz w:val="24"/>
                <w:szCs w:val="24"/>
              </w:rPr>
              <w:fldChar w:fldCharType="separate"/>
            </w:r>
            <w:r>
              <w:rPr>
                <w:rFonts w:hint="default" w:ascii="Times New Roman" w:hAnsi="Times New Roman" w:eastAsia="黑体" w:cs="Times New Roman"/>
                <w:kern w:val="2"/>
                <w:sz w:val="24"/>
                <w:szCs w:val="24"/>
              </w:rPr>
              <w:t>①</w:t>
            </w:r>
            <w:r>
              <w:rPr>
                <w:rFonts w:hint="default" w:ascii="Times New Roman" w:hAnsi="Times New Roman" w:eastAsia="黑体" w:cs="Times New Roman"/>
                <w:snapToGrid w:val="0"/>
                <w:color w:val="000000"/>
                <w:spacing w:val="-6"/>
                <w:kern w:val="21"/>
                <w:sz w:val="24"/>
                <w:szCs w:val="24"/>
              </w:rPr>
              <w:fldChar w:fldCharType="end"/>
            </w:r>
          </w:p>
        </w:tc>
        <w:tc>
          <w:tcPr>
            <w:tcW w:w="1276"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现有工程</w:t>
            </w:r>
          </w:p>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许可排放量</w:t>
            </w:r>
          </w:p>
          <w:p>
            <w:pPr>
              <w:pStyle w:val="103"/>
              <w:spacing w:beforeLines="0" w:afterLines="0"/>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fldChar w:fldCharType="begin"/>
            </w:r>
            <w:r>
              <w:rPr>
                <w:rFonts w:hint="default" w:ascii="Times New Roman" w:hAnsi="Times New Roman" w:eastAsia="黑体" w:cs="Times New Roman"/>
                <w:snapToGrid w:val="0"/>
                <w:color w:val="000000"/>
                <w:spacing w:val="-6"/>
                <w:kern w:val="21"/>
                <w:sz w:val="24"/>
                <w:szCs w:val="24"/>
              </w:rPr>
              <w:instrText xml:space="preserve"> = 2 \* GB3 \* MERGEFORMAT </w:instrText>
            </w:r>
            <w:r>
              <w:rPr>
                <w:rFonts w:hint="default" w:ascii="Times New Roman" w:hAnsi="Times New Roman" w:eastAsia="黑体" w:cs="Times New Roman"/>
                <w:snapToGrid w:val="0"/>
                <w:color w:val="000000"/>
                <w:spacing w:val="-6"/>
                <w:kern w:val="21"/>
                <w:sz w:val="24"/>
                <w:szCs w:val="24"/>
              </w:rPr>
              <w:fldChar w:fldCharType="separate"/>
            </w:r>
            <w:r>
              <w:rPr>
                <w:rFonts w:hint="default" w:ascii="Times New Roman" w:hAnsi="Times New Roman" w:eastAsia="黑体" w:cs="Times New Roman"/>
                <w:snapToGrid w:val="0"/>
                <w:color w:val="000000"/>
                <w:spacing w:val="-6"/>
                <w:kern w:val="21"/>
                <w:sz w:val="24"/>
                <w:szCs w:val="24"/>
              </w:rPr>
              <w:t>②</w:t>
            </w:r>
            <w:r>
              <w:rPr>
                <w:rFonts w:hint="default" w:ascii="Times New Roman" w:hAnsi="Times New Roman" w:eastAsia="黑体" w:cs="Times New Roman"/>
                <w:snapToGrid w:val="0"/>
                <w:color w:val="000000"/>
                <w:spacing w:val="-6"/>
                <w:kern w:val="21"/>
                <w:sz w:val="24"/>
                <w:szCs w:val="24"/>
              </w:rPr>
              <w:fldChar w:fldCharType="end"/>
            </w:r>
          </w:p>
        </w:tc>
        <w:tc>
          <w:tcPr>
            <w:tcW w:w="1701"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在建工程</w:t>
            </w:r>
          </w:p>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排放量（固体废物产生量）</w:t>
            </w:r>
            <w:r>
              <w:rPr>
                <w:rFonts w:hint="default" w:ascii="Times New Roman" w:hAnsi="Times New Roman" w:eastAsia="黑体" w:cs="Times New Roman"/>
                <w:snapToGrid w:val="0"/>
                <w:color w:val="000000"/>
                <w:spacing w:val="-6"/>
                <w:kern w:val="21"/>
                <w:sz w:val="24"/>
                <w:szCs w:val="24"/>
              </w:rPr>
              <w:fldChar w:fldCharType="begin"/>
            </w:r>
            <w:r>
              <w:rPr>
                <w:rFonts w:hint="default" w:ascii="Times New Roman" w:hAnsi="Times New Roman" w:eastAsia="黑体" w:cs="Times New Roman"/>
                <w:snapToGrid w:val="0"/>
                <w:color w:val="000000"/>
                <w:spacing w:val="-6"/>
                <w:kern w:val="21"/>
                <w:sz w:val="24"/>
                <w:szCs w:val="24"/>
              </w:rPr>
              <w:instrText xml:space="preserve"> = 3 \* GB3 \* MERGEFORMAT </w:instrText>
            </w:r>
            <w:r>
              <w:rPr>
                <w:rFonts w:hint="default" w:ascii="Times New Roman" w:hAnsi="Times New Roman" w:eastAsia="黑体" w:cs="Times New Roman"/>
                <w:snapToGrid w:val="0"/>
                <w:color w:val="000000"/>
                <w:spacing w:val="-6"/>
                <w:kern w:val="21"/>
                <w:sz w:val="24"/>
                <w:szCs w:val="24"/>
              </w:rPr>
              <w:fldChar w:fldCharType="separate"/>
            </w:r>
            <w:r>
              <w:rPr>
                <w:rFonts w:hint="default" w:ascii="Times New Roman" w:hAnsi="Times New Roman" w:eastAsia="黑体" w:cs="Times New Roman"/>
                <w:kern w:val="2"/>
                <w:sz w:val="24"/>
                <w:szCs w:val="24"/>
              </w:rPr>
              <w:t>③</w:t>
            </w:r>
            <w:r>
              <w:rPr>
                <w:rFonts w:hint="default" w:ascii="Times New Roman" w:hAnsi="Times New Roman" w:eastAsia="黑体" w:cs="Times New Roman"/>
                <w:snapToGrid w:val="0"/>
                <w:color w:val="000000"/>
                <w:spacing w:val="-6"/>
                <w:kern w:val="21"/>
                <w:sz w:val="24"/>
                <w:szCs w:val="24"/>
              </w:rPr>
              <w:fldChar w:fldCharType="end"/>
            </w:r>
          </w:p>
        </w:tc>
        <w:tc>
          <w:tcPr>
            <w:tcW w:w="1559"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本项目</w:t>
            </w:r>
          </w:p>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排放量（固体废物产生量）</w:t>
            </w:r>
            <w:r>
              <w:rPr>
                <w:rFonts w:hint="default" w:ascii="Times New Roman" w:hAnsi="Times New Roman" w:eastAsia="黑体" w:cs="Times New Roman"/>
                <w:snapToGrid w:val="0"/>
                <w:color w:val="000000"/>
                <w:spacing w:val="-6"/>
                <w:kern w:val="21"/>
                <w:sz w:val="24"/>
                <w:szCs w:val="24"/>
              </w:rPr>
              <w:fldChar w:fldCharType="begin"/>
            </w:r>
            <w:r>
              <w:rPr>
                <w:rFonts w:hint="default" w:ascii="Times New Roman" w:hAnsi="Times New Roman" w:eastAsia="黑体" w:cs="Times New Roman"/>
                <w:snapToGrid w:val="0"/>
                <w:color w:val="000000"/>
                <w:spacing w:val="-6"/>
                <w:kern w:val="21"/>
                <w:sz w:val="24"/>
                <w:szCs w:val="24"/>
              </w:rPr>
              <w:instrText xml:space="preserve"> = 4 \* GB3 \* MERGEFORMAT </w:instrText>
            </w:r>
            <w:r>
              <w:rPr>
                <w:rFonts w:hint="default" w:ascii="Times New Roman" w:hAnsi="Times New Roman" w:eastAsia="黑体" w:cs="Times New Roman"/>
                <w:snapToGrid w:val="0"/>
                <w:color w:val="000000"/>
                <w:spacing w:val="-6"/>
                <w:kern w:val="21"/>
                <w:sz w:val="24"/>
                <w:szCs w:val="24"/>
              </w:rPr>
              <w:fldChar w:fldCharType="separate"/>
            </w:r>
            <w:r>
              <w:rPr>
                <w:rFonts w:hint="default" w:ascii="Times New Roman" w:hAnsi="Times New Roman" w:eastAsia="黑体" w:cs="Times New Roman"/>
                <w:kern w:val="2"/>
                <w:sz w:val="24"/>
                <w:szCs w:val="24"/>
              </w:rPr>
              <w:t>④</w:t>
            </w:r>
            <w:r>
              <w:rPr>
                <w:rFonts w:hint="default" w:ascii="Times New Roman" w:hAnsi="Times New Roman" w:eastAsia="黑体" w:cs="Times New Roman"/>
                <w:snapToGrid w:val="0"/>
                <w:color w:val="000000"/>
                <w:spacing w:val="-6"/>
                <w:kern w:val="21"/>
                <w:sz w:val="24"/>
                <w:szCs w:val="24"/>
              </w:rPr>
              <w:fldChar w:fldCharType="end"/>
            </w:r>
          </w:p>
        </w:tc>
        <w:tc>
          <w:tcPr>
            <w:tcW w:w="1761"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16"/>
                <w:kern w:val="21"/>
                <w:sz w:val="24"/>
                <w:szCs w:val="24"/>
              </w:rPr>
            </w:pPr>
            <w:r>
              <w:rPr>
                <w:rFonts w:hint="default" w:ascii="Times New Roman" w:hAnsi="Times New Roman" w:eastAsia="黑体" w:cs="Times New Roman"/>
                <w:snapToGrid w:val="0"/>
                <w:color w:val="000000"/>
                <w:spacing w:val="-16"/>
                <w:kern w:val="21"/>
                <w:sz w:val="24"/>
                <w:szCs w:val="24"/>
              </w:rPr>
              <w:t>以新带老削减量</w:t>
            </w:r>
          </w:p>
          <w:p>
            <w:pPr>
              <w:pStyle w:val="103"/>
              <w:spacing w:beforeLines="0" w:afterLines="0" w:line="240" w:lineRule="auto"/>
              <w:rPr>
                <w:rFonts w:hint="default" w:ascii="Times New Roman" w:hAnsi="Times New Roman" w:eastAsia="黑体" w:cs="Times New Roman"/>
                <w:snapToGrid w:val="0"/>
                <w:color w:val="000000"/>
                <w:spacing w:val="-16"/>
                <w:kern w:val="21"/>
                <w:sz w:val="24"/>
                <w:szCs w:val="24"/>
              </w:rPr>
            </w:pPr>
            <w:r>
              <w:rPr>
                <w:rFonts w:hint="default" w:ascii="Times New Roman" w:hAnsi="Times New Roman" w:eastAsia="黑体" w:cs="Times New Roman"/>
                <w:snapToGrid w:val="0"/>
                <w:color w:val="000000"/>
                <w:spacing w:val="-16"/>
                <w:kern w:val="21"/>
                <w:sz w:val="24"/>
                <w:szCs w:val="24"/>
              </w:rPr>
              <w:t>（新建项目不填）</w:t>
            </w:r>
            <w:r>
              <w:rPr>
                <w:rFonts w:hint="default" w:ascii="Times New Roman" w:hAnsi="Times New Roman" w:eastAsia="黑体" w:cs="Times New Roman"/>
                <w:snapToGrid w:val="0"/>
                <w:color w:val="000000"/>
                <w:spacing w:val="-16"/>
                <w:kern w:val="21"/>
                <w:sz w:val="24"/>
                <w:szCs w:val="24"/>
              </w:rPr>
              <w:fldChar w:fldCharType="begin"/>
            </w:r>
            <w:r>
              <w:rPr>
                <w:rFonts w:hint="default" w:ascii="Times New Roman" w:hAnsi="Times New Roman" w:eastAsia="黑体" w:cs="Times New Roman"/>
                <w:snapToGrid w:val="0"/>
                <w:color w:val="000000"/>
                <w:spacing w:val="-16"/>
                <w:kern w:val="21"/>
                <w:sz w:val="24"/>
                <w:szCs w:val="24"/>
              </w:rPr>
              <w:instrText xml:space="preserve"> = 5 \* GB3 \* MERGEFORMAT </w:instrText>
            </w:r>
            <w:r>
              <w:rPr>
                <w:rFonts w:hint="default" w:ascii="Times New Roman" w:hAnsi="Times New Roman" w:eastAsia="黑体" w:cs="Times New Roman"/>
                <w:snapToGrid w:val="0"/>
                <w:color w:val="000000"/>
                <w:spacing w:val="-16"/>
                <w:kern w:val="21"/>
                <w:sz w:val="24"/>
                <w:szCs w:val="24"/>
              </w:rPr>
              <w:fldChar w:fldCharType="separate"/>
            </w:r>
            <w:r>
              <w:rPr>
                <w:rFonts w:hint="default" w:ascii="Times New Roman" w:hAnsi="Times New Roman" w:eastAsia="黑体" w:cs="Times New Roman"/>
                <w:kern w:val="2"/>
                <w:sz w:val="24"/>
                <w:szCs w:val="24"/>
              </w:rPr>
              <w:t>⑤</w:t>
            </w:r>
            <w:r>
              <w:rPr>
                <w:rFonts w:hint="default" w:ascii="Times New Roman" w:hAnsi="Times New Roman" w:eastAsia="黑体" w:cs="Times New Roman"/>
                <w:snapToGrid w:val="0"/>
                <w:color w:val="000000"/>
                <w:spacing w:val="-16"/>
                <w:kern w:val="21"/>
                <w:sz w:val="24"/>
                <w:szCs w:val="24"/>
              </w:rPr>
              <w:fldChar w:fldCharType="end"/>
            </w:r>
          </w:p>
        </w:tc>
        <w:tc>
          <w:tcPr>
            <w:tcW w:w="1959"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16"/>
                <w:kern w:val="21"/>
                <w:sz w:val="24"/>
                <w:szCs w:val="24"/>
              </w:rPr>
            </w:pPr>
            <w:r>
              <w:rPr>
                <w:rFonts w:hint="default" w:ascii="Times New Roman" w:hAnsi="Times New Roman" w:eastAsia="黑体" w:cs="Times New Roman"/>
                <w:snapToGrid w:val="0"/>
                <w:color w:val="000000"/>
                <w:spacing w:val="-16"/>
                <w:kern w:val="21"/>
                <w:sz w:val="24"/>
                <w:szCs w:val="24"/>
              </w:rPr>
              <w:t>本项目建成后</w:t>
            </w:r>
          </w:p>
          <w:p>
            <w:pPr>
              <w:pStyle w:val="103"/>
              <w:spacing w:beforeLines="0" w:afterLines="0" w:line="240" w:lineRule="auto"/>
              <w:rPr>
                <w:rFonts w:hint="default" w:ascii="Times New Roman" w:hAnsi="Times New Roman" w:eastAsia="黑体" w:cs="Times New Roman"/>
                <w:snapToGrid w:val="0"/>
                <w:color w:val="000000"/>
                <w:spacing w:val="-16"/>
                <w:kern w:val="21"/>
                <w:sz w:val="24"/>
                <w:szCs w:val="24"/>
              </w:rPr>
            </w:pPr>
            <w:r>
              <w:rPr>
                <w:rFonts w:hint="default" w:ascii="Times New Roman" w:hAnsi="Times New Roman" w:eastAsia="黑体" w:cs="Times New Roman"/>
                <w:snapToGrid w:val="0"/>
                <w:color w:val="000000"/>
                <w:spacing w:val="-16"/>
                <w:kern w:val="21"/>
                <w:sz w:val="24"/>
                <w:szCs w:val="24"/>
              </w:rPr>
              <w:t>全厂排放量（固体废物产生量）</w:t>
            </w:r>
            <w:r>
              <w:rPr>
                <w:rFonts w:hint="default" w:ascii="Times New Roman" w:hAnsi="Times New Roman" w:eastAsia="黑体" w:cs="Times New Roman"/>
                <w:snapToGrid w:val="0"/>
                <w:color w:val="000000"/>
                <w:spacing w:val="-16"/>
                <w:kern w:val="21"/>
                <w:sz w:val="24"/>
                <w:szCs w:val="24"/>
              </w:rPr>
              <w:fldChar w:fldCharType="begin"/>
            </w:r>
            <w:r>
              <w:rPr>
                <w:rFonts w:hint="default" w:ascii="Times New Roman" w:hAnsi="Times New Roman" w:eastAsia="黑体" w:cs="Times New Roman"/>
                <w:snapToGrid w:val="0"/>
                <w:color w:val="000000"/>
                <w:spacing w:val="-16"/>
                <w:kern w:val="21"/>
                <w:sz w:val="24"/>
                <w:szCs w:val="24"/>
              </w:rPr>
              <w:instrText xml:space="preserve"> = 6 \* GB3 \* MERGEFORMAT </w:instrText>
            </w:r>
            <w:r>
              <w:rPr>
                <w:rFonts w:hint="default" w:ascii="Times New Roman" w:hAnsi="Times New Roman" w:eastAsia="黑体" w:cs="Times New Roman"/>
                <w:snapToGrid w:val="0"/>
                <w:color w:val="000000"/>
                <w:spacing w:val="-16"/>
                <w:kern w:val="21"/>
                <w:sz w:val="24"/>
                <w:szCs w:val="24"/>
              </w:rPr>
              <w:fldChar w:fldCharType="separate"/>
            </w:r>
            <w:r>
              <w:rPr>
                <w:rFonts w:hint="default" w:ascii="Times New Roman" w:hAnsi="Times New Roman" w:eastAsia="黑体" w:cs="Times New Roman"/>
                <w:kern w:val="2"/>
                <w:sz w:val="24"/>
                <w:szCs w:val="24"/>
              </w:rPr>
              <w:t>⑥</w:t>
            </w:r>
            <w:r>
              <w:rPr>
                <w:rFonts w:hint="default" w:ascii="Times New Roman" w:hAnsi="Times New Roman" w:eastAsia="黑体" w:cs="Times New Roman"/>
                <w:snapToGrid w:val="0"/>
                <w:color w:val="000000"/>
                <w:spacing w:val="-16"/>
                <w:kern w:val="21"/>
                <w:sz w:val="24"/>
                <w:szCs w:val="24"/>
              </w:rPr>
              <w:fldChar w:fldCharType="end"/>
            </w:r>
          </w:p>
        </w:tc>
        <w:tc>
          <w:tcPr>
            <w:tcW w:w="826" w:type="dxa"/>
            <w:noWrap w:val="0"/>
            <w:tcMar>
              <w:left w:w="28" w:type="dxa"/>
              <w:right w:w="28" w:type="dxa"/>
            </w:tcMar>
            <w:vAlign w:val="center"/>
          </w:tcPr>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t>变化量</w:t>
            </w:r>
          </w:p>
          <w:p>
            <w:pPr>
              <w:pStyle w:val="103"/>
              <w:spacing w:beforeLines="0" w:afterLines="0" w:line="240" w:lineRule="auto"/>
              <w:rPr>
                <w:rFonts w:hint="default" w:ascii="Times New Roman" w:hAnsi="Times New Roman" w:eastAsia="黑体" w:cs="Times New Roman"/>
                <w:snapToGrid w:val="0"/>
                <w:color w:val="000000"/>
                <w:spacing w:val="-6"/>
                <w:kern w:val="21"/>
                <w:sz w:val="24"/>
                <w:szCs w:val="24"/>
              </w:rPr>
            </w:pPr>
            <w:r>
              <w:rPr>
                <w:rFonts w:hint="default" w:ascii="Times New Roman" w:hAnsi="Times New Roman" w:eastAsia="黑体" w:cs="Times New Roman"/>
                <w:snapToGrid w:val="0"/>
                <w:color w:val="000000"/>
                <w:spacing w:val="-6"/>
                <w:kern w:val="21"/>
                <w:sz w:val="24"/>
                <w:szCs w:val="24"/>
              </w:rPr>
              <w:fldChar w:fldCharType="begin"/>
            </w:r>
            <w:r>
              <w:rPr>
                <w:rFonts w:hint="default" w:ascii="Times New Roman" w:hAnsi="Times New Roman" w:eastAsia="黑体" w:cs="Times New Roman"/>
                <w:snapToGrid w:val="0"/>
                <w:color w:val="000000"/>
                <w:spacing w:val="-6"/>
                <w:kern w:val="21"/>
                <w:sz w:val="24"/>
                <w:szCs w:val="24"/>
              </w:rPr>
              <w:instrText xml:space="preserve"> = 7 \* GB3 \* MERGEFORMAT </w:instrText>
            </w:r>
            <w:r>
              <w:rPr>
                <w:rFonts w:hint="default" w:ascii="Times New Roman" w:hAnsi="Times New Roman" w:eastAsia="黑体" w:cs="Times New Roman"/>
                <w:snapToGrid w:val="0"/>
                <w:color w:val="000000"/>
                <w:spacing w:val="-6"/>
                <w:kern w:val="21"/>
                <w:sz w:val="24"/>
                <w:szCs w:val="24"/>
              </w:rPr>
              <w:fldChar w:fldCharType="separate"/>
            </w:r>
            <w:r>
              <w:rPr>
                <w:rFonts w:hint="default" w:ascii="Times New Roman" w:hAnsi="Times New Roman" w:eastAsia="黑体" w:cs="Times New Roman"/>
                <w:kern w:val="2"/>
                <w:sz w:val="24"/>
                <w:szCs w:val="24"/>
              </w:rPr>
              <w:t>⑦</w:t>
            </w:r>
            <w:r>
              <w:rPr>
                <w:rFonts w:hint="default" w:ascii="Times New Roman" w:hAnsi="Times New Roman" w:eastAsia="黑体" w:cs="Times New Roman"/>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废气</w:t>
            </w:r>
          </w:p>
        </w:tc>
        <w:tc>
          <w:tcPr>
            <w:tcW w:w="1417" w:type="dxa"/>
            <w:noWrap w:val="0"/>
            <w:vAlign w:val="center"/>
          </w:tcPr>
          <w:p>
            <w:pPr>
              <w:pStyle w:val="103"/>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废水</w:t>
            </w:r>
          </w:p>
        </w:tc>
        <w:tc>
          <w:tcPr>
            <w:tcW w:w="1417"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一般工业</w:t>
            </w:r>
          </w:p>
          <w:p>
            <w:pPr>
              <w:pStyle w:val="103"/>
              <w:spacing w:beforeLines="0" w:afterLines="0" w:line="240" w:lineRule="auto"/>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固体废物</w:t>
            </w: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化粪池底泥</w:t>
            </w:r>
          </w:p>
        </w:tc>
        <w:tc>
          <w:tcPr>
            <w:tcW w:w="1701"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0.1</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0.1</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沉淀池（碎石破碎）底泥</w:t>
            </w:r>
          </w:p>
        </w:tc>
        <w:tc>
          <w:tcPr>
            <w:tcW w:w="1701"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10t</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10t</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10t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沉淀池（洗车槽）底泥</w:t>
            </w:r>
          </w:p>
        </w:tc>
        <w:tc>
          <w:tcPr>
            <w:tcW w:w="1701"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5t</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5t</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5t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沉砂池底泥</w:t>
            </w:r>
          </w:p>
        </w:tc>
        <w:tc>
          <w:tcPr>
            <w:tcW w:w="1701"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2t</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2t</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2t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生活垃圾</w:t>
            </w:r>
          </w:p>
        </w:tc>
        <w:tc>
          <w:tcPr>
            <w:tcW w:w="1701"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2.74</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2.74</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2.74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pPr>
              <w:pStyle w:val="103"/>
              <w:spacing w:beforeLines="0" w:afterLines="0" w:line="240" w:lineRule="auto"/>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危险废物</w:t>
            </w:r>
          </w:p>
        </w:tc>
        <w:tc>
          <w:tcPr>
            <w:tcW w:w="1417" w:type="dxa"/>
            <w:noWrap w:val="0"/>
            <w:vAlign w:val="center"/>
          </w:tcPr>
          <w:p>
            <w:pPr>
              <w:adjustRightInd w:val="0"/>
              <w:snapToGrid w:val="0"/>
              <w:spacing w:line="256" w:lineRule="exact"/>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z w:val="24"/>
                <w:szCs w:val="24"/>
                <w:lang w:val="en-US" w:eastAsia="zh-CN"/>
              </w:rPr>
              <w:t>废机油</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5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0.01</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w:t>
            </w:r>
          </w:p>
        </w:tc>
        <w:tc>
          <w:tcPr>
            <w:tcW w:w="1959"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0.01</w:t>
            </w:r>
          </w:p>
        </w:tc>
        <w:tc>
          <w:tcPr>
            <w:tcW w:w="826" w:type="dxa"/>
            <w:noWrap w:val="0"/>
            <w:vAlign w:val="center"/>
          </w:tcPr>
          <w:p>
            <w:pPr>
              <w:pStyle w:val="103"/>
              <w:spacing w:beforeLines="0" w:afterLines="0" w:line="240" w:lineRule="auto"/>
              <w:jc w:val="center"/>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w:t>
            </w:r>
            <w:r>
              <w:rPr>
                <w:rFonts w:hint="default" w:ascii="Times New Roman" w:hAnsi="Times New Roman" w:cs="Times New Roman"/>
                <w:snapToGrid w:val="0"/>
                <w:color w:val="000000"/>
                <w:kern w:val="21"/>
                <w:sz w:val="24"/>
                <w:szCs w:val="24"/>
                <w:lang w:val="en-US" w:eastAsia="zh-CN"/>
              </w:rPr>
              <w:t>0.01</w:t>
            </w:r>
          </w:p>
        </w:tc>
      </w:tr>
    </w:tbl>
    <w:p>
      <w:pPr>
        <w:pStyle w:val="103"/>
        <w:spacing w:before="192" w:beforeLines="80" w:after="24"/>
        <w:jc w:val="left"/>
        <w:rPr>
          <w:rFonts w:ascii="宋体" w:hAnsi="宋体" w:eastAsia="黑体"/>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eastAsia="仿宋_GB2312"/>
          <w:sz w:val="36"/>
          <w:szCs w:val="36"/>
        </w:rPr>
      </w:pPr>
      <w:bookmarkStart w:id="5" w:name="_GoBack"/>
      <w:bookmarkEnd w:id="5"/>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sectPr>
          <w:footerReference r:id="rId6" w:type="default"/>
          <w:pgSz w:w="11906" w:h="16838"/>
          <w:pgMar w:top="1701" w:right="1531" w:bottom="1701" w:left="1531" w:header="851" w:footer="851" w:gutter="0"/>
          <w:cols w:space="720" w:num="1"/>
          <w:docGrid w:linePitch="312" w:charSpace="0"/>
        </w:sectPr>
      </w:pPr>
    </w:p>
    <w:p>
      <w:pPr>
        <w:pStyle w:val="47"/>
        <w:rPr>
          <w:rFonts w:hint="eastAsia"/>
        </w:rPr>
      </w:pP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altName w:val="PMingLiU-ExtB"/>
    <w:panose1 w:val="02020509000000000000"/>
    <w:charset w:val="88"/>
    <w:family w:val="modern"/>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roman"/>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0"/>
    <w:family w:val="auto"/>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auto"/>
    <w:pitch w:val="default"/>
    <w:sig w:usb0="00000000" w:usb1="00000000" w:usb2="00000000" w:usb3="00000000" w:csb0="80000000" w:csb1="00000000"/>
  </w:font>
  <w:font w:name="F4">
    <w:altName w:val="sysfFS"/>
    <w:panose1 w:val="00000000000000000000"/>
    <w:charset w:val="00"/>
    <w:family w:val="auto"/>
    <w:pitch w:val="default"/>
    <w:sig w:usb0="00000000" w:usb1="00000000" w:usb2="00000000" w:usb3="00000000" w:csb0="00040001" w:csb1="00000000"/>
  </w:font>
  <w:font w:name="sysfFS">
    <w:panose1 w:val="02010604000000000000"/>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Style w:val="42"/>
        <w:rFonts w:ascii="宋体" w:hAnsi="宋体"/>
        <w:sz w:val="26"/>
        <w:szCs w:val="26"/>
      </w:rPr>
      <w:fldChar w:fldCharType="begin"/>
    </w:r>
    <w:r>
      <w:rPr>
        <w:rStyle w:val="42"/>
        <w:rFonts w:ascii="宋体" w:hAnsi="宋体"/>
        <w:sz w:val="26"/>
        <w:szCs w:val="26"/>
      </w:rPr>
      <w:instrText xml:space="preserve">PAGE  </w:instrText>
    </w:r>
    <w:r>
      <w:rPr>
        <w:rStyle w:val="42"/>
        <w:rFonts w:ascii="宋体" w:hAnsi="宋体"/>
        <w:sz w:val="26"/>
        <w:szCs w:val="26"/>
      </w:rPr>
      <w:fldChar w:fldCharType="separate"/>
    </w:r>
    <w:r>
      <w:rPr>
        <w:rStyle w:val="42"/>
        <w:rFonts w:ascii="宋体" w:hAnsi="宋体"/>
        <w:sz w:val="26"/>
        <w:szCs w:val="26"/>
      </w:rPr>
      <w:t>3</w:t>
    </w:r>
    <w:r>
      <w:rPr>
        <w:rStyle w:val="42"/>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2"/>
      </w:rPr>
    </w:pPr>
    <w:r>
      <w:fldChar w:fldCharType="begin"/>
    </w:r>
    <w:r>
      <w:rPr>
        <w:rStyle w:val="42"/>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Style w:val="42"/>
        <w:rFonts w:ascii="宋体" w:hAnsi="宋体"/>
        <w:sz w:val="26"/>
        <w:szCs w:val="26"/>
      </w:rPr>
      <w:fldChar w:fldCharType="begin"/>
    </w:r>
    <w:r>
      <w:rPr>
        <w:rStyle w:val="42"/>
        <w:rFonts w:ascii="宋体" w:hAnsi="宋体"/>
        <w:sz w:val="26"/>
        <w:szCs w:val="26"/>
      </w:rPr>
      <w:instrText xml:space="preserve">PAGE  </w:instrText>
    </w:r>
    <w:r>
      <w:rPr>
        <w:rStyle w:val="42"/>
        <w:rFonts w:ascii="宋体" w:hAnsi="宋体"/>
        <w:sz w:val="26"/>
        <w:szCs w:val="26"/>
      </w:rPr>
      <w:fldChar w:fldCharType="separate"/>
    </w:r>
    <w:r>
      <w:rPr>
        <w:rStyle w:val="42"/>
        <w:rFonts w:ascii="宋体" w:hAnsi="宋体"/>
        <w:sz w:val="26"/>
        <w:szCs w:val="26"/>
      </w:rPr>
      <w:t>9</w:t>
    </w:r>
    <w:r>
      <w:rPr>
        <w:rStyle w:val="42"/>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Style w:val="42"/>
        <w:rFonts w:ascii="宋体" w:hAnsi="宋体"/>
        <w:sz w:val="26"/>
        <w:szCs w:val="26"/>
      </w:rPr>
      <w:fldChar w:fldCharType="begin"/>
    </w:r>
    <w:r>
      <w:rPr>
        <w:rStyle w:val="42"/>
        <w:rFonts w:ascii="宋体" w:hAnsi="宋体"/>
        <w:sz w:val="26"/>
        <w:szCs w:val="26"/>
      </w:rPr>
      <w:instrText xml:space="preserve">PAGE  </w:instrText>
    </w:r>
    <w:r>
      <w:rPr>
        <w:rStyle w:val="42"/>
        <w:rFonts w:ascii="宋体" w:hAnsi="宋体"/>
        <w:sz w:val="26"/>
        <w:szCs w:val="26"/>
      </w:rPr>
      <w:fldChar w:fldCharType="separate"/>
    </w:r>
    <w:r>
      <w:rPr>
        <w:rStyle w:val="42"/>
        <w:rFonts w:ascii="宋体" w:hAnsi="宋体"/>
        <w:sz w:val="26"/>
        <w:szCs w:val="26"/>
      </w:rPr>
      <w:t>13</w:t>
    </w:r>
    <w:r>
      <w:rPr>
        <w:rStyle w:val="42"/>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Fonts w:ascii="宋体" w:hAnsi="宋体"/>
        <w:sz w:val="26"/>
        <w:szCs w:val="26"/>
      </w:rPr>
      <w:fldChar w:fldCharType="begin"/>
    </w:r>
    <w:r>
      <w:rPr>
        <w:rStyle w:val="42"/>
        <w:rFonts w:ascii="宋体" w:hAnsi="宋体"/>
        <w:sz w:val="26"/>
        <w:szCs w:val="26"/>
      </w:rPr>
      <w:instrText xml:space="preserve">PAGE  </w:instrText>
    </w:r>
    <w:r>
      <w:rPr>
        <w:rFonts w:ascii="宋体" w:hAnsi="宋体"/>
        <w:sz w:val="26"/>
        <w:szCs w:val="26"/>
      </w:rPr>
      <w:fldChar w:fldCharType="separate"/>
    </w:r>
    <w:r>
      <w:rPr>
        <w:rStyle w:val="42"/>
        <w:rFonts w:ascii="宋体" w:hAnsi="宋体"/>
        <w:sz w:val="26"/>
        <w:szCs w:val="26"/>
      </w:rPr>
      <w:t>43</w:t>
    </w:r>
    <w:r>
      <w:rPr>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7ED14685"/>
    <w:multiLevelType w:val="singleLevel"/>
    <w:tmpl w:val="7ED14685"/>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51681"/>
    <w:rsid w:val="00143723"/>
    <w:rsid w:val="00150902"/>
    <w:rsid w:val="0025035E"/>
    <w:rsid w:val="006A2EAD"/>
    <w:rsid w:val="00854F9C"/>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B97B11"/>
    <w:rsid w:val="04C55C41"/>
    <w:rsid w:val="04E747C2"/>
    <w:rsid w:val="050A70B6"/>
    <w:rsid w:val="059C7B24"/>
    <w:rsid w:val="06614682"/>
    <w:rsid w:val="067512AC"/>
    <w:rsid w:val="08195139"/>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C946F6B"/>
    <w:rsid w:val="0DDD7799"/>
    <w:rsid w:val="0DFD3960"/>
    <w:rsid w:val="0E1657E1"/>
    <w:rsid w:val="10FB3257"/>
    <w:rsid w:val="1116403C"/>
    <w:rsid w:val="11A744E6"/>
    <w:rsid w:val="11CF60C1"/>
    <w:rsid w:val="1208464E"/>
    <w:rsid w:val="12614BA6"/>
    <w:rsid w:val="128B36DF"/>
    <w:rsid w:val="14521FBF"/>
    <w:rsid w:val="150E5154"/>
    <w:rsid w:val="159A2B43"/>
    <w:rsid w:val="15AA5CF1"/>
    <w:rsid w:val="16223187"/>
    <w:rsid w:val="170718E6"/>
    <w:rsid w:val="175627CE"/>
    <w:rsid w:val="18047AE0"/>
    <w:rsid w:val="18C97015"/>
    <w:rsid w:val="18CA0832"/>
    <w:rsid w:val="194B3136"/>
    <w:rsid w:val="197E6AA6"/>
    <w:rsid w:val="19AB256E"/>
    <w:rsid w:val="1A3E41F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7804D47"/>
    <w:rsid w:val="28145128"/>
    <w:rsid w:val="282838DA"/>
    <w:rsid w:val="28571D32"/>
    <w:rsid w:val="29933722"/>
    <w:rsid w:val="29AA51F0"/>
    <w:rsid w:val="2A3253DE"/>
    <w:rsid w:val="2A356872"/>
    <w:rsid w:val="2A546059"/>
    <w:rsid w:val="2A5D2D01"/>
    <w:rsid w:val="2AF27BEF"/>
    <w:rsid w:val="2B1C040B"/>
    <w:rsid w:val="2B1F6EF2"/>
    <w:rsid w:val="2B71731C"/>
    <w:rsid w:val="2BB0437F"/>
    <w:rsid w:val="2CD261A7"/>
    <w:rsid w:val="2D6477FE"/>
    <w:rsid w:val="2D833FE8"/>
    <w:rsid w:val="2DEE303D"/>
    <w:rsid w:val="2DFF55A7"/>
    <w:rsid w:val="2EAE0106"/>
    <w:rsid w:val="2EC652B2"/>
    <w:rsid w:val="2F344423"/>
    <w:rsid w:val="30CF1B19"/>
    <w:rsid w:val="30FD7924"/>
    <w:rsid w:val="311E24FD"/>
    <w:rsid w:val="315A5151"/>
    <w:rsid w:val="31746F9C"/>
    <w:rsid w:val="31873AFA"/>
    <w:rsid w:val="31E45D99"/>
    <w:rsid w:val="325B6989"/>
    <w:rsid w:val="32B722E3"/>
    <w:rsid w:val="32E55AEF"/>
    <w:rsid w:val="336C325E"/>
    <w:rsid w:val="34C60C67"/>
    <w:rsid w:val="350E0B57"/>
    <w:rsid w:val="354B7504"/>
    <w:rsid w:val="35A35FAD"/>
    <w:rsid w:val="36106FD5"/>
    <w:rsid w:val="36B01313"/>
    <w:rsid w:val="36B93809"/>
    <w:rsid w:val="36C631E8"/>
    <w:rsid w:val="3788036E"/>
    <w:rsid w:val="37A924CB"/>
    <w:rsid w:val="383F1698"/>
    <w:rsid w:val="38534CB7"/>
    <w:rsid w:val="38A56D41"/>
    <w:rsid w:val="39740B10"/>
    <w:rsid w:val="398639BF"/>
    <w:rsid w:val="39A26D13"/>
    <w:rsid w:val="39AE25A1"/>
    <w:rsid w:val="39F914CF"/>
    <w:rsid w:val="3A147AAC"/>
    <w:rsid w:val="3AFE72DB"/>
    <w:rsid w:val="3B2565A9"/>
    <w:rsid w:val="3B993EB6"/>
    <w:rsid w:val="3BE15BA1"/>
    <w:rsid w:val="3C1B6DEE"/>
    <w:rsid w:val="3CAD29AD"/>
    <w:rsid w:val="3CCF454A"/>
    <w:rsid w:val="3CE25A6A"/>
    <w:rsid w:val="3D6852CB"/>
    <w:rsid w:val="3D9D1094"/>
    <w:rsid w:val="3E7E1783"/>
    <w:rsid w:val="3F0223F3"/>
    <w:rsid w:val="3F281E38"/>
    <w:rsid w:val="3FD35A41"/>
    <w:rsid w:val="3FDC4DBB"/>
    <w:rsid w:val="40061E82"/>
    <w:rsid w:val="405E0770"/>
    <w:rsid w:val="40616FB3"/>
    <w:rsid w:val="40722C94"/>
    <w:rsid w:val="40994365"/>
    <w:rsid w:val="40FF6E50"/>
    <w:rsid w:val="41104488"/>
    <w:rsid w:val="4162197F"/>
    <w:rsid w:val="41722AF1"/>
    <w:rsid w:val="41DD508C"/>
    <w:rsid w:val="425303BA"/>
    <w:rsid w:val="428E3330"/>
    <w:rsid w:val="42AB7666"/>
    <w:rsid w:val="42BB005F"/>
    <w:rsid w:val="42BC36B5"/>
    <w:rsid w:val="42C72DDD"/>
    <w:rsid w:val="441F2B8F"/>
    <w:rsid w:val="444B7C62"/>
    <w:rsid w:val="44B5606C"/>
    <w:rsid w:val="459A4837"/>
    <w:rsid w:val="45F770A4"/>
    <w:rsid w:val="463A687E"/>
    <w:rsid w:val="46756B4D"/>
    <w:rsid w:val="467B7704"/>
    <w:rsid w:val="468A57EA"/>
    <w:rsid w:val="46CC0674"/>
    <w:rsid w:val="473B76F4"/>
    <w:rsid w:val="47DB3EB5"/>
    <w:rsid w:val="47DD5A16"/>
    <w:rsid w:val="47F30BAC"/>
    <w:rsid w:val="49053025"/>
    <w:rsid w:val="49605F29"/>
    <w:rsid w:val="496A1820"/>
    <w:rsid w:val="49AE2C09"/>
    <w:rsid w:val="49F03E63"/>
    <w:rsid w:val="4A4302F3"/>
    <w:rsid w:val="4A9D7730"/>
    <w:rsid w:val="4A9F4ED2"/>
    <w:rsid w:val="4AEB31A1"/>
    <w:rsid w:val="4B484E83"/>
    <w:rsid w:val="4BAC2D11"/>
    <w:rsid w:val="4BF55372"/>
    <w:rsid w:val="4C2F4549"/>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502425D9"/>
    <w:rsid w:val="50BC6D86"/>
    <w:rsid w:val="50E02679"/>
    <w:rsid w:val="51382F51"/>
    <w:rsid w:val="51A92E83"/>
    <w:rsid w:val="51C31DA4"/>
    <w:rsid w:val="523650DE"/>
    <w:rsid w:val="52912564"/>
    <w:rsid w:val="52DE77D4"/>
    <w:rsid w:val="52EF4BF8"/>
    <w:rsid w:val="532A43C2"/>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F2450"/>
    <w:rsid w:val="5F5373F4"/>
    <w:rsid w:val="5F8B122C"/>
    <w:rsid w:val="5F9D7EB8"/>
    <w:rsid w:val="5FEB54B0"/>
    <w:rsid w:val="60130582"/>
    <w:rsid w:val="60BA0BE9"/>
    <w:rsid w:val="616E3CD7"/>
    <w:rsid w:val="61926F26"/>
    <w:rsid w:val="61E20692"/>
    <w:rsid w:val="62995E01"/>
    <w:rsid w:val="62CF0CE3"/>
    <w:rsid w:val="62ED2CC5"/>
    <w:rsid w:val="63334C22"/>
    <w:rsid w:val="636276DD"/>
    <w:rsid w:val="637D16D3"/>
    <w:rsid w:val="639867C6"/>
    <w:rsid w:val="64286496"/>
    <w:rsid w:val="6442109A"/>
    <w:rsid w:val="644F43BE"/>
    <w:rsid w:val="646A5445"/>
    <w:rsid w:val="64A47949"/>
    <w:rsid w:val="64E03700"/>
    <w:rsid w:val="655A2533"/>
    <w:rsid w:val="656761A5"/>
    <w:rsid w:val="66157F1F"/>
    <w:rsid w:val="666A4FEF"/>
    <w:rsid w:val="671E5E43"/>
    <w:rsid w:val="67AA3780"/>
    <w:rsid w:val="685052AC"/>
    <w:rsid w:val="69BA63AE"/>
    <w:rsid w:val="69F11EE7"/>
    <w:rsid w:val="6A12081F"/>
    <w:rsid w:val="6A9E1BFD"/>
    <w:rsid w:val="6B8F0760"/>
    <w:rsid w:val="6BD21C54"/>
    <w:rsid w:val="6BEE2099"/>
    <w:rsid w:val="6C25268D"/>
    <w:rsid w:val="6D1E1452"/>
    <w:rsid w:val="6D36105C"/>
    <w:rsid w:val="6E403CB0"/>
    <w:rsid w:val="6E636184"/>
    <w:rsid w:val="6EDB28FB"/>
    <w:rsid w:val="6F186B7B"/>
    <w:rsid w:val="6F5F241C"/>
    <w:rsid w:val="6F931BF6"/>
    <w:rsid w:val="6FBE275D"/>
    <w:rsid w:val="700B3E3B"/>
    <w:rsid w:val="707A0433"/>
    <w:rsid w:val="708E3E12"/>
    <w:rsid w:val="71FB7042"/>
    <w:rsid w:val="722C4FFE"/>
    <w:rsid w:val="727D3B15"/>
    <w:rsid w:val="728C6699"/>
    <w:rsid w:val="72B2437C"/>
    <w:rsid w:val="73051FF0"/>
    <w:rsid w:val="735A50DF"/>
    <w:rsid w:val="73A05C9A"/>
    <w:rsid w:val="73CB008F"/>
    <w:rsid w:val="748C52D0"/>
    <w:rsid w:val="748D2974"/>
    <w:rsid w:val="74BE4E6C"/>
    <w:rsid w:val="75784937"/>
    <w:rsid w:val="75956B13"/>
    <w:rsid w:val="76A1624D"/>
    <w:rsid w:val="76EF20B0"/>
    <w:rsid w:val="776275E7"/>
    <w:rsid w:val="776F0544"/>
    <w:rsid w:val="77AF4A80"/>
    <w:rsid w:val="781B2AFE"/>
    <w:rsid w:val="7835040A"/>
    <w:rsid w:val="78692CD8"/>
    <w:rsid w:val="790C7AD8"/>
    <w:rsid w:val="79474801"/>
    <w:rsid w:val="7AD711F4"/>
    <w:rsid w:val="7ADA12B7"/>
    <w:rsid w:val="7B603DFE"/>
    <w:rsid w:val="7D397C15"/>
    <w:rsid w:val="7E623D4C"/>
    <w:rsid w:val="7E942C4C"/>
    <w:rsid w:val="7EAD0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9"/>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4">
    <w:name w:val="heading 2"/>
    <w:basedOn w:val="1"/>
    <w:next w:val="1"/>
    <w:link w:val="175"/>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5">
    <w:name w:val="heading 3"/>
    <w:basedOn w:val="1"/>
    <w:next w:val="1"/>
    <w:qFormat/>
    <w:uiPriority w:val="0"/>
    <w:pPr>
      <w:keepNext/>
      <w:keepLines/>
      <w:spacing w:line="360" w:lineRule="auto"/>
      <w:outlineLvl w:val="2"/>
    </w:pPr>
    <w:rPr>
      <w:rFonts w:ascii="黑体" w:hAnsi="宋体" w:eastAsia="Times New Roman"/>
      <w:bCs/>
      <w:snapToGrid w:val="0"/>
      <w:kern w:val="0"/>
      <w:szCs w:val="20"/>
    </w:rPr>
  </w:style>
  <w:style w:type="paragraph" w:styleId="6">
    <w:name w:val="heading 4"/>
    <w:basedOn w:val="1"/>
    <w:next w:val="1"/>
    <w:qFormat/>
    <w:uiPriority w:val="0"/>
    <w:pPr>
      <w:keepNext/>
      <w:keepLines/>
      <w:numPr>
        <w:ilvl w:val="3"/>
        <w:numId w:val="1"/>
      </w:numPr>
      <w:snapToGrid w:val="0"/>
      <w:spacing w:line="460" w:lineRule="atLeast"/>
      <w:outlineLvl w:val="3"/>
    </w:pPr>
    <w:rPr>
      <w:b/>
      <w:szCs w:val="20"/>
    </w:rPr>
  </w:style>
  <w:style w:type="paragraph" w:styleId="7">
    <w:name w:val="heading 5"/>
    <w:basedOn w:val="1"/>
    <w:next w:val="1"/>
    <w:link w:val="86"/>
    <w:qFormat/>
    <w:uiPriority w:val="0"/>
    <w:pPr>
      <w:ind w:firstLine="482" w:firstLineChars="0"/>
      <w:jc w:val="center"/>
      <w:outlineLvl w:val="4"/>
    </w:pPr>
    <w:rPr>
      <w:b/>
      <w:bCs/>
      <w:sz w:val="21"/>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8">
    <w:name w:val="Normal Indent"/>
    <w:basedOn w:val="1"/>
    <w:next w:val="1"/>
    <w:link w:val="65"/>
    <w:qFormat/>
    <w:uiPriority w:val="0"/>
    <w:pPr>
      <w:ind w:firstLine="420"/>
    </w:pPr>
    <w:rPr>
      <w:szCs w:val="20"/>
    </w:rPr>
  </w:style>
  <w:style w:type="paragraph" w:styleId="9">
    <w:name w:val="caption"/>
    <w:basedOn w:val="1"/>
    <w:next w:val="1"/>
    <w:qFormat/>
    <w:uiPriority w:val="0"/>
    <w:pPr>
      <w:adjustRightInd w:val="0"/>
      <w:spacing w:before="152" w:after="160" w:line="240" w:lineRule="exact"/>
      <w:jc w:val="center"/>
      <w:textAlignment w:val="baseline"/>
    </w:pPr>
    <w:rPr>
      <w:kern w:val="0"/>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74"/>
    <w:qFormat/>
    <w:uiPriority w:val="0"/>
    <w:pPr>
      <w:jc w:val="left"/>
    </w:pPr>
  </w:style>
  <w:style w:type="paragraph" w:styleId="12">
    <w:name w:val="Salutation"/>
    <w:basedOn w:val="1"/>
    <w:next w:val="1"/>
    <w:qFormat/>
    <w:uiPriority w:val="0"/>
    <w:pPr>
      <w:jc w:val="left"/>
    </w:pPr>
    <w:rPr>
      <w:rFonts w:ascii="Times New Roman" w:hAnsi="Times New Roman" w:eastAsia="仿宋_GB2312"/>
      <w:sz w:val="32"/>
    </w:rPr>
  </w:style>
  <w:style w:type="paragraph" w:styleId="13">
    <w:name w:val="Body Text 3"/>
    <w:basedOn w:val="1"/>
    <w:qFormat/>
    <w:uiPriority w:val="0"/>
    <w:pPr>
      <w:spacing w:line="360" w:lineRule="auto"/>
    </w:pPr>
    <w:rPr>
      <w:rFonts w:ascii="仿宋_GB2312" w:eastAsia="仿宋_GB2312"/>
      <w:sz w:val="24"/>
    </w:rPr>
  </w:style>
  <w:style w:type="paragraph" w:styleId="14">
    <w:name w:val="Body Text"/>
    <w:basedOn w:val="1"/>
    <w:next w:val="1"/>
    <w:qFormat/>
    <w:uiPriority w:val="0"/>
    <w:pPr>
      <w:spacing w:after="120"/>
    </w:pPr>
  </w:style>
  <w:style w:type="paragraph" w:styleId="15">
    <w:name w:val="Body Text Indent"/>
    <w:basedOn w:val="1"/>
    <w:next w:val="16"/>
    <w:qFormat/>
    <w:uiPriority w:val="0"/>
    <w:pPr>
      <w:adjustRightInd w:val="0"/>
      <w:snapToGrid w:val="0"/>
      <w:spacing w:line="360" w:lineRule="auto"/>
      <w:ind w:firstLine="480"/>
    </w:pPr>
    <w:rPr>
      <w:bCs/>
      <w:kern w:val="0"/>
    </w:rPr>
  </w:style>
  <w:style w:type="paragraph" w:styleId="16">
    <w:name w:val="List"/>
    <w:basedOn w:val="1"/>
    <w:next w:val="1"/>
    <w:qFormat/>
    <w:uiPriority w:val="99"/>
    <w:pPr>
      <w:ind w:left="200" w:hanging="200" w:hangingChars="200"/>
    </w:pPr>
    <w:rPr>
      <w:szCs w:val="20"/>
    </w:r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qFormat/>
    <w:uiPriority w:val="0"/>
    <w:rPr>
      <w:rFonts w:ascii="宋体" w:hAnsi="Courier New"/>
      <w:szCs w:val="20"/>
    </w:rPr>
  </w:style>
  <w:style w:type="paragraph" w:styleId="20">
    <w:name w:val="List Bullet 5"/>
    <w:basedOn w:val="1"/>
    <w:qFormat/>
    <w:uiPriority w:val="0"/>
    <w:pPr>
      <w:numPr>
        <w:ilvl w:val="0"/>
        <w:numId w:val="2"/>
      </w:numPr>
    </w:pPr>
  </w:style>
  <w:style w:type="paragraph" w:styleId="21">
    <w:name w:val="Date"/>
    <w:basedOn w:val="1"/>
    <w:next w:val="1"/>
    <w:qFormat/>
    <w:uiPriority w:val="0"/>
    <w:rPr>
      <w:szCs w:val="20"/>
    </w:rPr>
  </w:style>
  <w:style w:type="paragraph" w:styleId="22">
    <w:name w:val="footer"/>
    <w:basedOn w:val="1"/>
    <w:qFormat/>
    <w:uiPriority w:val="0"/>
    <w:pPr>
      <w:tabs>
        <w:tab w:val="center" w:pos="4153"/>
        <w:tab w:val="right" w:pos="8306"/>
      </w:tabs>
      <w:snapToGrid w:val="0"/>
      <w:jc w:val="left"/>
    </w:pPr>
    <w:rPr>
      <w:sz w:val="18"/>
      <w:szCs w:val="18"/>
    </w:rPr>
  </w:style>
  <w:style w:type="paragraph" w:styleId="23">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4">
    <w:name w:val="toc 1"/>
    <w:basedOn w:val="1"/>
    <w:next w:val="1"/>
    <w:qFormat/>
    <w:uiPriority w:val="39"/>
    <w:pPr>
      <w:spacing w:before="120" w:after="120"/>
      <w:jc w:val="left"/>
    </w:pPr>
    <w:rPr>
      <w:rFonts w:ascii="Calibri" w:hAnsi="Calibri" w:cs="Calibri"/>
      <w:b/>
      <w:bCs/>
      <w:caps/>
      <w:sz w:val="20"/>
      <w:szCs w:val="20"/>
    </w:rPr>
  </w:style>
  <w:style w:type="paragraph" w:styleId="25">
    <w:name w:val="toc 4"/>
    <w:basedOn w:val="1"/>
    <w:next w:val="1"/>
    <w:qFormat/>
    <w:uiPriority w:val="0"/>
    <w:pPr>
      <w:ind w:left="1260" w:leftChars="600"/>
    </w:pPr>
  </w:style>
  <w:style w:type="paragraph" w:styleId="26">
    <w:name w:val="index heading"/>
    <w:basedOn w:val="1"/>
    <w:next w:val="27"/>
    <w:qFormat/>
    <w:uiPriority w:val="0"/>
    <w:rPr>
      <w:szCs w:val="20"/>
    </w:rPr>
  </w:style>
  <w:style w:type="paragraph" w:styleId="27">
    <w:name w:val="index 1"/>
    <w:basedOn w:val="1"/>
    <w:next w:val="1"/>
    <w:qFormat/>
    <w:uiPriority w:val="0"/>
    <w:pPr>
      <w:adjustRightInd w:val="0"/>
      <w:spacing w:before="60"/>
      <w:textAlignment w:val="baseline"/>
    </w:pPr>
    <w:rPr>
      <w:sz w:val="24"/>
      <w:szCs w:val="20"/>
    </w:rPr>
  </w:style>
  <w:style w:type="paragraph" w:styleId="28">
    <w:name w:val="Body Text Indent 3"/>
    <w:basedOn w:val="1"/>
    <w:qFormat/>
    <w:uiPriority w:val="0"/>
    <w:pPr>
      <w:spacing w:line="360" w:lineRule="auto"/>
      <w:ind w:firstLine="480" w:firstLineChars="200"/>
    </w:pPr>
    <w:rPr>
      <w:rFonts w:ascii="宋体"/>
      <w:sz w:val="24"/>
    </w:rPr>
  </w:style>
  <w:style w:type="paragraph" w:styleId="29">
    <w:name w:val="table of figures"/>
    <w:basedOn w:val="1"/>
    <w:next w:val="1"/>
    <w:semiHidden/>
    <w:qFormat/>
    <w:uiPriority w:val="0"/>
    <w:pPr>
      <w:ind w:left="200" w:leftChars="200" w:hanging="200" w:hangingChars="200"/>
    </w:pPr>
  </w:style>
  <w:style w:type="paragraph" w:styleId="30">
    <w:name w:val="toc 2"/>
    <w:basedOn w:val="1"/>
    <w:next w:val="1"/>
    <w:qFormat/>
    <w:uiPriority w:val="39"/>
    <w:pPr>
      <w:ind w:left="240"/>
      <w:jc w:val="left"/>
    </w:pPr>
    <w:rPr>
      <w:rFonts w:ascii="Calibri" w:hAnsi="Calibri" w:cs="Calibri"/>
      <w:smallCaps/>
      <w:sz w:val="20"/>
      <w:szCs w:val="20"/>
    </w:rPr>
  </w:style>
  <w:style w:type="paragraph" w:styleId="31">
    <w:name w:val="Body Text 2"/>
    <w:basedOn w:val="1"/>
    <w:qFormat/>
    <w:uiPriority w:val="0"/>
    <w:pPr>
      <w:spacing w:after="120" w:line="480" w:lineRule="auto"/>
    </w:pPr>
  </w:style>
  <w:style w:type="paragraph" w:styleId="3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3">
    <w:name w:val="Normal (Web)"/>
    <w:basedOn w:val="1"/>
    <w:qFormat/>
    <w:uiPriority w:val="99"/>
  </w:style>
  <w:style w:type="paragraph" w:styleId="34">
    <w:name w:val="Title"/>
    <w:basedOn w:val="1"/>
    <w:next w:val="1"/>
    <w:qFormat/>
    <w:uiPriority w:val="0"/>
    <w:pPr>
      <w:spacing w:before="240" w:after="60"/>
      <w:jc w:val="center"/>
      <w:outlineLvl w:val="0"/>
    </w:pPr>
    <w:rPr>
      <w:rFonts w:ascii="Cambria" w:hAnsi="Cambria"/>
      <w:b/>
      <w:bCs/>
      <w:sz w:val="32"/>
      <w:szCs w:val="32"/>
    </w:rPr>
  </w:style>
  <w:style w:type="paragraph" w:styleId="35">
    <w:name w:val="annotation subject"/>
    <w:basedOn w:val="11"/>
    <w:next w:val="11"/>
    <w:link w:val="75"/>
    <w:qFormat/>
    <w:uiPriority w:val="0"/>
    <w:rPr>
      <w:b/>
      <w:bCs/>
    </w:rPr>
  </w:style>
  <w:style w:type="paragraph" w:styleId="36">
    <w:name w:val="Body Text First Indent"/>
    <w:basedOn w:val="1"/>
    <w:qFormat/>
    <w:uiPriority w:val="0"/>
    <w:pPr>
      <w:ind w:firstLine="420" w:firstLineChars="100"/>
    </w:pPr>
    <w:rPr>
      <w:rFonts w:ascii="黑体" w:hAnsi="黑体"/>
      <w:spacing w:val="10"/>
      <w:sz w:val="21"/>
    </w:rPr>
  </w:style>
  <w:style w:type="paragraph" w:styleId="37">
    <w:name w:val="Body Text First Indent 2"/>
    <w:basedOn w:val="15"/>
    <w:next w:val="1"/>
    <w:qFormat/>
    <w:uiPriority w:val="0"/>
    <w:pPr>
      <w:adjustRightInd/>
      <w:snapToGrid/>
      <w:spacing w:after="120" w:line="240" w:lineRule="auto"/>
      <w:ind w:left="420" w:leftChars="200" w:firstLine="420" w:firstLineChars="200"/>
    </w:pPr>
    <w:rPr>
      <w:bCs w:val="0"/>
      <w:kern w:val="2"/>
      <w:sz w:val="21"/>
    </w:r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rPr>
  </w:style>
  <w:style w:type="character" w:styleId="42">
    <w:name w:val="page number"/>
    <w:basedOn w:val="40"/>
    <w:qFormat/>
    <w:uiPriority w:val="0"/>
    <w:rPr>
      <w:rFonts w:ascii="宋体" w:hAnsi="宋体" w:eastAsia="宋体" w:cs="宋体"/>
      <w:kern w:val="2"/>
      <w:sz w:val="24"/>
      <w:szCs w:val="24"/>
      <w:lang w:val="en-US" w:eastAsia="zh-CN" w:bidi="ar-SA"/>
    </w:rPr>
  </w:style>
  <w:style w:type="character" w:styleId="43">
    <w:name w:val="Emphasis"/>
    <w:basedOn w:val="40"/>
    <w:qFormat/>
    <w:uiPriority w:val="0"/>
    <w:rPr>
      <w:i/>
      <w:iCs/>
    </w:rPr>
  </w:style>
  <w:style w:type="character" w:styleId="44">
    <w:name w:val="Hyperlink"/>
    <w:qFormat/>
    <w:uiPriority w:val="99"/>
    <w:rPr>
      <w:rFonts w:ascii="宋体" w:hAnsi="宋体" w:eastAsia="宋体" w:cs="宋体"/>
      <w:color w:val="0000FF"/>
      <w:kern w:val="2"/>
      <w:sz w:val="24"/>
      <w:szCs w:val="24"/>
      <w:u w:val="single"/>
      <w:lang w:val="en-US" w:eastAsia="zh-CN" w:bidi="ar-SA"/>
    </w:rPr>
  </w:style>
  <w:style w:type="character" w:styleId="45">
    <w:name w:val="annotation reference"/>
    <w:basedOn w:val="40"/>
    <w:qFormat/>
    <w:uiPriority w:val="0"/>
    <w:rPr>
      <w:sz w:val="21"/>
      <w:szCs w:val="21"/>
    </w:rPr>
  </w:style>
  <w:style w:type="paragraph" w:customStyle="1" w:styleId="46">
    <w:name w:val="0正文"/>
    <w:basedOn w:val="15"/>
    <w:unhideWhenUsed/>
    <w:qFormat/>
    <w:uiPriority w:val="0"/>
    <w:pPr>
      <w:ind w:firstLine="720"/>
    </w:pPr>
  </w:style>
  <w:style w:type="paragraph" w:customStyle="1" w:styleId="47">
    <w:name w:val="Default"/>
    <w:basedOn w:val="48"/>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9">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0">
    <w:name w:val="报告"/>
    <w:basedOn w:val="1"/>
    <w:qFormat/>
    <w:uiPriority w:val="0"/>
    <w:pPr>
      <w:adjustRightInd w:val="0"/>
      <w:spacing w:line="360" w:lineRule="auto"/>
      <w:ind w:firstLine="505"/>
      <w:textAlignment w:val="baseline"/>
    </w:pPr>
    <w:rPr>
      <w:kern w:val="0"/>
      <w:szCs w:val="20"/>
    </w:rPr>
  </w:style>
  <w:style w:type="paragraph" w:customStyle="1" w:styleId="51">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2">
    <w:name w:val="fontstyle11"/>
    <w:qFormat/>
    <w:uiPriority w:val="0"/>
    <w:rPr>
      <w:rFonts w:ascii="TimesNewRomanPSMT" w:hAnsi="TimesNewRomanPSMT" w:eastAsia="TimesNewRomanPSMT" w:cs="TimesNewRomanPSMT"/>
      <w:color w:val="000000"/>
      <w:kern w:val="0"/>
      <w:sz w:val="24"/>
      <w:szCs w:val="24"/>
    </w:rPr>
  </w:style>
  <w:style w:type="table" w:customStyle="1" w:styleId="53">
    <w:name w:val="报告表格式新建"/>
    <w:basedOn w:val="38"/>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54">
    <w:name w:val="样式 首行缩进:  2 字符"/>
    <w:basedOn w:val="1"/>
    <w:qFormat/>
    <w:uiPriority w:val="0"/>
    <w:pPr>
      <w:ind w:right="11" w:firstLine="480" w:firstLineChars="200"/>
    </w:pPr>
    <w:rPr>
      <w:bCs/>
    </w:rPr>
  </w:style>
  <w:style w:type="paragraph" w:customStyle="1" w:styleId="55">
    <w:name w:val="1文章"/>
    <w:basedOn w:val="1"/>
    <w:qFormat/>
    <w:uiPriority w:val="0"/>
    <w:pPr>
      <w:snapToGrid w:val="0"/>
      <w:spacing w:line="360" w:lineRule="auto"/>
      <w:ind w:firstLine="573"/>
    </w:pPr>
    <w:rPr>
      <w:rFonts w:eastAsia="仿宋_GB2312"/>
      <w:sz w:val="28"/>
    </w:rPr>
  </w:style>
  <w:style w:type="paragraph" w:customStyle="1" w:styleId="56">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57">
    <w:name w:val="填表内容"/>
    <w:basedOn w:val="1"/>
    <w:qFormat/>
    <w:uiPriority w:val="0"/>
    <w:pPr>
      <w:adjustRightInd w:val="0"/>
      <w:jc w:val="center"/>
    </w:pPr>
    <w:rPr>
      <w:kern w:val="0"/>
      <w:sz w:val="21"/>
      <w:szCs w:val="20"/>
    </w:rPr>
  </w:style>
  <w:style w:type="character" w:customStyle="1" w:styleId="58">
    <w:name w:val="fontstyle01"/>
    <w:basedOn w:val="40"/>
    <w:qFormat/>
    <w:uiPriority w:val="0"/>
    <w:rPr>
      <w:rFonts w:ascii="宋体" w:hAnsi="宋体" w:eastAsia="宋体" w:cs="宋体"/>
      <w:color w:val="000000"/>
      <w:kern w:val="0"/>
      <w:sz w:val="24"/>
      <w:szCs w:val="24"/>
    </w:rPr>
  </w:style>
  <w:style w:type="paragraph" w:customStyle="1" w:styleId="59">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0">
    <w:name w:val="列表段落1"/>
    <w:basedOn w:val="1"/>
    <w:qFormat/>
    <w:uiPriority w:val="0"/>
    <w:pPr>
      <w:ind w:firstLine="420" w:firstLineChars="200"/>
    </w:pPr>
    <w:rPr>
      <w:rFonts w:ascii="Calibri" w:hAnsi="Calibri"/>
      <w:szCs w:val="22"/>
    </w:rPr>
  </w:style>
  <w:style w:type="paragraph" w:customStyle="1" w:styleId="61">
    <w:name w:val="Zw"/>
    <w:basedOn w:val="1"/>
    <w:next w:val="1"/>
    <w:qFormat/>
    <w:uiPriority w:val="0"/>
    <w:pPr>
      <w:spacing w:line="360" w:lineRule="auto"/>
      <w:ind w:firstLine="200" w:firstLineChars="200"/>
    </w:pPr>
    <w:rPr>
      <w:rFonts w:ascii="宋体" w:hAnsi="宋体" w:cs="宋体"/>
    </w:rPr>
  </w:style>
  <w:style w:type="character" w:customStyle="1" w:styleId="62">
    <w:name w:val="fontstyle21"/>
    <w:basedOn w:val="40"/>
    <w:qFormat/>
    <w:uiPriority w:val="0"/>
    <w:rPr>
      <w:rFonts w:ascii="TimesNewRomanPSMT" w:hAnsi="TimesNewRomanPSMT" w:eastAsia="TimesNewRomanPSMT" w:cs="TimesNewRomanPSMT"/>
      <w:color w:val="000000"/>
      <w:kern w:val="0"/>
      <w:sz w:val="24"/>
      <w:szCs w:val="24"/>
    </w:rPr>
  </w:style>
  <w:style w:type="paragraph" w:customStyle="1" w:styleId="63">
    <w:name w:val="样式2"/>
    <w:basedOn w:val="4"/>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64">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65">
    <w:name w:val="正文缩进 字符"/>
    <w:link w:val="8"/>
    <w:qFormat/>
    <w:uiPriority w:val="0"/>
    <w:rPr>
      <w:szCs w:val="20"/>
    </w:rPr>
  </w:style>
  <w:style w:type="paragraph" w:customStyle="1" w:styleId="66">
    <w:name w:val="表格标题"/>
    <w:basedOn w:val="67"/>
    <w:next w:val="1"/>
    <w:qFormat/>
    <w:uiPriority w:val="0"/>
    <w:pPr>
      <w:spacing w:before="120"/>
    </w:pPr>
    <w:rPr>
      <w:rFonts w:eastAsia="仿宋_GB2312"/>
    </w:rPr>
  </w:style>
  <w:style w:type="paragraph" w:customStyle="1" w:styleId="67">
    <w:name w:val="表格内容"/>
    <w:basedOn w:val="8"/>
    <w:next w:val="1"/>
    <w:qFormat/>
    <w:uiPriority w:val="0"/>
    <w:pPr>
      <w:spacing w:line="360" w:lineRule="auto"/>
      <w:jc w:val="center"/>
    </w:pPr>
    <w:rPr>
      <w:color w:val="000000"/>
    </w:rPr>
  </w:style>
  <w:style w:type="paragraph" w:customStyle="1" w:styleId="68">
    <w:name w:val="表格文字2"/>
    <w:basedOn w:val="69"/>
    <w:qFormat/>
    <w:uiPriority w:val="0"/>
    <w:pPr>
      <w:tabs>
        <w:tab w:val="left" w:pos="7590"/>
      </w:tabs>
      <w:spacing w:before="60"/>
    </w:pPr>
  </w:style>
  <w:style w:type="paragraph" w:customStyle="1" w:styleId="69">
    <w:name w:val="表格文字"/>
    <w:basedOn w:val="1"/>
    <w:next w:val="1"/>
    <w:qFormat/>
    <w:uiPriority w:val="99"/>
    <w:pPr>
      <w:tabs>
        <w:tab w:val="left" w:pos="7590"/>
      </w:tabs>
      <w:snapToGrid w:val="0"/>
      <w:jc w:val="center"/>
    </w:pPr>
    <w:rPr>
      <w:sz w:val="21"/>
      <w:lang w:val="zh-CN"/>
    </w:rPr>
  </w:style>
  <w:style w:type="paragraph" w:customStyle="1" w:styleId="70">
    <w:name w:val="标题1"/>
    <w:basedOn w:val="1"/>
    <w:next w:val="1"/>
    <w:qFormat/>
    <w:uiPriority w:val="0"/>
    <w:pPr>
      <w:spacing w:line="500" w:lineRule="exact"/>
    </w:pPr>
    <w:rPr>
      <w:rFonts w:eastAsia="楷体_GB2312"/>
      <w:b/>
      <w:color w:val="000000"/>
      <w:spacing w:val="10"/>
      <w:sz w:val="28"/>
    </w:rPr>
  </w:style>
  <w:style w:type="paragraph" w:customStyle="1" w:styleId="71">
    <w:name w:val="正文-蓝色"/>
    <w:basedOn w:val="72"/>
    <w:qFormat/>
    <w:uiPriority w:val="0"/>
    <w:pPr>
      <w:ind w:firstLine="480"/>
    </w:pPr>
    <w:rPr>
      <w:color w:val="0000FF"/>
    </w:rPr>
  </w:style>
  <w:style w:type="paragraph" w:customStyle="1" w:styleId="72">
    <w:name w:val="正文-欣欣"/>
    <w:basedOn w:val="1"/>
    <w:next w:val="1"/>
    <w:qFormat/>
    <w:uiPriority w:val="0"/>
    <w:pPr>
      <w:ind w:firstLine="200" w:firstLineChars="200"/>
    </w:pPr>
    <w:rPr>
      <w:rFonts w:cs="Courier New"/>
      <w:szCs w:val="21"/>
    </w:rPr>
  </w:style>
  <w:style w:type="paragraph" w:customStyle="1" w:styleId="73">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74">
    <w:name w:val="批注文字 字符"/>
    <w:basedOn w:val="40"/>
    <w:link w:val="11"/>
    <w:qFormat/>
    <w:uiPriority w:val="0"/>
    <w:rPr>
      <w:kern w:val="2"/>
      <w:sz w:val="24"/>
      <w:szCs w:val="24"/>
    </w:rPr>
  </w:style>
  <w:style w:type="character" w:customStyle="1" w:styleId="75">
    <w:name w:val="批注主题 字符"/>
    <w:basedOn w:val="74"/>
    <w:link w:val="35"/>
    <w:qFormat/>
    <w:uiPriority w:val="0"/>
    <w:rPr>
      <w:b/>
      <w:bCs/>
      <w:kern w:val="2"/>
      <w:sz w:val="24"/>
      <w:szCs w:val="24"/>
    </w:rPr>
  </w:style>
  <w:style w:type="paragraph" w:customStyle="1" w:styleId="76">
    <w:name w:val="WPSOffice手动目录 1"/>
    <w:qFormat/>
    <w:uiPriority w:val="0"/>
    <w:pPr>
      <w:ind w:leftChars="0"/>
    </w:pPr>
    <w:rPr>
      <w:rFonts w:ascii="Times New Roman" w:hAnsi="Times New Roman" w:eastAsia="宋体" w:cs="Times New Roman"/>
      <w:sz w:val="20"/>
      <w:szCs w:val="20"/>
    </w:rPr>
  </w:style>
  <w:style w:type="paragraph" w:customStyle="1" w:styleId="77">
    <w:name w:val="WPSOffice手动目录 2"/>
    <w:qFormat/>
    <w:uiPriority w:val="0"/>
    <w:pPr>
      <w:ind w:leftChars="200"/>
    </w:pPr>
    <w:rPr>
      <w:rFonts w:ascii="Times New Roman" w:hAnsi="Times New Roman" w:eastAsia="宋体" w:cs="Times New Roman"/>
      <w:sz w:val="20"/>
      <w:szCs w:val="20"/>
    </w:rPr>
  </w:style>
  <w:style w:type="paragraph" w:customStyle="1" w:styleId="78">
    <w:name w:val="正文文本缩进1"/>
    <w:basedOn w:val="1"/>
    <w:qFormat/>
    <w:uiPriority w:val="0"/>
    <w:pPr>
      <w:spacing w:after="120"/>
      <w:ind w:left="420" w:leftChars="200"/>
    </w:pPr>
    <w:rPr>
      <w:kern w:val="0"/>
      <w:sz w:val="20"/>
    </w:rPr>
  </w:style>
  <w:style w:type="character" w:customStyle="1" w:styleId="79">
    <w:name w:val="标题 1 Char"/>
    <w:link w:val="3"/>
    <w:qFormat/>
    <w:uiPriority w:val="0"/>
    <w:rPr>
      <w:rFonts w:ascii="黑体" w:hAnsi="黑体" w:eastAsia="黑体"/>
      <w:b/>
      <w:snapToGrid w:val="0"/>
      <w:color w:val="000000"/>
      <w:sz w:val="32"/>
    </w:rPr>
  </w:style>
  <w:style w:type="paragraph" w:customStyle="1" w:styleId="80">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1">
    <w:name w:val="No Spacing"/>
    <w:basedOn w:val="1"/>
    <w:next w:val="82"/>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2">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3">
    <w:name w:val="font61"/>
    <w:basedOn w:val="40"/>
    <w:qFormat/>
    <w:uiPriority w:val="0"/>
    <w:rPr>
      <w:rFonts w:hint="eastAsia" w:ascii="宋体" w:hAnsi="宋体" w:eastAsia="宋体" w:cs="宋体"/>
      <w:color w:val="000000"/>
      <w:sz w:val="20"/>
      <w:szCs w:val="20"/>
      <w:u w:val="none"/>
    </w:rPr>
  </w:style>
  <w:style w:type="paragraph" w:customStyle="1" w:styleId="84">
    <w:name w:val="表头"/>
    <w:basedOn w:val="66"/>
    <w:next w:val="1"/>
    <w:qFormat/>
    <w:uiPriority w:val="0"/>
    <w:pPr>
      <w:widowControl/>
      <w:ind w:firstLine="0" w:firstLineChars="0"/>
      <w:jc w:val="center"/>
    </w:pPr>
    <w:rPr>
      <w:b/>
      <w:kern w:val="0"/>
      <w:sz w:val="20"/>
      <w:szCs w:val="20"/>
    </w:rPr>
  </w:style>
  <w:style w:type="paragraph" w:customStyle="1" w:styleId="85">
    <w:name w:val="0表格"/>
    <w:basedOn w:val="1"/>
    <w:qFormat/>
    <w:uiPriority w:val="0"/>
    <w:pPr>
      <w:widowControl/>
      <w:jc w:val="center"/>
    </w:pPr>
    <w:rPr>
      <w:kern w:val="0"/>
      <w:szCs w:val="21"/>
    </w:rPr>
  </w:style>
  <w:style w:type="character" w:customStyle="1" w:styleId="86">
    <w:name w:val="标题 5 Char"/>
    <w:link w:val="7"/>
    <w:qFormat/>
    <w:uiPriority w:val="0"/>
    <w:rPr>
      <w:b/>
      <w:bCs/>
      <w:sz w:val="21"/>
      <w:szCs w:val="28"/>
    </w:rPr>
  </w:style>
  <w:style w:type="paragraph" w:customStyle="1" w:styleId="87">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88">
    <w:name w:val="【表中文字】"/>
    <w:basedOn w:val="1"/>
    <w:qFormat/>
    <w:uiPriority w:val="0"/>
    <w:pPr>
      <w:adjustRightInd w:val="0"/>
      <w:snapToGrid w:val="0"/>
      <w:jc w:val="center"/>
    </w:pPr>
    <w:rPr>
      <w:kern w:val="0"/>
      <w:sz w:val="20"/>
      <w:szCs w:val="20"/>
    </w:rPr>
  </w:style>
  <w:style w:type="paragraph" w:customStyle="1" w:styleId="89">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0">
    <w:name w:val="纯文本1"/>
    <w:basedOn w:val="1"/>
    <w:qFormat/>
    <w:uiPriority w:val="0"/>
    <w:rPr>
      <w:rFonts w:ascii="宋体" w:hAnsi="Courier New"/>
      <w:kern w:val="0"/>
      <w:sz w:val="20"/>
      <w:szCs w:val="20"/>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2">
    <w:name w:val="表头样式"/>
    <w:basedOn w:val="1"/>
    <w:qFormat/>
    <w:uiPriority w:val="0"/>
    <w:pPr>
      <w:spacing w:beforeLines="50" w:afterLines="50"/>
      <w:jc w:val="center"/>
    </w:pPr>
    <w:rPr>
      <w:b/>
      <w:szCs w:val="21"/>
    </w:rPr>
  </w:style>
  <w:style w:type="paragraph" w:customStyle="1" w:styleId="93">
    <w:name w:val="正文01"/>
    <w:basedOn w:val="1"/>
    <w:link w:val="119"/>
    <w:qFormat/>
    <w:uiPriority w:val="0"/>
    <w:pPr>
      <w:ind w:firstLine="482"/>
    </w:pPr>
    <w:rPr>
      <w:szCs w:val="20"/>
    </w:rPr>
  </w:style>
  <w:style w:type="paragraph" w:customStyle="1" w:styleId="94">
    <w:name w:val="【正文】"/>
    <w:basedOn w:val="1"/>
    <w:qFormat/>
    <w:uiPriority w:val="0"/>
    <w:pPr>
      <w:spacing w:line="440" w:lineRule="exact"/>
      <w:ind w:firstLine="544" w:firstLineChars="200"/>
    </w:pPr>
    <w:rPr>
      <w:sz w:val="24"/>
      <w:szCs w:val="20"/>
    </w:rPr>
  </w:style>
  <w:style w:type="paragraph" w:customStyle="1" w:styleId="95">
    <w:name w:val="fcc正文"/>
    <w:basedOn w:val="1"/>
    <w:qFormat/>
    <w:uiPriority w:val="0"/>
    <w:pPr>
      <w:ind w:firstLine="200" w:firstLineChars="200"/>
    </w:pPr>
    <w:rPr>
      <w:rFonts w:ascii="Calibri" w:hAnsi="Calibri" w:cs="Times New Roman"/>
      <w:szCs w:val="20"/>
      <w:lang w:val="zh-CN"/>
    </w:rPr>
  </w:style>
  <w:style w:type="character" w:customStyle="1" w:styleId="96">
    <w:name w:val="页码1"/>
    <w:basedOn w:val="40"/>
    <w:qFormat/>
    <w:uiPriority w:val="0"/>
  </w:style>
  <w:style w:type="paragraph" w:customStyle="1" w:styleId="97">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98">
    <w:name w:val="Normal (Web)"/>
    <w:basedOn w:val="1"/>
    <w:qFormat/>
    <w:uiPriority w:val="0"/>
    <w:pPr>
      <w:spacing w:before="100" w:beforeAutospacing="1" w:after="100" w:afterAutospacing="1"/>
    </w:pPr>
    <w:rPr>
      <w:rFonts w:ascii="宋体" w:hAnsi="宋体" w:cs="宋体"/>
      <w:sz w:val="24"/>
    </w:rPr>
  </w:style>
  <w:style w:type="paragraph" w:customStyle="1" w:styleId="99">
    <w:name w:val="List Paragraph"/>
    <w:basedOn w:val="1"/>
    <w:next w:val="1"/>
    <w:qFormat/>
    <w:uiPriority w:val="0"/>
    <w:pPr>
      <w:autoSpaceDE w:val="0"/>
      <w:autoSpaceDN w:val="0"/>
      <w:jc w:val="center"/>
    </w:pPr>
    <w:rPr>
      <w:szCs w:val="20"/>
    </w:rPr>
  </w:style>
  <w:style w:type="paragraph" w:customStyle="1" w:styleId="100">
    <w:name w:val="样式3"/>
    <w:basedOn w:val="8"/>
    <w:qFormat/>
    <w:uiPriority w:val="0"/>
    <w:pPr>
      <w:snapToGrid/>
      <w:spacing w:line="520" w:lineRule="atLeast"/>
      <w:ind w:firstLine="560"/>
      <w:jc w:val="left"/>
    </w:pPr>
    <w:rPr>
      <w:kern w:val="0"/>
      <w:sz w:val="28"/>
    </w:rPr>
  </w:style>
  <w:style w:type="paragraph" w:customStyle="1" w:styleId="101">
    <w:name w:val="正文-1"/>
    <w:link w:val="174"/>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2">
    <w:name w:val="表题"/>
    <w:basedOn w:val="16"/>
    <w:next w:val="103"/>
    <w:link w:val="171"/>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03">
    <w:name w:val="表格"/>
    <w:basedOn w:val="16"/>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104">
    <w:name w:val="-正文"/>
    <w:basedOn w:val="1"/>
    <w:link w:val="172"/>
    <w:qFormat/>
    <w:uiPriority w:val="0"/>
    <w:pPr>
      <w:widowControl w:val="0"/>
      <w:spacing w:line="480" w:lineRule="exact"/>
      <w:ind w:firstLine="200" w:firstLineChars="200"/>
      <w:jc w:val="both"/>
    </w:pPr>
    <w:rPr>
      <w:rFonts w:cs="宋体"/>
      <w:kern w:val="2"/>
      <w:sz w:val="24"/>
    </w:rPr>
  </w:style>
  <w:style w:type="paragraph" w:customStyle="1" w:styleId="105">
    <w:name w:val="-表格"/>
    <w:basedOn w:val="1"/>
    <w:next w:val="1"/>
    <w:uiPriority w:val="0"/>
    <w:pPr>
      <w:widowControl/>
      <w:tabs>
        <w:tab w:val="left" w:pos="3696"/>
      </w:tabs>
      <w:jc w:val="center"/>
    </w:pPr>
    <w:rPr>
      <w:rFonts w:ascii="宋体" w:hAnsi="宋体" w:cs="宋体"/>
      <w:snapToGrid w:val="0"/>
      <w:szCs w:val="20"/>
    </w:rPr>
  </w:style>
  <w:style w:type="paragraph" w:customStyle="1" w:styleId="106">
    <w:name w:val="GTR报告书表头"/>
    <w:basedOn w:val="1"/>
    <w:qFormat/>
    <w:uiPriority w:val="0"/>
    <w:pPr>
      <w:spacing w:line="500" w:lineRule="exact"/>
      <w:jc w:val="center"/>
    </w:pPr>
    <w:rPr>
      <w:rFonts w:eastAsia="黑体"/>
    </w:rPr>
  </w:style>
  <w:style w:type="paragraph" w:customStyle="1" w:styleId="107">
    <w:name w:val="GTR表格内容"/>
    <w:basedOn w:val="106"/>
    <w:qFormat/>
    <w:uiPriority w:val="0"/>
    <w:pPr>
      <w:spacing w:line="240" w:lineRule="auto"/>
    </w:pPr>
    <w:rPr>
      <w:rFonts w:eastAsia="宋体"/>
    </w:rPr>
  </w:style>
  <w:style w:type="paragraph" w:customStyle="1" w:styleId="108">
    <w:name w:val="小四正文格式"/>
    <w:basedOn w:val="1"/>
    <w:qFormat/>
    <w:uiPriority w:val="0"/>
    <w:pPr>
      <w:spacing w:line="360" w:lineRule="auto"/>
      <w:ind w:firstLine="200" w:firstLineChars="200"/>
    </w:pPr>
    <w:rPr>
      <w:rFonts w:ascii="宋体" w:hAnsi="宋体"/>
      <w:sz w:val="24"/>
    </w:rPr>
  </w:style>
  <w:style w:type="paragraph" w:customStyle="1" w:styleId="109">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0">
    <w:name w:val="表标题"/>
    <w:basedOn w:val="1"/>
    <w:next w:val="1"/>
    <w:semiHidden/>
    <w:qFormat/>
    <w:uiPriority w:val="0"/>
    <w:pPr>
      <w:adjustRightInd w:val="0"/>
      <w:jc w:val="center"/>
      <w:textAlignment w:val="baseline"/>
    </w:pPr>
    <w:rPr>
      <w:b/>
      <w:bCs/>
      <w:sz w:val="24"/>
      <w:szCs w:val="20"/>
    </w:rPr>
  </w:style>
  <w:style w:type="paragraph" w:customStyle="1" w:styleId="111">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2">
    <w:name w:val=" Char Char Char Char Char Char Char Char Char1 Char Char Char Char"/>
    <w:basedOn w:val="1"/>
    <w:qFormat/>
    <w:uiPriority w:val="0"/>
    <w:rPr>
      <w:sz w:val="24"/>
    </w:rPr>
  </w:style>
  <w:style w:type="paragraph" w:customStyle="1" w:styleId="113">
    <w:name w:val="报告正文"/>
    <w:basedOn w:val="1"/>
    <w:link w:val="128"/>
    <w:semiHidden/>
    <w:qFormat/>
    <w:uiPriority w:val="0"/>
    <w:pPr>
      <w:adjustRightInd w:val="0"/>
      <w:snapToGrid w:val="0"/>
      <w:spacing w:line="480" w:lineRule="exact"/>
      <w:ind w:firstLine="560" w:firstLineChars="200"/>
    </w:pPr>
    <w:rPr>
      <w:sz w:val="28"/>
    </w:rPr>
  </w:style>
  <w:style w:type="paragraph" w:customStyle="1" w:styleId="114">
    <w:name w:val="常用正文样式"/>
    <w:basedOn w:val="1"/>
    <w:uiPriority w:val="0"/>
    <w:pPr>
      <w:spacing w:line="360" w:lineRule="auto"/>
      <w:ind w:firstLine="480" w:firstLineChars="200"/>
    </w:pPr>
    <w:rPr>
      <w:rFonts w:ascii="宋体" w:hAnsi="宋体" w:eastAsia="仿宋_GB2312" w:cs="宋体"/>
      <w:bCs/>
      <w:kern w:val="28"/>
      <w:sz w:val="24"/>
    </w:rPr>
  </w:style>
  <w:style w:type="paragraph" w:customStyle="1" w:styleId="115">
    <w:name w:val="样式4"/>
    <w:basedOn w:val="1"/>
    <w:next w:val="1"/>
    <w:qFormat/>
    <w:uiPriority w:val="0"/>
    <w:pPr>
      <w:spacing w:line="440" w:lineRule="exact"/>
    </w:pPr>
    <w:rPr>
      <w:sz w:val="24"/>
      <w:szCs w:val="20"/>
    </w:rPr>
  </w:style>
  <w:style w:type="paragraph" w:customStyle="1" w:styleId="116">
    <w:name w:val="表格头"/>
    <w:basedOn w:val="1"/>
    <w:qFormat/>
    <w:uiPriority w:val="0"/>
    <w:pPr>
      <w:widowControl w:val="0"/>
      <w:jc w:val="center"/>
    </w:pPr>
    <w:rPr>
      <w:rFonts w:ascii="黑体" w:hAnsi="黑体"/>
      <w:b/>
      <w:sz w:val="21"/>
      <w:szCs w:val="24"/>
    </w:rPr>
  </w:style>
  <w:style w:type="paragraph" w:customStyle="1" w:styleId="117">
    <w:name w:val="-表题"/>
    <w:next w:val="104"/>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18">
    <w:name w:val="表中文字"/>
    <w:basedOn w:val="1"/>
    <w:qFormat/>
    <w:uiPriority w:val="0"/>
    <w:pPr>
      <w:widowControl w:val="0"/>
      <w:spacing w:line="300" w:lineRule="exact"/>
      <w:jc w:val="center"/>
    </w:pPr>
    <w:rPr>
      <w:color w:val="000000"/>
      <w:kern w:val="2"/>
      <w:sz w:val="21"/>
      <w:szCs w:val="24"/>
    </w:rPr>
  </w:style>
  <w:style w:type="character" w:customStyle="1" w:styleId="119">
    <w:name w:val="正文01 Char"/>
    <w:link w:val="93"/>
    <w:qFormat/>
    <w:uiPriority w:val="0"/>
    <w:rPr>
      <w:szCs w:val="20"/>
    </w:rPr>
  </w:style>
  <w:style w:type="paragraph" w:customStyle="1" w:styleId="120">
    <w:name w:val="表内容"/>
    <w:basedOn w:val="1"/>
    <w:next w:val="1"/>
    <w:qFormat/>
    <w:uiPriority w:val="0"/>
    <w:pPr>
      <w:jc w:val="center"/>
    </w:pPr>
    <w:rPr>
      <w:sz w:val="21"/>
      <w:szCs w:val="21"/>
    </w:rPr>
  </w:style>
  <w:style w:type="paragraph" w:customStyle="1" w:styleId="121">
    <w:name w:val="表格文字内容"/>
    <w:basedOn w:val="1"/>
    <w:qFormat/>
    <w:uiPriority w:val="0"/>
    <w:pPr>
      <w:spacing w:line="240" w:lineRule="exact"/>
      <w:jc w:val="center"/>
    </w:pPr>
    <w:rPr>
      <w:rFonts w:hAnsi="宋体"/>
      <w:sz w:val="18"/>
    </w:rPr>
  </w:style>
  <w:style w:type="paragraph" w:customStyle="1" w:styleId="122">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3">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24">
    <w:name w:val="CM13"/>
    <w:basedOn w:val="47"/>
    <w:qFormat/>
    <w:uiPriority w:val="0"/>
    <w:rPr>
      <w:color w:val="auto"/>
    </w:rPr>
  </w:style>
  <w:style w:type="paragraph" w:customStyle="1" w:styleId="125">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26">
    <w:name w:val="4"/>
    <w:basedOn w:val="1"/>
    <w:next w:val="15"/>
    <w:qFormat/>
    <w:uiPriority w:val="0"/>
    <w:pPr>
      <w:ind w:firstLine="540"/>
    </w:pPr>
    <w:rPr>
      <w:rFonts w:ascii="宋体"/>
      <w:sz w:val="28"/>
      <w:szCs w:val="20"/>
    </w:rPr>
  </w:style>
  <w:style w:type="paragraph" w:customStyle="1" w:styleId="127">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28">
    <w:name w:val="报告正文 Char"/>
    <w:link w:val="113"/>
    <w:qFormat/>
    <w:uiPriority w:val="0"/>
    <w:rPr>
      <w:sz w:val="28"/>
    </w:rPr>
  </w:style>
  <w:style w:type="paragraph" w:customStyle="1" w:styleId="129">
    <w:name w:val="正文文本报告（报告）"/>
    <w:basedOn w:val="1"/>
    <w:qFormat/>
    <w:uiPriority w:val="0"/>
    <w:pPr>
      <w:spacing w:line="440" w:lineRule="exact"/>
      <w:ind w:firstLine="200" w:firstLineChars="200"/>
    </w:pPr>
    <w:rPr>
      <w:sz w:val="24"/>
    </w:rPr>
  </w:style>
  <w:style w:type="character" w:customStyle="1" w:styleId="130">
    <w:name w:val="font21"/>
    <w:basedOn w:val="40"/>
    <w:qFormat/>
    <w:uiPriority w:val="0"/>
    <w:rPr>
      <w:rFonts w:hint="eastAsia" w:ascii="宋体" w:hAnsi="宋体" w:eastAsia="宋体" w:cs="宋体"/>
      <w:color w:val="000000"/>
      <w:sz w:val="22"/>
      <w:szCs w:val="22"/>
      <w:u w:val="none"/>
    </w:rPr>
  </w:style>
  <w:style w:type="paragraph" w:customStyle="1" w:styleId="131">
    <w:name w:val="章节目录"/>
    <w:basedOn w:val="1"/>
    <w:qFormat/>
    <w:uiPriority w:val="0"/>
    <w:pPr>
      <w:spacing w:line="360" w:lineRule="auto"/>
      <w:outlineLvl w:val="0"/>
    </w:pPr>
    <w:rPr>
      <w:b/>
      <w:sz w:val="28"/>
      <w:szCs w:val="28"/>
    </w:rPr>
  </w:style>
  <w:style w:type="paragraph" w:customStyle="1" w:styleId="132">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3">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34">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35">
    <w:name w:val="表字"/>
    <w:basedOn w:val="1"/>
    <w:qFormat/>
    <w:uiPriority w:val="0"/>
    <w:pPr>
      <w:spacing w:line="240" w:lineRule="auto"/>
      <w:jc w:val="center"/>
    </w:pPr>
    <w:rPr>
      <w:sz w:val="21"/>
      <w:szCs w:val="20"/>
    </w:rPr>
  </w:style>
  <w:style w:type="paragraph" w:customStyle="1" w:styleId="136">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37">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38">
    <w:name w:val="3"/>
    <w:basedOn w:val="139"/>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39">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0">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1">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2">
    <w:name w:val="p"/>
    <w:basedOn w:val="1"/>
    <w:qFormat/>
    <w:uiPriority w:val="0"/>
    <w:pPr>
      <w:adjustRightInd w:val="0"/>
      <w:snapToGrid w:val="0"/>
      <w:spacing w:line="360" w:lineRule="auto"/>
      <w:ind w:firstLine="1446" w:firstLineChars="200"/>
      <w:jc w:val="left"/>
    </w:pPr>
    <w:rPr>
      <w:kern w:val="0"/>
      <w:sz w:val="20"/>
      <w:szCs w:val="20"/>
    </w:rPr>
  </w:style>
  <w:style w:type="paragraph" w:customStyle="1" w:styleId="143">
    <w:name w:val="样式 行距: 固定值 24 磅 首行缩进:  2 字符"/>
    <w:basedOn w:val="1"/>
    <w:qFormat/>
    <w:uiPriority w:val="0"/>
    <w:pPr>
      <w:spacing w:line="480" w:lineRule="exact"/>
      <w:ind w:firstLine="480" w:firstLineChars="200"/>
    </w:pPr>
    <w:rPr>
      <w:sz w:val="24"/>
      <w:szCs w:val="20"/>
    </w:rPr>
  </w:style>
  <w:style w:type="paragraph" w:customStyle="1" w:styleId="144">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45">
    <w:name w:val="网格型1"/>
    <w:basedOn w:val="38"/>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p17"/>
    <w:basedOn w:val="1"/>
    <w:qFormat/>
    <w:uiPriority w:val="0"/>
    <w:pPr>
      <w:widowControl/>
      <w:spacing w:line="360" w:lineRule="auto"/>
      <w:ind w:firstLine="420"/>
    </w:pPr>
    <w:rPr>
      <w:rFonts w:ascii="宋体" w:hAnsi="宋体" w:cs="宋体"/>
      <w:color w:val="FF0000"/>
      <w:kern w:val="0"/>
      <w:sz w:val="24"/>
    </w:rPr>
  </w:style>
  <w:style w:type="paragraph" w:customStyle="1" w:styleId="147">
    <w:name w:val="p16"/>
    <w:basedOn w:val="1"/>
    <w:qFormat/>
    <w:uiPriority w:val="0"/>
    <w:pPr>
      <w:widowControl/>
      <w:snapToGrid w:val="0"/>
      <w:spacing w:line="360" w:lineRule="auto"/>
      <w:ind w:firstLine="420"/>
    </w:pPr>
    <w:rPr>
      <w:kern w:val="0"/>
      <w:sz w:val="24"/>
    </w:rPr>
  </w:style>
  <w:style w:type="paragraph" w:customStyle="1" w:styleId="148">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49">
    <w:name w:val="Table Paragraph"/>
    <w:basedOn w:val="1"/>
    <w:qFormat/>
    <w:uiPriority w:val="1"/>
    <w:pPr>
      <w:widowControl/>
      <w:jc w:val="left"/>
    </w:pPr>
    <w:rPr>
      <w:rFonts w:ascii="Calibri" w:hAnsi="Calibri" w:cs="宋体"/>
      <w:kern w:val="0"/>
      <w:sz w:val="22"/>
      <w:szCs w:val="22"/>
    </w:rPr>
  </w:style>
  <w:style w:type="paragraph" w:customStyle="1" w:styleId="150">
    <w:name w:val="样式1"/>
    <w:basedOn w:val="1"/>
    <w:next w:val="17"/>
    <w:qFormat/>
    <w:uiPriority w:val="0"/>
    <w:pPr>
      <w:ind w:left="90" w:leftChars="32"/>
    </w:pPr>
    <w:rPr>
      <w:rFonts w:ascii="宋体" w:hAnsi="宋体"/>
      <w:sz w:val="23"/>
      <w:szCs w:val="20"/>
    </w:rPr>
  </w:style>
  <w:style w:type="paragraph" w:customStyle="1" w:styleId="151">
    <w:name w:val="1表格"/>
    <w:basedOn w:val="1"/>
    <w:qFormat/>
    <w:uiPriority w:val="0"/>
    <w:pPr>
      <w:snapToGrid w:val="0"/>
      <w:spacing w:line="160" w:lineRule="atLeast"/>
      <w:jc w:val="center"/>
    </w:pPr>
    <w:rPr>
      <w:rFonts w:eastAsia="仿宋_GB2312"/>
      <w:szCs w:val="20"/>
    </w:rPr>
  </w:style>
  <w:style w:type="paragraph" w:customStyle="1" w:styleId="152">
    <w:name w:val="标题 41"/>
    <w:basedOn w:val="1"/>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3">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54">
    <w:name w:val="正文粗"/>
    <w:basedOn w:val="1"/>
    <w:next w:val="82"/>
    <w:qFormat/>
    <w:uiPriority w:val="0"/>
    <w:pPr>
      <w:ind w:firstLine="482"/>
      <w:jc w:val="both"/>
    </w:pPr>
    <w:rPr>
      <w:rFonts w:ascii="Times New Roman" w:hAnsi="Times New Roman" w:eastAsia="宋体"/>
      <w:b/>
      <w:color w:val="000000"/>
      <w:sz w:val="24"/>
      <w:szCs w:val="20"/>
    </w:rPr>
  </w:style>
  <w:style w:type="paragraph" w:customStyle="1" w:styleId="155">
    <w:name w:val="表格粗"/>
    <w:basedOn w:val="82"/>
    <w:qFormat/>
    <w:uiPriority w:val="0"/>
    <w:pPr>
      <w:adjustRightInd w:val="0"/>
      <w:snapToGrid w:val="0"/>
      <w:spacing w:line="240" w:lineRule="auto"/>
      <w:ind w:firstLine="0" w:firstLineChars="0"/>
      <w:jc w:val="center"/>
    </w:pPr>
    <w:rPr>
      <w:b/>
      <w:sz w:val="21"/>
      <w:shd w:val="clear" w:color="auto" w:fill="auto"/>
    </w:rPr>
  </w:style>
  <w:style w:type="paragraph" w:customStyle="1" w:styleId="156">
    <w:name w:val="_Style 10"/>
    <w:basedOn w:val="1"/>
    <w:qFormat/>
    <w:uiPriority w:val="0"/>
    <w:rPr>
      <w:szCs w:val="20"/>
    </w:rPr>
  </w:style>
  <w:style w:type="paragraph" w:customStyle="1" w:styleId="157">
    <w:name w:val="表格1"/>
    <w:basedOn w:val="1"/>
    <w:qFormat/>
    <w:uiPriority w:val="99"/>
    <w:pPr>
      <w:spacing w:line="360" w:lineRule="exact"/>
    </w:pPr>
    <w:rPr>
      <w:rFonts w:hAnsi="宋?"/>
    </w:rPr>
  </w:style>
  <w:style w:type="paragraph" w:customStyle="1" w:styleId="158">
    <w:name w:val="zly-图表"/>
    <w:basedOn w:val="8"/>
    <w:qFormat/>
    <w:uiPriority w:val="0"/>
    <w:pPr>
      <w:jc w:val="center"/>
    </w:pPr>
    <w:rPr>
      <w:rFonts w:ascii="Calibri" w:hAnsi="Calibri"/>
    </w:rPr>
  </w:style>
  <w:style w:type="paragraph" w:customStyle="1" w:styleId="159">
    <w:name w:val="zly-正文"/>
    <w:basedOn w:val="1"/>
    <w:qFormat/>
    <w:uiPriority w:val="99"/>
    <w:pPr>
      <w:spacing w:line="360" w:lineRule="auto"/>
      <w:ind w:firstLine="200" w:firstLineChars="200"/>
    </w:pPr>
    <w:rPr>
      <w:rFonts w:ascii="Calibri" w:hAnsi="Calibri"/>
      <w:kern w:val="0"/>
      <w:sz w:val="24"/>
    </w:rPr>
  </w:style>
  <w:style w:type="paragraph" w:customStyle="1" w:styleId="160">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1">
    <w:name w:val="妇幼正文"/>
    <w:basedOn w:val="1"/>
    <w:qFormat/>
    <w:uiPriority w:val="0"/>
    <w:pPr>
      <w:adjustRightInd w:val="0"/>
      <w:spacing w:line="360" w:lineRule="auto"/>
      <w:ind w:firstLine="480" w:firstLineChars="200"/>
    </w:pPr>
    <w:rPr>
      <w:color w:val="000000"/>
      <w:sz w:val="24"/>
    </w:rPr>
  </w:style>
  <w:style w:type="paragraph" w:customStyle="1" w:styleId="162">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3">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64">
    <w:name w:val="样式7"/>
    <w:basedOn w:val="115"/>
    <w:qFormat/>
    <w:uiPriority w:val="0"/>
    <w:pPr>
      <w:spacing w:before="0" w:beforeLines="0" w:after="0" w:afterLines="0"/>
      <w:ind w:firstLine="420" w:firstLineChars="200"/>
    </w:pPr>
    <w:rPr>
      <w:rFonts w:ascii="Times New Roman" w:eastAsia="华文中宋"/>
      <w:sz w:val="21"/>
      <w:szCs w:val="21"/>
    </w:rPr>
  </w:style>
  <w:style w:type="character" w:customStyle="1" w:styleId="165">
    <w:name w:val="font31"/>
    <w:basedOn w:val="40"/>
    <w:qFormat/>
    <w:uiPriority w:val="0"/>
    <w:rPr>
      <w:rFonts w:hint="default" w:ascii="Times New Roman" w:hAnsi="Times New Roman" w:cs="Times New Roman"/>
      <w:color w:val="000000"/>
      <w:sz w:val="21"/>
      <w:szCs w:val="21"/>
      <w:u w:val="none"/>
    </w:rPr>
  </w:style>
  <w:style w:type="character" w:customStyle="1" w:styleId="166">
    <w:name w:val="font11"/>
    <w:basedOn w:val="40"/>
    <w:uiPriority w:val="0"/>
    <w:rPr>
      <w:rFonts w:hint="default" w:ascii="Calibri" w:hAnsi="Calibri" w:cs="Calibri"/>
      <w:color w:val="000000"/>
      <w:sz w:val="21"/>
      <w:szCs w:val="21"/>
      <w:u w:val="none"/>
    </w:rPr>
  </w:style>
  <w:style w:type="paragraph" w:customStyle="1" w:styleId="167">
    <w:name w:val="正文文本1"/>
    <w:basedOn w:val="1"/>
    <w:qFormat/>
    <w:uiPriority w:val="0"/>
    <w:pPr>
      <w:spacing w:line="480" w:lineRule="exact"/>
      <w:ind w:firstLine="200" w:firstLineChars="200"/>
    </w:pPr>
    <w:rPr>
      <w:color w:val="000000"/>
      <w:sz w:val="24"/>
    </w:rPr>
  </w:style>
  <w:style w:type="paragraph" w:customStyle="1" w:styleId="168">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69">
    <w:name w:val="大标题"/>
    <w:basedOn w:val="1"/>
    <w:qFormat/>
    <w:uiPriority w:val="0"/>
    <w:pPr>
      <w:spacing w:line="360" w:lineRule="auto"/>
    </w:pPr>
    <w:rPr>
      <w:rFonts w:ascii="宋体" w:hAnsi="宋体"/>
      <w:b/>
      <w:sz w:val="30"/>
      <w:szCs w:val="24"/>
    </w:rPr>
  </w:style>
  <w:style w:type="paragraph" w:customStyle="1" w:styleId="170">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1">
    <w:name w:val="表题 Char"/>
    <w:link w:val="102"/>
    <w:qFormat/>
    <w:uiPriority w:val="0"/>
    <w:rPr>
      <w:rFonts w:ascii="Times New Roman" w:hAnsi="宋体" w:eastAsia="宋体" w:cs="Times New Roman"/>
      <w:b/>
      <w:kern w:val="2"/>
      <w:sz w:val="21"/>
      <w:szCs w:val="24"/>
      <w:lang w:val="en-US" w:eastAsia="zh-CN" w:bidi="ar-SA"/>
    </w:rPr>
  </w:style>
  <w:style w:type="character" w:customStyle="1" w:styleId="172">
    <w:name w:val="-正文 Char"/>
    <w:link w:val="104"/>
    <w:qFormat/>
    <w:uiPriority w:val="0"/>
    <w:rPr>
      <w:rFonts w:cs="宋体"/>
      <w:kern w:val="2"/>
      <w:sz w:val="24"/>
    </w:rPr>
  </w:style>
  <w:style w:type="paragraph" w:customStyle="1" w:styleId="173">
    <w:name w:val="标题-3"/>
    <w:basedOn w:val="1"/>
    <w:qFormat/>
    <w:uiPriority w:val="0"/>
    <w:pPr>
      <w:spacing w:line="480" w:lineRule="exact"/>
      <w:ind w:firstLine="482" w:firstLineChars="200"/>
    </w:pPr>
    <w:rPr>
      <w:rFonts w:cs="宋体"/>
      <w:b/>
      <w:bCs/>
      <w:sz w:val="24"/>
      <w:szCs w:val="20"/>
    </w:rPr>
  </w:style>
  <w:style w:type="character" w:customStyle="1" w:styleId="174">
    <w:name w:val="正文-1 Char"/>
    <w:link w:val="101"/>
    <w:qFormat/>
    <w:uiPriority w:val="0"/>
    <w:rPr>
      <w:rFonts w:ascii="Times New Roman" w:hAnsi="Times New Roman" w:eastAsia="宋体" w:cs="宋体"/>
      <w:kern w:val="2"/>
      <w:sz w:val="24"/>
      <w:lang w:val="en-US" w:eastAsia="zh-CN" w:bidi="ar-SA"/>
    </w:rPr>
  </w:style>
  <w:style w:type="character" w:customStyle="1" w:styleId="175">
    <w:name w:val="标题 2 Char"/>
    <w:link w:val="4"/>
    <w:uiPriority w:val="0"/>
    <w:rPr>
      <w:rFonts w:ascii="黑体" w:hAnsi="宋体" w:eastAsia="Times New Roman"/>
      <w:b/>
      <w:bCs/>
      <w:snapToGrid w:val="0"/>
      <w:kern w:val="0"/>
      <w:szCs w:val="20"/>
    </w:rPr>
  </w:style>
  <w:style w:type="paragraph" w:customStyle="1" w:styleId="176">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77">
    <w:name w:val="12"/>
    <w:basedOn w:val="1"/>
    <w:link w:val="180"/>
    <w:qFormat/>
    <w:uiPriority w:val="0"/>
    <w:pPr>
      <w:wordWrap w:val="0"/>
      <w:topLinePunct/>
      <w:adjustRightInd w:val="0"/>
      <w:snapToGrid w:val="0"/>
      <w:spacing w:line="360" w:lineRule="auto"/>
      <w:ind w:firstLine="200" w:firstLineChars="200"/>
      <w:jc w:val="left"/>
    </w:pPr>
    <w:rPr>
      <w:sz w:val="24"/>
    </w:rPr>
  </w:style>
  <w:style w:type="paragraph" w:customStyle="1" w:styleId="178">
    <w:name w:val="14"/>
    <w:basedOn w:val="1"/>
    <w:qFormat/>
    <w:uiPriority w:val="0"/>
    <w:pPr>
      <w:tabs>
        <w:tab w:val="right" w:pos="8306"/>
      </w:tabs>
      <w:spacing w:line="360" w:lineRule="auto"/>
      <w:jc w:val="center"/>
    </w:pPr>
    <w:rPr>
      <w:b/>
      <w:bCs/>
      <w:color w:val="000000"/>
      <w:szCs w:val="21"/>
    </w:rPr>
  </w:style>
  <w:style w:type="paragraph" w:customStyle="1" w:styleId="179">
    <w:name w:val="表格内容-龙池"/>
    <w:basedOn w:val="1"/>
    <w:qFormat/>
    <w:uiPriority w:val="0"/>
    <w:pPr>
      <w:autoSpaceDE w:val="0"/>
      <w:autoSpaceDN w:val="0"/>
      <w:adjustRightInd w:val="0"/>
      <w:contextualSpacing/>
      <w:jc w:val="center"/>
    </w:pPr>
    <w:rPr>
      <w:kern w:val="0"/>
      <w:szCs w:val="21"/>
    </w:rPr>
  </w:style>
  <w:style w:type="character" w:customStyle="1" w:styleId="180">
    <w:name w:val="12 Char"/>
    <w:basedOn w:val="40"/>
    <w:link w:val="177"/>
    <w:uiPriority w:val="0"/>
    <w:rPr>
      <w:sz w:val="24"/>
    </w:rPr>
  </w:style>
  <w:style w:type="paragraph" w:customStyle="1" w:styleId="181">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2">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3">
    <w:name w:val="Body Text Indent"/>
    <w:basedOn w:val="1"/>
    <w:qFormat/>
    <w:uiPriority w:val="0"/>
    <w:pPr>
      <w:spacing w:line="360" w:lineRule="auto"/>
      <w:ind w:firstLine="480"/>
    </w:pPr>
    <w:rPr>
      <w:rFonts w:ascii="宋体"/>
      <w:sz w:val="24"/>
    </w:rPr>
  </w:style>
  <w:style w:type="paragraph" w:customStyle="1" w:styleId="1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85">
    <w:name w:val="font01"/>
    <w:basedOn w:val="40"/>
    <w:qFormat/>
    <w:uiPriority w:val="0"/>
    <w:rPr>
      <w:rFonts w:hint="eastAsia" w:ascii="宋体" w:hAnsi="宋体" w:eastAsia="宋体" w:cs="宋体"/>
      <w:color w:val="000000"/>
      <w:sz w:val="24"/>
      <w:szCs w:val="24"/>
      <w:u w:val="none"/>
      <w:vertAlign w:val="superscript"/>
    </w:rPr>
  </w:style>
  <w:style w:type="paragraph" w:customStyle="1" w:styleId="186">
    <w:name w:val="表格题目"/>
    <w:basedOn w:val="9"/>
    <w:next w:val="187"/>
    <w:qFormat/>
    <w:uiPriority w:val="0"/>
    <w:pPr>
      <w:keepNext/>
    </w:pPr>
    <w:rPr>
      <w:rFonts w:ascii="黑体" w:hAnsi="黑体" w:eastAsia="黑体"/>
      <w:szCs w:val="24"/>
    </w:rPr>
  </w:style>
  <w:style w:type="paragraph" w:customStyle="1" w:styleId="187">
    <w:name w:val="表名、图名"/>
    <w:basedOn w:val="1"/>
    <w:next w:val="1"/>
    <w:uiPriority w:val="0"/>
    <w:pPr>
      <w:ind w:firstLine="0" w:firstLineChars="0"/>
      <w:jc w:val="center"/>
    </w:pPr>
    <w:rPr>
      <w:rFonts w:eastAsia="黑体"/>
    </w:rPr>
  </w:style>
  <w:style w:type="character" w:customStyle="1" w:styleId="188">
    <w:name w:val="font51"/>
    <w:basedOn w:val="40"/>
    <w:uiPriority w:val="0"/>
    <w:rPr>
      <w:rFonts w:hint="default" w:ascii="Times New Roman" w:hAnsi="Times New Roman" w:cs="Times New Roman"/>
      <w:color w:val="000000"/>
      <w:sz w:val="21"/>
      <w:szCs w:val="21"/>
      <w:u w:val="none"/>
      <w:vertAlign w:val="superscript"/>
    </w:rPr>
  </w:style>
  <w:style w:type="character" w:customStyle="1" w:styleId="189">
    <w:name w:val="font71"/>
    <w:qFormat/>
    <w:uiPriority w:val="0"/>
    <w:rPr>
      <w:rFonts w:hint="eastAsia" w:ascii="宋体" w:hAnsi="宋体" w:eastAsia="宋体" w:cs="宋体"/>
      <w:b/>
      <w:color w:val="000000"/>
      <w:sz w:val="21"/>
      <w:szCs w:val="21"/>
      <w:u w:val="none"/>
    </w:rPr>
  </w:style>
  <w:style w:type="character" w:customStyle="1" w:styleId="190">
    <w:name w:val="font41"/>
    <w:qFormat/>
    <w:uiPriority w:val="0"/>
    <w:rPr>
      <w:rFonts w:hint="eastAsia" w:ascii="宋体" w:hAnsi="宋体" w:eastAsia="宋体" w:cs="宋体"/>
      <w:color w:val="000000"/>
      <w:sz w:val="21"/>
      <w:szCs w:val="21"/>
      <w:u w:val="none"/>
    </w:rPr>
  </w:style>
  <w:style w:type="character" w:customStyle="1" w:styleId="191">
    <w:name w:val="font81"/>
    <w:basedOn w:val="40"/>
    <w:uiPriority w:val="0"/>
    <w:rPr>
      <w:rFonts w:hint="eastAsia" w:ascii="宋体" w:hAnsi="宋体" w:eastAsia="宋体" w:cs="宋体"/>
      <w:color w:val="000000"/>
      <w:sz w:val="24"/>
      <w:szCs w:val="24"/>
      <w:u w:val="none"/>
    </w:rPr>
  </w:style>
  <w:style w:type="character" w:customStyle="1" w:styleId="192">
    <w:name w:val="font101"/>
    <w:basedOn w:val="40"/>
    <w:uiPriority w:val="0"/>
    <w:rPr>
      <w:rFonts w:hint="default" w:ascii="Times New Roman" w:hAnsi="Times New Roman" w:cs="Times New Roman"/>
      <w:color w:val="000000"/>
      <w:sz w:val="21"/>
      <w:szCs w:val="21"/>
      <w:u w:val="none"/>
      <w:vertAlign w:val="superscript"/>
    </w:rPr>
  </w:style>
  <w:style w:type="paragraph" w:customStyle="1" w:styleId="19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194">
    <w:name w:val="Table Grid_0"/>
    <w:basedOn w:val="38"/>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
    <w:name w:val="正文(首行缩进)宋旭峰"/>
    <w:basedOn w:val="8"/>
    <w:qFormat/>
    <w:uiPriority w:val="0"/>
    <w:pPr>
      <w:spacing w:line="360" w:lineRule="auto"/>
      <w:ind w:firstLine="480" w:firstLineChars="200"/>
    </w:pPr>
    <w:rPr>
      <w:snapToGrid w:val="0"/>
      <w:color w:val="0000FF"/>
      <w:kern w:val="0"/>
      <w:sz w:val="24"/>
      <w:szCs w:val="24"/>
    </w:rPr>
  </w:style>
  <w:style w:type="paragraph" w:customStyle="1" w:styleId="196">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197">
    <w:name w:val="a正文"/>
    <w:basedOn w:val="1"/>
    <w:qFormat/>
    <w:uiPriority w:val="0"/>
    <w:pPr>
      <w:spacing w:line="360" w:lineRule="auto"/>
      <w:ind w:firstLine="200" w:firstLineChars="200"/>
    </w:pPr>
    <w:rPr>
      <w:rFonts w:ascii="Times New Roman" w:hAnsi="Times New Roman"/>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4.bin"/><Relationship Id="rId17" Type="http://schemas.openxmlformats.org/officeDocument/2006/relationships/image" Target="media/image6.emf"/><Relationship Id="rId16" Type="http://schemas.openxmlformats.org/officeDocument/2006/relationships/oleObject" Target="embeddings/oleObject3.bin"/><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168</Pages>
  <Words>21262</Words>
  <Characters>121195</Characters>
  <Lines>1009</Lines>
  <Paragraphs>284</Paragraphs>
  <TotalTime>0</TotalTime>
  <ScaleCrop>false</ScaleCrop>
  <LinksUpToDate>false</LinksUpToDate>
  <CharactersWithSpaces>142173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2022-03-28T08:55:10Z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B576C2D9AB664531991FDE20E0830230</vt:lpwstr>
  </property>
</Properties>
</file>